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image/png" PartName="/word/media/document_image_rId13.png"/>
  <Override ContentType="image/png" PartName="/word/media/document_image_rId14.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Ballina Island Developments Pty Ltd v Ballina Shire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1223</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4-7 and 11 December 2023</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26 April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26 April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2</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Dixon SC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Proceedings no. 2022/215110</w:t>
                </w:r>
                <w:r>
                  <w:br/>
                </w:r>
                <w:r>
                  <w:t xml:space="preserve">The Court orders: </w:t>
                </w:r>
                <w:r>
                  <w:br/>
                </w:r>
                <w:r>
                  <w:t xml:space="preserve">(1) The appeal is dismissed.</w:t>
                </w:r>
                <w:r>
                  <w:br/>
                </w:r>
                <w:r>
                  <w:t xml:space="preserve">(2) Application no. S682022/4997 for approval under s 68(1) of the Local Government Act 1993 in respect of DA 2018/51 for land at 20 North Creek Road, Lennox Head (Lot 1 in DP 517111) is refused. </w:t>
                </w:r>
                <w:r>
                  <w:br/>
                </w:r>
                <w:r>
                  <w:t xml:space="preserve">(3) The exhibits are returned except for A, C, D and E.</w:t>
                </w:r>
                <w:r>
                  <w:br/>
                </w:r>
                <w:r>
                  <w:t xml:space="preserve"> </w:t>
                </w:r>
                <w:r>
                  <w:br/>
                </w:r>
                <w:r>
                  <w:t xml:space="preserve">Proceedings no. 2022/187078</w:t>
                </w:r>
                <w:r>
                  <w:br/>
                </w:r>
                <w:r>
                  <w:t xml:space="preserve">The Court orders: </w:t>
                </w:r>
                <w:r>
                  <w:br/>
                </w:r>
                <w:r>
                  <w:t xml:space="preserve">(1) The appeal is dismissed.</w:t>
                </w:r>
                <w:r>
                  <w:br/>
                </w:r>
                <w:r>
                  <w:t xml:space="preserve">(2) The application email dated 18 May 2021 for approval made under s 68(1) of the Local Government Act 1993 in respect of DA 2020/284 for land at 20 North Creek Road, Lennox Head (Lot 1 in DP 517111) is refused. </w:t>
                </w:r>
                <w:r>
                  <w:br/>
                </w:r>
                <w:r>
                  <w:t xml:space="preserve">(3) The exhibits are returned except for A, G, H, I and J.</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 – application made under s 68(1) of the Local Government Act 1993 seeking approval for stormwater, sewer, water works and application made under s 138 of the Roads Act 1993 seeking approval for road infrastructure within and external to approved lots – compliance with conditions of development consent DA 2018/51 and DA 2020/284 – s 39(2) of the Land and Environment Court Act 1979</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Biodiversity Conservation Act 2016 </w:t>
                </w:r>
                <w:r>
                  <w:br/>
                </w:r>
                <w:r>
                  <w:t xml:space="preserve">Environment Protection and Biodiversity Conservation Act 1999 (Cth)</w:t>
                </w:r>
                <w:r>
                  <w:br/>
                </w:r>
                <w:r>
                  <w:t xml:space="preserve">Environmental Planning and Assessment Act 1979, ss 4.2, 8.7, 8.11 </w:t>
                </w:r>
                <w:r>
                  <w:br/>
                </w:r>
                <w:r>
                  <w:t xml:space="preserve">Land and Environment Court Act 1979, s 39(2)</w:t>
                </w:r>
                <w:r>
                  <w:br/>
                </w:r>
                <w:r>
                  <w:t xml:space="preserve">Local Government Act 1993, ss 3, 68, 75, 76, 78, 79, 89, 98, 105, 176</w:t>
                </w:r>
                <w:r>
                  <w:br/>
                </w:r>
                <w:r>
                  <w:t xml:space="preserve">Roads Act 1993, ss 4, 138, 139 </w:t>
                </w:r>
                <w:r>
                  <w:br/>
                </w:r>
                <w:r>
                  <w:t xml:space="preserve"> </w:t>
                </w:r>
                <w:r>
                  <w:br/>
                </w:r>
                <w:r>
                  <w:t xml:space="preserve">Ballina Local Environmental Plan 2012</w:t>
                </w:r>
                <w:r>
                  <w:br/>
                </w:r>
                <w:r>
                  <w:t xml:space="preserve">Byron Local Environmental Plan 1988</w:t>
                </w:r>
                <w:r>
                  <w:br/>
                </w:r>
                <w:r>
                  <w:t xml:space="preserve">Local Government (General) Regulation 2021, cll 13, 15, 16</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Al Maha Pty Ltd v Huajun Investments Pty Ltd (2018) 365 ALR 86; (2018) 233 LGERA 170; [2018] NSWCA 245</w:t>
                </w:r>
                <w:r>
                  <w:br/>
                </w:r>
                <w:r>
                  <w:t xml:space="preserve">Alvanos v Shoalhaven Shire Council (2002) 119 LGERA 403; [2002] NSWLEC 42</w:t>
                </w:r>
                <w:r>
                  <w:br/>
                </w:r>
                <w:r>
                  <w:t xml:space="preserve">AQC Dartbrook Pty Ltd v Minister for Planning and Public Spaces (2021) 15 NSWLR 152; [2021] NSWCA 112</w:t>
                </w:r>
                <w:r>
                  <w:br/>
                </w:r>
                <w:r>
                  <w:t xml:space="preserve">Australian Leisure and Hospitality Group Pty Ltd v Manly Council (No 4) (2009) 172 LGERA 1; [2009] NSWLEC 226</w:t>
                </w:r>
                <w:r>
                  <w:br/>
                </w:r>
                <w:r>
                  <w:t xml:space="preserve">BGP Properties Pty Ltd v Lake Macquarie City Council (2004) 138 LGERA 237; [2004] NSWLEC 399</w:t>
                </w:r>
                <w:r>
                  <w:br/>
                </w:r>
                <w:r>
                  <w:t xml:space="preserve">Captive Vision Pty Ltd v Ku-ring-gai Council (No 3) [2019] NSWLEC 1472</w:t>
                </w:r>
                <w:r>
                  <w:br/>
                </w:r>
                <w:r>
                  <w:t xml:space="preserve">Chehab v City of Canada Bay Council (2002) 123 LGERA 431; [2002] NSWLEC 220</w:t>
                </w:r>
                <w:r>
                  <w:br/>
                </w:r>
                <w:r>
                  <w:t xml:space="preserve">Codlea Pty Ltd v Byron Shire Council (1999) 105 LGERA 370; [1999] NSWCA 399</w:t>
                </w:r>
                <w:r>
                  <w:br/>
                </w:r>
                <w:r>
                  <w:t xml:space="preserve">Goldberg v Waverley Council (2007) 156 LGERA 27; [2007] NSWLEC 259</w:t>
                </w:r>
                <w:r>
                  <w:br/>
                </w:r>
                <w:r>
                  <w:t xml:space="preserve">Initial Action Pty Ltd v Woollahra Municipal Council (2018) 236 LGERA 256; [2018] NSWLEC 118</w:t>
                </w:r>
                <w:r>
                  <w:br/>
                </w:r>
                <w:r>
                  <w:t xml:space="preserve">Kogarah Municipal Council v Kent (1981) 46 LGRA 334</w:t>
                </w:r>
                <w:r>
                  <w:br/>
                </w:r>
                <w:r>
                  <w:t xml:space="preserve">Mison v Randwick Municipal Council (1919) 23 NSWLR 734</w:t>
                </w:r>
                <w:r>
                  <w:br/>
                </w:r>
                <w:r>
                  <w:t xml:space="preserve">McDougall v Warringah Shire Council (1993) 30 NSWLR 258</w:t>
                </w:r>
                <w:r>
                  <w:br/>
                </w:r>
                <w:r>
                  <w:t xml:space="preserve">Telstra Corporation Limited v Hornsby Shire Council (2006) 146 LGERA 10; (2006) 67 NSWLR 256; [2006] NSWLEC 133</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Proceedings no. 2022/215110 and 2022/187078</w:t>
                </w:r>
                <w:r>
                  <w:br/>
                </w:r>
                <w:r>
                  <w:t xml:space="preserve">Ballina Island Developments Pty Ltd (Applicant)</w:t>
                </w:r>
                <w:r>
                  <w:br/>
                </w:r>
                <w:r>
                  <w:t xml:space="preserve">Ballina Shire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Proceedings no. 2022/215110 and 2022/187078</w:t>
                </w:r>
                <w:r>
                  <w:br/>
                </w:r>
                <w:r>
                  <w:t xml:space="preserve">Counsel:</w:t>
                </w:r>
                <w:r>
                  <w:br/>
                </w:r>
                <w:r>
                  <w:t xml:space="preserve">C Leggat SC (Applicant)</w:t>
                </w:r>
                <w:r>
                  <w:br/>
                </w:r>
                <w:r>
                  <w:t xml:space="preserve">A Stafford (Respondent)</w:t>
                </w:r>
                <w:r>
                  <w:br/>
                </w:r>
                <w:r>
                  <w:t xml:space="preserve"/>
                </w:r>
                <w:r>
                  <w:br/>
                </w:r>
                <w:r>
                  <w:t xml:space="preserve">Solicitors:</w:t>
                </w:r>
                <w:r>
                  <w:br/>
                </w:r>
                <w:r>
                  <w:t xml:space="preserve">Colin Biggers &amp; Paisley (Applicant)</w:t>
                </w:r>
                <w:r>
                  <w:br/>
                </w:r>
                <w:r>
                  <w:t xml:space="preserve">Lindsay Taylor Lawyers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2022/215110; 2022/187078</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Heading2"/>
        <w:keepNext/>
        <w:spacing w:before="150" w:after="150" w:line="264"/>
        <w:ind w:left="0"/>
        <w:jc w:val="left"/>
      </w:pPr>
      <w:r>
        <w:rPr>
          <w:rFonts w:ascii="Arial"/>
        </w:rPr>
        <w:t>Background</w:t>
      </w:r>
    </w:p>
    <w:p>
      <w:pPr>
        <w:pStyle w:val="CaselawNumbered10"/>
        <w:numPr>
          <w:ilvl w:val="0"/>
          <w:numId w:val="22"/>
        </w:numPr>
        <w:spacing w:before="150" w:after="0"/>
        <w:ind w:left="600" w:hanging="600"/>
      </w:pPr>
      <w:r>
        <w:rPr>
          <w:rFonts w:ascii="Arial"/>
          <w:color w:val="000000"/>
          <w:sz w:val="24"/>
        </w:rPr>
        <w:t xml:space="preserve">A </w:t>
      </w:r>
      <w:r>
        <w:rPr>
          <w:rFonts w:ascii="Arial"/>
          <w:color w:val="000000"/>
          <w:sz w:val="24"/>
        </w:rPr>
        <w:t xml:space="preserve">short commute </w:t>
      </w:r>
      <w:r>
        <w:rPr>
          <w:rFonts w:ascii="Arial"/>
          <w:color w:val="000000"/>
          <w:sz w:val="24"/>
        </w:rPr>
        <w:t xml:space="preserve">from </w:t>
      </w:r>
      <w:r>
        <w:rPr>
          <w:rFonts w:ascii="Arial"/>
          <w:color w:val="000000"/>
          <w:sz w:val="24"/>
        </w:rPr>
        <w:t>Ballina</w:t>
      </w:r>
      <w:r>
        <w:rPr>
          <w:rFonts w:ascii="Arial"/>
          <w:color w:val="000000"/>
          <w:sz w:val="24"/>
        </w:rPr>
        <w:t xml:space="preserve"> </w:t>
      </w:r>
      <w:r>
        <w:rPr>
          <w:rFonts w:ascii="Arial"/>
          <w:color w:val="000000"/>
          <w:sz w:val="24"/>
        </w:rPr>
        <w:t xml:space="preserve">town centre </w:t>
      </w:r>
      <w:r>
        <w:rPr>
          <w:rFonts w:ascii="Arial"/>
          <w:color w:val="000000"/>
          <w:sz w:val="24"/>
        </w:rPr>
        <w:t>and</w:t>
      </w:r>
      <w:r>
        <w:rPr>
          <w:rFonts w:ascii="Arial"/>
          <w:color w:val="000000"/>
          <w:sz w:val="24"/>
        </w:rPr>
        <w:t xml:space="preserve"> </w:t>
      </w:r>
      <w:r>
        <w:rPr>
          <w:rFonts w:ascii="Arial"/>
          <w:color w:val="000000"/>
          <w:sz w:val="24"/>
        </w:rPr>
        <w:t>Ballina airport</w:t>
      </w:r>
      <w:r>
        <w:rPr>
          <w:rFonts w:ascii="Arial"/>
          <w:color w:val="000000"/>
          <w:sz w:val="24"/>
        </w:rPr>
        <w:t>,</w:t>
      </w:r>
      <w:r>
        <w:rPr>
          <w:rFonts w:ascii="Arial"/>
          <w:color w:val="000000"/>
          <w:sz w:val="24"/>
        </w:rPr>
        <w:t xml:space="preserve"> </w:t>
      </w:r>
      <w:r>
        <w:rPr>
          <w:rFonts w:ascii="Arial"/>
          <w:color w:val="000000"/>
          <w:sz w:val="24"/>
        </w:rPr>
        <w:t xml:space="preserve">on land legally described as </w:t>
      </w:r>
      <w:r>
        <w:rPr>
          <w:rFonts w:ascii="Arial"/>
          <w:color w:val="000000"/>
          <w:sz w:val="24"/>
        </w:rPr>
        <w:t xml:space="preserve">Lot 1 in </w:t>
      </w:r>
      <w:r>
        <w:rPr>
          <w:rFonts w:ascii="Arial"/>
          <w:color w:val="000000"/>
          <w:sz w:val="24"/>
        </w:rPr>
        <w:t>DP 517111, and known as 20 North Creek Road</w:t>
      </w:r>
      <w:r>
        <w:rPr>
          <w:rFonts w:ascii="Arial"/>
          <w:color w:val="000000"/>
          <w:sz w:val="24"/>
        </w:rPr>
        <w:t>,</w:t>
      </w:r>
      <w:r>
        <w:rPr>
          <w:rFonts w:ascii="Arial"/>
          <w:color w:val="000000"/>
          <w:sz w:val="24"/>
        </w:rPr>
        <w:t xml:space="preserve"> </w:t>
      </w:r>
      <w:r>
        <w:rPr>
          <w:rFonts w:ascii="Arial"/>
          <w:color w:val="000000"/>
          <w:sz w:val="24"/>
        </w:rPr>
        <w:t>Lennox Head the Council has granted consent for the development of a large residential subdivision under DA</w:t>
      </w:r>
      <w:r>
        <w:rPr>
          <w:rFonts w:ascii="Arial"/>
          <w:color w:val="000000"/>
          <w:sz w:val="24"/>
        </w:rPr>
        <w:t xml:space="preserve"> </w:t>
      </w:r>
      <w:r>
        <w:rPr>
          <w:rFonts w:ascii="Arial"/>
          <w:color w:val="000000"/>
          <w:sz w:val="24"/>
        </w:rPr>
        <w:t xml:space="preserve">2018/51 and DA 2020/284. </w:t>
      </w:r>
    </w:p>
    <w:p>
      <w:pPr>
        <w:pStyle w:val="CaselawBullet"/>
        <w:numPr>
          <w:ilvl w:val="0"/>
          <w:numId w:val="23"/>
        </w:numPr>
        <w:spacing w:before="150" w:after="0"/>
        <w:ind w:left="600" w:hanging="250"/>
      </w:pPr>
      <w:r>
        <w:rPr>
          <w:rFonts w:ascii="Arial"/>
          <w:color w:val="000000"/>
          <w:sz w:val="24"/>
        </w:rPr>
        <w:t xml:space="preserve">DA 2018/51 </w:t>
      </w:r>
      <w:r>
        <w:rPr>
          <w:rFonts w:ascii="Arial"/>
          <w:color w:val="000000"/>
          <w:sz w:val="24"/>
        </w:rPr>
        <w:t xml:space="preserve">obtained on </w:t>
      </w:r>
      <w:r>
        <w:rPr>
          <w:rFonts w:ascii="Arial"/>
          <w:color w:val="000000"/>
          <w:sz w:val="24"/>
        </w:rPr>
        <w:t xml:space="preserve">27 August 2020 </w:t>
      </w:r>
      <w:r>
        <w:rPr>
          <w:rFonts w:ascii="Arial"/>
          <w:color w:val="000000"/>
          <w:sz w:val="24"/>
        </w:rPr>
        <w:t xml:space="preserve">approved </w:t>
      </w:r>
      <w:r>
        <w:rPr>
          <w:rFonts w:ascii="Arial"/>
          <w:color w:val="000000"/>
          <w:sz w:val="24"/>
        </w:rPr>
        <w:t>the residential subdivision of the site to create 99 residential lots and five super lots subject to future development</w:t>
      </w:r>
      <w:r>
        <w:rPr>
          <w:rFonts w:ascii="Arial"/>
          <w:color w:val="000000"/>
          <w:sz w:val="24"/>
        </w:rPr>
        <w:t xml:space="preserve"> </w:t>
      </w:r>
      <w:r>
        <w:rPr>
          <w:rFonts w:ascii="Arial"/>
          <w:color w:val="000000"/>
          <w:sz w:val="24"/>
        </w:rPr>
        <w:t>(</w:t>
      </w:r>
      <w:r>
        <w:rPr>
          <w:rFonts w:ascii="Arial"/>
          <w:b/>
          <w:color w:val="000000"/>
          <w:sz w:val="24"/>
        </w:rPr>
        <w:t>99</w:t>
      </w:r>
      <w:r>
        <w:rPr>
          <w:rFonts w:ascii="Arial"/>
          <w:b/>
          <w:color w:val="000000"/>
          <w:sz w:val="24"/>
        </w:rPr>
        <w:t>-l</w:t>
      </w:r>
      <w:r>
        <w:rPr>
          <w:rFonts w:ascii="Arial"/>
          <w:b/>
          <w:color w:val="000000"/>
          <w:sz w:val="24"/>
        </w:rPr>
        <w:t>ot consent</w:t>
      </w:r>
      <w:r>
        <w:rPr>
          <w:rFonts w:ascii="Arial"/>
          <w:color w:val="000000"/>
          <w:sz w:val="24"/>
        </w:rPr>
        <w:t>)</w:t>
      </w:r>
      <w:r>
        <w:rPr>
          <w:rFonts w:ascii="Arial"/>
          <w:color w:val="000000"/>
          <w:sz w:val="24"/>
        </w:rPr>
        <w:t xml:space="preserve">. </w:t>
      </w:r>
    </w:p>
    <w:p>
      <w:pPr>
        <w:pStyle w:val="CaselawNormal"/>
        <w:spacing w:before="150" w:after="150"/>
        <w:ind w:left="600"/>
        <w:jc w:val="left"/>
      </w:pPr>
      <w:r>
        <w:drawing>
          <wp:inline distT="0" distB="0" distL="0" distR="0">
            <wp:extent cx="4733370" cy="3517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4733370" cy="3517900"/>
                    </a:xfrm>
                    <a:prstGeom prst="rect">
                      <a:avLst/>
                    </a:prstGeom>
                  </pic:spPr>
                </pic:pic>
              </a:graphicData>
            </a:graphic>
          </wp:inline>
        </w:drawing>
      </w:r>
    </w:p>
    <w:p>
      <w:pPr>
        <w:pStyle w:val="CaselawNormal"/>
        <w:spacing w:before="150" w:after="150"/>
        <w:ind w:left="600"/>
        <w:jc w:val="left"/>
      </w:pPr>
      <w:r>
        <w:rPr>
          <w:rFonts w:ascii="Arial"/>
          <w:color w:val="000000"/>
          <w:sz w:val="24"/>
        </w:rPr>
        <w:t xml:space="preserve">Figure </w:t>
      </w:r>
      <w:r>
        <w:rPr>
          <w:rFonts w:ascii="Arial"/>
          <w:color w:val="000000"/>
          <w:sz w:val="24"/>
        </w:rPr>
        <w:t>1</w:t>
      </w:r>
      <w:r>
        <w:rPr>
          <w:rFonts w:ascii="Arial"/>
          <w:color w:val="000000"/>
          <w:sz w:val="24"/>
        </w:rPr>
        <w:t xml:space="preserve"> Subdivision plan of DA 2018/51</w:t>
      </w:r>
    </w:p>
    <w:p>
      <w:pPr>
        <w:pStyle w:val="CaselawBullet"/>
        <w:numPr>
          <w:ilvl w:val="0"/>
          <w:numId w:val="24"/>
        </w:numPr>
        <w:spacing w:before="150" w:after="0"/>
        <w:ind w:left="600" w:hanging="250"/>
      </w:pPr>
      <w:r>
        <w:rPr>
          <w:rFonts w:ascii="Arial"/>
          <w:color w:val="000000"/>
          <w:sz w:val="24"/>
        </w:rPr>
        <w:t xml:space="preserve">DA 2020/284 obtained on 21 December 2020 </w:t>
      </w:r>
      <w:r>
        <w:rPr>
          <w:rFonts w:ascii="Arial"/>
          <w:color w:val="000000"/>
          <w:sz w:val="24"/>
        </w:rPr>
        <w:t xml:space="preserve">approved </w:t>
      </w:r>
      <w:r>
        <w:rPr>
          <w:rFonts w:ascii="Arial"/>
          <w:color w:val="000000"/>
          <w:sz w:val="24"/>
        </w:rPr>
        <w:t>the residential subdivision of residual lot 10</w:t>
      </w:r>
      <w:r>
        <w:rPr>
          <w:rFonts w:ascii="Arial"/>
          <w:color w:val="000000"/>
          <w:sz w:val="24"/>
        </w:rPr>
        <w:t>2</w:t>
      </w:r>
      <w:r>
        <w:rPr>
          <w:rFonts w:ascii="Arial"/>
          <w:color w:val="000000"/>
          <w:sz w:val="24"/>
        </w:rPr>
        <w:t xml:space="preserve"> </w:t>
      </w:r>
      <w:r>
        <w:rPr>
          <w:rFonts w:ascii="Arial"/>
          <w:color w:val="000000"/>
          <w:sz w:val="24"/>
        </w:rPr>
        <w:t>(</w:t>
      </w:r>
      <w:r>
        <w:rPr>
          <w:rFonts w:ascii="Arial"/>
          <w:b/>
          <w:color w:val="000000"/>
          <w:sz w:val="24"/>
        </w:rPr>
        <w:t xml:space="preserve">Super Lot </w:t>
      </w:r>
      <w:r>
        <w:rPr>
          <w:rFonts w:ascii="Arial"/>
          <w:b/>
          <w:color w:val="000000"/>
          <w:sz w:val="24"/>
        </w:rPr>
        <w:t>102</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DA 2018/51 to create 17 residential lot and </w:t>
      </w:r>
      <w:r>
        <w:rPr>
          <w:rFonts w:ascii="Arial"/>
          <w:color w:val="000000"/>
          <w:sz w:val="24"/>
        </w:rPr>
        <w:t xml:space="preserve">one </w:t>
      </w:r>
      <w:r>
        <w:rPr>
          <w:rFonts w:ascii="Arial"/>
          <w:color w:val="000000"/>
          <w:sz w:val="24"/>
        </w:rPr>
        <w:t xml:space="preserve">super lot </w:t>
      </w:r>
      <w:r>
        <w:rPr>
          <w:rFonts w:ascii="Arial"/>
          <w:color w:val="000000"/>
          <w:sz w:val="24"/>
        </w:rPr>
        <w:t>(</w:t>
      </w:r>
      <w:r>
        <w:rPr>
          <w:rFonts w:ascii="Arial"/>
          <w:b/>
          <w:color w:val="000000"/>
          <w:sz w:val="24"/>
        </w:rPr>
        <w:t>17</w:t>
      </w:r>
      <w:r>
        <w:rPr>
          <w:rFonts w:ascii="Arial"/>
          <w:b/>
          <w:color w:val="000000"/>
          <w:sz w:val="24"/>
        </w:rPr>
        <w:t>-l</w:t>
      </w:r>
      <w:r>
        <w:rPr>
          <w:rFonts w:ascii="Arial"/>
          <w:b/>
          <w:color w:val="000000"/>
          <w:sz w:val="24"/>
        </w:rPr>
        <w:t>ot consent</w:t>
      </w:r>
      <w:r>
        <w:rPr>
          <w:rFonts w:ascii="Arial"/>
          <w:color w:val="000000"/>
          <w:sz w:val="24"/>
        </w:rPr>
        <w:t xml:space="preserve">). </w:t>
      </w:r>
    </w:p>
    <w:p>
      <w:pPr>
        <w:pStyle w:val="CaselawNormal"/>
        <w:spacing w:before="150" w:after="150"/>
        <w:ind w:left="600"/>
        <w:jc w:val="left"/>
      </w:pPr>
      <w:r>
        <w:drawing>
          <wp:inline distT="0" distB="0" distL="0" distR="0">
            <wp:extent cx="3932168" cy="3378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3932168" cy="3378200"/>
                    </a:xfrm>
                    <a:prstGeom prst="rect">
                      <a:avLst/>
                    </a:prstGeom>
                  </pic:spPr>
                </pic:pic>
              </a:graphicData>
            </a:graphic>
          </wp:inline>
        </w:drawing>
      </w:r>
    </w:p>
    <w:p>
      <w:pPr>
        <w:pStyle w:val="CaselawNormal"/>
        <w:spacing w:before="150" w:after="150"/>
        <w:ind w:left="600"/>
        <w:jc w:val="left"/>
      </w:pPr>
      <w:r>
        <w:rPr>
          <w:rFonts w:ascii="Arial"/>
          <w:color w:val="000000"/>
          <w:sz w:val="24"/>
        </w:rPr>
        <w:t xml:space="preserve">Figure </w:t>
      </w:r>
      <w:r>
        <w:rPr>
          <w:rFonts w:ascii="Arial"/>
          <w:color w:val="000000"/>
          <w:sz w:val="24"/>
        </w:rPr>
        <w:t>2</w:t>
      </w:r>
      <w:r>
        <w:rPr>
          <w:rFonts w:ascii="Arial"/>
          <w:color w:val="000000"/>
          <w:sz w:val="24"/>
        </w:rPr>
        <w:t xml:space="preserve"> Subdivision plan of DA 2020/284</w:t>
      </w:r>
    </w:p>
    <w:p>
      <w:pPr>
        <w:pStyle w:val="CaselawNumbered10"/>
        <w:numPr>
          <w:ilvl w:val="0"/>
          <w:numId w:val="25"/>
        </w:numPr>
        <w:spacing w:before="150" w:after="0"/>
        <w:ind w:left="600" w:hanging="600"/>
      </w:pPr>
      <w:r>
        <w:rPr>
          <w:rFonts w:ascii="Arial"/>
          <w:color w:val="000000"/>
          <w:sz w:val="24"/>
        </w:rPr>
        <w:t>A</w:t>
      </w:r>
      <w:r>
        <w:rPr>
          <w:rFonts w:ascii="Arial"/>
          <w:color w:val="000000"/>
          <w:sz w:val="24"/>
        </w:rPr>
        <w:t xml:space="preserve">lthough generally vacant </w:t>
      </w:r>
      <w:r>
        <w:rPr>
          <w:rFonts w:ascii="Arial"/>
          <w:color w:val="000000"/>
          <w:sz w:val="24"/>
        </w:rPr>
        <w:t xml:space="preserve">the site </w:t>
      </w:r>
      <w:r>
        <w:rPr>
          <w:rFonts w:ascii="Arial"/>
          <w:color w:val="000000"/>
          <w:sz w:val="24"/>
        </w:rPr>
        <w:t xml:space="preserve">does support </w:t>
      </w:r>
      <w:r>
        <w:rPr>
          <w:rFonts w:ascii="Arial"/>
          <w:color w:val="000000"/>
          <w:sz w:val="24"/>
        </w:rPr>
        <w:t xml:space="preserve">two significant ecological communities being an area of littoral rainforest growing in the central portion and an extensive area of freshwater wetland habitat located along the western boundary. </w:t>
      </w:r>
    </w:p>
    <w:p>
      <w:pPr>
        <w:pStyle w:val="CaselawNumbered10"/>
        <w:numPr>
          <w:ilvl w:val="0"/>
          <w:numId w:val="25"/>
        </w:numPr>
        <w:spacing w:before="150" w:after="0"/>
        <w:ind w:left="600" w:hanging="600"/>
      </w:pPr>
      <w:r>
        <w:rPr>
          <w:rFonts w:ascii="Arial"/>
          <w:color w:val="000000"/>
          <w:sz w:val="24"/>
        </w:rPr>
        <w:t>Both vegetation communities are listed as Endangered Ecological Communities (</w:t>
      </w:r>
      <w:r>
        <w:rPr>
          <w:rFonts w:ascii="Arial"/>
          <w:b/>
          <w:color w:val="000000"/>
          <w:sz w:val="24"/>
        </w:rPr>
        <w:t>EECs</w:t>
      </w:r>
      <w:r>
        <w:rPr>
          <w:rFonts w:ascii="Arial"/>
          <w:color w:val="000000"/>
          <w:sz w:val="24"/>
        </w:rPr>
        <w:t xml:space="preserve">) pursuant to the </w:t>
      </w:r>
      <w:r>
        <w:rPr>
          <w:rFonts w:ascii="Arial"/>
          <w:i/>
          <w:color w:val="000000"/>
          <w:sz w:val="24"/>
        </w:rPr>
        <w:t>Biodiversity Conservation Act 2016</w:t>
      </w:r>
      <w:r>
        <w:rPr>
          <w:rFonts w:ascii="Arial"/>
          <w:color w:val="000000"/>
          <w:sz w:val="24"/>
        </w:rPr>
        <w:t xml:space="preserve"> </w:t>
      </w:r>
      <w:r>
        <w:rPr>
          <w:rFonts w:ascii="Arial"/>
          <w:color w:val="000000"/>
          <w:sz w:val="24"/>
        </w:rPr>
        <w:t>(</w:t>
      </w:r>
      <w:r>
        <w:rPr>
          <w:rFonts w:ascii="Arial"/>
          <w:b/>
          <w:color w:val="000000"/>
          <w:sz w:val="24"/>
        </w:rPr>
        <w:t>BC</w:t>
      </w:r>
      <w:r>
        <w:rPr>
          <w:rFonts w:ascii="Arial"/>
          <w:color w:val="000000"/>
          <w:sz w:val="24"/>
        </w:rPr>
        <w:t xml:space="preserve"> </w:t>
      </w:r>
      <w:r>
        <w:rPr>
          <w:rFonts w:ascii="Arial"/>
          <w:b/>
          <w:color w:val="000000"/>
          <w:sz w:val="24"/>
        </w:rPr>
        <w:t>Act</w:t>
      </w:r>
      <w:r>
        <w:rPr>
          <w:rFonts w:ascii="Arial"/>
          <w:color w:val="000000"/>
          <w:sz w:val="24"/>
        </w:rPr>
        <w:t xml:space="preserve">). Littoral rainforest is also listed as an EEC pursuant to the </w:t>
      </w:r>
      <w:r>
        <w:rPr>
          <w:rFonts w:ascii="Arial"/>
          <w:i/>
          <w:color w:val="000000"/>
          <w:sz w:val="24"/>
        </w:rPr>
        <w:t>Environment Protection and Biodiversity Conservation Act 1999</w:t>
      </w:r>
      <w:r>
        <w:rPr>
          <w:rFonts w:ascii="Arial"/>
          <w:color w:val="000000"/>
          <w:sz w:val="24"/>
        </w:rPr>
        <w:t xml:space="preserve"> </w:t>
      </w:r>
      <w:r>
        <w:rPr>
          <w:rFonts w:ascii="Arial"/>
          <w:color w:val="000000"/>
          <w:sz w:val="24"/>
        </w:rPr>
        <w:t>(Cth) (</w:t>
      </w:r>
      <w:r>
        <w:rPr>
          <w:rFonts w:ascii="Arial"/>
          <w:b/>
          <w:color w:val="000000"/>
          <w:sz w:val="24"/>
        </w:rPr>
        <w:t>EPBC Act</w:t>
      </w:r>
      <w:r>
        <w:rPr>
          <w:rFonts w:ascii="Arial"/>
          <w:color w:val="000000"/>
          <w:sz w:val="24"/>
        </w:rPr>
        <w:t xml:space="preserve">). </w:t>
      </w:r>
      <w:r>
        <w:rPr>
          <w:rFonts w:ascii="Arial"/>
          <w:color w:val="000000"/>
          <w:sz w:val="24"/>
        </w:rPr>
        <w:t xml:space="preserve">Consultation with the Office of </w:t>
      </w:r>
      <w:r>
        <w:rPr>
          <w:rFonts w:ascii="Arial"/>
          <w:color w:val="000000"/>
          <w:sz w:val="24"/>
        </w:rPr>
        <w:t>W</w:t>
      </w:r>
      <w:r>
        <w:rPr>
          <w:rFonts w:ascii="Arial"/>
          <w:color w:val="000000"/>
          <w:sz w:val="24"/>
        </w:rPr>
        <w:t>ater in relation to DA 2018/51 confirmed there is also a first order creek located within the southern portion running east to west. G</w:t>
      </w:r>
      <w:r>
        <w:rPr>
          <w:rFonts w:ascii="Arial"/>
          <w:color w:val="000000"/>
          <w:sz w:val="24"/>
        </w:rPr>
        <w:t>eneral terms of approval (</w:t>
      </w:r>
      <w:r>
        <w:rPr>
          <w:rFonts w:ascii="Arial"/>
          <w:b/>
          <w:color w:val="000000"/>
          <w:sz w:val="24"/>
        </w:rPr>
        <w:t>G</w:t>
      </w:r>
      <w:r>
        <w:rPr>
          <w:rFonts w:ascii="Arial"/>
          <w:b/>
          <w:color w:val="000000"/>
          <w:sz w:val="24"/>
        </w:rPr>
        <w:t>TA</w:t>
      </w:r>
      <w:r>
        <w:rPr>
          <w:rFonts w:ascii="Arial"/>
          <w:b/>
          <w:color w:val="000000"/>
          <w:sz w:val="24"/>
        </w:rPr>
        <w:t>s</w:t>
      </w:r>
      <w:r>
        <w:rPr>
          <w:rFonts w:ascii="Arial"/>
          <w:color w:val="000000"/>
          <w:sz w:val="24"/>
        </w:rPr>
        <w:t>)</w:t>
      </w:r>
      <w:r>
        <w:rPr>
          <w:rFonts w:ascii="Arial"/>
          <w:color w:val="000000"/>
          <w:sz w:val="24"/>
        </w:rPr>
        <w:t xml:space="preserve"> </w:t>
      </w:r>
      <w:r>
        <w:rPr>
          <w:rFonts w:ascii="Arial"/>
          <w:color w:val="000000"/>
          <w:sz w:val="24"/>
        </w:rPr>
        <w:t>were issued by the Office of Water including the piping of the creek.</w:t>
      </w:r>
    </w:p>
    <w:p>
      <w:pPr>
        <w:pStyle w:val="CaselawNumbered10"/>
        <w:numPr>
          <w:ilvl w:val="0"/>
          <w:numId w:val="25"/>
        </w:numPr>
        <w:spacing w:before="150" w:after="0"/>
        <w:ind w:left="600" w:hanging="600"/>
      </w:pPr>
      <w:r>
        <w:rPr>
          <w:rFonts w:ascii="Arial"/>
          <w:color w:val="000000"/>
          <w:sz w:val="24"/>
        </w:rPr>
        <w:t>T</w:t>
      </w:r>
      <w:r>
        <w:rPr>
          <w:rFonts w:ascii="Arial"/>
          <w:color w:val="000000"/>
          <w:sz w:val="24"/>
        </w:rPr>
        <w:t>he impacts on the EEC</w:t>
      </w:r>
      <w:r>
        <w:rPr>
          <w:rFonts w:ascii="Arial"/>
          <w:color w:val="000000"/>
          <w:sz w:val="24"/>
        </w:rPr>
        <w:t>s</w:t>
      </w:r>
      <w:r>
        <w:rPr>
          <w:rFonts w:ascii="Arial"/>
          <w:color w:val="000000"/>
          <w:sz w:val="24"/>
        </w:rPr>
        <w:t xml:space="preserve"> </w:t>
      </w:r>
      <w:r>
        <w:rPr>
          <w:rFonts w:ascii="Arial"/>
          <w:color w:val="000000"/>
          <w:sz w:val="24"/>
        </w:rPr>
        <w:t>have been assessed and approved under DA 2018/51 subject to the effective implementation of the conditions of consent</w:t>
      </w:r>
      <w:r>
        <w:rPr>
          <w:rFonts w:ascii="Arial"/>
          <w:color w:val="000000"/>
          <w:sz w:val="24"/>
        </w:rPr>
        <w:t xml:space="preserve"> </w:t>
      </w:r>
      <w:r>
        <w:rPr>
          <w:rFonts w:ascii="Arial"/>
          <w:color w:val="000000"/>
          <w:sz w:val="24"/>
        </w:rPr>
        <w:t xml:space="preserve">particularly </w:t>
      </w:r>
      <w:r>
        <w:rPr>
          <w:rFonts w:ascii="Arial"/>
          <w:color w:val="000000"/>
          <w:sz w:val="24"/>
        </w:rPr>
        <w:t>57,</w:t>
      </w:r>
      <w:r>
        <w:rPr>
          <w:rFonts w:ascii="Arial"/>
          <w:color w:val="000000"/>
          <w:sz w:val="24"/>
        </w:rPr>
        <w:t xml:space="preserve"> </w:t>
      </w:r>
      <w:r>
        <w:rPr>
          <w:rFonts w:ascii="Arial"/>
          <w:color w:val="000000"/>
          <w:sz w:val="24"/>
        </w:rPr>
        <w:t>58,</w:t>
      </w:r>
      <w:r>
        <w:rPr>
          <w:rFonts w:ascii="Arial"/>
          <w:color w:val="000000"/>
          <w:sz w:val="24"/>
        </w:rPr>
        <w:t xml:space="preserve"> </w:t>
      </w:r>
      <w:r>
        <w:rPr>
          <w:rFonts w:ascii="Arial"/>
          <w:color w:val="000000"/>
          <w:sz w:val="24"/>
        </w:rPr>
        <w:t>60</w:t>
      </w:r>
      <w:r>
        <w:rPr>
          <w:rFonts w:ascii="Arial"/>
          <w:color w:val="000000"/>
          <w:sz w:val="24"/>
        </w:rPr>
        <w:t xml:space="preserve"> </w:t>
      </w:r>
      <w:r>
        <w:rPr>
          <w:rFonts w:ascii="Arial"/>
          <w:color w:val="000000"/>
          <w:sz w:val="24"/>
        </w:rPr>
        <w:t xml:space="preserve">and 61 under DA 2018/51. </w:t>
      </w:r>
    </w:p>
    <w:p>
      <w:pPr>
        <w:pStyle w:val="CaselawNumbered10"/>
        <w:numPr>
          <w:ilvl w:val="0"/>
          <w:numId w:val="25"/>
        </w:numPr>
        <w:spacing w:before="150" w:after="0"/>
        <w:ind w:left="600" w:hanging="600"/>
      </w:pPr>
      <w:r>
        <w:rPr>
          <w:rFonts w:ascii="Arial"/>
          <w:color w:val="000000"/>
          <w:sz w:val="24"/>
        </w:rPr>
        <w:t xml:space="preserve">The </w:t>
      </w:r>
      <w:r>
        <w:rPr>
          <w:rFonts w:ascii="Arial"/>
          <w:color w:val="000000"/>
          <w:sz w:val="24"/>
        </w:rPr>
        <w:t xml:space="preserve">conditions </w:t>
      </w:r>
      <w:r>
        <w:rPr>
          <w:rFonts w:ascii="Arial"/>
          <w:color w:val="000000"/>
          <w:sz w:val="24"/>
        </w:rPr>
        <w:t xml:space="preserve">also </w:t>
      </w:r>
      <w:r>
        <w:rPr>
          <w:rFonts w:ascii="Arial"/>
          <w:color w:val="000000"/>
          <w:sz w:val="24"/>
        </w:rPr>
        <w:t>refer to</w:t>
      </w:r>
      <w:r>
        <w:rPr>
          <w:rFonts w:ascii="Arial"/>
          <w:color w:val="000000"/>
          <w:sz w:val="24"/>
        </w:rPr>
        <w:t xml:space="preserve"> </w:t>
      </w:r>
      <w:r>
        <w:rPr>
          <w:rFonts w:ascii="Arial"/>
          <w:color w:val="000000"/>
          <w:sz w:val="24"/>
        </w:rPr>
        <w:t xml:space="preserve">the </w:t>
      </w:r>
      <w:r>
        <w:rPr>
          <w:rFonts w:ascii="Arial"/>
          <w:color w:val="000000"/>
          <w:sz w:val="24"/>
        </w:rPr>
        <w:t>obtain</w:t>
      </w:r>
      <w:r>
        <w:rPr>
          <w:rFonts w:ascii="Arial"/>
          <w:color w:val="000000"/>
          <w:sz w:val="24"/>
        </w:rPr>
        <w:t>ing of</w:t>
      </w:r>
      <w:r>
        <w:rPr>
          <w:rFonts w:ascii="Arial"/>
          <w:color w:val="000000"/>
          <w:sz w:val="24"/>
        </w:rPr>
        <w:t xml:space="preserve"> </w:t>
      </w:r>
      <w:r>
        <w:rPr>
          <w:rFonts w:ascii="Arial"/>
          <w:color w:val="000000"/>
          <w:sz w:val="24"/>
        </w:rPr>
        <w:t xml:space="preserve">approval </w:t>
      </w:r>
      <w:r>
        <w:rPr>
          <w:rFonts w:ascii="Arial"/>
          <w:color w:val="000000"/>
          <w:sz w:val="24"/>
        </w:rPr>
        <w:t xml:space="preserve">under </w:t>
      </w:r>
      <w:r>
        <w:rPr>
          <w:rFonts w:ascii="Arial"/>
          <w:color w:val="000000"/>
          <w:sz w:val="24"/>
        </w:rPr>
        <w:t>s</w:t>
      </w:r>
      <w:r>
        <w:rPr>
          <w:rFonts w:ascii="Arial"/>
          <w:color w:val="000000"/>
          <w:sz w:val="24"/>
        </w:rPr>
        <w:t xml:space="preserve"> </w:t>
      </w:r>
      <w:r>
        <w:rPr>
          <w:rFonts w:ascii="Arial"/>
          <w:color w:val="000000"/>
          <w:sz w:val="24"/>
        </w:rPr>
        <w:t xml:space="preserve">68 of the </w:t>
      </w:r>
      <w:r>
        <w:rPr>
          <w:rFonts w:ascii="Arial"/>
          <w:i/>
          <w:color w:val="000000"/>
          <w:sz w:val="24"/>
        </w:rPr>
        <w:t>Local Government Act 1993</w:t>
      </w:r>
      <w:r>
        <w:rPr>
          <w:rFonts w:ascii="Arial"/>
          <w:color w:val="000000"/>
          <w:sz w:val="24"/>
        </w:rPr>
        <w:t xml:space="preserve"> </w:t>
      </w:r>
      <w:r>
        <w:rPr>
          <w:rFonts w:ascii="Arial"/>
          <w:color w:val="000000"/>
          <w:sz w:val="24"/>
        </w:rPr>
        <w:t>(</w:t>
      </w:r>
      <w:r>
        <w:rPr>
          <w:rFonts w:ascii="Arial"/>
          <w:b/>
          <w:color w:val="000000"/>
          <w:sz w:val="24"/>
        </w:rPr>
        <w:t>LG</w:t>
      </w:r>
      <w:r>
        <w:rPr>
          <w:rFonts w:ascii="Arial"/>
          <w:b/>
          <w:color w:val="000000"/>
          <w:sz w:val="24"/>
        </w:rPr>
        <w:t xml:space="preserve"> </w:t>
      </w:r>
      <w:r>
        <w:rPr>
          <w:rFonts w:ascii="Arial"/>
          <w:b/>
          <w:color w:val="000000"/>
          <w:sz w:val="24"/>
        </w:rPr>
        <w:t>A</w:t>
      </w:r>
      <w:r>
        <w:rPr>
          <w:rFonts w:ascii="Arial"/>
          <w:b/>
          <w:color w:val="000000"/>
          <w:sz w:val="24"/>
        </w:rPr>
        <w:t>ct</w:t>
      </w:r>
      <w:r>
        <w:rPr>
          <w:rFonts w:ascii="Arial"/>
          <w:color w:val="000000"/>
          <w:sz w:val="24"/>
        </w:rPr>
        <w:t xml:space="preserve">) </w:t>
      </w:r>
      <w:r>
        <w:rPr>
          <w:rFonts w:ascii="Arial"/>
          <w:color w:val="000000"/>
          <w:sz w:val="24"/>
        </w:rPr>
        <w:t>for</w:t>
      </w:r>
      <w:r>
        <w:rPr>
          <w:rFonts w:ascii="Arial"/>
          <w:color w:val="000000"/>
          <w:sz w:val="24"/>
        </w:rPr>
        <w:t xml:space="preserve"> </w:t>
      </w:r>
      <w:r>
        <w:rPr>
          <w:rFonts w:ascii="Arial"/>
          <w:color w:val="000000"/>
          <w:sz w:val="24"/>
        </w:rPr>
        <w:t>drainage</w:t>
      </w:r>
      <w:r>
        <w:rPr>
          <w:rFonts w:ascii="Arial"/>
          <w:color w:val="000000"/>
          <w:sz w:val="24"/>
        </w:rPr>
        <w:t xml:space="preserve">, </w:t>
      </w:r>
      <w:r>
        <w:rPr>
          <w:rFonts w:ascii="Arial"/>
          <w:color w:val="000000"/>
          <w:sz w:val="24"/>
        </w:rPr>
        <w:t xml:space="preserve">sewerage and </w:t>
      </w:r>
      <w:r>
        <w:rPr>
          <w:rFonts w:ascii="Arial"/>
          <w:color w:val="000000"/>
          <w:sz w:val="24"/>
        </w:rPr>
        <w:t xml:space="preserve">essential infrastructure </w:t>
      </w:r>
      <w:r>
        <w:rPr>
          <w:rFonts w:ascii="Arial"/>
          <w:color w:val="000000"/>
          <w:sz w:val="24"/>
        </w:rPr>
        <w:t xml:space="preserve">works </w:t>
      </w:r>
      <w:r>
        <w:rPr>
          <w:rFonts w:ascii="Arial"/>
          <w:color w:val="000000"/>
          <w:sz w:val="24"/>
        </w:rPr>
        <w:t>prior to</w:t>
      </w:r>
      <w:r>
        <w:rPr>
          <w:rFonts w:ascii="Arial"/>
          <w:color w:val="000000"/>
          <w:sz w:val="24"/>
        </w:rPr>
        <w:t>,</w:t>
      </w:r>
      <w:r>
        <w:rPr>
          <w:rFonts w:ascii="Arial"/>
          <w:color w:val="000000"/>
          <w:sz w:val="24"/>
        </w:rPr>
        <w:t xml:space="preserve"> </w:t>
      </w:r>
      <w:r>
        <w:rPr>
          <w:rFonts w:ascii="Arial"/>
          <w:color w:val="000000"/>
          <w:sz w:val="24"/>
        </w:rPr>
        <w:t>or concurrently with</w:t>
      </w:r>
      <w:r>
        <w:rPr>
          <w:rFonts w:ascii="Arial"/>
          <w:color w:val="000000"/>
          <w:sz w:val="24"/>
        </w:rPr>
        <w:t>,</w:t>
      </w:r>
      <w:r>
        <w:rPr>
          <w:rFonts w:ascii="Arial"/>
          <w:color w:val="000000"/>
          <w:sz w:val="24"/>
        </w:rPr>
        <w:t xml:space="preserve"> </w:t>
      </w:r>
      <w:r>
        <w:rPr>
          <w:rFonts w:ascii="Arial"/>
          <w:color w:val="000000"/>
          <w:sz w:val="24"/>
        </w:rPr>
        <w:t xml:space="preserve">the development of the site. There </w:t>
      </w:r>
      <w:r>
        <w:rPr>
          <w:rFonts w:ascii="Arial"/>
          <w:color w:val="000000"/>
          <w:sz w:val="24"/>
        </w:rPr>
        <w:t xml:space="preserve">is </w:t>
      </w:r>
      <w:r>
        <w:rPr>
          <w:rFonts w:ascii="Arial"/>
          <w:color w:val="000000"/>
          <w:sz w:val="24"/>
        </w:rPr>
        <w:t>also a</w:t>
      </w:r>
      <w:r>
        <w:rPr>
          <w:rFonts w:ascii="Arial"/>
          <w:color w:val="000000"/>
          <w:sz w:val="24"/>
        </w:rPr>
        <w:t xml:space="preserve"> </w:t>
      </w:r>
      <w:r>
        <w:rPr>
          <w:rFonts w:ascii="Arial"/>
          <w:color w:val="000000"/>
          <w:sz w:val="24"/>
        </w:rPr>
        <w:t xml:space="preserve">reference in the conditions </w:t>
      </w:r>
      <w:r>
        <w:rPr>
          <w:rFonts w:ascii="Arial"/>
          <w:color w:val="000000"/>
          <w:sz w:val="24"/>
        </w:rPr>
        <w:t xml:space="preserve">for approval </w:t>
      </w:r>
      <w:r>
        <w:rPr>
          <w:rFonts w:ascii="Arial"/>
          <w:color w:val="000000"/>
          <w:sz w:val="24"/>
        </w:rPr>
        <w:t xml:space="preserve">for any works </w:t>
      </w:r>
      <w:r>
        <w:rPr>
          <w:rFonts w:ascii="Arial"/>
          <w:color w:val="000000"/>
          <w:sz w:val="24"/>
        </w:rPr>
        <w:t>under s</w:t>
      </w:r>
      <w:r>
        <w:rPr>
          <w:rFonts w:ascii="Arial"/>
          <w:color w:val="000000"/>
          <w:sz w:val="24"/>
        </w:rPr>
        <w:t> </w:t>
      </w:r>
      <w:r>
        <w:rPr>
          <w:rFonts w:ascii="Arial"/>
          <w:color w:val="000000"/>
          <w:sz w:val="24"/>
        </w:rPr>
        <w:t xml:space="preserve">138 of the </w:t>
      </w:r>
      <w:r>
        <w:rPr>
          <w:rFonts w:ascii="Arial"/>
          <w:i/>
          <w:color w:val="000000"/>
          <w:sz w:val="24"/>
        </w:rPr>
        <w:t>Roads Act</w:t>
      </w:r>
      <w:r>
        <w:rPr>
          <w:rFonts w:ascii="Arial"/>
          <w:i/>
          <w:color w:val="000000"/>
          <w:sz w:val="24"/>
        </w:rPr>
        <w:t xml:space="preserve"> </w:t>
      </w:r>
      <w:r>
        <w:rPr>
          <w:rFonts w:ascii="Arial"/>
          <w:i/>
          <w:color w:val="000000"/>
          <w:sz w:val="24"/>
        </w:rPr>
        <w:t>1993</w:t>
      </w:r>
      <w:r>
        <w:rPr>
          <w:rFonts w:ascii="Arial"/>
          <w:color w:val="000000"/>
          <w:sz w:val="24"/>
        </w:rPr>
        <w:t xml:space="preserve"> </w:t>
      </w:r>
      <w:r>
        <w:rPr>
          <w:rFonts w:ascii="Arial"/>
          <w:color w:val="000000"/>
          <w:sz w:val="24"/>
        </w:rPr>
        <w:t>(</w:t>
      </w:r>
      <w:r>
        <w:rPr>
          <w:rFonts w:ascii="Arial"/>
          <w:b/>
          <w:color w:val="000000"/>
          <w:sz w:val="24"/>
        </w:rPr>
        <w:t>Roads Act</w:t>
      </w:r>
      <w:r>
        <w:rPr>
          <w:rFonts w:ascii="Arial"/>
          <w:color w:val="000000"/>
          <w:sz w:val="24"/>
        </w:rPr>
        <w:t>)</w:t>
      </w:r>
      <w:r>
        <w:rPr>
          <w:rFonts w:ascii="Arial"/>
          <w:color w:val="000000"/>
          <w:sz w:val="24"/>
        </w:rPr>
        <w:t xml:space="preserve">. </w:t>
      </w:r>
    </w:p>
    <w:p>
      <w:pPr>
        <w:pStyle w:val="CaselawNumbered10"/>
        <w:numPr>
          <w:ilvl w:val="0"/>
          <w:numId w:val="25"/>
        </w:numPr>
        <w:spacing w:before="150" w:after="0"/>
        <w:ind w:left="600" w:hanging="600"/>
      </w:pPr>
      <w:r>
        <w:rPr>
          <w:rFonts w:ascii="Arial"/>
          <w:color w:val="000000"/>
          <w:sz w:val="24"/>
        </w:rPr>
        <w:t xml:space="preserve">This judgment </w:t>
      </w:r>
      <w:r>
        <w:rPr>
          <w:rFonts w:ascii="Arial"/>
          <w:color w:val="000000"/>
          <w:sz w:val="24"/>
        </w:rPr>
        <w:t>arises following the Council</w:t>
      </w:r>
      <w:r>
        <w:rPr>
          <w:rFonts w:ascii="Arial"/>
          <w:color w:val="000000"/>
          <w:sz w:val="24"/>
        </w:rPr>
        <w:t>’</w:t>
      </w:r>
      <w:r>
        <w:rPr>
          <w:rFonts w:ascii="Arial"/>
          <w:color w:val="000000"/>
          <w:sz w:val="24"/>
        </w:rPr>
        <w:t>s refusal or deemed refusal of the 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application</w:t>
      </w:r>
      <w:r>
        <w:rPr>
          <w:rFonts w:ascii="Arial"/>
          <w:color w:val="000000"/>
          <w:sz w:val="24"/>
        </w:rPr>
        <w:t>s</w:t>
      </w:r>
      <w:r>
        <w:rPr>
          <w:rFonts w:ascii="Arial"/>
          <w:color w:val="000000"/>
          <w:sz w:val="24"/>
        </w:rPr>
        <w:t xml:space="preserve"> </w:t>
      </w:r>
      <w:r>
        <w:rPr>
          <w:rFonts w:ascii="Arial"/>
          <w:color w:val="000000"/>
          <w:sz w:val="24"/>
        </w:rPr>
        <w:t>under s</w:t>
      </w:r>
      <w:r>
        <w:rPr>
          <w:rFonts w:ascii="Arial"/>
          <w:color w:val="000000"/>
          <w:sz w:val="24"/>
        </w:rPr>
        <w:t xml:space="preserve"> </w:t>
      </w:r>
      <w:r>
        <w:rPr>
          <w:rFonts w:ascii="Arial"/>
          <w:color w:val="000000"/>
          <w:sz w:val="24"/>
        </w:rPr>
        <w:t>68 of the LG</w:t>
      </w:r>
      <w:r>
        <w:rPr>
          <w:rFonts w:ascii="Arial"/>
          <w:color w:val="000000"/>
          <w:sz w:val="24"/>
        </w:rPr>
        <w:t xml:space="preserve"> </w:t>
      </w:r>
      <w:r>
        <w:rPr>
          <w:rFonts w:ascii="Arial"/>
          <w:color w:val="000000"/>
          <w:sz w:val="24"/>
        </w:rPr>
        <w:t>A</w:t>
      </w:r>
      <w:r>
        <w:rPr>
          <w:rFonts w:ascii="Arial"/>
          <w:color w:val="000000"/>
          <w:sz w:val="24"/>
        </w:rPr>
        <w:t>ct</w:t>
      </w:r>
      <w:r>
        <w:rPr>
          <w:rFonts w:ascii="Arial"/>
          <w:color w:val="000000"/>
          <w:sz w:val="24"/>
        </w:rPr>
        <w:t xml:space="preserve"> </w:t>
      </w:r>
      <w:r>
        <w:rPr>
          <w:rFonts w:ascii="Arial"/>
          <w:color w:val="000000"/>
          <w:sz w:val="24"/>
        </w:rPr>
        <w:t>and s</w:t>
      </w:r>
      <w:r>
        <w:rPr>
          <w:rFonts w:ascii="Arial"/>
          <w:color w:val="000000"/>
          <w:sz w:val="24"/>
        </w:rPr>
        <w:t xml:space="preserve"> </w:t>
      </w:r>
      <w:r>
        <w:rPr>
          <w:rFonts w:ascii="Arial"/>
          <w:color w:val="000000"/>
          <w:sz w:val="24"/>
        </w:rPr>
        <w:t xml:space="preserve">138 of the Roads Act. It concerns the following Class 2 appeals: </w:t>
      </w:r>
    </w:p>
    <w:p>
      <w:pPr>
        <w:pStyle w:val="CaselawNumbered1"/>
        <w:numPr>
          <w:ilvl w:val="0"/>
          <w:numId w:val="26"/>
        </w:numPr>
        <w:spacing w:before="150" w:after="0"/>
        <w:ind w:left="1350" w:hanging="750"/>
      </w:pPr>
      <w:r>
        <w:rPr>
          <w:rFonts w:ascii="Arial"/>
          <w:b/>
          <w:color w:val="000000"/>
          <w:sz w:val="24"/>
        </w:rPr>
        <w:t xml:space="preserve">Proceedings </w:t>
      </w:r>
      <w:r>
        <w:rPr>
          <w:rFonts w:ascii="Arial"/>
          <w:b/>
          <w:color w:val="000000"/>
          <w:sz w:val="24"/>
        </w:rPr>
        <w:t>no</w:t>
      </w:r>
      <w:r>
        <w:rPr>
          <w:rFonts w:ascii="Arial"/>
          <w:b/>
          <w:color w:val="000000"/>
          <w:sz w:val="24"/>
        </w:rPr>
        <w:t>.</w:t>
      </w:r>
      <w:r>
        <w:rPr>
          <w:rFonts w:ascii="Arial"/>
          <w:b/>
          <w:color w:val="000000"/>
          <w:sz w:val="24"/>
        </w:rPr>
        <w:t xml:space="preserve"> 2022/187078</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 xml:space="preserve">an appeal under s 176 (by virtue of s 105) of </w:t>
      </w:r>
      <w:r>
        <w:rPr>
          <w:rFonts w:ascii="Arial"/>
          <w:color w:val="000000"/>
          <w:sz w:val="24"/>
        </w:rPr>
        <w:t xml:space="preserve">the </w:t>
      </w:r>
      <w:r>
        <w:rPr>
          <w:rFonts w:ascii="Arial"/>
          <w:color w:val="000000"/>
          <w:sz w:val="24"/>
        </w:rPr>
        <w:t>LG Act</w:t>
      </w:r>
      <w:r>
        <w:rPr>
          <w:rFonts w:ascii="Arial"/>
          <w:color w:val="000000"/>
          <w:sz w:val="24"/>
        </w:rPr>
        <w:t>,</w:t>
      </w:r>
      <w:r>
        <w:rPr>
          <w:rFonts w:ascii="Arial"/>
          <w:color w:val="000000"/>
          <w:sz w:val="24"/>
        </w:rPr>
        <w:t xml:space="preserve"> </w:t>
      </w:r>
      <w:r>
        <w:rPr>
          <w:rFonts w:ascii="Arial"/>
          <w:color w:val="000000"/>
          <w:sz w:val="24"/>
        </w:rPr>
        <w:t xml:space="preserve">from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deemed refusal of </w:t>
      </w:r>
      <w:r>
        <w:rPr>
          <w:rFonts w:ascii="Arial"/>
          <w:color w:val="000000"/>
          <w:sz w:val="24"/>
        </w:rPr>
        <w:t>the applicant</w:t>
      </w:r>
      <w:r>
        <w:rPr>
          <w:rFonts w:ascii="Arial"/>
          <w:color w:val="000000"/>
          <w:sz w:val="24"/>
        </w:rPr>
        <w:t>’</w:t>
      </w:r>
      <w:r>
        <w:rPr>
          <w:rFonts w:ascii="Arial"/>
          <w:color w:val="000000"/>
          <w:sz w:val="24"/>
        </w:rPr>
        <w:t>s application under s 68 of the LG Act seeking approval for stormwater, sewer and water infrastructure within Super</w:t>
      </w:r>
      <w:r>
        <w:rPr>
          <w:rFonts w:ascii="Arial"/>
          <w:color w:val="000000"/>
          <w:sz w:val="24"/>
        </w:rPr>
        <w:t xml:space="preserve"> </w:t>
      </w:r>
      <w:r>
        <w:rPr>
          <w:rFonts w:ascii="Arial"/>
          <w:color w:val="000000"/>
          <w:sz w:val="24"/>
        </w:rPr>
        <w:t>L</w:t>
      </w:r>
      <w:r>
        <w:rPr>
          <w:rFonts w:ascii="Arial"/>
          <w:color w:val="000000"/>
          <w:sz w:val="24"/>
        </w:rPr>
        <w:t>ot 102 approved on 21 December 2020 under development consent</w:t>
      </w:r>
      <w:r>
        <w:rPr>
          <w:rFonts w:ascii="Arial"/>
          <w:color w:val="000000"/>
          <w:sz w:val="24"/>
        </w:rPr>
        <w:t xml:space="preserve"> </w:t>
      </w:r>
      <w:r>
        <w:rPr>
          <w:rFonts w:ascii="Arial"/>
          <w:color w:val="000000"/>
          <w:sz w:val="24"/>
        </w:rPr>
        <w:t>no.</w:t>
      </w:r>
      <w:r>
        <w:rPr>
          <w:rFonts w:ascii="Arial"/>
          <w:color w:val="000000"/>
          <w:sz w:val="24"/>
        </w:rPr>
        <w:t xml:space="preserve"> </w:t>
      </w:r>
      <w:r>
        <w:rPr>
          <w:rFonts w:ascii="Arial"/>
          <w:color w:val="000000"/>
          <w:sz w:val="24"/>
        </w:rPr>
        <w:t>DA</w:t>
      </w:r>
      <w:r>
        <w:rPr>
          <w:rFonts w:ascii="Arial"/>
          <w:color w:val="000000"/>
          <w:sz w:val="24"/>
        </w:rPr>
        <w:t xml:space="preserve"> </w:t>
      </w:r>
      <w:r>
        <w:rPr>
          <w:rFonts w:ascii="Arial"/>
          <w:color w:val="000000"/>
          <w:sz w:val="24"/>
        </w:rPr>
        <w:t xml:space="preserve">2020/284 within existing Lot 1 </w:t>
      </w:r>
      <w:r>
        <w:rPr>
          <w:rFonts w:ascii="Arial"/>
          <w:color w:val="000000"/>
          <w:sz w:val="24"/>
        </w:rPr>
        <w:t xml:space="preserve">in </w:t>
      </w:r>
      <w:r>
        <w:rPr>
          <w:rFonts w:ascii="Arial"/>
          <w:color w:val="000000"/>
          <w:sz w:val="24"/>
        </w:rPr>
        <w:t>DP 517111, being part of the property known as 20 North Creek Road, Lennox Head;</w:t>
      </w:r>
      <w:r>
        <w:rPr>
          <w:rFonts w:ascii="Arial"/>
          <w:color w:val="000000"/>
          <w:sz w:val="24"/>
        </w:rPr>
        <w:t xml:space="preserve"> </w:t>
      </w:r>
      <w:r>
        <w:rPr>
          <w:rFonts w:ascii="Arial"/>
          <w:color w:val="000000"/>
          <w:sz w:val="24"/>
        </w:rPr>
        <w:t xml:space="preserve">(relating to the </w:t>
      </w:r>
      <w:r>
        <w:rPr>
          <w:rFonts w:ascii="Arial"/>
          <w:color w:val="000000"/>
          <w:sz w:val="24"/>
        </w:rPr>
        <w:t>17</w:t>
      </w:r>
      <w:r>
        <w:rPr>
          <w:rFonts w:ascii="Arial"/>
          <w:color w:val="000000"/>
          <w:sz w:val="24"/>
        </w:rPr>
        <w:t>-</w:t>
      </w:r>
      <w:r>
        <w:rPr>
          <w:rFonts w:ascii="Arial"/>
          <w:color w:val="000000"/>
          <w:sz w:val="24"/>
        </w:rPr>
        <w:t>lot consent</w:t>
      </w:r>
      <w:r>
        <w:rPr>
          <w:rFonts w:ascii="Arial"/>
          <w:color w:val="000000"/>
          <w:sz w:val="24"/>
        </w:rPr>
        <w:t>)</w:t>
      </w:r>
    </w:p>
    <w:p>
      <w:pPr>
        <w:pStyle w:val="CaselawNumbered1"/>
        <w:numPr>
          <w:ilvl w:val="0"/>
          <w:numId w:val="26"/>
        </w:numPr>
        <w:spacing w:before="150" w:after="0"/>
        <w:ind w:left="1350" w:hanging="750"/>
      </w:pPr>
      <w:r>
        <w:rPr>
          <w:rFonts w:ascii="Arial"/>
          <w:b/>
          <w:color w:val="000000"/>
          <w:sz w:val="24"/>
        </w:rPr>
        <w:t xml:space="preserve">Proceedings </w:t>
      </w:r>
      <w:r>
        <w:rPr>
          <w:rFonts w:ascii="Arial"/>
          <w:b/>
          <w:color w:val="000000"/>
          <w:sz w:val="24"/>
        </w:rPr>
        <w:t>no</w:t>
      </w:r>
      <w:r>
        <w:rPr>
          <w:rFonts w:ascii="Arial"/>
          <w:b/>
          <w:color w:val="000000"/>
          <w:sz w:val="24"/>
        </w:rPr>
        <w:t>.</w:t>
      </w:r>
      <w:r>
        <w:rPr>
          <w:rFonts w:ascii="Arial"/>
          <w:b/>
          <w:color w:val="000000"/>
          <w:sz w:val="24"/>
        </w:rPr>
        <w:t xml:space="preserve"> 2022/215110</w:t>
      </w:r>
      <w:r>
        <w:rPr>
          <w:rFonts w:ascii="Arial"/>
          <w:color w:val="000000"/>
          <w:sz w:val="24"/>
        </w:rPr>
        <w:t xml:space="preserve"> </w:t>
      </w:r>
      <w:r>
        <w:rPr>
          <w:rFonts w:ascii="Arial"/>
          <w:color w:val="000000"/>
          <w:sz w:val="24"/>
        </w:rPr>
        <w:t xml:space="preserve">is </w:t>
      </w:r>
      <w:r>
        <w:rPr>
          <w:rFonts w:ascii="Arial"/>
          <w:color w:val="000000"/>
          <w:sz w:val="24"/>
        </w:rPr>
        <w:t xml:space="preserve">an appeal under s 176 (by virtue of s 105) of the LG Act from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deemed refusal of the </w:t>
      </w:r>
      <w:r>
        <w:rPr>
          <w:rFonts w:ascii="Arial"/>
          <w:color w:val="000000"/>
          <w:sz w:val="24"/>
        </w:rPr>
        <w:t>applicant</w:t>
      </w:r>
      <w:r>
        <w:rPr>
          <w:rFonts w:ascii="Arial"/>
          <w:color w:val="000000"/>
          <w:sz w:val="24"/>
        </w:rPr>
        <w:t>’</w:t>
      </w:r>
      <w:r>
        <w:rPr>
          <w:rFonts w:ascii="Arial"/>
          <w:color w:val="000000"/>
          <w:sz w:val="24"/>
        </w:rPr>
        <w:t xml:space="preserve">s </w:t>
      </w:r>
      <w:r>
        <w:rPr>
          <w:rFonts w:ascii="Arial"/>
          <w:color w:val="000000"/>
          <w:sz w:val="24"/>
        </w:rPr>
        <w:t xml:space="preserve">application under s 68 of the LG Act, and purportedly from a s138 application under the </w:t>
      </w:r>
      <w:r>
        <w:rPr>
          <w:rFonts w:ascii="Arial"/>
          <w:color w:val="000000"/>
          <w:sz w:val="24"/>
        </w:rPr>
        <w:t>Roads Act</w:t>
      </w:r>
      <w:r>
        <w:rPr>
          <w:rFonts w:ascii="Arial"/>
          <w:color w:val="000000"/>
          <w:sz w:val="24"/>
        </w:rPr>
        <w:t>,</w:t>
      </w:r>
      <w:r>
        <w:rPr>
          <w:rFonts w:ascii="Arial"/>
          <w:color w:val="000000"/>
          <w:sz w:val="24"/>
        </w:rPr>
        <w:t xml:space="preserve"> </w:t>
      </w:r>
      <w:r>
        <w:rPr>
          <w:rFonts w:ascii="Arial"/>
          <w:color w:val="000000"/>
          <w:sz w:val="24"/>
        </w:rPr>
        <w:t xml:space="preserve">seeking approval for stormwater, sewer, water and road infrastructure within or near existing Lot 1 </w:t>
      </w:r>
      <w:r>
        <w:rPr>
          <w:rFonts w:ascii="Arial"/>
          <w:color w:val="000000"/>
          <w:sz w:val="24"/>
        </w:rPr>
        <w:t xml:space="preserve">in </w:t>
      </w:r>
      <w:r>
        <w:rPr>
          <w:rFonts w:ascii="Arial"/>
          <w:color w:val="000000"/>
          <w:sz w:val="24"/>
        </w:rPr>
        <w:t>DP 517111, which was created following the grant of development consent</w:t>
      </w:r>
      <w:r>
        <w:rPr>
          <w:rFonts w:ascii="Arial"/>
          <w:color w:val="000000"/>
          <w:sz w:val="24"/>
        </w:rPr>
        <w:t xml:space="preserve"> </w:t>
      </w:r>
      <w:r>
        <w:rPr>
          <w:rFonts w:ascii="Arial"/>
          <w:color w:val="000000"/>
          <w:sz w:val="24"/>
        </w:rPr>
        <w:t>no.</w:t>
      </w:r>
      <w:r>
        <w:rPr>
          <w:rFonts w:ascii="Arial"/>
          <w:color w:val="000000"/>
          <w:sz w:val="24"/>
        </w:rPr>
        <w:t xml:space="preserve"> </w:t>
      </w:r>
      <w:r>
        <w:rPr>
          <w:rFonts w:ascii="Arial"/>
          <w:color w:val="000000"/>
          <w:sz w:val="24"/>
        </w:rPr>
        <w:t>DA</w:t>
      </w:r>
      <w:r>
        <w:rPr>
          <w:rFonts w:ascii="Arial"/>
          <w:color w:val="000000"/>
          <w:sz w:val="24"/>
        </w:rPr>
        <w:t xml:space="preserve"> </w:t>
      </w:r>
      <w:r>
        <w:rPr>
          <w:rFonts w:ascii="Arial"/>
          <w:color w:val="000000"/>
          <w:sz w:val="24"/>
        </w:rPr>
        <w:t xml:space="preserve">2018/51 by </w:t>
      </w:r>
      <w:r>
        <w:rPr>
          <w:rFonts w:ascii="Arial"/>
          <w:color w:val="000000"/>
          <w:sz w:val="24"/>
        </w:rPr>
        <w:t xml:space="preserve">the </w:t>
      </w:r>
      <w:r>
        <w:rPr>
          <w:rFonts w:ascii="Arial"/>
          <w:color w:val="000000"/>
          <w:sz w:val="24"/>
        </w:rPr>
        <w:t>Council on 27 August 2020;</w:t>
      </w:r>
      <w:r>
        <w:rPr>
          <w:rFonts w:ascii="Arial"/>
          <w:color w:val="000000"/>
          <w:sz w:val="24"/>
        </w:rPr>
        <w:t xml:space="preserve"> </w:t>
      </w:r>
      <w:r>
        <w:rPr>
          <w:rFonts w:ascii="Arial"/>
          <w:color w:val="000000"/>
          <w:sz w:val="24"/>
        </w:rPr>
        <w:t xml:space="preserve">(relating to the </w:t>
      </w:r>
      <w:r>
        <w:rPr>
          <w:rFonts w:ascii="Arial"/>
          <w:color w:val="000000"/>
          <w:sz w:val="24"/>
        </w:rPr>
        <w:t>99</w:t>
      </w:r>
      <w:r>
        <w:rPr>
          <w:rFonts w:ascii="Arial"/>
          <w:color w:val="000000"/>
          <w:sz w:val="24"/>
        </w:rPr>
        <w:t>-l</w:t>
      </w:r>
      <w:r>
        <w:rPr>
          <w:rFonts w:ascii="Arial"/>
          <w:color w:val="000000"/>
          <w:sz w:val="24"/>
        </w:rPr>
        <w:t>ot consent</w:t>
      </w:r>
      <w:r>
        <w:rPr>
          <w:rFonts w:ascii="Arial"/>
          <w:color w:val="000000"/>
          <w:sz w:val="24"/>
        </w:rPr>
        <w:t>)</w:t>
      </w:r>
    </w:p>
    <w:p>
      <w:pPr>
        <w:pStyle w:val="CaselawNumbered10"/>
        <w:numPr>
          <w:ilvl w:val="0"/>
          <w:numId w:val="27"/>
        </w:numPr>
        <w:spacing w:before="150" w:after="0"/>
        <w:ind w:left="600" w:hanging="600"/>
      </w:pPr>
      <w:r>
        <w:rPr>
          <w:rFonts w:ascii="Arial"/>
          <w:color w:val="000000"/>
          <w:sz w:val="24"/>
        </w:rPr>
        <w:t xml:space="preserve">A </w:t>
      </w:r>
      <w:r>
        <w:rPr>
          <w:rFonts w:ascii="Arial"/>
          <w:color w:val="000000"/>
          <w:sz w:val="24"/>
        </w:rPr>
        <w:t xml:space="preserve">third </w:t>
      </w:r>
      <w:r>
        <w:rPr>
          <w:rFonts w:ascii="Arial"/>
          <w:color w:val="000000"/>
          <w:sz w:val="24"/>
        </w:rPr>
        <w:t xml:space="preserve">appeal </w:t>
      </w:r>
      <w:r>
        <w:rPr>
          <w:rFonts w:ascii="Arial"/>
          <w:color w:val="000000"/>
          <w:sz w:val="24"/>
        </w:rPr>
        <w:t>(</w:t>
      </w:r>
      <w:r>
        <w:rPr>
          <w:rFonts w:ascii="Arial"/>
          <w:b/>
          <w:color w:val="000000"/>
          <w:sz w:val="24"/>
        </w:rPr>
        <w:t>proceedings</w:t>
      </w:r>
      <w:r>
        <w:rPr>
          <w:rFonts w:ascii="Arial"/>
          <w:b/>
          <w:color w:val="000000"/>
          <w:sz w:val="24"/>
        </w:rPr>
        <w:t xml:space="preserve"> </w:t>
      </w:r>
      <w:r>
        <w:rPr>
          <w:rFonts w:ascii="Arial"/>
          <w:b/>
          <w:color w:val="000000"/>
          <w:sz w:val="24"/>
        </w:rPr>
        <w:t>no.</w:t>
      </w:r>
      <w:r>
        <w:rPr>
          <w:rFonts w:ascii="Arial"/>
          <w:color w:val="000000"/>
          <w:sz w:val="24"/>
        </w:rPr>
        <w:t xml:space="preserve"> </w:t>
      </w:r>
      <w:r>
        <w:rPr>
          <w:rFonts w:ascii="Arial"/>
          <w:b/>
          <w:color w:val="000000"/>
          <w:sz w:val="24"/>
        </w:rPr>
        <w:t>2022/215090</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made </w:t>
      </w:r>
      <w:r>
        <w:rPr>
          <w:rFonts w:ascii="Arial"/>
          <w:color w:val="000000"/>
          <w:sz w:val="24"/>
        </w:rPr>
        <w:t>under s 8.7 (by virtue of s</w:t>
      </w:r>
      <w:r>
        <w:rPr>
          <w:rFonts w:ascii="Arial"/>
          <w:color w:val="000000"/>
          <w:sz w:val="24"/>
        </w:rPr>
        <w:t> </w:t>
      </w:r>
      <w:r>
        <w:rPr>
          <w:rFonts w:ascii="Arial"/>
          <w:color w:val="000000"/>
          <w:sz w:val="24"/>
        </w:rPr>
        <w:t xml:space="preserve">8.11)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w:t>
      </w:r>
      <w:r>
        <w:rPr>
          <w:rFonts w:ascii="Arial"/>
          <w:b/>
          <w:color w:val="000000"/>
          <w:sz w:val="24"/>
        </w:rPr>
        <w:t>EPA Act</w:t>
      </w:r>
      <w:r>
        <w:rPr>
          <w:rFonts w:ascii="Arial"/>
          <w:color w:val="000000"/>
          <w:sz w:val="24"/>
        </w:rPr>
        <w:t xml:space="preserve">) from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deemed refusal of a development application in respect of Lot 1 </w:t>
      </w:r>
      <w:r>
        <w:rPr>
          <w:rFonts w:ascii="Arial"/>
          <w:color w:val="000000"/>
          <w:sz w:val="24"/>
        </w:rPr>
        <w:t xml:space="preserve">in </w:t>
      </w:r>
      <w:r>
        <w:rPr>
          <w:rFonts w:ascii="Arial"/>
          <w:color w:val="000000"/>
          <w:sz w:val="24"/>
        </w:rPr>
        <w:t xml:space="preserve">DP 517111 </w:t>
      </w:r>
      <w:r>
        <w:rPr>
          <w:rFonts w:ascii="Arial"/>
          <w:color w:val="000000"/>
          <w:sz w:val="24"/>
        </w:rPr>
        <w:t xml:space="preserve">for the </w:t>
      </w:r>
      <w:r>
        <w:rPr>
          <w:rFonts w:ascii="Arial"/>
          <w:color w:val="000000"/>
          <w:sz w:val="24"/>
        </w:rPr>
        <w:t>creat</w:t>
      </w:r>
      <w:r>
        <w:rPr>
          <w:rFonts w:ascii="Arial"/>
          <w:color w:val="000000"/>
          <w:sz w:val="24"/>
        </w:rPr>
        <w:t>ion of</w:t>
      </w:r>
      <w:r>
        <w:rPr>
          <w:rFonts w:ascii="Arial"/>
          <w:color w:val="000000"/>
          <w:sz w:val="24"/>
        </w:rPr>
        <w:t xml:space="preserve"> </w:t>
      </w:r>
      <w:r>
        <w:rPr>
          <w:rFonts w:ascii="Arial"/>
          <w:color w:val="000000"/>
          <w:sz w:val="24"/>
        </w:rPr>
        <w:t xml:space="preserve">seven </w:t>
      </w:r>
      <w:r>
        <w:rPr>
          <w:rFonts w:ascii="Arial"/>
          <w:color w:val="000000"/>
          <w:sz w:val="24"/>
        </w:rPr>
        <w:t>new residential lots;</w:t>
      </w:r>
      <w:r>
        <w:rPr>
          <w:rFonts w:ascii="Arial"/>
          <w:color w:val="000000"/>
          <w:sz w:val="24"/>
        </w:rPr>
        <w:t xml:space="preserve"> </w:t>
      </w:r>
      <w:r>
        <w:rPr>
          <w:rFonts w:ascii="Arial"/>
          <w:color w:val="000000"/>
          <w:sz w:val="24"/>
        </w:rPr>
        <w:t xml:space="preserve">the redesign of 10 Torrens title lots approved in </w:t>
      </w:r>
      <w:r>
        <w:rPr>
          <w:rFonts w:ascii="Arial"/>
          <w:color w:val="000000"/>
          <w:sz w:val="24"/>
        </w:rPr>
        <w:t xml:space="preserve">development consent no. </w:t>
      </w:r>
      <w:r>
        <w:rPr>
          <w:rFonts w:ascii="Arial"/>
          <w:color w:val="000000"/>
          <w:sz w:val="24"/>
        </w:rPr>
        <w:t>DA</w:t>
      </w:r>
      <w:r>
        <w:rPr>
          <w:rFonts w:ascii="Arial"/>
          <w:color w:val="000000"/>
          <w:sz w:val="24"/>
        </w:rPr>
        <w:t xml:space="preserve"> </w:t>
      </w:r>
      <w:r>
        <w:rPr>
          <w:rFonts w:ascii="Arial"/>
          <w:color w:val="000000"/>
          <w:sz w:val="24"/>
        </w:rPr>
        <w:t>2018/51; and</w:t>
      </w:r>
      <w:r>
        <w:rPr>
          <w:rFonts w:ascii="Arial"/>
          <w:color w:val="000000"/>
          <w:sz w:val="24"/>
        </w:rPr>
        <w:t xml:space="preserve"> </w:t>
      </w:r>
      <w:r>
        <w:rPr>
          <w:rFonts w:ascii="Arial"/>
          <w:color w:val="000000"/>
          <w:sz w:val="24"/>
        </w:rPr>
        <w:t xml:space="preserve">the redesign of </w:t>
      </w:r>
      <w:r>
        <w:rPr>
          <w:rFonts w:ascii="Arial"/>
          <w:color w:val="000000"/>
          <w:sz w:val="24"/>
        </w:rPr>
        <w:t xml:space="preserve">seven </w:t>
      </w:r>
      <w:r>
        <w:rPr>
          <w:rFonts w:ascii="Arial"/>
          <w:color w:val="000000"/>
          <w:sz w:val="24"/>
        </w:rPr>
        <w:t xml:space="preserve">Torrens title lots approved in </w:t>
      </w:r>
      <w:r>
        <w:rPr>
          <w:rFonts w:ascii="Arial"/>
          <w:color w:val="000000"/>
          <w:sz w:val="24"/>
        </w:rPr>
        <w:t xml:space="preserve">development consent no. </w:t>
      </w:r>
      <w:r>
        <w:rPr>
          <w:rFonts w:ascii="Arial"/>
          <w:color w:val="000000"/>
          <w:sz w:val="24"/>
        </w:rPr>
        <w:t>DA</w:t>
      </w:r>
      <w:r>
        <w:rPr>
          <w:rFonts w:ascii="Arial"/>
          <w:color w:val="000000"/>
          <w:sz w:val="24"/>
        </w:rPr>
        <w:t xml:space="preserve"> </w:t>
      </w:r>
      <w:r>
        <w:rPr>
          <w:rFonts w:ascii="Arial"/>
          <w:color w:val="000000"/>
          <w:sz w:val="24"/>
        </w:rPr>
        <w:t>2020/284</w:t>
      </w:r>
      <w:r>
        <w:rPr>
          <w:rFonts w:ascii="Arial"/>
          <w:color w:val="000000"/>
          <w:sz w:val="24"/>
        </w:rPr>
        <w:t xml:space="preserve"> </w:t>
      </w:r>
      <w:r>
        <w:rPr>
          <w:rFonts w:ascii="Arial"/>
          <w:color w:val="000000"/>
          <w:sz w:val="24"/>
        </w:rPr>
        <w:t xml:space="preserve">listed to be heard with the Class 2 appeals </w:t>
      </w:r>
      <w:r>
        <w:rPr>
          <w:rFonts w:ascii="Arial"/>
          <w:color w:val="000000"/>
          <w:sz w:val="24"/>
        </w:rPr>
        <w:t xml:space="preserve">was </w:t>
      </w:r>
      <w:r>
        <w:rPr>
          <w:rFonts w:ascii="Arial"/>
          <w:color w:val="000000"/>
          <w:sz w:val="24"/>
        </w:rPr>
        <w:t xml:space="preserve">not agitated </w:t>
      </w:r>
      <w:r>
        <w:rPr>
          <w:rFonts w:ascii="Arial"/>
          <w:color w:val="000000"/>
          <w:sz w:val="24"/>
        </w:rPr>
        <w:t xml:space="preserve">and </w:t>
      </w:r>
      <w:r>
        <w:rPr>
          <w:rFonts w:ascii="Arial"/>
          <w:color w:val="000000"/>
          <w:sz w:val="24"/>
        </w:rPr>
        <w:t>discontinued</w:t>
      </w:r>
      <w:r>
        <w:rPr>
          <w:rFonts w:ascii="Arial"/>
          <w:color w:val="000000"/>
          <w:sz w:val="24"/>
        </w:rPr>
        <w:t xml:space="preserve"> </w:t>
      </w:r>
      <w:r>
        <w:rPr>
          <w:rFonts w:ascii="Arial"/>
          <w:color w:val="000000"/>
          <w:sz w:val="24"/>
        </w:rPr>
        <w:t xml:space="preserve">at </w:t>
      </w:r>
      <w:r>
        <w:rPr>
          <w:rFonts w:ascii="Arial"/>
          <w:color w:val="000000"/>
          <w:sz w:val="24"/>
        </w:rPr>
        <w:t xml:space="preserve">the </w:t>
      </w:r>
      <w:r>
        <w:rPr>
          <w:rFonts w:ascii="Arial"/>
          <w:color w:val="000000"/>
          <w:sz w:val="24"/>
        </w:rPr>
        <w:t>hearing</w:t>
      </w:r>
      <w:r>
        <w:rPr>
          <w:rFonts w:ascii="Arial"/>
          <w:color w:val="000000"/>
          <w:sz w:val="24"/>
        </w:rPr>
        <w:t xml:space="preserve">. </w:t>
      </w:r>
    </w:p>
    <w:p>
      <w:pPr>
        <w:pStyle w:val="CaselawNumbered10"/>
        <w:numPr>
          <w:ilvl w:val="0"/>
          <w:numId w:val="27"/>
        </w:numPr>
        <w:spacing w:before="150" w:after="0"/>
        <w:ind w:left="600" w:hanging="600"/>
      </w:pPr>
      <w:r>
        <w:rPr>
          <w:rFonts w:ascii="Arial"/>
          <w:color w:val="000000"/>
          <w:sz w:val="24"/>
        </w:rPr>
        <w:t xml:space="preserve">It is to be noted that </w:t>
      </w:r>
      <w:r>
        <w:rPr>
          <w:rFonts w:ascii="Arial"/>
          <w:color w:val="000000"/>
          <w:sz w:val="24"/>
        </w:rPr>
        <w:t>the</w:t>
      </w:r>
      <w:r>
        <w:rPr>
          <w:rFonts w:ascii="Arial"/>
          <w:color w:val="000000"/>
          <w:sz w:val="24"/>
        </w:rPr>
        <w:t xml:space="preserve"> </w:t>
      </w:r>
      <w:r>
        <w:rPr>
          <w:rFonts w:ascii="Arial"/>
          <w:color w:val="000000"/>
          <w:sz w:val="24"/>
        </w:rPr>
        <w:t xml:space="preserve">Council accepts that the </w:t>
      </w:r>
      <w:r>
        <w:rPr>
          <w:rFonts w:ascii="Arial"/>
          <w:color w:val="000000"/>
          <w:sz w:val="24"/>
        </w:rPr>
        <w:t xml:space="preserve">proposed </w:t>
      </w:r>
      <w:r>
        <w:rPr>
          <w:rFonts w:ascii="Arial"/>
          <w:color w:val="000000"/>
          <w:sz w:val="24"/>
        </w:rPr>
        <w:t xml:space="preserve">water supply and sewerage </w:t>
      </w:r>
      <w:r>
        <w:rPr>
          <w:rFonts w:ascii="Arial"/>
          <w:color w:val="000000"/>
          <w:sz w:val="24"/>
        </w:rPr>
        <w:t>works</w:t>
      </w:r>
      <w:r>
        <w:rPr>
          <w:rFonts w:ascii="Arial"/>
          <w:color w:val="000000"/>
          <w:sz w:val="24"/>
        </w:rPr>
        <w:t xml:space="preserve"> </w:t>
      </w:r>
      <w:r>
        <w:rPr>
          <w:rFonts w:ascii="Arial"/>
          <w:color w:val="000000"/>
          <w:sz w:val="24"/>
        </w:rPr>
        <w:t xml:space="preserve">in </w:t>
      </w:r>
      <w:r>
        <w:rPr>
          <w:rFonts w:ascii="Arial"/>
          <w:color w:val="000000"/>
          <w:sz w:val="24"/>
        </w:rPr>
        <w:t xml:space="preserve">the </w:t>
      </w:r>
      <w:r>
        <w:rPr>
          <w:rFonts w:ascii="Arial"/>
          <w:color w:val="000000"/>
          <w:sz w:val="24"/>
        </w:rPr>
        <w:t>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s68 applications </w:t>
      </w:r>
      <w:r>
        <w:rPr>
          <w:rFonts w:ascii="Arial"/>
          <w:color w:val="000000"/>
          <w:sz w:val="24"/>
        </w:rPr>
        <w:t>a</w:t>
      </w:r>
      <w:r>
        <w:rPr>
          <w:rFonts w:ascii="Arial"/>
          <w:color w:val="000000"/>
          <w:sz w:val="24"/>
        </w:rPr>
        <w:t xml:space="preserve">re satisfactory and </w:t>
      </w:r>
      <w:r>
        <w:rPr>
          <w:rFonts w:ascii="Arial"/>
          <w:color w:val="000000"/>
          <w:sz w:val="24"/>
        </w:rPr>
        <w:t xml:space="preserve">compliant with </w:t>
      </w:r>
      <w:r>
        <w:rPr>
          <w:rFonts w:ascii="Arial"/>
          <w:color w:val="000000"/>
          <w:sz w:val="24"/>
        </w:rPr>
        <w:t xml:space="preserve">the requirements </w:t>
      </w:r>
      <w:r>
        <w:rPr>
          <w:rFonts w:ascii="Arial"/>
          <w:color w:val="000000"/>
          <w:sz w:val="24"/>
        </w:rPr>
        <w:t xml:space="preserve">of </w:t>
      </w:r>
      <w:r>
        <w:rPr>
          <w:rFonts w:ascii="Arial"/>
          <w:color w:val="000000"/>
          <w:sz w:val="24"/>
        </w:rPr>
        <w:t>the LG</w:t>
      </w:r>
      <w:r>
        <w:rPr>
          <w:rFonts w:ascii="Arial"/>
          <w:color w:val="000000"/>
          <w:sz w:val="24"/>
        </w:rPr>
        <w:t xml:space="preserve"> </w:t>
      </w:r>
      <w:r>
        <w:rPr>
          <w:rFonts w:ascii="Arial"/>
          <w:color w:val="000000"/>
          <w:sz w:val="24"/>
        </w:rPr>
        <w:t>Act</w:t>
      </w:r>
      <w:r>
        <w:rPr>
          <w:rFonts w:ascii="Arial"/>
          <w:color w:val="000000"/>
          <w:sz w:val="24"/>
        </w:rPr>
        <w:t xml:space="preserve">. </w:t>
      </w:r>
      <w:r>
        <w:rPr>
          <w:rFonts w:ascii="Arial"/>
          <w:color w:val="000000"/>
          <w:sz w:val="24"/>
        </w:rPr>
        <w:t xml:space="preserve">At </w:t>
      </w:r>
      <w:r>
        <w:rPr>
          <w:rFonts w:ascii="Arial"/>
          <w:color w:val="000000"/>
          <w:sz w:val="24"/>
        </w:rPr>
        <w:t xml:space="preserve">issue </w:t>
      </w:r>
      <w:r>
        <w:rPr>
          <w:rFonts w:ascii="Arial"/>
          <w:color w:val="000000"/>
          <w:sz w:val="24"/>
        </w:rPr>
        <w:t xml:space="preserve">is </w:t>
      </w:r>
      <w:r>
        <w:rPr>
          <w:rFonts w:ascii="Arial"/>
          <w:color w:val="000000"/>
          <w:sz w:val="24"/>
        </w:rPr>
        <w:t xml:space="preserve">the </w:t>
      </w:r>
      <w:r>
        <w:rPr>
          <w:rFonts w:ascii="Arial"/>
          <w:color w:val="000000"/>
          <w:sz w:val="24"/>
        </w:rPr>
        <w:t xml:space="preserve">proposed stormwater and drainage </w:t>
      </w:r>
      <w:r>
        <w:rPr>
          <w:rFonts w:ascii="Arial"/>
          <w:color w:val="000000"/>
          <w:sz w:val="24"/>
        </w:rPr>
        <w:t>work</w:t>
      </w:r>
      <w:r>
        <w:rPr>
          <w:rFonts w:ascii="Arial"/>
          <w:color w:val="000000"/>
          <w:sz w:val="24"/>
        </w:rPr>
        <w:t>s</w:t>
      </w:r>
      <w:r>
        <w:rPr>
          <w:rFonts w:ascii="Arial"/>
          <w:color w:val="000000"/>
          <w:sz w:val="24"/>
        </w:rPr>
        <w:t>. The Council contending</w:t>
      </w:r>
      <w:r>
        <w:rPr>
          <w:rFonts w:ascii="Arial"/>
          <w:color w:val="000000"/>
          <w:sz w:val="24"/>
        </w:rPr>
        <w:t>,</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the absence of compliance with the conditions of consent of </w:t>
      </w:r>
      <w:r>
        <w:rPr>
          <w:rFonts w:ascii="Arial"/>
          <w:color w:val="000000"/>
          <w:sz w:val="24"/>
        </w:rPr>
        <w:t xml:space="preserve">development consent no. </w:t>
      </w:r>
      <w:r>
        <w:rPr>
          <w:rFonts w:ascii="Arial"/>
          <w:color w:val="000000"/>
          <w:sz w:val="24"/>
        </w:rPr>
        <w:t>DA 2018/51 imposed under the EPA Act</w:t>
      </w:r>
      <w:r>
        <w:rPr>
          <w:rFonts w:ascii="Arial"/>
          <w:color w:val="000000"/>
          <w:sz w:val="24"/>
        </w:rPr>
        <w:t>,</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the Court cannot approve the </w:t>
      </w:r>
      <w:r>
        <w:rPr>
          <w:rFonts w:ascii="Arial"/>
          <w:color w:val="000000"/>
          <w:sz w:val="24"/>
        </w:rPr>
        <w:t>applicant</w:t>
      </w:r>
      <w:r>
        <w:rPr>
          <w:rFonts w:ascii="Arial"/>
          <w:color w:val="000000"/>
          <w:sz w:val="24"/>
        </w:rPr>
        <w:t>’</w:t>
      </w:r>
      <w:r>
        <w:rPr>
          <w:rFonts w:ascii="Arial"/>
          <w:color w:val="000000"/>
          <w:sz w:val="24"/>
        </w:rPr>
        <w:t xml:space="preserve">s </w:t>
      </w:r>
      <w:r>
        <w:rPr>
          <w:rFonts w:ascii="Arial"/>
          <w:color w:val="000000"/>
          <w:sz w:val="24"/>
        </w:rPr>
        <w:t xml:space="preserve">s68 applications. </w:t>
      </w:r>
    </w:p>
    <w:p>
      <w:pPr>
        <w:pStyle w:val="CaselawNumbered10"/>
        <w:numPr>
          <w:ilvl w:val="0"/>
          <w:numId w:val="27"/>
        </w:numPr>
        <w:spacing w:before="150" w:after="0"/>
        <w:ind w:left="600" w:hanging="600"/>
      </w:pPr>
      <w:r>
        <w:rPr>
          <w:rFonts w:ascii="Arial"/>
          <w:color w:val="000000"/>
          <w:sz w:val="24"/>
        </w:rPr>
        <w:t xml:space="preserve">In </w:t>
      </w:r>
      <w:r>
        <w:rPr>
          <w:rFonts w:ascii="Arial"/>
          <w:color w:val="000000"/>
          <w:sz w:val="24"/>
        </w:rPr>
        <w:t>particular,</w:t>
      </w:r>
      <w:r>
        <w:rPr>
          <w:rFonts w:ascii="Arial"/>
          <w:color w:val="000000"/>
          <w:sz w:val="24"/>
        </w:rPr>
        <w:t xml:space="preserve"> </w:t>
      </w:r>
      <w:r>
        <w:rPr>
          <w:rFonts w:ascii="Arial"/>
          <w:color w:val="000000"/>
          <w:sz w:val="24"/>
        </w:rPr>
        <w:t>the Council raises issue with</w:t>
      </w:r>
      <w:r>
        <w:rPr>
          <w:rFonts w:ascii="Arial"/>
          <w:color w:val="000000"/>
          <w:sz w:val="24"/>
        </w:rPr>
        <w:t xml:space="preserve"> </w:t>
      </w:r>
      <w:r>
        <w:rPr>
          <w:rFonts w:ascii="Arial"/>
          <w:color w:val="000000"/>
          <w:sz w:val="24"/>
        </w:rPr>
        <w:t>the following</w:t>
      </w:r>
      <w:r>
        <w:rPr>
          <w:rFonts w:ascii="Arial"/>
          <w:color w:val="000000"/>
          <w:sz w:val="24"/>
        </w:rPr>
        <w:t xml:space="preserve"> </w:t>
      </w:r>
      <w:r>
        <w:rPr>
          <w:rFonts w:ascii="Arial"/>
          <w:color w:val="000000"/>
          <w:sz w:val="24"/>
        </w:rPr>
        <w:t>matters</w:t>
      </w:r>
      <w:r>
        <w:rPr>
          <w:rFonts w:ascii="Arial"/>
          <w:color w:val="000000"/>
          <w:sz w:val="24"/>
        </w:rPr>
        <w:t>:</w:t>
      </w:r>
      <w:r>
        <w:rPr>
          <w:rFonts w:ascii="Arial"/>
          <w:color w:val="000000"/>
          <w:sz w:val="24"/>
        </w:rPr>
        <w:t xml:space="preserve"> </w:t>
      </w:r>
    </w:p>
    <w:p>
      <w:pPr>
        <w:pStyle w:val="CaselawNumbered1"/>
        <w:numPr>
          <w:ilvl w:val="0"/>
          <w:numId w:val="28"/>
        </w:numPr>
        <w:spacing w:before="150" w:after="0"/>
        <w:ind w:left="1350" w:hanging="750"/>
      </w:pPr>
      <w:r>
        <w:rPr>
          <w:rFonts w:ascii="Arial"/>
          <w:color w:val="000000"/>
          <w:sz w:val="24"/>
        </w:rPr>
        <w:t xml:space="preserve">Impact </w:t>
      </w:r>
      <w:r>
        <w:rPr>
          <w:rFonts w:ascii="Arial"/>
          <w:color w:val="000000"/>
          <w:sz w:val="24"/>
        </w:rPr>
        <w:t>on the freshwater wetland EEC of the stormwater drainage works in the s68 applications</w:t>
      </w:r>
      <w:r>
        <w:rPr>
          <w:rFonts w:ascii="Arial"/>
          <w:color w:val="000000"/>
          <w:sz w:val="24"/>
        </w:rPr>
        <w:t xml:space="preserve">— </w:t>
      </w:r>
    </w:p>
    <w:p>
      <w:pPr>
        <w:pStyle w:val="CaselawNumbereda"/>
        <w:numPr>
          <w:ilvl w:val="0"/>
          <w:numId w:val="29"/>
        </w:numPr>
        <w:spacing w:before="150" w:after="0"/>
        <w:ind w:left="2100" w:hanging="750"/>
      </w:pPr>
      <w:r>
        <w:rPr>
          <w:rFonts w:ascii="Arial"/>
          <w:color w:val="000000"/>
          <w:sz w:val="24"/>
        </w:rPr>
        <w:t xml:space="preserve">The Council </w:t>
      </w:r>
      <w:r>
        <w:rPr>
          <w:rFonts w:ascii="Arial"/>
          <w:color w:val="000000"/>
          <w:sz w:val="24"/>
        </w:rPr>
        <w:t>contending that</w:t>
      </w:r>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activities</w:t>
      </w:r>
      <w:r>
        <w:rPr>
          <w:rFonts w:ascii="Arial"/>
          <w:color w:val="000000"/>
          <w:sz w:val="24"/>
        </w:rPr>
        <w:t xml:space="preserve">” </w:t>
      </w:r>
      <w:r>
        <w:rPr>
          <w:rFonts w:ascii="Arial"/>
          <w:color w:val="000000"/>
          <w:sz w:val="24"/>
        </w:rPr>
        <w:t xml:space="preserve">the subject of the s68 applications in each appeal, do not </w:t>
      </w:r>
      <w:r>
        <w:rPr>
          <w:rFonts w:ascii="Arial"/>
          <w:color w:val="000000"/>
          <w:sz w:val="24"/>
        </w:rPr>
        <w:t xml:space="preserve">ensure that there will not be an inappropriate impact on the freshwater wetland </w:t>
      </w:r>
      <w:r>
        <w:rPr>
          <w:rFonts w:ascii="Arial"/>
          <w:color w:val="000000"/>
          <w:sz w:val="24"/>
        </w:rPr>
        <w:t>EEC</w:t>
      </w:r>
      <w:r>
        <w:rPr>
          <w:rFonts w:ascii="Arial"/>
          <w:color w:val="000000"/>
          <w:sz w:val="24"/>
        </w:rPr>
        <w:t xml:space="preserve"> </w:t>
      </w:r>
      <w:r>
        <w:rPr>
          <w:rFonts w:ascii="Arial"/>
          <w:color w:val="000000"/>
          <w:sz w:val="24"/>
        </w:rPr>
        <w:t xml:space="preserve">and those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 xml:space="preserve"> </w:t>
      </w:r>
      <w:r>
        <w:rPr>
          <w:rFonts w:ascii="Arial"/>
          <w:color w:val="000000"/>
          <w:sz w:val="24"/>
        </w:rPr>
        <w:t>do not comply with the conditions of development consent</w:t>
      </w:r>
      <w:r>
        <w:rPr>
          <w:rFonts w:ascii="Arial"/>
          <w:color w:val="000000"/>
          <w:sz w:val="24"/>
        </w:rPr>
        <w:t xml:space="preserve"> </w:t>
      </w:r>
      <w:r>
        <w:rPr>
          <w:rFonts w:ascii="Arial"/>
          <w:color w:val="000000"/>
          <w:sz w:val="24"/>
        </w:rPr>
        <w:t xml:space="preserve">under </w:t>
      </w:r>
      <w:r>
        <w:rPr>
          <w:rFonts w:ascii="Arial"/>
          <w:color w:val="000000"/>
          <w:sz w:val="24"/>
        </w:rPr>
        <w:t>DA</w:t>
      </w:r>
      <w:r>
        <w:rPr>
          <w:rFonts w:ascii="Arial"/>
          <w:color w:val="000000"/>
          <w:sz w:val="24"/>
        </w:rPr>
        <w:t xml:space="preserve"> </w:t>
      </w:r>
      <w:r>
        <w:rPr>
          <w:rFonts w:ascii="Arial"/>
          <w:color w:val="000000"/>
          <w:sz w:val="24"/>
        </w:rPr>
        <w:t xml:space="preserve">2018/51 that were imposed to protect that wetland. </w:t>
      </w:r>
      <w:r>
        <w:rPr>
          <w:rFonts w:ascii="Arial"/>
          <w:color w:val="000000"/>
          <w:sz w:val="24"/>
        </w:rPr>
        <w:t xml:space="preserve">The Council contending that the Court is required to refuse the s68 applications </w:t>
      </w:r>
      <w:r>
        <w:rPr>
          <w:rFonts w:ascii="Arial"/>
          <w:color w:val="000000"/>
          <w:sz w:val="24"/>
        </w:rPr>
        <w:t>in each case as a result of this issue, but that it would do so on the merits in any event (whether or not the Court accepts it must refuse the proposal as a result of the issue);</w:t>
      </w:r>
    </w:p>
    <w:p>
      <w:pPr>
        <w:pStyle w:val="CaselawNumbered1"/>
        <w:numPr>
          <w:ilvl w:val="0"/>
          <w:numId w:val="30"/>
        </w:numPr>
        <w:spacing w:before="150" w:after="0"/>
        <w:ind w:left="1350" w:hanging="750"/>
      </w:pPr>
      <w:r>
        <w:rPr>
          <w:rFonts w:ascii="Arial"/>
          <w:color w:val="000000"/>
          <w:sz w:val="24"/>
        </w:rPr>
        <w:t>N</w:t>
      </w:r>
      <w:r>
        <w:rPr>
          <w:rFonts w:ascii="Arial"/>
          <w:color w:val="000000"/>
          <w:sz w:val="24"/>
        </w:rPr>
        <w:t>on</w:t>
      </w:r>
      <w:r>
        <w:rPr>
          <w:rFonts w:ascii="Arial"/>
          <w:color w:val="000000"/>
          <w:sz w:val="24"/>
        </w:rPr>
        <w:t>-compliance with stormwater management standards</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Numbereda"/>
        <w:numPr>
          <w:ilvl w:val="0"/>
          <w:numId w:val="31"/>
        </w:numPr>
        <w:spacing w:before="150" w:after="0"/>
        <w:ind w:left="2100" w:hanging="750"/>
      </w:pPr>
      <w:r>
        <w:rPr>
          <w:rFonts w:ascii="Arial"/>
          <w:color w:val="000000"/>
          <w:sz w:val="24"/>
        </w:rPr>
        <w:t xml:space="preserve">The </w:t>
      </w:r>
      <w:r>
        <w:rPr>
          <w:rFonts w:ascii="Arial"/>
          <w:color w:val="000000"/>
          <w:sz w:val="24"/>
        </w:rPr>
        <w:t>C</w:t>
      </w:r>
      <w:r>
        <w:rPr>
          <w:rFonts w:ascii="Arial"/>
          <w:color w:val="000000"/>
          <w:sz w:val="24"/>
        </w:rPr>
        <w:t xml:space="preserve">ouncil </w:t>
      </w:r>
      <w:r>
        <w:rPr>
          <w:rFonts w:ascii="Arial"/>
          <w:color w:val="000000"/>
          <w:sz w:val="24"/>
        </w:rPr>
        <w:t>contend</w:t>
      </w:r>
      <w:r>
        <w:rPr>
          <w:rFonts w:ascii="Arial"/>
          <w:color w:val="000000"/>
          <w:sz w:val="24"/>
        </w:rPr>
        <w:t>ing</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the stormwater drainage works the subject of the s68 applications in each appeal do not comply with certain stormwater management standards with which respectively condition 21 of DA</w:t>
      </w:r>
      <w:r>
        <w:rPr>
          <w:rFonts w:ascii="Arial"/>
          <w:color w:val="000000"/>
          <w:sz w:val="24"/>
        </w:rPr>
        <w:t xml:space="preserve"> </w:t>
      </w:r>
      <w:r>
        <w:rPr>
          <w:rFonts w:ascii="Arial"/>
          <w:color w:val="000000"/>
          <w:sz w:val="24"/>
        </w:rPr>
        <w:t>202</w:t>
      </w:r>
      <w:r>
        <w:rPr>
          <w:rFonts w:ascii="Arial"/>
          <w:color w:val="000000"/>
          <w:sz w:val="24"/>
        </w:rPr>
        <w:t>0</w:t>
      </w:r>
      <w:r>
        <w:rPr>
          <w:rFonts w:ascii="Arial"/>
          <w:color w:val="000000"/>
          <w:sz w:val="24"/>
        </w:rPr>
        <w:t xml:space="preserve">/284 and condition 15 </w:t>
      </w:r>
      <w:r>
        <w:rPr>
          <w:rFonts w:ascii="Arial"/>
          <w:color w:val="000000"/>
          <w:sz w:val="24"/>
        </w:rPr>
        <w:t>of</w:t>
      </w:r>
      <w:r>
        <w:rPr>
          <w:rFonts w:ascii="Arial"/>
          <w:color w:val="000000"/>
          <w:sz w:val="24"/>
        </w:rPr>
        <w:t xml:space="preserve"> </w:t>
      </w:r>
      <w:r>
        <w:rPr>
          <w:rFonts w:ascii="Arial"/>
          <w:color w:val="000000"/>
          <w:sz w:val="24"/>
        </w:rPr>
        <w:t>DA</w:t>
      </w:r>
      <w:r>
        <w:rPr>
          <w:rFonts w:ascii="Arial"/>
          <w:color w:val="000000"/>
          <w:sz w:val="24"/>
        </w:rPr>
        <w:t> </w:t>
      </w:r>
      <w:r>
        <w:rPr>
          <w:rFonts w:ascii="Arial"/>
          <w:color w:val="000000"/>
          <w:sz w:val="24"/>
        </w:rPr>
        <w:t>2</w:t>
      </w:r>
      <w:r>
        <w:rPr>
          <w:rFonts w:ascii="Arial"/>
          <w:color w:val="000000"/>
          <w:sz w:val="24"/>
        </w:rPr>
        <w:t>0</w:t>
      </w:r>
      <w:r>
        <w:rPr>
          <w:rFonts w:ascii="Arial"/>
          <w:color w:val="000000"/>
          <w:sz w:val="24"/>
        </w:rPr>
        <w:t>18/51 require those applications to comply</w:t>
      </w:r>
      <w:r>
        <w:rPr>
          <w:rFonts w:ascii="Arial"/>
          <w:color w:val="000000"/>
          <w:sz w:val="24"/>
        </w:rPr>
        <w:t xml:space="preserve">. </w:t>
      </w:r>
      <w:r>
        <w:rPr>
          <w:rFonts w:ascii="Arial"/>
          <w:color w:val="000000"/>
          <w:sz w:val="24"/>
        </w:rPr>
        <w:t>Albeit</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C</w:t>
      </w:r>
      <w:r>
        <w:rPr>
          <w:rFonts w:ascii="Arial"/>
          <w:color w:val="000000"/>
          <w:sz w:val="24"/>
        </w:rPr>
        <w:t>ouncil concede</w:t>
      </w:r>
      <w:r>
        <w:rPr>
          <w:rFonts w:ascii="Arial"/>
          <w:color w:val="000000"/>
          <w:sz w:val="24"/>
        </w:rPr>
        <w:t>s</w:t>
      </w:r>
      <w:r>
        <w:rPr>
          <w:rFonts w:ascii="Arial"/>
          <w:color w:val="000000"/>
          <w:sz w:val="24"/>
        </w:rPr>
        <w:t xml:space="preserve"> </w:t>
      </w:r>
      <w:r>
        <w:rPr>
          <w:rFonts w:ascii="Arial"/>
          <w:color w:val="000000"/>
          <w:sz w:val="24"/>
        </w:rPr>
        <w:t xml:space="preserve">that the applicant </w:t>
      </w:r>
      <w:r>
        <w:rPr>
          <w:rFonts w:ascii="Arial"/>
          <w:color w:val="000000"/>
          <w:sz w:val="24"/>
        </w:rPr>
        <w:t xml:space="preserve">could </w:t>
      </w:r>
      <w:r>
        <w:rPr>
          <w:rFonts w:ascii="Arial"/>
          <w:color w:val="000000"/>
          <w:sz w:val="24"/>
        </w:rPr>
        <w:t>rectify t</w:t>
      </w:r>
      <w:r>
        <w:rPr>
          <w:rFonts w:ascii="Arial"/>
          <w:color w:val="000000"/>
          <w:sz w:val="24"/>
        </w:rPr>
        <w:t>he Council</w:t>
      </w:r>
      <w:r>
        <w:rPr>
          <w:rFonts w:ascii="Arial"/>
          <w:color w:val="000000"/>
          <w:sz w:val="24"/>
        </w:rPr>
        <w:t>’</w:t>
      </w:r>
      <w:r>
        <w:rPr>
          <w:rFonts w:ascii="Arial"/>
          <w:color w:val="000000"/>
          <w:sz w:val="24"/>
        </w:rPr>
        <w:t>s concern</w:t>
      </w:r>
      <w:r>
        <w:rPr>
          <w:rFonts w:ascii="Arial"/>
          <w:color w:val="000000"/>
          <w:sz w:val="24"/>
        </w:rPr>
        <w:t xml:space="preserve"> </w:t>
      </w:r>
      <w:r>
        <w:rPr>
          <w:rFonts w:ascii="Arial"/>
          <w:color w:val="000000"/>
          <w:sz w:val="24"/>
        </w:rPr>
        <w:t xml:space="preserve">if the proposed </w:t>
      </w:r>
      <w:r>
        <w:rPr>
          <w:rFonts w:ascii="Arial"/>
          <w:color w:val="000000"/>
          <w:sz w:val="24"/>
        </w:rPr>
        <w:t xml:space="preserve">road verge swales </w:t>
      </w:r>
      <w:r>
        <w:rPr>
          <w:rFonts w:ascii="Arial"/>
          <w:color w:val="000000"/>
          <w:sz w:val="24"/>
        </w:rPr>
        <w:t xml:space="preserve">are </w:t>
      </w:r>
      <w:r>
        <w:rPr>
          <w:rFonts w:ascii="Arial"/>
          <w:color w:val="000000"/>
          <w:sz w:val="24"/>
        </w:rPr>
        <w:t xml:space="preserve">replaced with </w:t>
      </w:r>
      <w:r>
        <w:rPr>
          <w:rFonts w:ascii="Arial"/>
          <w:color w:val="000000"/>
          <w:sz w:val="24"/>
        </w:rPr>
        <w:t>ke</w:t>
      </w:r>
      <w:r>
        <w:rPr>
          <w:rFonts w:ascii="Arial"/>
          <w:color w:val="000000"/>
          <w:sz w:val="24"/>
        </w:rPr>
        <w:t xml:space="preserve">rb </w:t>
      </w:r>
      <w:r>
        <w:rPr>
          <w:rFonts w:ascii="Arial"/>
          <w:color w:val="000000"/>
          <w:sz w:val="24"/>
        </w:rPr>
        <w:t>and gutter</w:t>
      </w:r>
      <w:r>
        <w:rPr>
          <w:rFonts w:ascii="Arial"/>
          <w:color w:val="000000"/>
          <w:sz w:val="24"/>
        </w:rPr>
        <w:t>s</w:t>
      </w:r>
      <w:r>
        <w:rPr>
          <w:rFonts w:ascii="Arial"/>
          <w:color w:val="000000"/>
          <w:sz w:val="24"/>
        </w:rPr>
        <w:t xml:space="preserve"> </w:t>
      </w:r>
      <w:r>
        <w:rPr>
          <w:rFonts w:ascii="Arial"/>
          <w:color w:val="000000"/>
          <w:sz w:val="24"/>
        </w:rPr>
        <w:t>in each case</w:t>
      </w:r>
      <w:r>
        <w:rPr>
          <w:rFonts w:ascii="Arial"/>
          <w:color w:val="000000"/>
          <w:sz w:val="24"/>
        </w:rPr>
        <w:t>. However, as the plans before me are for roadside swales with check dams, the s68 applications should be refused as a result of this issue because roadside swales with check dams are not an appropriate design in a residential context. (It is to be noted that</w:t>
      </w:r>
      <w:r>
        <w:rPr>
          <w:rFonts w:ascii="Arial"/>
          <w:color w:val="000000"/>
          <w:sz w:val="24"/>
        </w:rPr>
        <w:t xml:space="preserve"> </w:t>
      </w:r>
      <w:r>
        <w:rPr>
          <w:rFonts w:ascii="Arial"/>
          <w:color w:val="000000"/>
          <w:sz w:val="24"/>
        </w:rPr>
        <w:t>the applicant ha</w:t>
      </w:r>
      <w:r>
        <w:rPr>
          <w:rFonts w:ascii="Arial"/>
          <w:color w:val="000000"/>
          <w:sz w:val="24"/>
        </w:rPr>
        <w:t>s</w:t>
      </w:r>
      <w:r>
        <w:rPr>
          <w:rFonts w:ascii="Arial"/>
          <w:color w:val="000000"/>
          <w:sz w:val="24"/>
        </w:rPr>
        <w:t xml:space="preserve"> </w:t>
      </w:r>
      <w:r>
        <w:rPr>
          <w:rFonts w:ascii="Arial"/>
          <w:color w:val="000000"/>
          <w:sz w:val="24"/>
        </w:rPr>
        <w:t>declined to make such an amendment</w:t>
      </w:r>
      <w:r>
        <w:rPr>
          <w:rFonts w:ascii="Arial"/>
          <w:color w:val="000000"/>
          <w:sz w:val="24"/>
        </w:rPr>
        <w:t>);</w:t>
      </w:r>
    </w:p>
    <w:p>
      <w:pPr>
        <w:pStyle w:val="CaselawNumbered1"/>
        <w:numPr>
          <w:ilvl w:val="0"/>
          <w:numId w:val="32"/>
        </w:numPr>
        <w:spacing w:before="150" w:after="0"/>
        <w:ind w:left="1350" w:hanging="750"/>
      </w:pPr>
      <w:r>
        <w:rPr>
          <w:rFonts w:ascii="Arial"/>
          <w:color w:val="000000"/>
          <w:sz w:val="24"/>
        </w:rPr>
        <w:t>C</w:t>
      </w:r>
      <w:r>
        <w:rPr>
          <w:rFonts w:ascii="Arial"/>
          <w:color w:val="000000"/>
          <w:sz w:val="24"/>
        </w:rPr>
        <w:t xml:space="preserve">onsistency </w:t>
      </w:r>
      <w:r>
        <w:rPr>
          <w:rFonts w:ascii="Arial"/>
          <w:color w:val="000000"/>
          <w:sz w:val="24"/>
        </w:rPr>
        <w:t xml:space="preserve">of </w:t>
      </w:r>
      <w:r>
        <w:rPr>
          <w:rFonts w:ascii="Arial"/>
          <w:color w:val="000000"/>
          <w:sz w:val="24"/>
        </w:rPr>
        <w:t xml:space="preserve">the </w:t>
      </w:r>
      <w:r>
        <w:rPr>
          <w:rFonts w:ascii="Arial"/>
          <w:color w:val="000000"/>
          <w:sz w:val="24"/>
        </w:rPr>
        <w:t>“</w:t>
      </w:r>
      <w:r>
        <w:rPr>
          <w:rFonts w:ascii="Arial"/>
          <w:color w:val="000000"/>
          <w:sz w:val="24"/>
        </w:rPr>
        <w:t>activity</w:t>
      </w:r>
      <w:r>
        <w:rPr>
          <w:rFonts w:ascii="Arial"/>
          <w:color w:val="000000"/>
          <w:sz w:val="24"/>
        </w:rPr>
        <w:t>”</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the 17-lot appeal with broader works and </w:t>
      </w:r>
      <w:r>
        <w:rPr>
          <w:rFonts w:ascii="Arial"/>
          <w:color w:val="000000"/>
          <w:sz w:val="24"/>
        </w:rPr>
        <w:t xml:space="preserve">the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 xml:space="preserve"> </w:t>
      </w:r>
      <w:r>
        <w:rPr>
          <w:rFonts w:ascii="Arial"/>
          <w:color w:val="000000"/>
          <w:sz w:val="24"/>
        </w:rPr>
        <w:t xml:space="preserve">for </w:t>
      </w:r>
      <w:r>
        <w:rPr>
          <w:rFonts w:ascii="Arial"/>
          <w:color w:val="000000"/>
          <w:sz w:val="24"/>
        </w:rPr>
        <w:t>the 99-</w:t>
      </w:r>
      <w:r>
        <w:rPr>
          <w:rFonts w:ascii="Arial"/>
          <w:color w:val="000000"/>
          <w:sz w:val="24"/>
        </w:rPr>
        <w:t xml:space="preserve">lot </w:t>
      </w:r>
      <w:r>
        <w:rPr>
          <w:rFonts w:ascii="Arial"/>
          <w:color w:val="000000"/>
          <w:sz w:val="24"/>
        </w:rPr>
        <w:t>consent</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Numbereda"/>
        <w:numPr>
          <w:ilvl w:val="0"/>
          <w:numId w:val="33"/>
        </w:numPr>
        <w:spacing w:before="150" w:after="0"/>
        <w:ind w:left="2100" w:hanging="750"/>
      </w:pPr>
      <w:r>
        <w:rPr>
          <w:rFonts w:ascii="Arial"/>
          <w:color w:val="000000"/>
          <w:sz w:val="24"/>
        </w:rPr>
        <w:t>T</w:t>
      </w:r>
      <w:r>
        <w:rPr>
          <w:rFonts w:ascii="Arial"/>
          <w:color w:val="000000"/>
          <w:sz w:val="24"/>
        </w:rPr>
        <w:t xml:space="preserve">he </w:t>
      </w:r>
      <w:r>
        <w:rPr>
          <w:rFonts w:ascii="Arial"/>
          <w:color w:val="000000"/>
          <w:sz w:val="24"/>
        </w:rPr>
        <w:t xml:space="preserve">Council contending that the </w:t>
      </w:r>
      <w:r>
        <w:rPr>
          <w:rFonts w:ascii="Arial"/>
          <w:color w:val="000000"/>
          <w:sz w:val="24"/>
        </w:rPr>
        <w:t xml:space="preserve">infrastructure with which </w:t>
      </w:r>
      <w:r>
        <w:rPr>
          <w:rFonts w:ascii="Arial"/>
          <w:color w:val="000000"/>
          <w:sz w:val="24"/>
        </w:rPr>
        <w:t>S</w:t>
      </w:r>
      <w:r>
        <w:rPr>
          <w:rFonts w:ascii="Arial"/>
          <w:color w:val="000000"/>
          <w:sz w:val="24"/>
        </w:rPr>
        <w:t xml:space="preserve">uper </w:t>
      </w:r>
      <w:r>
        <w:rPr>
          <w:rFonts w:ascii="Arial"/>
          <w:color w:val="000000"/>
          <w:sz w:val="24"/>
        </w:rPr>
        <w:t>L</w:t>
      </w:r>
      <w:r>
        <w:rPr>
          <w:rFonts w:ascii="Arial"/>
          <w:color w:val="000000"/>
          <w:sz w:val="24"/>
        </w:rPr>
        <w:t>ot 102 needs to interconnect</w:t>
      </w:r>
      <w:r>
        <w:rPr>
          <w:rFonts w:ascii="Arial"/>
          <w:color w:val="000000"/>
          <w:sz w:val="24"/>
        </w:rPr>
        <w:t>,</w:t>
      </w:r>
      <w:r>
        <w:rPr>
          <w:rFonts w:ascii="Arial"/>
          <w:color w:val="000000"/>
          <w:sz w:val="24"/>
        </w:rPr>
        <w:t xml:space="preserve"> </w:t>
      </w:r>
      <w:r>
        <w:rPr>
          <w:rFonts w:ascii="Arial"/>
          <w:color w:val="000000"/>
          <w:sz w:val="24"/>
        </w:rPr>
        <w:t xml:space="preserve">and the finished works adjacent to </w:t>
      </w:r>
      <w:r>
        <w:rPr>
          <w:rFonts w:ascii="Arial"/>
          <w:color w:val="000000"/>
          <w:sz w:val="24"/>
        </w:rPr>
        <w:t>S</w:t>
      </w:r>
      <w:r>
        <w:rPr>
          <w:rFonts w:ascii="Arial"/>
          <w:color w:val="000000"/>
          <w:sz w:val="24"/>
        </w:rPr>
        <w:t xml:space="preserve">uper </w:t>
      </w:r>
      <w:r>
        <w:rPr>
          <w:rFonts w:ascii="Arial"/>
          <w:color w:val="000000"/>
          <w:sz w:val="24"/>
        </w:rPr>
        <w:t>L</w:t>
      </w:r>
      <w:r>
        <w:rPr>
          <w:rFonts w:ascii="Arial"/>
          <w:color w:val="000000"/>
          <w:sz w:val="24"/>
        </w:rPr>
        <w:t>ot 102</w:t>
      </w:r>
      <w:r>
        <w:rPr>
          <w:rFonts w:ascii="Arial"/>
          <w:color w:val="000000"/>
          <w:sz w:val="24"/>
        </w:rPr>
        <w:t>,</w:t>
      </w:r>
      <w:r>
        <w:rPr>
          <w:rFonts w:ascii="Arial"/>
          <w:color w:val="000000"/>
          <w:sz w:val="24"/>
        </w:rPr>
        <w:t xml:space="preserve"> </w:t>
      </w:r>
      <w:r>
        <w:rPr>
          <w:rFonts w:ascii="Arial"/>
          <w:color w:val="000000"/>
          <w:sz w:val="24"/>
        </w:rPr>
        <w:t>remain uncertain until a subdivision works certificate is issued for the development the subject of the 99-lot subdivision</w:t>
      </w:r>
      <w:r>
        <w:rPr>
          <w:rFonts w:ascii="Arial"/>
          <w:color w:val="000000"/>
          <w:sz w:val="24"/>
        </w:rPr>
        <w:t>;</w:t>
      </w:r>
      <w:r>
        <w:rPr>
          <w:rFonts w:ascii="Arial"/>
          <w:color w:val="000000"/>
          <w:sz w:val="24"/>
        </w:rPr>
        <w:t xml:space="preserve"> </w:t>
      </w:r>
    </w:p>
    <w:p>
      <w:pPr>
        <w:pStyle w:val="CaselawNumbereda"/>
        <w:numPr>
          <w:ilvl w:val="0"/>
          <w:numId w:val="33"/>
        </w:numPr>
        <w:spacing w:before="150" w:after="0"/>
        <w:ind w:left="2100" w:hanging="750"/>
      </w:pPr>
      <w:r>
        <w:rPr>
          <w:rFonts w:ascii="Arial"/>
          <w:color w:val="000000"/>
          <w:sz w:val="24"/>
        </w:rPr>
        <w:t xml:space="preserve">The </w:t>
      </w:r>
      <w:r>
        <w:rPr>
          <w:rFonts w:ascii="Arial"/>
          <w:color w:val="000000"/>
          <w:sz w:val="24"/>
        </w:rPr>
        <w:t>C</w:t>
      </w:r>
      <w:r>
        <w:rPr>
          <w:rFonts w:ascii="Arial"/>
          <w:color w:val="000000"/>
          <w:sz w:val="24"/>
        </w:rPr>
        <w:t>ouncil contend</w:t>
      </w:r>
      <w:r>
        <w:rPr>
          <w:rFonts w:ascii="Arial"/>
          <w:color w:val="000000"/>
          <w:sz w:val="24"/>
        </w:rPr>
        <w:t>ing</w:t>
      </w:r>
      <w:r>
        <w:rPr>
          <w:rFonts w:ascii="Arial"/>
          <w:color w:val="000000"/>
          <w:sz w:val="24"/>
        </w:rPr>
        <w:t xml:space="preserve"> </w:t>
      </w:r>
      <w:r>
        <w:rPr>
          <w:rFonts w:ascii="Arial"/>
          <w:color w:val="000000"/>
          <w:sz w:val="24"/>
        </w:rPr>
        <w:t xml:space="preserve">that the </w:t>
      </w:r>
      <w:r>
        <w:rPr>
          <w:rFonts w:ascii="Arial"/>
          <w:color w:val="000000"/>
          <w:sz w:val="24"/>
        </w:rPr>
        <w:t>C</w:t>
      </w:r>
      <w:r>
        <w:rPr>
          <w:rFonts w:ascii="Arial"/>
          <w:color w:val="000000"/>
          <w:sz w:val="24"/>
        </w:rPr>
        <w:t xml:space="preserve">ourt </w:t>
      </w:r>
      <w:r>
        <w:rPr>
          <w:rFonts w:ascii="Arial"/>
          <w:color w:val="000000"/>
          <w:sz w:val="24"/>
        </w:rPr>
        <w:t>should refuse the s68 application in the 17</w:t>
      </w:r>
      <w:r>
        <w:rPr>
          <w:rFonts w:ascii="Arial"/>
          <w:color w:val="000000"/>
          <w:sz w:val="24"/>
        </w:rPr>
        <w:t>-l</w:t>
      </w:r>
      <w:r>
        <w:rPr>
          <w:rFonts w:ascii="Arial"/>
          <w:color w:val="000000"/>
          <w:sz w:val="24"/>
        </w:rPr>
        <w:t>ot subdivision as a result of this issue</w:t>
      </w:r>
      <w:r>
        <w:rPr>
          <w:rFonts w:ascii="Arial"/>
          <w:color w:val="000000"/>
          <w:sz w:val="24"/>
        </w:rPr>
        <w:t xml:space="preserve">; and </w:t>
      </w:r>
    </w:p>
    <w:p>
      <w:pPr>
        <w:pStyle w:val="CaselawNumbered1"/>
        <w:numPr>
          <w:ilvl w:val="0"/>
          <w:numId w:val="34"/>
        </w:numPr>
        <w:spacing w:before="150" w:after="0"/>
        <w:ind w:left="1350" w:hanging="750"/>
      </w:pPr>
      <w:r>
        <w:rPr>
          <w:rFonts w:ascii="Arial"/>
          <w:color w:val="000000"/>
          <w:sz w:val="24"/>
        </w:rPr>
        <w:t>No power to determine s138 Roads Act application</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Numbereda"/>
        <w:numPr>
          <w:ilvl w:val="0"/>
          <w:numId w:val="35"/>
        </w:numPr>
        <w:spacing w:before="150" w:after="0"/>
        <w:ind w:left="2100" w:hanging="75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takes</w:t>
      </w:r>
      <w:r>
        <w:rPr>
          <w:rFonts w:ascii="Arial"/>
          <w:color w:val="000000"/>
          <w:sz w:val="24"/>
        </w:rPr>
        <w:t xml:space="preserve"> </w:t>
      </w:r>
      <w:r>
        <w:rPr>
          <w:rFonts w:ascii="Arial"/>
          <w:color w:val="000000"/>
          <w:sz w:val="24"/>
        </w:rPr>
        <w:t xml:space="preserve">issue with the </w:t>
      </w:r>
      <w:r>
        <w:rPr>
          <w:rFonts w:ascii="Arial"/>
          <w:color w:val="000000"/>
          <w:sz w:val="24"/>
        </w:rPr>
        <w:t>Court</w:t>
      </w:r>
      <w:r>
        <w:rPr>
          <w:rFonts w:ascii="Arial"/>
          <w:color w:val="000000"/>
          <w:sz w:val="24"/>
        </w:rPr>
        <w:t>’</w:t>
      </w:r>
      <w:r>
        <w:rPr>
          <w:rFonts w:ascii="Arial"/>
          <w:color w:val="000000"/>
          <w:sz w:val="24"/>
        </w:rPr>
        <w:t xml:space="preserve">s </w:t>
      </w:r>
      <w:r>
        <w:rPr>
          <w:rFonts w:ascii="Arial"/>
          <w:color w:val="000000"/>
          <w:sz w:val="24"/>
        </w:rPr>
        <w:t xml:space="preserve">power to determine </w:t>
      </w:r>
      <w:r>
        <w:rPr>
          <w:rFonts w:ascii="Arial"/>
          <w:color w:val="000000"/>
          <w:sz w:val="24"/>
        </w:rPr>
        <w:t xml:space="preserve">the </w:t>
      </w:r>
      <w:r>
        <w:rPr>
          <w:rFonts w:ascii="Arial"/>
          <w:color w:val="000000"/>
          <w:sz w:val="24"/>
        </w:rPr>
        <w:t xml:space="preserve">s138 </w:t>
      </w:r>
      <w:r>
        <w:rPr>
          <w:rFonts w:ascii="Arial"/>
          <w:color w:val="000000"/>
          <w:sz w:val="24"/>
        </w:rPr>
        <w:t>R</w:t>
      </w:r>
      <w:r>
        <w:rPr>
          <w:rFonts w:ascii="Arial"/>
          <w:color w:val="000000"/>
          <w:sz w:val="24"/>
        </w:rPr>
        <w:t xml:space="preserve">oads </w:t>
      </w:r>
      <w:r>
        <w:rPr>
          <w:rFonts w:ascii="Arial"/>
          <w:color w:val="000000"/>
          <w:sz w:val="24"/>
        </w:rPr>
        <w:t xml:space="preserve">Act </w:t>
      </w:r>
      <w:r>
        <w:rPr>
          <w:rFonts w:ascii="Arial"/>
          <w:color w:val="000000"/>
          <w:sz w:val="24"/>
        </w:rPr>
        <w:t>application</w:t>
      </w:r>
      <w:r>
        <w:rPr>
          <w:rFonts w:ascii="Arial"/>
          <w:color w:val="000000"/>
          <w:sz w:val="24"/>
        </w:rPr>
        <w:t>.</w:t>
      </w:r>
      <w:r>
        <w:rPr>
          <w:rFonts w:ascii="Arial"/>
          <w:color w:val="000000"/>
          <w:sz w:val="24"/>
        </w:rPr>
        <w:t xml:space="preserve"> </w:t>
      </w:r>
      <w:r>
        <w:rPr>
          <w:rFonts w:ascii="Arial"/>
          <w:color w:val="000000"/>
          <w:sz w:val="24"/>
        </w:rPr>
        <w:t>The Council contend</w:t>
      </w:r>
      <w:r>
        <w:rPr>
          <w:rFonts w:ascii="Arial"/>
          <w:color w:val="000000"/>
          <w:sz w:val="24"/>
        </w:rPr>
        <w:t>ing</w:t>
      </w:r>
      <w:r>
        <w:rPr>
          <w:rFonts w:ascii="Arial"/>
          <w:color w:val="000000"/>
          <w:sz w:val="24"/>
        </w:rPr>
        <w:t xml:space="preserve"> </w:t>
      </w:r>
      <w:r>
        <w:rPr>
          <w:rFonts w:ascii="Arial"/>
          <w:color w:val="000000"/>
          <w:sz w:val="24"/>
        </w:rPr>
        <w:t>that the C</w:t>
      </w:r>
      <w:r>
        <w:rPr>
          <w:rFonts w:ascii="Arial"/>
          <w:color w:val="000000"/>
          <w:sz w:val="24"/>
        </w:rPr>
        <w:t xml:space="preserve">ourt has no jurisdiction to determine the s138 </w:t>
      </w:r>
      <w:r>
        <w:rPr>
          <w:rFonts w:ascii="Arial"/>
          <w:color w:val="000000"/>
          <w:sz w:val="24"/>
        </w:rPr>
        <w:t>R</w:t>
      </w:r>
      <w:r>
        <w:rPr>
          <w:rFonts w:ascii="Arial"/>
          <w:color w:val="000000"/>
          <w:sz w:val="24"/>
        </w:rPr>
        <w:t xml:space="preserve">oads </w:t>
      </w:r>
      <w:r>
        <w:rPr>
          <w:rFonts w:ascii="Arial"/>
          <w:color w:val="000000"/>
          <w:sz w:val="24"/>
        </w:rPr>
        <w:t>A</w:t>
      </w:r>
      <w:r>
        <w:rPr>
          <w:rFonts w:ascii="Arial"/>
          <w:color w:val="000000"/>
          <w:sz w:val="24"/>
        </w:rPr>
        <w:t>ct application as part of the s68 appeal for the 99-lot subdivision</w:t>
      </w:r>
      <w:r>
        <w:rPr>
          <w:rFonts w:ascii="Arial"/>
          <w:color w:val="000000"/>
          <w:sz w:val="24"/>
        </w:rPr>
        <w:t xml:space="preserve"> </w:t>
      </w:r>
      <w:r>
        <w:rPr>
          <w:rFonts w:ascii="Arial"/>
          <w:color w:val="000000"/>
          <w:sz w:val="24"/>
        </w:rPr>
        <w:t>as there is no statutory merits appeal from refusal or deem</w:t>
      </w:r>
      <w:r>
        <w:rPr>
          <w:rFonts w:ascii="Arial"/>
          <w:color w:val="000000"/>
          <w:sz w:val="24"/>
        </w:rPr>
        <w:t>ed</w:t>
      </w:r>
      <w:r>
        <w:rPr>
          <w:rFonts w:ascii="Arial"/>
          <w:color w:val="000000"/>
          <w:sz w:val="24"/>
        </w:rPr>
        <w:t xml:space="preserve"> </w:t>
      </w:r>
      <w:r>
        <w:rPr>
          <w:rFonts w:ascii="Arial"/>
          <w:color w:val="000000"/>
          <w:sz w:val="24"/>
        </w:rPr>
        <w:t>refusal of such an application</w:t>
      </w:r>
      <w:r>
        <w:rPr>
          <w:rFonts w:ascii="Arial"/>
          <w:color w:val="000000"/>
          <w:sz w:val="24"/>
        </w:rPr>
        <w:t xml:space="preserve">. While </w:t>
      </w:r>
      <w:r>
        <w:rPr>
          <w:rFonts w:ascii="Arial"/>
          <w:color w:val="000000"/>
          <w:sz w:val="24"/>
        </w:rPr>
        <w:t xml:space="preserve">the </w:t>
      </w:r>
      <w:r>
        <w:rPr>
          <w:rFonts w:ascii="Arial"/>
          <w:color w:val="000000"/>
          <w:sz w:val="24"/>
        </w:rPr>
        <w:t xml:space="preserve">Council </w:t>
      </w:r>
      <w:r>
        <w:rPr>
          <w:rFonts w:ascii="Arial"/>
          <w:color w:val="000000"/>
          <w:sz w:val="24"/>
        </w:rPr>
        <w:t xml:space="preserve">uses a combined form for those applications, </w:t>
      </w:r>
      <w:r>
        <w:rPr>
          <w:rFonts w:ascii="Arial"/>
          <w:color w:val="000000"/>
          <w:sz w:val="24"/>
        </w:rPr>
        <w:t xml:space="preserve">it submits that </w:t>
      </w:r>
      <w:r>
        <w:rPr>
          <w:rFonts w:ascii="Arial"/>
          <w:color w:val="000000"/>
          <w:sz w:val="24"/>
        </w:rPr>
        <w:t xml:space="preserve">there is no other basis on which the </w:t>
      </w:r>
      <w:r>
        <w:rPr>
          <w:rFonts w:ascii="Arial"/>
          <w:color w:val="000000"/>
          <w:sz w:val="24"/>
        </w:rPr>
        <w:t>C</w:t>
      </w:r>
      <w:r>
        <w:rPr>
          <w:rFonts w:ascii="Arial"/>
          <w:color w:val="000000"/>
          <w:sz w:val="24"/>
        </w:rPr>
        <w:t>ourt</w:t>
      </w:r>
      <w:r>
        <w:rPr>
          <w:rFonts w:ascii="Arial"/>
          <w:color w:val="000000"/>
          <w:sz w:val="24"/>
        </w:rPr>
        <w:t>’</w:t>
      </w:r>
      <w:r>
        <w:rPr>
          <w:rFonts w:ascii="Arial"/>
          <w:color w:val="000000"/>
          <w:sz w:val="24"/>
        </w:rPr>
        <w:t>s jurisdiction is attached to determine that application in the context of the deem</w:t>
      </w:r>
      <w:r>
        <w:rPr>
          <w:rFonts w:ascii="Arial"/>
          <w:color w:val="000000"/>
          <w:sz w:val="24"/>
        </w:rPr>
        <w:t>ed</w:t>
      </w:r>
      <w:r>
        <w:rPr>
          <w:rFonts w:ascii="Arial"/>
          <w:color w:val="000000"/>
          <w:sz w:val="24"/>
        </w:rPr>
        <w:t xml:space="preserve"> </w:t>
      </w:r>
      <w:r>
        <w:rPr>
          <w:rFonts w:ascii="Arial"/>
          <w:color w:val="000000"/>
          <w:sz w:val="24"/>
        </w:rPr>
        <w:t>refusal of the s68 application</w:t>
      </w:r>
      <w:r>
        <w:rPr>
          <w:rFonts w:ascii="Arial"/>
          <w:color w:val="000000"/>
          <w:sz w:val="24"/>
        </w:rPr>
        <w:t>.</w:t>
      </w:r>
    </w:p>
    <w:p>
      <w:pPr>
        <w:pStyle w:val="CaselawHeading2"/>
        <w:keepNext/>
        <w:spacing w:before="150" w:after="150" w:line="264"/>
        <w:ind w:left="0"/>
        <w:jc w:val="left"/>
      </w:pPr>
      <w:r>
        <w:rPr>
          <w:rFonts w:ascii="Arial"/>
        </w:rPr>
        <w:t>T</w:t>
      </w:r>
      <w:r>
        <w:rPr>
          <w:rFonts w:ascii="Arial"/>
        </w:rPr>
        <w:t xml:space="preserve">he hearing </w:t>
      </w:r>
    </w:p>
    <w:p>
      <w:pPr>
        <w:pStyle w:val="CaselawNumbered10"/>
        <w:numPr>
          <w:ilvl w:val="0"/>
          <w:numId w:val="36"/>
        </w:numPr>
        <w:spacing w:before="150" w:after="0"/>
        <w:ind w:left="600" w:hanging="600"/>
      </w:pPr>
      <w:r>
        <w:rPr>
          <w:rFonts w:ascii="Arial"/>
          <w:color w:val="000000"/>
          <w:sz w:val="24"/>
        </w:rPr>
        <w:t xml:space="preserve">The hearing of these proceedings was conducted </w:t>
      </w:r>
      <w:r>
        <w:rPr>
          <w:rFonts w:ascii="Arial"/>
          <w:color w:val="000000"/>
          <w:sz w:val="24"/>
        </w:rPr>
        <w:t xml:space="preserve">in Court </w:t>
      </w:r>
      <w:r>
        <w:rPr>
          <w:rFonts w:ascii="Arial"/>
          <w:color w:val="000000"/>
          <w:sz w:val="24"/>
        </w:rPr>
        <w:t xml:space="preserve">over an extended period. </w:t>
      </w:r>
      <w:r>
        <w:rPr>
          <w:rFonts w:ascii="Arial"/>
          <w:color w:val="000000"/>
          <w:sz w:val="24"/>
        </w:rPr>
        <w:t>I</w:t>
      </w:r>
      <w:r>
        <w:rPr>
          <w:rFonts w:ascii="Arial"/>
          <w:color w:val="000000"/>
          <w:sz w:val="24"/>
        </w:rPr>
        <w:t>n lieu of a</w:t>
      </w:r>
      <w:r>
        <w:rPr>
          <w:rFonts w:ascii="Arial"/>
          <w:color w:val="000000"/>
          <w:sz w:val="24"/>
        </w:rPr>
        <w:t xml:space="preserve"> </w:t>
      </w:r>
      <w:r>
        <w:rPr>
          <w:rFonts w:ascii="Arial"/>
          <w:color w:val="000000"/>
          <w:sz w:val="24"/>
        </w:rPr>
        <w:t>Court view</w:t>
      </w:r>
      <w:r>
        <w:rPr>
          <w:rFonts w:ascii="Arial"/>
          <w:color w:val="000000"/>
          <w:sz w:val="24"/>
        </w:rPr>
        <w:t>,</w:t>
      </w:r>
      <w:r>
        <w:rPr>
          <w:rFonts w:ascii="Arial"/>
          <w:color w:val="000000"/>
          <w:sz w:val="24"/>
        </w:rPr>
        <w:t xml:space="preserve"> </w:t>
      </w:r>
      <w:r>
        <w:rPr>
          <w:rFonts w:ascii="Arial"/>
          <w:color w:val="000000"/>
          <w:sz w:val="24"/>
        </w:rPr>
        <w:t xml:space="preserve">the Court watched drone footage of the site and its environs </w:t>
      </w:r>
      <w:r>
        <w:rPr>
          <w:rFonts w:ascii="Arial"/>
          <w:color w:val="000000"/>
          <w:sz w:val="24"/>
        </w:rPr>
        <w:t>(Ex A).</w:t>
      </w:r>
    </w:p>
    <w:p>
      <w:pPr>
        <w:pStyle w:val="CaselawNumbered10"/>
        <w:numPr>
          <w:ilvl w:val="0"/>
          <w:numId w:val="36"/>
        </w:numPr>
        <w:spacing w:before="150" w:after="0"/>
        <w:ind w:left="600" w:hanging="600"/>
      </w:pPr>
      <w:r>
        <w:rPr>
          <w:rFonts w:ascii="Arial"/>
          <w:color w:val="000000"/>
          <w:sz w:val="24"/>
        </w:rPr>
        <w:t>A</w:t>
      </w:r>
      <w:r>
        <w:rPr>
          <w:rFonts w:ascii="Arial"/>
          <w:color w:val="000000"/>
          <w:sz w:val="24"/>
        </w:rPr>
        <w:t xml:space="preserve">s the Council identifies, </w:t>
      </w:r>
      <w:r>
        <w:rPr>
          <w:rFonts w:ascii="Arial"/>
          <w:color w:val="000000"/>
          <w:sz w:val="24"/>
        </w:rPr>
        <w:t xml:space="preserve">while some amendments to the subject matter of these appeals was allowed </w:t>
      </w:r>
      <w:r>
        <w:rPr>
          <w:rFonts w:ascii="Arial"/>
          <w:color w:val="000000"/>
          <w:sz w:val="24"/>
        </w:rPr>
        <w:t xml:space="preserve">in </w:t>
      </w:r>
      <w:r>
        <w:rPr>
          <w:rFonts w:ascii="Arial"/>
          <w:color w:val="000000"/>
          <w:sz w:val="24"/>
        </w:rPr>
        <w:t>the hearing</w:t>
      </w:r>
      <w:r>
        <w:rPr>
          <w:rFonts w:ascii="Arial"/>
          <w:color w:val="000000"/>
          <w:sz w:val="24"/>
        </w:rPr>
        <w:t>,</w:t>
      </w:r>
      <w:r>
        <w:rPr>
          <w:rFonts w:ascii="Arial"/>
          <w:color w:val="000000"/>
          <w:sz w:val="24"/>
        </w:rPr>
        <w:t xml:space="preserve"> </w:t>
      </w:r>
      <w:r>
        <w:rPr>
          <w:rFonts w:ascii="Arial"/>
          <w:color w:val="000000"/>
          <w:sz w:val="24"/>
        </w:rPr>
        <w:t>there remain</w:t>
      </w:r>
      <w:r>
        <w:rPr>
          <w:rFonts w:ascii="Arial"/>
          <w:color w:val="000000"/>
          <w:sz w:val="24"/>
        </w:rPr>
        <w:t>s</w:t>
      </w:r>
      <w:r>
        <w:rPr>
          <w:rFonts w:ascii="Arial"/>
          <w:color w:val="000000"/>
          <w:sz w:val="24"/>
        </w:rPr>
        <w:t xml:space="preserve"> </w:t>
      </w:r>
      <w:r>
        <w:rPr>
          <w:rFonts w:ascii="Arial"/>
          <w:color w:val="000000"/>
          <w:sz w:val="24"/>
        </w:rPr>
        <w:t xml:space="preserve">a number of outstanding proposals </w:t>
      </w:r>
      <w:r>
        <w:rPr>
          <w:rFonts w:ascii="Arial"/>
          <w:color w:val="000000"/>
          <w:sz w:val="24"/>
        </w:rPr>
        <w:t xml:space="preserve">for </w:t>
      </w:r>
      <w:r>
        <w:rPr>
          <w:rFonts w:ascii="Arial"/>
          <w:color w:val="000000"/>
          <w:sz w:val="24"/>
        </w:rPr>
        <w:t>amendments to the application documents or documents accompanying the applications arising from the expert reports and evidence of the 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consultants</w:t>
      </w:r>
      <w:r>
        <w:rPr>
          <w:rFonts w:ascii="Arial"/>
          <w:color w:val="000000"/>
          <w:sz w:val="24"/>
        </w:rPr>
        <w:t xml:space="preserve">. </w:t>
      </w:r>
    </w:p>
    <w:p>
      <w:pPr>
        <w:pStyle w:val="CaselawHeading2"/>
        <w:keepNext/>
        <w:spacing w:before="150" w:after="150" w:line="264"/>
        <w:ind w:left="0"/>
        <w:jc w:val="left"/>
      </w:pPr>
      <w:r>
        <w:rPr>
          <w:rFonts w:ascii="Arial"/>
        </w:rPr>
        <w:t>A</w:t>
      </w:r>
      <w:r>
        <w:rPr>
          <w:rFonts w:ascii="Arial"/>
        </w:rPr>
        <w:t xml:space="preserve">mending the s68 applications </w:t>
      </w:r>
    </w:p>
    <w:p>
      <w:pPr>
        <w:pStyle w:val="CaselawNumbered10"/>
        <w:numPr>
          <w:ilvl w:val="0"/>
          <w:numId w:val="37"/>
        </w:numPr>
        <w:spacing w:before="150" w:after="0"/>
        <w:ind w:left="600" w:hanging="600"/>
      </w:pPr>
      <w:r>
        <w:rPr>
          <w:rFonts w:ascii="Arial"/>
          <w:color w:val="000000"/>
          <w:sz w:val="24"/>
        </w:rPr>
        <w:t>In closing</w:t>
      </w:r>
      <w:r>
        <w:rPr>
          <w:rFonts w:ascii="Arial"/>
          <w:color w:val="000000"/>
          <w:sz w:val="24"/>
        </w:rPr>
        <w:t>,</w:t>
      </w:r>
      <w:r>
        <w:rPr>
          <w:rFonts w:ascii="Arial"/>
          <w:color w:val="000000"/>
          <w:sz w:val="24"/>
        </w:rPr>
        <w:t xml:space="preserve"> </w:t>
      </w:r>
      <w:r>
        <w:rPr>
          <w:rFonts w:ascii="Arial"/>
          <w:color w:val="000000"/>
          <w:sz w:val="24"/>
        </w:rPr>
        <w:t xml:space="preserve">the applicant invited me </w:t>
      </w:r>
      <w:r>
        <w:rPr>
          <w:rFonts w:ascii="Arial"/>
          <w:color w:val="000000"/>
          <w:sz w:val="24"/>
        </w:rPr>
        <w:t xml:space="preserve">to accept into evidence the amended </w:t>
      </w:r>
      <w:r>
        <w:rPr>
          <w:rFonts w:ascii="Arial"/>
          <w:color w:val="000000"/>
          <w:sz w:val="24"/>
        </w:rPr>
        <w:t>Wetland Monitoring and Adaptive Management Plan (</w:t>
      </w:r>
      <w:r>
        <w:rPr>
          <w:rFonts w:ascii="Arial"/>
          <w:b/>
          <w:color w:val="000000"/>
          <w:sz w:val="24"/>
        </w:rPr>
        <w:t>WMAMP</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Wetland Management Plan (</w:t>
      </w:r>
      <w:r>
        <w:rPr>
          <w:rFonts w:ascii="Arial"/>
          <w:b/>
          <w:color w:val="000000"/>
          <w:sz w:val="24"/>
        </w:rPr>
        <w:t>WMP</w:t>
      </w:r>
      <w:r>
        <w:rPr>
          <w:rFonts w:ascii="Arial"/>
          <w:color w:val="000000"/>
          <w:sz w:val="24"/>
        </w:rPr>
        <w:t>)</w:t>
      </w:r>
      <w:r>
        <w:rPr>
          <w:rFonts w:ascii="Arial"/>
          <w:color w:val="000000"/>
          <w:sz w:val="24"/>
        </w:rPr>
        <w:t xml:space="preserve"> </w:t>
      </w:r>
      <w:r>
        <w:rPr>
          <w:rFonts w:ascii="Arial"/>
          <w:color w:val="000000"/>
          <w:sz w:val="24"/>
        </w:rPr>
        <w:t>marked Annexure B</w:t>
      </w:r>
      <w:r>
        <w:rPr>
          <w:rFonts w:ascii="Arial"/>
          <w:color w:val="000000"/>
          <w:sz w:val="24"/>
        </w:rPr>
        <w:t xml:space="preserve"> </w:t>
      </w:r>
      <w:r>
        <w:rPr>
          <w:rFonts w:ascii="Arial"/>
          <w:color w:val="000000"/>
          <w:sz w:val="24"/>
        </w:rPr>
        <w:t>to the</w:t>
      </w:r>
      <w:r>
        <w:rPr>
          <w:rFonts w:ascii="Arial"/>
          <w:color w:val="000000"/>
          <w:sz w:val="24"/>
        </w:rPr>
        <w:t xml:space="preserve"> </w:t>
      </w:r>
      <w:r>
        <w:rPr>
          <w:rFonts w:ascii="Arial"/>
          <w:color w:val="000000"/>
          <w:sz w:val="24"/>
        </w:rPr>
        <w:t>a</w:t>
      </w:r>
      <w:r>
        <w:rPr>
          <w:rFonts w:ascii="Arial"/>
          <w:color w:val="000000"/>
          <w:sz w:val="24"/>
        </w:rPr>
        <w:t>pplicant</w:t>
      </w:r>
      <w:r>
        <w:rPr>
          <w:rFonts w:ascii="Arial"/>
          <w:color w:val="000000"/>
          <w:sz w:val="24"/>
        </w:rPr>
        <w:t>’</w:t>
      </w:r>
      <w:r>
        <w:rPr>
          <w:rFonts w:ascii="Arial"/>
          <w:color w:val="000000"/>
          <w:sz w:val="24"/>
        </w:rPr>
        <w:t>s closing written submissions dated 11 December 2023 (</w:t>
      </w:r>
      <w:r>
        <w:rPr>
          <w:rFonts w:ascii="Arial"/>
          <w:b/>
          <w:color w:val="000000"/>
          <w:sz w:val="24"/>
        </w:rPr>
        <w:t>ACWS</w:t>
      </w:r>
      <w:r>
        <w:rPr>
          <w:rFonts w:ascii="Arial"/>
          <w:color w:val="000000"/>
          <w:sz w:val="24"/>
        </w:rPr>
        <w:t>)</w:t>
      </w:r>
      <w:r>
        <w:rPr>
          <w:rFonts w:ascii="Arial"/>
          <w:color w:val="000000"/>
          <w:sz w:val="24"/>
        </w:rPr>
        <w:t>, subject to further minor editing that</w:t>
      </w:r>
      <w:r>
        <w:rPr>
          <w:rFonts w:ascii="Arial"/>
          <w:color w:val="000000"/>
          <w:sz w:val="24"/>
        </w:rPr>
        <w:t xml:space="preserve"> </w:t>
      </w:r>
      <w:r>
        <w:rPr>
          <w:rFonts w:ascii="Arial"/>
          <w:color w:val="000000"/>
          <w:sz w:val="24"/>
        </w:rPr>
        <w:t>it submitted</w:t>
      </w:r>
      <w:r>
        <w:rPr>
          <w:rFonts w:ascii="Arial"/>
          <w:color w:val="000000"/>
          <w:sz w:val="24"/>
        </w:rPr>
        <w:t xml:space="preserve"> </w:t>
      </w:r>
      <w:r>
        <w:rPr>
          <w:rFonts w:ascii="Arial"/>
          <w:color w:val="000000"/>
          <w:sz w:val="24"/>
        </w:rPr>
        <w:t>may be required, for example, in order to record the frank concessions of Mr McCann</w:t>
      </w:r>
      <w:r>
        <w:rPr>
          <w:rFonts w:ascii="Arial"/>
          <w:color w:val="000000"/>
          <w:sz w:val="24"/>
        </w:rPr>
        <w:t xml:space="preserve"> </w:t>
      </w:r>
      <w:r>
        <w:rPr>
          <w:rFonts w:ascii="Arial"/>
          <w:color w:val="000000"/>
          <w:sz w:val="24"/>
        </w:rPr>
        <w:t>(the applicant</w:t>
      </w:r>
      <w:r>
        <w:rPr>
          <w:rFonts w:ascii="Arial"/>
          <w:color w:val="000000"/>
          <w:sz w:val="24"/>
        </w:rPr>
        <w:t>’</w:t>
      </w:r>
      <w:r>
        <w:rPr>
          <w:rFonts w:ascii="Arial"/>
          <w:color w:val="000000"/>
          <w:sz w:val="24"/>
        </w:rPr>
        <w:t xml:space="preserve">s </w:t>
      </w:r>
      <w:r>
        <w:rPr>
          <w:rFonts w:ascii="Arial"/>
          <w:color w:val="000000"/>
          <w:sz w:val="24"/>
        </w:rPr>
        <w:t>ecologist</w:t>
      </w:r>
      <w:r>
        <w:rPr>
          <w:rFonts w:ascii="Arial"/>
          <w:color w:val="000000"/>
          <w:sz w:val="24"/>
        </w:rPr>
        <w:t>)</w:t>
      </w:r>
      <w:r>
        <w:rPr>
          <w:rFonts w:ascii="Arial"/>
          <w:color w:val="000000"/>
          <w:sz w:val="24"/>
        </w:rPr>
        <w:t xml:space="preserve"> </w:t>
      </w:r>
      <w:r>
        <w:rPr>
          <w:rFonts w:ascii="Arial"/>
          <w:color w:val="000000"/>
          <w:sz w:val="24"/>
        </w:rPr>
        <w:t>in cross-examination (</w:t>
      </w:r>
      <w:r>
        <w:rPr>
          <w:rFonts w:ascii="Arial"/>
          <w:color w:val="000000"/>
          <w:sz w:val="24"/>
        </w:rPr>
        <w:t>A</w:t>
      </w:r>
      <w:r>
        <w:rPr>
          <w:rFonts w:ascii="Arial"/>
          <w:color w:val="000000"/>
          <w:sz w:val="24"/>
        </w:rPr>
        <w:t>C</w:t>
      </w:r>
      <w:r>
        <w:rPr>
          <w:rFonts w:ascii="Arial"/>
          <w:color w:val="000000"/>
          <w:sz w:val="24"/>
        </w:rPr>
        <w:t>WS</w:t>
      </w:r>
      <w:r>
        <w:rPr>
          <w:rFonts w:ascii="Arial"/>
          <w:color w:val="000000"/>
          <w:sz w:val="24"/>
        </w:rPr>
        <w:t xml:space="preserve"> </w:t>
      </w:r>
      <w:r>
        <w:rPr>
          <w:rFonts w:ascii="Arial"/>
          <w:color w:val="000000"/>
          <w:sz w:val="24"/>
        </w:rPr>
        <w:t>at par 101).</w:t>
      </w:r>
    </w:p>
    <w:p>
      <w:pPr>
        <w:pStyle w:val="CaselawNumbered10"/>
        <w:numPr>
          <w:ilvl w:val="0"/>
          <w:numId w:val="37"/>
        </w:numPr>
        <w:spacing w:before="150" w:after="0"/>
        <w:ind w:left="600" w:hanging="600"/>
      </w:pPr>
      <w:r>
        <w:rPr>
          <w:rFonts w:ascii="Arial"/>
          <w:color w:val="000000"/>
          <w:sz w:val="24"/>
        </w:rPr>
        <w:t xml:space="preserve">These revised reports </w:t>
      </w:r>
      <w:r>
        <w:rPr>
          <w:rFonts w:ascii="Arial"/>
          <w:color w:val="000000"/>
          <w:sz w:val="24"/>
        </w:rPr>
        <w:t xml:space="preserve">are </w:t>
      </w:r>
      <w:r>
        <w:rPr>
          <w:rFonts w:ascii="Arial"/>
          <w:color w:val="000000"/>
          <w:sz w:val="24"/>
        </w:rPr>
        <w:t xml:space="preserve">submitted in satisfaction of the </w:t>
      </w:r>
      <w:r>
        <w:rPr>
          <w:rFonts w:ascii="Arial"/>
          <w:color w:val="000000"/>
          <w:sz w:val="24"/>
        </w:rPr>
        <w:t xml:space="preserve">conditions of </w:t>
      </w:r>
      <w:r>
        <w:rPr>
          <w:rFonts w:ascii="Arial"/>
          <w:color w:val="000000"/>
          <w:sz w:val="24"/>
        </w:rPr>
        <w:t xml:space="preserve">the </w:t>
      </w:r>
      <w:r>
        <w:rPr>
          <w:rFonts w:ascii="Arial"/>
          <w:color w:val="000000"/>
          <w:sz w:val="24"/>
        </w:rPr>
        <w:t>consents</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prior to the issue of an</w:t>
      </w:r>
      <w:r>
        <w:rPr>
          <w:rFonts w:ascii="Arial"/>
          <w:color w:val="000000"/>
          <w:sz w:val="24"/>
        </w:rPr>
        <w:t>y</w:t>
      </w:r>
      <w:r>
        <w:rPr>
          <w:rFonts w:ascii="Arial"/>
          <w:color w:val="000000"/>
          <w:sz w:val="24"/>
        </w:rPr>
        <w:t xml:space="preserve"> </w:t>
      </w:r>
      <w:r>
        <w:rPr>
          <w:rFonts w:ascii="Arial"/>
          <w:color w:val="000000"/>
          <w:sz w:val="24"/>
        </w:rPr>
        <w:t xml:space="preserve">approval </w:t>
      </w:r>
      <w:r>
        <w:rPr>
          <w:rFonts w:ascii="Arial"/>
          <w:color w:val="000000"/>
          <w:sz w:val="24"/>
        </w:rPr>
        <w:t xml:space="preserve">by the Court </w:t>
      </w:r>
      <w:r>
        <w:rPr>
          <w:rFonts w:ascii="Arial"/>
          <w:color w:val="000000"/>
          <w:sz w:val="24"/>
        </w:rPr>
        <w:t xml:space="preserve">under s 68 of the LG Act for the proposed drainage works. </w:t>
      </w:r>
      <w:r>
        <w:rPr>
          <w:rFonts w:ascii="Arial"/>
          <w:color w:val="000000"/>
          <w:sz w:val="24"/>
        </w:rPr>
        <w:t>In accepting these amended reports, it is to be noted that t</w:t>
      </w:r>
      <w:r>
        <w:rPr>
          <w:rFonts w:ascii="Arial"/>
          <w:color w:val="000000"/>
          <w:sz w:val="24"/>
        </w:rPr>
        <w:t xml:space="preserve">he </w:t>
      </w:r>
      <w:r>
        <w:rPr>
          <w:rFonts w:ascii="Arial"/>
          <w:color w:val="000000"/>
          <w:sz w:val="24"/>
        </w:rPr>
        <w:t xml:space="preserve">power to amend a s68 application is specific and dealt with by s 87 </w:t>
      </w:r>
      <w:r>
        <w:rPr>
          <w:rFonts w:ascii="Arial"/>
          <w:color w:val="000000"/>
          <w:sz w:val="24"/>
        </w:rPr>
        <w:t xml:space="preserve">of the LG Act </w:t>
      </w:r>
      <w:r>
        <w:rPr>
          <w:rFonts w:ascii="Arial"/>
          <w:color w:val="000000"/>
          <w:sz w:val="24"/>
        </w:rPr>
        <w:t xml:space="preserve">which provides: </w:t>
      </w:r>
    </w:p>
    <w:p>
      <w:pPr>
        <w:pStyle w:val="CaselawQuote"/>
        <w:spacing w:before="150" w:after="150"/>
        <w:ind w:left="1350"/>
        <w:jc w:val="left"/>
      </w:pPr>
      <w:r>
        <w:rPr>
          <w:rFonts w:ascii="Arial"/>
          <w:b/>
          <w:color w:val="000000"/>
          <w:sz w:val="22"/>
        </w:rPr>
        <w:t>87 Amendment of applications</w:t>
      </w:r>
    </w:p>
    <w:p>
      <w:pPr>
        <w:pStyle w:val="CaselawQuote"/>
        <w:spacing w:before="150" w:after="150"/>
        <w:ind w:left="1350"/>
        <w:jc w:val="left"/>
      </w:pPr>
      <w:r>
        <w:rPr>
          <w:rFonts w:ascii="Arial"/>
          <w:color w:val="000000"/>
          <w:sz w:val="22"/>
        </w:rPr>
        <w:t>(1) An applicant, at any time before the application is determined, may make a minor amendment to the application and may amend any matter accompanying the application.</w:t>
      </w:r>
    </w:p>
    <w:p>
      <w:pPr>
        <w:pStyle w:val="CaselawQuote"/>
        <w:spacing w:before="150" w:after="150"/>
        <w:ind w:left="1350"/>
        <w:jc w:val="left"/>
      </w:pPr>
      <w:r>
        <w:rPr>
          <w:rFonts w:ascii="Arial"/>
          <w:color w:val="000000"/>
          <w:sz w:val="22"/>
        </w:rPr>
        <w:t>(2) The making of a minor amendment does not require the application to be further notified to anyone.</w:t>
      </w:r>
    </w:p>
    <w:p>
      <w:pPr>
        <w:pStyle w:val="CaselawQuote"/>
        <w:spacing w:before="150" w:after="150"/>
        <w:ind w:left="1350"/>
        <w:jc w:val="left"/>
      </w:pPr>
      <w:r>
        <w:rPr>
          <w:rFonts w:ascii="Arial"/>
          <w:color w:val="000000"/>
          <w:sz w:val="22"/>
        </w:rPr>
        <w:t>(3) For the purposes of section 105, the application is taken not to have been made until the amendment is made.</w:t>
      </w:r>
    </w:p>
    <w:p>
      <w:pPr>
        <w:pStyle w:val="CaselawNumbered10"/>
        <w:numPr>
          <w:ilvl w:val="0"/>
          <w:numId w:val="38"/>
        </w:numPr>
        <w:spacing w:before="150" w:after="0"/>
        <w:ind w:left="600" w:hanging="600"/>
      </w:pPr>
      <w:r>
        <w:rPr>
          <w:rFonts w:ascii="Arial"/>
          <w:color w:val="000000"/>
          <w:sz w:val="24"/>
        </w:rPr>
        <w:t>I am mindful that under</w:t>
      </w:r>
      <w:r>
        <w:rPr>
          <w:rFonts w:ascii="Arial"/>
          <w:color w:val="000000"/>
          <w:sz w:val="24"/>
        </w:rPr>
        <w:t xml:space="preserve"> </w:t>
      </w:r>
      <w:r>
        <w:rPr>
          <w:rFonts w:ascii="Arial"/>
          <w:color w:val="000000"/>
          <w:sz w:val="24"/>
        </w:rPr>
        <w:t xml:space="preserve">the section </w:t>
      </w:r>
      <w:r>
        <w:rPr>
          <w:rFonts w:ascii="Arial"/>
          <w:color w:val="000000"/>
          <w:sz w:val="24"/>
        </w:rPr>
        <w:t>there is only power to make minor amendments to the application</w:t>
      </w:r>
      <w:r>
        <w:rPr>
          <w:rFonts w:ascii="Arial"/>
          <w:color w:val="000000"/>
          <w:sz w:val="24"/>
        </w:rPr>
        <w:t>,</w:t>
      </w:r>
      <w:r>
        <w:rPr>
          <w:rFonts w:ascii="Arial"/>
          <w:color w:val="000000"/>
          <w:sz w:val="24"/>
        </w:rPr>
        <w:t xml:space="preserve"> </w:t>
      </w:r>
      <w:r>
        <w:rPr>
          <w:rFonts w:ascii="Arial"/>
          <w:color w:val="000000"/>
          <w:sz w:val="24"/>
        </w:rPr>
        <w:t xml:space="preserve">with a broader power for amendment of </w:t>
      </w:r>
      <w:r>
        <w:rPr>
          <w:rFonts w:ascii="Arial"/>
          <w:color w:val="000000"/>
          <w:sz w:val="24"/>
        </w:rPr>
        <w:t>accompanying material prior to a determination. O</w:t>
      </w:r>
      <w:r>
        <w:rPr>
          <w:rFonts w:ascii="Arial"/>
          <w:color w:val="000000"/>
          <w:sz w:val="24"/>
        </w:rPr>
        <w:t xml:space="preserve">utside of that power to amend, </w:t>
      </w:r>
      <w:r>
        <w:rPr>
          <w:rFonts w:ascii="Arial"/>
          <w:color w:val="000000"/>
          <w:sz w:val="24"/>
        </w:rPr>
        <w:t xml:space="preserve">it appears that there is </w:t>
      </w:r>
      <w:r>
        <w:rPr>
          <w:rFonts w:ascii="Arial"/>
          <w:color w:val="000000"/>
          <w:sz w:val="24"/>
        </w:rPr>
        <w:t xml:space="preserve">no power for the Court to </w:t>
      </w:r>
      <w:r>
        <w:rPr>
          <w:rFonts w:ascii="Arial"/>
          <w:color w:val="000000"/>
          <w:sz w:val="24"/>
        </w:rPr>
        <w:t>entertain</w:t>
      </w:r>
      <w:r>
        <w:rPr>
          <w:rFonts w:ascii="Arial"/>
          <w:color w:val="000000"/>
          <w:sz w:val="24"/>
        </w:rPr>
        <w:t xml:space="preserve"> </w:t>
      </w:r>
      <w:r>
        <w:rPr>
          <w:rFonts w:ascii="Arial"/>
          <w:color w:val="000000"/>
          <w:sz w:val="24"/>
        </w:rPr>
        <w:t>a</w:t>
      </w:r>
      <w:r>
        <w:rPr>
          <w:rFonts w:ascii="Arial"/>
          <w:color w:val="000000"/>
          <w:sz w:val="24"/>
        </w:rPr>
        <w:t>ny amended</w:t>
      </w:r>
      <w:r>
        <w:rPr>
          <w:rFonts w:ascii="Arial"/>
          <w:color w:val="000000"/>
          <w:sz w:val="24"/>
        </w:rPr>
        <w:t xml:space="preserve"> </w:t>
      </w:r>
      <w:r>
        <w:rPr>
          <w:rFonts w:ascii="Arial"/>
          <w:color w:val="000000"/>
          <w:sz w:val="24"/>
        </w:rPr>
        <w:t>application</w:t>
      </w:r>
      <w:r>
        <w:rPr>
          <w:rFonts w:ascii="Arial"/>
          <w:color w:val="000000"/>
          <w:sz w:val="24"/>
        </w:rPr>
        <w:t>:</w:t>
      </w:r>
      <w:r>
        <w:rPr>
          <w:rFonts w:ascii="Arial"/>
          <w:color w:val="000000"/>
          <w:sz w:val="24"/>
        </w:rPr>
        <w:t xml:space="preserve"> </w:t>
      </w:r>
      <w:r>
        <w:rPr>
          <w:rFonts w:ascii="Arial"/>
          <w:i/>
          <w:color w:val="000000"/>
          <w:sz w:val="24"/>
        </w:rPr>
        <w:t xml:space="preserve">AQC Dartbrook Pty Ltd v Minister for Planning and Public Spaces </w:t>
      </w:r>
      <w:r>
        <w:rPr>
          <w:rFonts w:ascii="Arial"/>
          <w:color w:val="000000"/>
          <w:sz w:val="24"/>
        </w:rPr>
        <w:t>(2021) 15 NSWLR 152;</w:t>
      </w:r>
      <w:r>
        <w:rPr>
          <w:rFonts w:ascii="Arial"/>
          <w:i/>
          <w:color w:val="000000"/>
          <w:sz w:val="24"/>
        </w:rPr>
        <w:t xml:space="preserve"> </w:t>
      </w:r>
      <w:r>
        <w:rPr>
          <w:rFonts w:ascii="Arial"/>
          <w:color w:val="000000"/>
          <w:sz w:val="24"/>
        </w:rPr>
        <w:t>[2021]</w:t>
      </w:r>
      <w:r>
        <w:rPr>
          <w:rFonts w:ascii="Arial"/>
          <w:color w:val="000000"/>
          <w:sz w:val="24"/>
        </w:rPr>
        <w:t xml:space="preserve"> </w:t>
      </w:r>
      <w:r>
        <w:rPr>
          <w:rFonts w:ascii="Arial"/>
          <w:color w:val="000000"/>
          <w:sz w:val="24"/>
        </w:rPr>
        <w:t>NSWCA 112 at [227]</w:t>
      </w:r>
      <w:r>
        <w:rPr>
          <w:rFonts w:ascii="Arial"/>
          <w:color w:val="000000"/>
          <w:sz w:val="24"/>
        </w:rPr>
        <w:t>.</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For that reason,</w:t>
      </w:r>
      <w:r>
        <w:rPr>
          <w:rFonts w:ascii="Arial"/>
          <w:color w:val="000000"/>
          <w:sz w:val="24"/>
        </w:rPr>
        <w:t xml:space="preserve"> </w:t>
      </w:r>
      <w:r>
        <w:rPr>
          <w:rFonts w:ascii="Arial"/>
          <w:color w:val="000000"/>
          <w:sz w:val="24"/>
        </w:rPr>
        <w:t>the section preclude</w:t>
      </w:r>
      <w:r>
        <w:rPr>
          <w:rFonts w:ascii="Arial"/>
          <w:color w:val="000000"/>
          <w:sz w:val="24"/>
        </w:rPr>
        <w:t>s</w:t>
      </w:r>
      <w:r>
        <w:rPr>
          <w:rFonts w:ascii="Arial"/>
          <w:color w:val="000000"/>
          <w:sz w:val="24"/>
        </w:rPr>
        <w:t xml:space="preserve"> </w:t>
      </w:r>
      <w:r>
        <w:rPr>
          <w:rFonts w:ascii="Arial"/>
          <w:color w:val="000000"/>
          <w:sz w:val="24"/>
        </w:rPr>
        <w:t xml:space="preserve">me from approving part of </w:t>
      </w:r>
      <w:r>
        <w:rPr>
          <w:rFonts w:ascii="Arial"/>
          <w:color w:val="000000"/>
          <w:sz w:val="24"/>
        </w:rPr>
        <w:t>the applicant</w:t>
      </w:r>
      <w:r>
        <w:rPr>
          <w:rFonts w:ascii="Arial"/>
          <w:color w:val="000000"/>
          <w:sz w:val="24"/>
        </w:rPr>
        <w:t>’</w:t>
      </w:r>
      <w:r>
        <w:rPr>
          <w:rFonts w:ascii="Arial"/>
          <w:color w:val="000000"/>
          <w:sz w:val="24"/>
        </w:rPr>
        <w:t xml:space="preserve">s s68 </w:t>
      </w:r>
      <w:r>
        <w:rPr>
          <w:rFonts w:ascii="Arial"/>
          <w:color w:val="000000"/>
          <w:sz w:val="24"/>
        </w:rPr>
        <w:t>applications</w:t>
      </w:r>
      <w:r>
        <w:rPr>
          <w:rFonts w:ascii="Arial"/>
          <w:color w:val="000000"/>
          <w:sz w:val="24"/>
        </w:rPr>
        <w:t xml:space="preserve"> </w:t>
      </w:r>
      <w:r>
        <w:rPr>
          <w:rFonts w:ascii="Arial"/>
          <w:color w:val="000000"/>
          <w:sz w:val="24"/>
        </w:rPr>
        <w:t>as that would amount to an amendment that is more tha</w:t>
      </w:r>
      <w:r>
        <w:rPr>
          <w:rFonts w:ascii="Arial"/>
          <w:color w:val="000000"/>
          <w:sz w:val="24"/>
        </w:rPr>
        <w:t>n</w:t>
      </w:r>
      <w:r>
        <w:rPr>
          <w:rFonts w:ascii="Arial"/>
          <w:color w:val="000000"/>
          <w:sz w:val="24"/>
        </w:rPr>
        <w:t xml:space="preserve"> </w:t>
      </w:r>
      <w:r>
        <w:rPr>
          <w:rFonts w:ascii="Arial"/>
          <w:color w:val="000000"/>
          <w:sz w:val="24"/>
        </w:rPr>
        <w:t xml:space="preserve">minor before </w:t>
      </w:r>
      <w:r>
        <w:rPr>
          <w:rFonts w:ascii="Arial"/>
          <w:color w:val="000000"/>
          <w:sz w:val="24"/>
        </w:rPr>
        <w:t xml:space="preserve">a </w:t>
      </w:r>
      <w:r>
        <w:rPr>
          <w:rFonts w:ascii="Arial"/>
          <w:color w:val="000000"/>
          <w:sz w:val="24"/>
        </w:rPr>
        <w:t>determination</w:t>
      </w:r>
      <w:r>
        <w:rPr>
          <w:rFonts w:ascii="Arial"/>
          <w:color w:val="000000"/>
          <w:sz w:val="24"/>
        </w:rPr>
        <w:t>. In particular, the proposed water supply and sewerage work which are accepted by the Council and if I was so minded</w:t>
      </w:r>
      <w:r>
        <w:rPr>
          <w:rFonts w:ascii="Arial"/>
          <w:color w:val="000000"/>
          <w:sz w:val="24"/>
        </w:rPr>
        <w:t xml:space="preserve">. </w:t>
      </w:r>
    </w:p>
    <w:p>
      <w:pPr>
        <w:pStyle w:val="CaselawHeading2"/>
        <w:keepNext/>
        <w:spacing w:before="150" w:after="150" w:line="264"/>
        <w:ind w:left="0"/>
        <w:jc w:val="left"/>
      </w:pPr>
      <w:r>
        <w:rPr>
          <w:rFonts w:ascii="Arial"/>
        </w:rPr>
        <w:t>S</w:t>
      </w:r>
      <w:r>
        <w:rPr>
          <w:rFonts w:ascii="Arial"/>
        </w:rPr>
        <w:t xml:space="preserve">tatutory framework </w:t>
      </w:r>
    </w:p>
    <w:p>
      <w:pPr>
        <w:pStyle w:val="CaselawNumbered10"/>
        <w:numPr>
          <w:ilvl w:val="0"/>
          <w:numId w:val="39"/>
        </w:numPr>
        <w:spacing w:before="150" w:after="0"/>
        <w:ind w:left="600" w:hanging="600"/>
      </w:pPr>
      <w:r>
        <w:rPr>
          <w:rFonts w:ascii="Arial"/>
          <w:color w:val="000000"/>
          <w:sz w:val="24"/>
        </w:rPr>
        <w:t xml:space="preserve">Before addressing </w:t>
      </w:r>
      <w:r>
        <w:rPr>
          <w:rFonts w:ascii="Arial"/>
          <w:color w:val="000000"/>
          <w:sz w:val="24"/>
        </w:rPr>
        <w:t xml:space="preserve">the </w:t>
      </w:r>
      <w:r>
        <w:rPr>
          <w:rFonts w:ascii="Arial"/>
          <w:color w:val="000000"/>
          <w:sz w:val="24"/>
        </w:rPr>
        <w:t xml:space="preserve">primary </w:t>
      </w:r>
      <w:r>
        <w:rPr>
          <w:rFonts w:ascii="Arial"/>
          <w:color w:val="000000"/>
          <w:sz w:val="24"/>
        </w:rPr>
        <w:t xml:space="preserve">issue </w:t>
      </w:r>
      <w:r>
        <w:rPr>
          <w:rFonts w:ascii="Arial"/>
          <w:color w:val="000000"/>
          <w:sz w:val="24"/>
        </w:rPr>
        <w:t xml:space="preserve">of </w:t>
      </w:r>
      <w:r>
        <w:rPr>
          <w:rFonts w:ascii="Arial"/>
          <w:color w:val="000000"/>
          <w:sz w:val="24"/>
        </w:rPr>
        <w:t>jurisdiction,</w:t>
      </w:r>
      <w:r>
        <w:rPr>
          <w:rFonts w:ascii="Arial"/>
          <w:color w:val="000000"/>
          <w:sz w:val="24"/>
        </w:rPr>
        <w:t xml:space="preserve"> </w:t>
      </w:r>
      <w:r>
        <w:rPr>
          <w:rFonts w:ascii="Arial"/>
          <w:color w:val="000000"/>
          <w:sz w:val="24"/>
        </w:rPr>
        <w:t>I</w:t>
      </w:r>
      <w:r>
        <w:rPr>
          <w:rFonts w:ascii="Arial"/>
          <w:color w:val="000000"/>
          <w:sz w:val="24"/>
        </w:rPr>
        <w:t xml:space="preserve"> </w:t>
      </w:r>
      <w:r>
        <w:rPr>
          <w:rFonts w:ascii="Arial"/>
          <w:color w:val="000000"/>
          <w:sz w:val="24"/>
        </w:rPr>
        <w:t>set out</w:t>
      </w:r>
      <w:r>
        <w:rPr>
          <w:rFonts w:ascii="Arial"/>
          <w:color w:val="000000"/>
          <w:sz w:val="24"/>
        </w:rPr>
        <w:t xml:space="preserve"> </w:t>
      </w:r>
      <w:r>
        <w:rPr>
          <w:rFonts w:ascii="Arial"/>
          <w:color w:val="000000"/>
          <w:sz w:val="24"/>
        </w:rPr>
        <w:t>below some of the</w:t>
      </w:r>
      <w:r>
        <w:rPr>
          <w:rFonts w:ascii="Arial"/>
          <w:color w:val="000000"/>
          <w:sz w:val="24"/>
        </w:rPr>
        <w:t xml:space="preserve"> </w:t>
      </w:r>
      <w:r>
        <w:rPr>
          <w:rFonts w:ascii="Arial"/>
          <w:color w:val="000000"/>
          <w:sz w:val="24"/>
        </w:rPr>
        <w:t xml:space="preserve">relevant provisions of </w:t>
      </w:r>
      <w:r>
        <w:rPr>
          <w:rFonts w:ascii="Arial"/>
          <w:color w:val="000000"/>
          <w:sz w:val="24"/>
        </w:rPr>
        <w:t xml:space="preserve">the legislative framework </w:t>
      </w:r>
      <w:r>
        <w:rPr>
          <w:rFonts w:ascii="Arial"/>
          <w:color w:val="000000"/>
          <w:sz w:val="24"/>
        </w:rPr>
        <w:t xml:space="preserve">as identified </w:t>
      </w:r>
      <w:r>
        <w:rPr>
          <w:rFonts w:ascii="Arial"/>
          <w:color w:val="000000"/>
          <w:sz w:val="24"/>
        </w:rPr>
        <w:t>in the Amended Statement of Facts and Contentions (</w:t>
      </w:r>
      <w:r>
        <w:rPr>
          <w:rFonts w:ascii="Arial"/>
          <w:b/>
          <w:color w:val="000000"/>
          <w:sz w:val="24"/>
        </w:rPr>
        <w:t>ASOFC</w:t>
      </w:r>
      <w:r>
        <w:rPr>
          <w:rFonts w:ascii="Arial"/>
          <w:color w:val="000000"/>
          <w:sz w:val="24"/>
        </w:rPr>
        <w:t>) and Reply (</w:t>
      </w:r>
      <w:r>
        <w:rPr>
          <w:rFonts w:ascii="Arial"/>
          <w:b/>
          <w:color w:val="000000"/>
          <w:sz w:val="24"/>
        </w:rPr>
        <w:t>ASOFC in Reply</w:t>
      </w:r>
      <w:r>
        <w:rPr>
          <w:rFonts w:ascii="Arial"/>
          <w:color w:val="000000"/>
          <w:sz w:val="24"/>
        </w:rPr>
        <w:t>)</w:t>
      </w:r>
      <w:r>
        <w:rPr>
          <w:rFonts w:ascii="Arial"/>
          <w:color w:val="000000"/>
          <w:sz w:val="24"/>
        </w:rPr>
        <w:t xml:space="preserve">. </w:t>
      </w:r>
    </w:p>
    <w:p>
      <w:pPr>
        <w:pStyle w:val="CaselawNumbered10"/>
        <w:numPr>
          <w:ilvl w:val="0"/>
          <w:numId w:val="39"/>
        </w:numPr>
        <w:spacing w:before="150" w:after="0"/>
        <w:ind w:left="600" w:hanging="600"/>
      </w:pPr>
      <w:r>
        <w:rPr>
          <w:rFonts w:ascii="Arial"/>
          <w:color w:val="000000"/>
          <w:sz w:val="24"/>
        </w:rPr>
        <w:t xml:space="preserve">Section </w:t>
      </w:r>
      <w:r>
        <w:rPr>
          <w:rFonts w:ascii="Arial"/>
          <w:color w:val="000000"/>
          <w:sz w:val="24"/>
        </w:rPr>
        <w:t xml:space="preserve">68(1) of the LG Act addresses </w:t>
      </w:r>
      <w:r>
        <w:rPr>
          <w:rFonts w:ascii="Arial"/>
          <w:color w:val="000000"/>
          <w:sz w:val="24"/>
        </w:rPr>
        <w:t>“</w:t>
      </w:r>
      <w:r>
        <w:rPr>
          <w:rFonts w:ascii="Arial"/>
          <w:color w:val="000000"/>
          <w:sz w:val="24"/>
        </w:rPr>
        <w:t>activities</w:t>
      </w:r>
      <w:r>
        <w:rPr>
          <w:rFonts w:ascii="Arial"/>
          <w:color w:val="000000"/>
          <w:sz w:val="24"/>
        </w:rPr>
        <w:t xml:space="preserve">” </w:t>
      </w:r>
      <w:r>
        <w:rPr>
          <w:rFonts w:ascii="Arial"/>
          <w:color w:val="000000"/>
          <w:sz w:val="24"/>
        </w:rPr>
        <w:t xml:space="preserve">that require the approval of </w:t>
      </w:r>
      <w:r>
        <w:rPr>
          <w:rFonts w:ascii="Arial"/>
          <w:color w:val="000000"/>
          <w:sz w:val="24"/>
        </w:rPr>
        <w:t xml:space="preserve">the </w:t>
      </w:r>
      <w:r>
        <w:rPr>
          <w:rFonts w:ascii="Arial"/>
          <w:color w:val="000000"/>
          <w:sz w:val="24"/>
        </w:rPr>
        <w:t xml:space="preserve">Council </w:t>
      </w:r>
      <w:r>
        <w:rPr>
          <w:rFonts w:ascii="Arial"/>
          <w:color w:val="000000"/>
          <w:sz w:val="24"/>
        </w:rPr>
        <w:t xml:space="preserve">(now the Court) </w:t>
      </w:r>
      <w:r>
        <w:rPr>
          <w:rFonts w:ascii="Arial"/>
          <w:color w:val="000000"/>
          <w:sz w:val="24"/>
        </w:rPr>
        <w:t>and provides as follows:</w:t>
      </w:r>
    </w:p>
    <w:p>
      <w:pPr>
        <w:pStyle w:val="CaselawQuote"/>
        <w:spacing w:before="150" w:after="150"/>
        <w:ind w:left="1350"/>
        <w:jc w:val="left"/>
      </w:pPr>
      <w:r>
        <w:rPr>
          <w:rFonts w:ascii="Arial"/>
          <w:color w:val="000000"/>
          <w:sz w:val="22"/>
        </w:rPr>
        <w:t>(1) A person may carry out an activity specified in the following Table only with the prior approval of the council, except in so far as this Act, the regulations or a local policy adopted under Part 3 allows the activity to be carried out without that approval.</w:t>
      </w:r>
    </w:p>
    <w:p>
      <w:pPr>
        <w:pStyle w:val="CaselawNumbered10"/>
        <w:numPr>
          <w:ilvl w:val="0"/>
          <w:numId w:val="40"/>
        </w:numPr>
        <w:spacing w:before="150" w:after="0"/>
        <w:ind w:left="600" w:hanging="600"/>
      </w:pPr>
      <w:r>
        <w:rPr>
          <w:rFonts w:ascii="Arial"/>
          <w:color w:val="000000"/>
          <w:sz w:val="24"/>
        </w:rPr>
        <w:t>Part B of the Table to s 68 provides:</w:t>
      </w:r>
    </w:p>
    <w:p>
      <w:pPr>
        <w:pStyle w:val="CaselawQuote"/>
        <w:spacing w:before="150" w:after="150"/>
        <w:ind w:left="1350"/>
        <w:jc w:val="left"/>
      </w:pPr>
      <w:r>
        <w:rPr>
          <w:rFonts w:ascii="Arial"/>
          <w:b/>
          <w:color w:val="000000"/>
          <w:sz w:val="22"/>
        </w:rPr>
        <w:t>Part B Water supply, sewerage and stormwater drainage work</w:t>
      </w:r>
    </w:p>
    <w:p>
      <w:pPr>
        <w:pStyle w:val="CaselawQuote"/>
        <w:spacing w:before="150" w:after="150"/>
        <w:ind w:left="1350"/>
        <w:jc w:val="left"/>
      </w:pPr>
      <w:r>
        <w:rPr>
          <w:rFonts w:ascii="Arial"/>
          <w:color w:val="000000"/>
          <w:sz w:val="22"/>
        </w:rPr>
        <w:t>1 Carry out water supply work</w:t>
      </w:r>
    </w:p>
    <w:p>
      <w:pPr>
        <w:pStyle w:val="CaselawQuote"/>
        <w:spacing w:before="150" w:after="150"/>
        <w:ind w:left="1350"/>
        <w:jc w:val="left"/>
      </w:pPr>
      <w:r>
        <w:rPr>
          <w:rFonts w:ascii="Arial"/>
          <w:color w:val="000000"/>
          <w:sz w:val="22"/>
        </w:rPr>
        <w:t>2 Draw water from a council water supply or a standpipe or sell water so drawn</w:t>
      </w:r>
    </w:p>
    <w:p>
      <w:pPr>
        <w:pStyle w:val="CaselawQuote"/>
        <w:spacing w:before="150" w:after="150"/>
        <w:ind w:left="1350"/>
        <w:jc w:val="left"/>
      </w:pPr>
      <w:r>
        <w:rPr>
          <w:rFonts w:ascii="Arial"/>
          <w:color w:val="000000"/>
          <w:sz w:val="22"/>
        </w:rPr>
        <w:t>3 Install, alter, disconnect or remove a meter connected to a service pipe</w:t>
      </w:r>
    </w:p>
    <w:p>
      <w:pPr>
        <w:pStyle w:val="CaselawQuote"/>
        <w:spacing w:before="150" w:after="150"/>
        <w:ind w:left="1350"/>
        <w:jc w:val="left"/>
      </w:pPr>
      <w:r>
        <w:rPr>
          <w:rFonts w:ascii="Arial"/>
          <w:color w:val="000000"/>
          <w:sz w:val="22"/>
        </w:rPr>
        <w:t>4 Carry out sewerage work</w:t>
      </w:r>
    </w:p>
    <w:p>
      <w:pPr>
        <w:pStyle w:val="CaselawQuote"/>
        <w:spacing w:before="150" w:after="150"/>
        <w:ind w:left="1350"/>
        <w:jc w:val="left"/>
      </w:pPr>
      <w:r>
        <w:rPr>
          <w:rFonts w:ascii="Arial"/>
          <w:color w:val="000000"/>
          <w:sz w:val="22"/>
        </w:rPr>
        <w:t>5 Carry out stormwater drainage work</w:t>
      </w:r>
    </w:p>
    <w:p>
      <w:pPr>
        <w:pStyle w:val="CaselawQuote"/>
        <w:spacing w:before="150" w:after="150"/>
        <w:ind w:left="1350"/>
        <w:jc w:val="left"/>
      </w:pPr>
      <w:r>
        <w:rPr>
          <w:rFonts w:ascii="Arial"/>
          <w:color w:val="000000"/>
          <w:sz w:val="22"/>
        </w:rPr>
        <w:t>6 Connect a private drain or sewer with a public drain or sewer under the control of a council or with a drain or sewer which connects with such a public drain or sewer</w:t>
      </w:r>
    </w:p>
    <w:p>
      <w:pPr>
        <w:pStyle w:val="CaselawNumbered10"/>
        <w:numPr>
          <w:ilvl w:val="0"/>
          <w:numId w:val="41"/>
        </w:numPr>
        <w:spacing w:before="150" w:after="0"/>
        <w:ind w:left="600" w:hanging="600"/>
      </w:pPr>
      <w:r>
        <w:rPr>
          <w:rFonts w:ascii="Arial"/>
          <w:color w:val="000000"/>
          <w:sz w:val="24"/>
        </w:rPr>
        <w:t>Applications for the purpose of s 68 of the LG Act are to be made to Council (s</w:t>
      </w:r>
      <w:r>
        <w:rPr>
          <w:rFonts w:ascii="Arial"/>
          <w:color w:val="000000"/>
          <w:sz w:val="24"/>
        </w:rPr>
        <w:t> 75) by the person proposing to carry out the activity (s 78(1)) and must be made by the owner of the land (or with the consent of the owner of the land) to which the application applies (s 78(2)) in the approved form (s 79). An application may relate to (s 76):</w:t>
      </w:r>
    </w:p>
    <w:p>
      <w:pPr>
        <w:pStyle w:val="CaselawBullet"/>
        <w:numPr>
          <w:ilvl w:val="0"/>
          <w:numId w:val="42"/>
        </w:numPr>
        <w:spacing w:before="150" w:after="0"/>
        <w:ind w:left="600" w:hanging="250"/>
      </w:pPr>
      <w:r>
        <w:rPr>
          <w:rFonts w:ascii="Arial"/>
          <w:color w:val="000000"/>
          <w:sz w:val="24"/>
        </w:rPr>
        <w:t>the whole or part of an activity</w:t>
      </w:r>
    </w:p>
    <w:p>
      <w:pPr>
        <w:pStyle w:val="CaselawBullet"/>
        <w:numPr>
          <w:ilvl w:val="0"/>
          <w:numId w:val="42"/>
        </w:numPr>
        <w:spacing w:before="150" w:after="0"/>
        <w:ind w:left="600" w:hanging="250"/>
      </w:pPr>
      <w:r>
        <w:rPr>
          <w:rFonts w:ascii="Arial"/>
          <w:color w:val="000000"/>
          <w:sz w:val="24"/>
        </w:rPr>
        <w:t>the whole or any part of land on which the activity is proposed to be carried out</w:t>
      </w:r>
    </w:p>
    <w:p>
      <w:pPr>
        <w:pStyle w:val="CaselawBullet"/>
        <w:numPr>
          <w:ilvl w:val="0"/>
          <w:numId w:val="42"/>
        </w:numPr>
        <w:spacing w:before="150" w:after="0"/>
        <w:ind w:left="600" w:hanging="250"/>
      </w:pPr>
      <w:r>
        <w:rPr>
          <w:rFonts w:ascii="Arial"/>
          <w:color w:val="000000"/>
          <w:sz w:val="24"/>
        </w:rPr>
        <w:t>more than one activity.</w:t>
      </w:r>
    </w:p>
    <w:p>
      <w:pPr>
        <w:pStyle w:val="CaselawNumbered10"/>
        <w:numPr>
          <w:ilvl w:val="0"/>
          <w:numId w:val="43"/>
        </w:numPr>
        <w:spacing w:before="150" w:after="0"/>
        <w:ind w:left="600" w:hanging="600"/>
      </w:pPr>
      <w:r>
        <w:rPr>
          <w:rFonts w:ascii="Arial"/>
          <w:color w:val="000000"/>
          <w:sz w:val="24"/>
        </w:rPr>
        <w:t xml:space="preserve">The Dictionary, with s 3 of the LG Act, defines </w:t>
      </w:r>
      <w:r>
        <w:rPr>
          <w:rFonts w:ascii="Arial"/>
          <w:color w:val="000000"/>
          <w:sz w:val="24"/>
        </w:rPr>
        <w:t>“</w:t>
      </w:r>
      <w:r>
        <w:rPr>
          <w:rFonts w:ascii="Arial"/>
          <w:color w:val="000000"/>
          <w:sz w:val="24"/>
        </w:rPr>
        <w:t>approved form</w:t>
      </w:r>
      <w:r>
        <w:rPr>
          <w:rFonts w:ascii="Arial"/>
          <w:color w:val="000000"/>
          <w:sz w:val="24"/>
        </w:rPr>
        <w:t>”</w:t>
      </w:r>
      <w:r>
        <w:rPr>
          <w:rFonts w:ascii="Arial"/>
          <w:color w:val="000000"/>
          <w:sz w:val="24"/>
        </w:rPr>
        <w:t xml:space="preserve"> </w:t>
      </w:r>
      <w:r>
        <w:rPr>
          <w:rFonts w:ascii="Arial"/>
          <w:color w:val="000000"/>
          <w:sz w:val="24"/>
        </w:rPr>
        <w:t>as</w:t>
      </w:r>
      <w:r>
        <w:rPr>
          <w:rFonts w:ascii="Arial"/>
          <w:color w:val="000000"/>
          <w:sz w:val="24"/>
        </w:rPr>
        <w:t>:</w:t>
      </w:r>
    </w:p>
    <w:p>
      <w:pPr>
        <w:pStyle w:val="CaselawQuote"/>
        <w:spacing w:before="150" w:after="150"/>
        <w:ind w:left="1350"/>
        <w:jc w:val="left"/>
      </w:pPr>
      <w:r>
        <w:rPr>
          <w:rFonts w:ascii="Arial"/>
          <w:color w:val="000000"/>
          <w:sz w:val="22"/>
        </w:rPr>
        <w:t>(a) the form prescribed by the regulations for the purposes of the provision in relation to which the expression is used, or</w:t>
      </w:r>
    </w:p>
    <w:p>
      <w:pPr>
        <w:pStyle w:val="CaselawQuote"/>
        <w:spacing w:before="150" w:after="150"/>
        <w:ind w:left="1350"/>
        <w:jc w:val="left"/>
      </w:pPr>
      <w:r>
        <w:rPr>
          <w:rFonts w:ascii="Arial"/>
          <w:color w:val="000000"/>
          <w:sz w:val="22"/>
        </w:rPr>
        <w:t>(b) if no such form is prescribed, the form (if any) approved by the Director-General for the purposes of the provision in relation to which the expression is used, or</w:t>
      </w:r>
    </w:p>
    <w:p>
      <w:pPr>
        <w:pStyle w:val="CaselawQuote"/>
        <w:spacing w:before="150" w:after="150"/>
        <w:ind w:left="1350"/>
        <w:jc w:val="left"/>
      </w:pPr>
      <w:r>
        <w:rPr>
          <w:rFonts w:ascii="Arial"/>
          <w:color w:val="000000"/>
          <w:sz w:val="22"/>
        </w:rPr>
        <w:t>©</w:t>
      </w:r>
      <w:r>
        <w:rPr>
          <w:rFonts w:ascii="Arial"/>
          <w:color w:val="000000"/>
          <w:sz w:val="22"/>
        </w:rPr>
        <w:t xml:space="preserve"> if no such form is prescribed and no form is approved by the Director-General, the form approved by the council for the purposes of the provision in relation to which the expression is used.</w:t>
      </w:r>
    </w:p>
    <w:p>
      <w:pPr>
        <w:pStyle w:val="CaselawNumbered10"/>
        <w:numPr>
          <w:ilvl w:val="0"/>
          <w:numId w:val="44"/>
        </w:numPr>
        <w:spacing w:before="150" w:after="0"/>
        <w:ind w:left="600" w:hanging="600"/>
      </w:pPr>
      <w:r>
        <w:rPr>
          <w:rFonts w:ascii="Arial"/>
          <w:color w:val="000000"/>
          <w:sz w:val="24"/>
        </w:rPr>
        <w:t xml:space="preserve">The s68 application </w:t>
      </w:r>
      <w:r>
        <w:rPr>
          <w:rFonts w:ascii="Arial"/>
          <w:color w:val="000000"/>
          <w:sz w:val="24"/>
        </w:rPr>
        <w:t xml:space="preserve">relating to the 99-lot proceedings </w:t>
      </w:r>
      <w:r>
        <w:rPr>
          <w:rFonts w:ascii="Arial"/>
          <w:color w:val="000000"/>
          <w:sz w:val="24"/>
        </w:rPr>
        <w:t>on the</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p</w:t>
      </w:r>
      <w:r>
        <w:rPr>
          <w:rFonts w:ascii="Arial"/>
          <w:color w:val="000000"/>
          <w:sz w:val="24"/>
        </w:rPr>
        <w:t xml:space="preserve">lanning </w:t>
      </w:r>
      <w:r>
        <w:rPr>
          <w:rFonts w:ascii="Arial"/>
          <w:color w:val="000000"/>
          <w:sz w:val="24"/>
        </w:rPr>
        <w:t>p</w:t>
      </w:r>
      <w:r>
        <w:rPr>
          <w:rFonts w:ascii="Arial"/>
          <w:color w:val="000000"/>
          <w:sz w:val="24"/>
        </w:rPr>
        <w:t xml:space="preserve">ortal </w:t>
      </w:r>
      <w:r>
        <w:rPr>
          <w:rFonts w:ascii="Arial"/>
          <w:color w:val="000000"/>
          <w:sz w:val="24"/>
        </w:rPr>
        <w:t>(</w:t>
      </w:r>
      <w:r>
        <w:rPr>
          <w:rFonts w:ascii="Arial"/>
          <w:b/>
          <w:color w:val="000000"/>
          <w:sz w:val="24"/>
        </w:rPr>
        <w:t>the portal</w:t>
      </w:r>
      <w:r>
        <w:rPr>
          <w:rFonts w:ascii="Arial"/>
          <w:color w:val="000000"/>
          <w:sz w:val="24"/>
        </w:rPr>
        <w:t xml:space="preserve">) </w:t>
      </w:r>
      <w:r>
        <w:rPr>
          <w:rFonts w:ascii="Arial"/>
          <w:color w:val="000000"/>
          <w:sz w:val="24"/>
        </w:rPr>
        <w:t xml:space="preserve">is made by </w:t>
      </w:r>
      <w:r>
        <w:rPr>
          <w:rFonts w:ascii="Arial"/>
          <w:color w:val="000000"/>
          <w:sz w:val="24"/>
        </w:rPr>
        <w:t>“</w:t>
      </w:r>
      <w:r>
        <w:rPr>
          <w:rFonts w:ascii="Arial"/>
          <w:color w:val="000000"/>
          <w:sz w:val="24"/>
        </w:rPr>
        <w:t>Aaron Chandler</w:t>
      </w:r>
      <w:r>
        <w:rPr>
          <w:rFonts w:ascii="Arial"/>
          <w:color w:val="000000"/>
          <w:sz w:val="24"/>
        </w:rPr>
        <w:t xml:space="preserve">” </w:t>
      </w:r>
      <w:r>
        <w:rPr>
          <w:rFonts w:ascii="Arial"/>
          <w:color w:val="000000"/>
          <w:sz w:val="24"/>
        </w:rPr>
        <w:t xml:space="preserve">of Impact Group for the following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w:t>
      </w:r>
    </w:p>
    <w:p>
      <w:pPr>
        <w:pStyle w:val="CaselawQuote"/>
        <w:spacing w:before="150" w:after="150"/>
        <w:ind w:left="1350"/>
        <w:jc w:val="left"/>
      </w:pPr>
      <w:r>
        <w:rPr>
          <w:rFonts w:ascii="Arial"/>
          <w:color w:val="000000"/>
          <w:sz w:val="22"/>
        </w:rPr>
        <w:t>“#Carry out sewerage work</w:t>
      </w:r>
    </w:p>
    <w:p>
      <w:pPr>
        <w:pStyle w:val="CaselawQuote"/>
        <w:spacing w:before="150" w:after="150"/>
        <w:ind w:left="1350"/>
        <w:jc w:val="left"/>
      </w:pPr>
      <w:r>
        <w:rPr>
          <w:rFonts w:ascii="Arial"/>
          <w:color w:val="000000"/>
          <w:sz w:val="22"/>
        </w:rPr>
        <w:t>#Carry out stormwater drainage work</w:t>
      </w:r>
    </w:p>
    <w:p>
      <w:pPr>
        <w:pStyle w:val="CaselawQuote"/>
        <w:spacing w:before="150" w:after="150"/>
        <w:ind w:left="1350"/>
        <w:jc w:val="left"/>
      </w:pPr>
      <w:r>
        <w:rPr>
          <w:rFonts w:ascii="Arial"/>
          <w:color w:val="000000"/>
          <w:sz w:val="22"/>
        </w:rPr>
        <w:t>#Carry out water supply work</w:t>
      </w:r>
    </w:p>
    <w:p>
      <w:pPr>
        <w:pStyle w:val="CaselawQuote"/>
        <w:spacing w:before="150" w:after="150"/>
        <w:ind w:left="1350"/>
        <w:jc w:val="left"/>
      </w:pPr>
      <w:r>
        <w:rPr>
          <w:rFonts w:ascii="Arial"/>
          <w:color w:val="000000"/>
          <w:sz w:val="22"/>
        </w:rPr>
        <w:t>#Connect a private drain or sewer with a public drain or sewer under the control of Council or with a drain or sewer, which connects to a public drain or sewer</w:t>
      </w:r>
    </w:p>
    <w:p>
      <w:pPr>
        <w:pStyle w:val="CaselawQuote"/>
        <w:spacing w:before="150" w:after="150"/>
        <w:ind w:left="1350"/>
        <w:jc w:val="left"/>
      </w:pPr>
      <w:r>
        <w:rPr>
          <w:rFonts w:ascii="Arial"/>
          <w:color w:val="000000"/>
          <w:sz w:val="22"/>
        </w:rPr>
        <w:t>#Draw water from a Council water supply or a standpipe or selling water drawn</w:t>
      </w:r>
    </w:p>
    <w:p>
      <w:pPr>
        <w:pStyle w:val="CaselawQuote"/>
        <w:spacing w:before="150" w:after="150"/>
        <w:ind w:left="1350"/>
        <w:jc w:val="left"/>
      </w:pPr>
      <w:r>
        <w:rPr>
          <w:rFonts w:ascii="Arial"/>
          <w:color w:val="000000"/>
          <w:sz w:val="22"/>
        </w:rPr>
        <w:t>#Install, alter, disconnect or remove a meter connected to a council provided water service pipe”</w:t>
      </w:r>
    </w:p>
    <w:p>
      <w:pPr>
        <w:pStyle w:val="CaselawNumbered10"/>
        <w:numPr>
          <w:ilvl w:val="0"/>
          <w:numId w:val="45"/>
        </w:numPr>
        <w:spacing w:before="150" w:after="0"/>
        <w:ind w:left="600" w:hanging="600"/>
      </w:pPr>
      <w:r>
        <w:rPr>
          <w:rFonts w:ascii="Arial"/>
          <w:color w:val="000000"/>
          <w:sz w:val="24"/>
        </w:rPr>
        <w:t xml:space="preserve">The </w:t>
      </w:r>
      <w:r>
        <w:rPr>
          <w:rFonts w:ascii="Arial"/>
          <w:color w:val="000000"/>
          <w:sz w:val="24"/>
        </w:rPr>
        <w:t>“</w:t>
      </w:r>
      <w:r>
        <w:rPr>
          <w:rFonts w:ascii="Arial"/>
          <w:color w:val="000000"/>
          <w:sz w:val="24"/>
        </w:rPr>
        <w:t>Application for Approval Under Section 68 of the Local Government Act and 138 Roads Act 1993</w:t>
      </w:r>
      <w:r>
        <w:rPr>
          <w:rFonts w:ascii="Arial"/>
          <w:color w:val="000000"/>
          <w:sz w:val="24"/>
        </w:rPr>
        <w:t xml:space="preserve">” </w:t>
      </w:r>
      <w:r>
        <w:rPr>
          <w:rFonts w:ascii="Arial"/>
          <w:color w:val="000000"/>
          <w:sz w:val="24"/>
        </w:rPr>
        <w:t xml:space="preserve">form in the </w:t>
      </w:r>
      <w:r>
        <w:rPr>
          <w:rFonts w:ascii="Arial"/>
          <w:color w:val="000000"/>
          <w:sz w:val="24"/>
        </w:rPr>
        <w:t>99-lot proceedings</w:t>
      </w:r>
      <w:r>
        <w:rPr>
          <w:rFonts w:ascii="Arial"/>
          <w:color w:val="000000"/>
          <w:sz w:val="24"/>
        </w:rPr>
        <w:t xml:space="preserve"> </w:t>
      </w:r>
      <w:r>
        <w:rPr>
          <w:rFonts w:ascii="Arial"/>
          <w:color w:val="000000"/>
          <w:sz w:val="24"/>
        </w:rPr>
        <w:t>indicates that the proposed approvals are:</w:t>
      </w:r>
    </w:p>
    <w:p>
      <w:pPr>
        <w:pStyle w:val="CaselawQuote"/>
        <w:spacing w:before="150" w:after="150"/>
        <w:ind w:left="1350"/>
        <w:jc w:val="left"/>
      </w:pPr>
      <w:r>
        <w:rPr>
          <w:rFonts w:ascii="Arial"/>
          <w:color w:val="000000"/>
          <w:sz w:val="22"/>
        </w:rPr>
        <w:t xml:space="preserve">“• </w:t>
      </w:r>
      <w:r>
        <w:rPr>
          <w:rFonts w:ascii="Arial"/>
          <w:color w:val="000000"/>
          <w:sz w:val="22"/>
        </w:rPr>
        <w:t>Carry out water supply work;</w:t>
      </w:r>
    </w:p>
    <w:p>
      <w:pPr>
        <w:pStyle w:val="CaselawQuote"/>
        <w:spacing w:before="150" w:after="150"/>
        <w:ind w:left="1350"/>
        <w:jc w:val="left"/>
      </w:pPr>
      <w:r>
        <w:rPr>
          <w:rFonts w:ascii="Arial"/>
          <w:color w:val="000000"/>
          <w:sz w:val="22"/>
        </w:rPr>
        <w:t xml:space="preserve">• </w:t>
      </w:r>
      <w:r>
        <w:rPr>
          <w:rFonts w:ascii="Arial"/>
          <w:color w:val="000000"/>
          <w:sz w:val="22"/>
        </w:rPr>
        <w:t>Carry out sewerage work;</w:t>
      </w:r>
    </w:p>
    <w:p>
      <w:pPr>
        <w:pStyle w:val="CaselawQuote"/>
        <w:spacing w:before="150" w:after="150"/>
        <w:ind w:left="1350"/>
        <w:jc w:val="left"/>
      </w:pPr>
      <w:r>
        <w:rPr>
          <w:rFonts w:ascii="Arial"/>
          <w:color w:val="000000"/>
          <w:sz w:val="22"/>
        </w:rPr>
        <w:t xml:space="preserve">• </w:t>
      </w:r>
      <w:r>
        <w:rPr>
          <w:rFonts w:ascii="Arial"/>
          <w:color w:val="000000"/>
          <w:sz w:val="22"/>
        </w:rPr>
        <w:t>Carry out stormwater drainage work;</w:t>
      </w:r>
    </w:p>
    <w:p>
      <w:pPr>
        <w:pStyle w:val="CaselawQuote"/>
        <w:spacing w:before="150" w:after="150"/>
        <w:ind w:left="1350"/>
        <w:jc w:val="left"/>
      </w:pPr>
      <w:r>
        <w:rPr>
          <w:rFonts w:ascii="Arial"/>
          <w:color w:val="000000"/>
          <w:sz w:val="22"/>
        </w:rPr>
        <w:t xml:space="preserve">• </w:t>
      </w:r>
      <w:r>
        <w:rPr>
          <w:rFonts w:ascii="Arial"/>
          <w:color w:val="000000"/>
          <w:sz w:val="22"/>
        </w:rPr>
        <w:t>Install, alter disconnect or remove a meter connected to a service pipe;</w:t>
      </w:r>
    </w:p>
    <w:p>
      <w:pPr>
        <w:pStyle w:val="CaselawQuote"/>
        <w:spacing w:before="150" w:after="150"/>
        <w:ind w:left="1350"/>
        <w:jc w:val="left"/>
      </w:pPr>
      <w:r>
        <w:rPr>
          <w:rFonts w:ascii="Arial"/>
          <w:color w:val="000000"/>
          <w:sz w:val="22"/>
        </w:rPr>
        <w:t xml:space="preserve">• </w:t>
      </w:r>
      <w:r>
        <w:rPr>
          <w:rFonts w:ascii="Arial"/>
          <w:color w:val="000000"/>
          <w:sz w:val="22"/>
        </w:rPr>
        <w:t>Draw water from a Council water supply or a standpipe or selling water so drawn;</w:t>
      </w:r>
    </w:p>
    <w:p>
      <w:pPr>
        <w:pStyle w:val="CaselawQuote"/>
        <w:spacing w:before="150" w:after="150"/>
        <w:ind w:left="1350"/>
        <w:jc w:val="left"/>
      </w:pPr>
      <w:r>
        <w:rPr>
          <w:rFonts w:ascii="Arial"/>
          <w:color w:val="000000"/>
          <w:sz w:val="22"/>
        </w:rPr>
        <w:t xml:space="preserve">• </w:t>
      </w:r>
      <w:r>
        <w:rPr>
          <w:rFonts w:ascii="Arial"/>
          <w:color w:val="000000"/>
          <w:sz w:val="22"/>
        </w:rPr>
        <w:t>Connect private property to Council sewerage system; and</w:t>
      </w:r>
    </w:p>
    <w:p>
      <w:pPr>
        <w:pStyle w:val="CaselawQuote"/>
        <w:spacing w:before="150" w:after="150"/>
        <w:ind w:left="1350"/>
        <w:jc w:val="left"/>
      </w:pPr>
      <w:r>
        <w:rPr>
          <w:rFonts w:ascii="Arial"/>
          <w:color w:val="000000"/>
          <w:sz w:val="22"/>
        </w:rPr>
        <w:t xml:space="preserve">• </w:t>
      </w:r>
      <w:r>
        <w:rPr>
          <w:rFonts w:ascii="Arial"/>
          <w:color w:val="000000"/>
          <w:sz w:val="22"/>
        </w:rPr>
        <w:t>Approval under Section 138 of the Roads Act 1993”</w:t>
      </w:r>
    </w:p>
    <w:p>
      <w:pPr>
        <w:pStyle w:val="CaselawNumbered10"/>
        <w:numPr>
          <w:ilvl w:val="0"/>
          <w:numId w:val="46"/>
        </w:numPr>
        <w:spacing w:before="150" w:after="0"/>
        <w:ind w:left="600" w:hanging="600"/>
      </w:pPr>
      <w:r>
        <w:rPr>
          <w:rFonts w:ascii="Arial"/>
          <w:color w:val="000000"/>
          <w:sz w:val="24"/>
        </w:rPr>
        <w:t>T</w:t>
      </w:r>
      <w:r>
        <w:rPr>
          <w:rFonts w:ascii="Arial"/>
          <w:color w:val="000000"/>
          <w:sz w:val="24"/>
        </w:rPr>
        <w:t xml:space="preserve">here is no application form </w:t>
      </w:r>
      <w:r>
        <w:rPr>
          <w:rFonts w:ascii="Arial"/>
          <w:color w:val="000000"/>
          <w:sz w:val="24"/>
        </w:rPr>
        <w:t xml:space="preserve">in the 17-lot proceedings. The application was made by </w:t>
      </w:r>
      <w:r>
        <w:rPr>
          <w:rFonts w:ascii="Arial"/>
          <w:color w:val="000000"/>
          <w:sz w:val="24"/>
        </w:rPr>
        <w:t xml:space="preserve">an email dated 18 May 2021. </w:t>
      </w:r>
      <w:r>
        <w:rPr>
          <w:rFonts w:ascii="Arial"/>
          <w:color w:val="000000"/>
          <w:sz w:val="24"/>
        </w:rPr>
        <w:t>Nonetheless, the</w:t>
      </w:r>
      <w:r>
        <w:rPr>
          <w:rFonts w:ascii="Arial"/>
          <w:color w:val="000000"/>
          <w:sz w:val="24"/>
        </w:rPr>
        <w:t xml:space="preserve"> </w:t>
      </w:r>
      <w:r>
        <w:rPr>
          <w:rFonts w:ascii="Arial"/>
          <w:color w:val="000000"/>
          <w:sz w:val="24"/>
        </w:rPr>
        <w:t xml:space="preserve">Council is prepared to accept that this is a procedural </w:t>
      </w:r>
      <w:r>
        <w:rPr>
          <w:rFonts w:ascii="Arial"/>
          <w:color w:val="000000"/>
          <w:sz w:val="24"/>
        </w:rPr>
        <w:t>ir</w:t>
      </w:r>
      <w:r>
        <w:rPr>
          <w:rFonts w:ascii="Arial"/>
          <w:color w:val="000000"/>
          <w:sz w:val="24"/>
        </w:rPr>
        <w:t>regularity rather than a jurisdictional one</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 xml:space="preserve">s </w:t>
      </w:r>
      <w:r>
        <w:rPr>
          <w:rFonts w:ascii="Arial"/>
          <w:color w:val="000000"/>
          <w:sz w:val="24"/>
        </w:rPr>
        <w:t>SOFC</w:t>
      </w:r>
      <w:r>
        <w:rPr>
          <w:rFonts w:ascii="Arial"/>
          <w:color w:val="000000"/>
          <w:sz w:val="24"/>
        </w:rPr>
        <w:t xml:space="preserve"> </w:t>
      </w:r>
      <w:r>
        <w:rPr>
          <w:rFonts w:ascii="Arial"/>
          <w:color w:val="000000"/>
          <w:sz w:val="24"/>
        </w:rPr>
        <w:t xml:space="preserve">in the 17-lot proceedings indicates that the application is intended to be for stormwater, water supply and sewerage works. </w:t>
      </w:r>
      <w:r>
        <w:rPr>
          <w:rFonts w:ascii="Arial"/>
          <w:color w:val="000000"/>
          <w:sz w:val="24"/>
        </w:rPr>
        <w:t>T</w:t>
      </w:r>
      <w:r>
        <w:rPr>
          <w:rFonts w:ascii="Arial"/>
          <w:color w:val="000000"/>
          <w:sz w:val="24"/>
        </w:rPr>
        <w:t xml:space="preserve">he </w:t>
      </w:r>
      <w:r>
        <w:rPr>
          <w:rFonts w:ascii="Arial"/>
          <w:color w:val="000000"/>
          <w:sz w:val="24"/>
        </w:rPr>
        <w:t xml:space="preserve">Council </w:t>
      </w:r>
      <w:r>
        <w:rPr>
          <w:rFonts w:ascii="Arial"/>
          <w:color w:val="000000"/>
          <w:sz w:val="24"/>
        </w:rPr>
        <w:t>invite further clarification of the</w:t>
      </w:r>
      <w:r>
        <w:rPr>
          <w:rFonts w:ascii="Arial"/>
          <w:color w:val="000000"/>
          <w:sz w:val="24"/>
        </w:rPr>
        <w:t>se</w:t>
      </w:r>
      <w:r>
        <w:rPr>
          <w:rFonts w:ascii="Arial"/>
          <w:color w:val="000000"/>
          <w:sz w:val="24"/>
        </w:rPr>
        <w:t xml:space="preserve"> </w:t>
      </w:r>
      <w:r>
        <w:rPr>
          <w:rFonts w:ascii="Arial"/>
          <w:color w:val="000000"/>
          <w:sz w:val="24"/>
        </w:rPr>
        <w:t>“</w:t>
      </w:r>
      <w:r>
        <w:rPr>
          <w:rFonts w:ascii="Arial"/>
          <w:color w:val="000000"/>
          <w:sz w:val="24"/>
        </w:rPr>
        <w:t>activities</w:t>
      </w:r>
      <w:r>
        <w:rPr>
          <w:rFonts w:ascii="Arial"/>
          <w:color w:val="000000"/>
          <w:sz w:val="24"/>
        </w:rPr>
        <w:t xml:space="preserve">” </w:t>
      </w:r>
      <w:r>
        <w:rPr>
          <w:rFonts w:ascii="Arial"/>
          <w:color w:val="000000"/>
          <w:sz w:val="24"/>
        </w:rPr>
        <w:t>and the applicant gave that detail in its closing written submissions in the table at par 275</w:t>
      </w:r>
      <w:r>
        <w:rPr>
          <w:rFonts w:ascii="Arial"/>
          <w:color w:val="000000"/>
          <w:sz w:val="24"/>
        </w:rPr>
        <w:t>.</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R</w:t>
      </w:r>
      <w:r>
        <w:rPr>
          <w:rFonts w:ascii="Arial"/>
          <w:color w:val="000000"/>
          <w:sz w:val="24"/>
        </w:rPr>
        <w:t>elevant</w:t>
      </w:r>
      <w:r>
        <w:rPr>
          <w:rFonts w:ascii="Arial"/>
          <w:color w:val="000000"/>
          <w:sz w:val="24"/>
        </w:rPr>
        <w:t xml:space="preserve">ly, </w:t>
      </w:r>
      <w:r>
        <w:rPr>
          <w:rFonts w:ascii="Arial"/>
          <w:color w:val="000000"/>
          <w:sz w:val="24"/>
        </w:rPr>
        <w:t>s 89</w:t>
      </w:r>
      <w:r>
        <w:rPr>
          <w:rFonts w:ascii="Arial"/>
          <w:color w:val="000000"/>
          <w:sz w:val="24"/>
        </w:rPr>
        <w:t>(1)</w:t>
      </w:r>
      <w:r>
        <w:rPr>
          <w:rFonts w:ascii="Arial"/>
          <w:color w:val="000000"/>
          <w:sz w:val="24"/>
        </w:rPr>
        <w:t xml:space="preserve"> </w:t>
      </w:r>
      <w:r>
        <w:rPr>
          <w:rFonts w:ascii="Arial"/>
          <w:color w:val="000000"/>
          <w:sz w:val="24"/>
        </w:rPr>
        <w:t xml:space="preserve">of the LG Act </w:t>
      </w:r>
      <w:r>
        <w:rPr>
          <w:rFonts w:ascii="Arial"/>
          <w:color w:val="000000"/>
          <w:sz w:val="24"/>
        </w:rPr>
        <w:t>sets out specific matters for consideration in the evaluation of a s68 applicatio</w:t>
      </w:r>
      <w:r>
        <w:rPr>
          <w:rFonts w:ascii="Arial"/>
          <w:color w:val="000000"/>
          <w:sz w:val="24"/>
        </w:rPr>
        <w:t>n and provides</w:t>
      </w:r>
      <w:r>
        <w:rPr>
          <w:rFonts w:ascii="Arial"/>
          <w:color w:val="000000"/>
          <w:sz w:val="24"/>
        </w:rPr>
        <w:t xml:space="preserve">: </w:t>
      </w:r>
    </w:p>
    <w:p>
      <w:pPr>
        <w:pStyle w:val="CaselawQuote"/>
        <w:spacing w:before="150" w:after="150"/>
        <w:ind w:left="1350"/>
        <w:jc w:val="left"/>
      </w:pPr>
      <w:r>
        <w:rPr>
          <w:rFonts w:ascii="Arial"/>
          <w:b/>
          <w:color w:val="000000"/>
          <w:sz w:val="22"/>
        </w:rPr>
        <w:t>89 Matters for consideration</w:t>
      </w:r>
    </w:p>
    <w:p>
      <w:pPr>
        <w:pStyle w:val="CaselawQuote"/>
        <w:spacing w:before="150" w:after="150"/>
        <w:ind w:left="1350"/>
        <w:jc w:val="left"/>
      </w:pPr>
      <w:r>
        <w:rPr>
          <w:rFonts w:ascii="Arial"/>
          <w:color w:val="000000"/>
          <w:sz w:val="22"/>
        </w:rPr>
        <w:t>(1) In determining an application, the council—</w:t>
      </w:r>
    </w:p>
    <w:p>
      <w:pPr>
        <w:pStyle w:val="CaselawQuote0"/>
        <w:spacing w:before="150" w:after="150"/>
        <w:ind w:left="2100"/>
        <w:jc w:val="left"/>
      </w:pPr>
      <w:r>
        <w:rPr>
          <w:rFonts w:ascii="Arial"/>
          <w:color w:val="000000"/>
          <w:sz w:val="22"/>
        </w:rPr>
        <w:t>(a) must not approve the application if the activity or the carrying out of the activity for which approval is sought would not comply with the requirements of any relevant regulation, and</w:t>
      </w:r>
    </w:p>
    <w:p>
      <w:pPr>
        <w:pStyle w:val="CaselawQuote0"/>
        <w:spacing w:before="150" w:after="150"/>
        <w:ind w:left="2100"/>
        <w:jc w:val="left"/>
      </w:pPr>
      <w:r>
        <w:rPr>
          <w:rFonts w:ascii="Arial"/>
          <w:color w:val="000000"/>
          <w:sz w:val="22"/>
        </w:rPr>
        <w:t>(b) must take into consideration any criteria in a local policy adopted under Part 3 by the council which are relevant to the subject-matter of the application, a©(c) must take into consideration the principles of ecologically sustainable development.</w:t>
      </w:r>
    </w:p>
    <w:p>
      <w:pPr>
        <w:pStyle w:val="CaselawNumbered10"/>
        <w:numPr>
          <w:ilvl w:val="0"/>
          <w:numId w:val="47"/>
        </w:numPr>
        <w:spacing w:before="150" w:after="0"/>
        <w:ind w:left="600" w:hanging="600"/>
      </w:pPr>
      <w:r>
        <w:rPr>
          <w:rFonts w:ascii="Arial"/>
          <w:color w:val="000000"/>
          <w:sz w:val="24"/>
        </w:rPr>
        <w:t xml:space="preserve">As </w:t>
      </w:r>
      <w:r>
        <w:rPr>
          <w:rFonts w:ascii="Arial"/>
          <w:color w:val="000000"/>
          <w:sz w:val="24"/>
        </w:rPr>
        <w:t>there is</w:t>
      </w:r>
      <w:r>
        <w:rPr>
          <w:rFonts w:ascii="Arial"/>
          <w:color w:val="000000"/>
          <w:sz w:val="24"/>
        </w:rPr>
        <w:t xml:space="preserve"> </w:t>
      </w:r>
      <w:r>
        <w:rPr>
          <w:rFonts w:ascii="Arial"/>
          <w:color w:val="000000"/>
          <w:sz w:val="24"/>
        </w:rPr>
        <w:t>no</w:t>
      </w:r>
      <w:r>
        <w:rPr>
          <w:rFonts w:ascii="Arial"/>
          <w:color w:val="000000"/>
          <w:sz w:val="24"/>
        </w:rPr>
        <w:t xml:space="preserve"> </w:t>
      </w:r>
      <w:r>
        <w:rPr>
          <w:rFonts w:ascii="Arial"/>
          <w:color w:val="000000"/>
          <w:sz w:val="24"/>
        </w:rPr>
        <w:t>relevant Council Part 3 policy</w:t>
      </w:r>
      <w:r>
        <w:rPr>
          <w:rFonts w:ascii="Arial"/>
          <w:color w:val="000000"/>
          <w:sz w:val="24"/>
        </w:rPr>
        <w:t xml:space="preserve">, </w:t>
      </w:r>
      <w:r>
        <w:rPr>
          <w:rFonts w:ascii="Arial"/>
          <w:color w:val="000000"/>
          <w:sz w:val="24"/>
        </w:rPr>
        <w:t xml:space="preserve">the Council submits that </w:t>
      </w:r>
      <w:r>
        <w:rPr>
          <w:rFonts w:ascii="Arial"/>
          <w:color w:val="000000"/>
          <w:sz w:val="24"/>
        </w:rPr>
        <w:t>s</w:t>
      </w:r>
      <w:r>
        <w:rPr>
          <w:rFonts w:ascii="Arial"/>
          <w:color w:val="000000"/>
          <w:sz w:val="24"/>
        </w:rPr>
        <w:t xml:space="preserve"> </w:t>
      </w:r>
      <w:r>
        <w:rPr>
          <w:rFonts w:ascii="Arial"/>
          <w:color w:val="000000"/>
          <w:sz w:val="24"/>
        </w:rPr>
        <w:t xml:space="preserve">89(1) requires a consideration of the principles of </w:t>
      </w:r>
      <w:r>
        <w:rPr>
          <w:rFonts w:ascii="Arial"/>
          <w:color w:val="000000"/>
          <w:sz w:val="24"/>
        </w:rPr>
        <w:t>ecologically sustainable development (</w:t>
      </w:r>
      <w:r>
        <w:rPr>
          <w:rFonts w:ascii="Arial"/>
          <w:b/>
          <w:color w:val="000000"/>
          <w:sz w:val="24"/>
        </w:rPr>
        <w:t>ESD</w:t>
      </w:r>
      <w:r>
        <w:rPr>
          <w:rFonts w:ascii="Arial"/>
          <w:color w:val="000000"/>
          <w:sz w:val="24"/>
        </w:rPr>
        <w:t>)</w:t>
      </w:r>
      <w:r>
        <w:rPr>
          <w:rFonts w:ascii="Arial"/>
          <w:color w:val="000000"/>
          <w:sz w:val="24"/>
        </w:rPr>
        <w:t xml:space="preserve"> </w:t>
      </w:r>
      <w:r>
        <w:rPr>
          <w:rFonts w:ascii="Arial"/>
          <w:color w:val="000000"/>
          <w:sz w:val="24"/>
        </w:rPr>
        <w:t>(as defined in s</w:t>
      </w:r>
      <w:r>
        <w:rPr>
          <w:rFonts w:ascii="Arial"/>
          <w:color w:val="000000"/>
          <w:sz w:val="24"/>
        </w:rPr>
        <w:t xml:space="preserve"> </w:t>
      </w:r>
      <w:r>
        <w:rPr>
          <w:rFonts w:ascii="Arial"/>
          <w:color w:val="000000"/>
          <w:sz w:val="24"/>
        </w:rPr>
        <w:t>3 of the LG</w:t>
      </w:r>
      <w:r>
        <w:rPr>
          <w:rFonts w:ascii="Arial"/>
          <w:color w:val="000000"/>
          <w:sz w:val="24"/>
        </w:rPr>
        <w:t xml:space="preserve"> </w:t>
      </w:r>
      <w:r>
        <w:rPr>
          <w:rFonts w:ascii="Arial"/>
          <w:color w:val="000000"/>
          <w:sz w:val="24"/>
        </w:rPr>
        <w:t>A</w:t>
      </w:r>
      <w:r>
        <w:rPr>
          <w:rFonts w:ascii="Arial"/>
          <w:color w:val="000000"/>
          <w:sz w:val="24"/>
        </w:rPr>
        <w:t>ct</w:t>
      </w:r>
      <w:r>
        <w:rPr>
          <w:rFonts w:ascii="Arial"/>
          <w:color w:val="000000"/>
          <w:sz w:val="24"/>
        </w:rPr>
        <w:t>)</w:t>
      </w:r>
      <w:r>
        <w:rPr>
          <w:rFonts w:ascii="Arial"/>
          <w:color w:val="000000"/>
          <w:sz w:val="24"/>
        </w:rPr>
        <w:t xml:space="preserve">, and the </w:t>
      </w:r>
      <w:r>
        <w:rPr>
          <w:rFonts w:ascii="Arial"/>
          <w:color w:val="000000"/>
          <w:sz w:val="24"/>
        </w:rPr>
        <w:t xml:space="preserve">matters </w:t>
      </w:r>
      <w:r>
        <w:rPr>
          <w:rFonts w:ascii="Arial"/>
          <w:color w:val="000000"/>
          <w:sz w:val="24"/>
        </w:rPr>
        <w:t>prescribed in</w:t>
      </w:r>
      <w:r>
        <w:rPr>
          <w:rFonts w:ascii="Arial"/>
          <w:color w:val="000000"/>
          <w:sz w:val="24"/>
        </w:rPr>
        <w:t xml:space="preserve"> </w:t>
      </w:r>
      <w:r>
        <w:rPr>
          <w:rFonts w:ascii="Arial"/>
          <w:color w:val="000000"/>
          <w:sz w:val="24"/>
        </w:rPr>
        <w:t>any relevant</w:t>
      </w:r>
      <w:r>
        <w:rPr>
          <w:rFonts w:ascii="Arial"/>
          <w:color w:val="000000"/>
          <w:sz w:val="24"/>
        </w:rPr>
        <w:t xml:space="preserve"> </w:t>
      </w:r>
      <w:r>
        <w:rPr>
          <w:rFonts w:ascii="Arial"/>
          <w:color w:val="000000"/>
          <w:sz w:val="24"/>
        </w:rPr>
        <w:t xml:space="preserve">regulation in connection with the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 xml:space="preserve"> </w:t>
      </w:r>
      <w:r>
        <w:rPr>
          <w:rFonts w:ascii="Arial"/>
          <w:color w:val="000000"/>
          <w:sz w:val="24"/>
        </w:rPr>
        <w:t>in the s68 applications</w:t>
      </w:r>
      <w:r>
        <w:rPr>
          <w:rFonts w:ascii="Arial"/>
          <w:color w:val="000000"/>
          <w:sz w:val="24"/>
        </w:rPr>
        <w:t>.</w:t>
      </w:r>
      <w:r>
        <w:rPr>
          <w:rFonts w:ascii="Arial"/>
          <w:color w:val="000000"/>
          <w:sz w:val="24"/>
        </w:rPr>
        <w:t xml:space="preserve"> </w:t>
      </w:r>
      <w:r>
        <w:rPr>
          <w:rFonts w:ascii="Arial"/>
          <w:color w:val="000000"/>
          <w:sz w:val="24"/>
        </w:rPr>
        <w:t xml:space="preserve">In that regard, </w:t>
      </w:r>
      <w:r>
        <w:rPr>
          <w:rFonts w:ascii="Arial"/>
          <w:color w:val="000000"/>
          <w:sz w:val="24"/>
        </w:rPr>
        <w:t>cl</w:t>
      </w:r>
      <w:r>
        <w:rPr>
          <w:rFonts w:ascii="Arial"/>
          <w:color w:val="000000"/>
          <w:sz w:val="24"/>
        </w:rPr>
        <w:t xml:space="preserve"> </w:t>
      </w:r>
      <w:r>
        <w:rPr>
          <w:rFonts w:ascii="Arial"/>
          <w:color w:val="000000"/>
          <w:sz w:val="24"/>
        </w:rPr>
        <w:t xml:space="preserve">15 of the </w:t>
      </w:r>
      <w:r>
        <w:rPr>
          <w:rFonts w:ascii="Arial"/>
          <w:color w:val="000000"/>
          <w:sz w:val="24"/>
        </w:rPr>
        <w:t>Local Government (General) Regulation 2021 (</w:t>
      </w:r>
      <w:r>
        <w:rPr>
          <w:rFonts w:ascii="Arial"/>
          <w:b/>
          <w:color w:val="000000"/>
          <w:sz w:val="24"/>
        </w:rPr>
        <w:t>LG Reg</w:t>
      </w:r>
      <w:r>
        <w:rPr>
          <w:rFonts w:ascii="Arial"/>
          <w:color w:val="000000"/>
          <w:sz w:val="24"/>
        </w:rPr>
        <w:t>)</w:t>
      </w:r>
      <w:r>
        <w:rPr>
          <w:rFonts w:ascii="Arial"/>
          <w:color w:val="000000"/>
          <w:sz w:val="24"/>
        </w:rPr>
        <w:t xml:space="preserve"> </w:t>
      </w:r>
      <w:r>
        <w:rPr>
          <w:rFonts w:ascii="Arial"/>
          <w:color w:val="000000"/>
          <w:sz w:val="24"/>
        </w:rPr>
        <w:t xml:space="preserve">mandates certain </w:t>
      </w:r>
      <w:r>
        <w:rPr>
          <w:rFonts w:ascii="Arial"/>
          <w:color w:val="000000"/>
          <w:sz w:val="24"/>
        </w:rPr>
        <w:t>consideration</w:t>
      </w:r>
      <w:r>
        <w:rPr>
          <w:rFonts w:ascii="Arial"/>
          <w:color w:val="000000"/>
          <w:sz w:val="24"/>
        </w:rPr>
        <w:t xml:space="preserve"> </w:t>
      </w:r>
      <w:r>
        <w:rPr>
          <w:rFonts w:ascii="Arial"/>
          <w:color w:val="000000"/>
          <w:sz w:val="24"/>
        </w:rPr>
        <w:t>for the purpose of s</w:t>
      </w:r>
      <w:r>
        <w:rPr>
          <w:rFonts w:ascii="Arial"/>
          <w:color w:val="000000"/>
          <w:sz w:val="24"/>
        </w:rPr>
        <w:t> </w:t>
      </w:r>
      <w:r>
        <w:rPr>
          <w:rFonts w:ascii="Arial"/>
          <w:color w:val="000000"/>
          <w:sz w:val="24"/>
        </w:rPr>
        <w:t>89(1)(a)</w:t>
      </w:r>
      <w:r>
        <w:rPr>
          <w:rFonts w:ascii="Arial"/>
          <w:color w:val="000000"/>
          <w:sz w:val="24"/>
        </w:rPr>
        <w:t xml:space="preserve"> </w:t>
      </w:r>
      <w:r>
        <w:rPr>
          <w:rFonts w:ascii="Arial"/>
          <w:color w:val="000000"/>
          <w:sz w:val="24"/>
        </w:rPr>
        <w:t>of the LG Act</w:t>
      </w:r>
      <w:r>
        <w:rPr>
          <w:rFonts w:ascii="Arial"/>
          <w:color w:val="000000"/>
          <w:sz w:val="24"/>
        </w:rPr>
        <w:t xml:space="preserve"> </w:t>
      </w:r>
      <w:r>
        <w:rPr>
          <w:rFonts w:ascii="Arial"/>
          <w:color w:val="000000"/>
          <w:sz w:val="24"/>
        </w:rPr>
        <w:t xml:space="preserve">in </w:t>
      </w:r>
      <w:r>
        <w:rPr>
          <w:rFonts w:ascii="Arial"/>
          <w:color w:val="000000"/>
          <w:sz w:val="24"/>
        </w:rPr>
        <w:t>respect</w:t>
      </w:r>
      <w:r>
        <w:rPr>
          <w:rFonts w:ascii="Arial"/>
          <w:color w:val="000000"/>
          <w:sz w:val="24"/>
        </w:rPr>
        <w:t xml:space="preserve"> </w:t>
      </w:r>
      <w:r>
        <w:rPr>
          <w:rFonts w:ascii="Arial"/>
          <w:color w:val="000000"/>
          <w:sz w:val="24"/>
        </w:rPr>
        <w:t xml:space="preserve">to the s68 </w:t>
      </w:r>
      <w:r>
        <w:rPr>
          <w:rFonts w:ascii="Arial"/>
          <w:color w:val="000000"/>
          <w:sz w:val="24"/>
        </w:rPr>
        <w:t>applications</w:t>
      </w:r>
      <w:r>
        <w:rPr>
          <w:rFonts w:ascii="Arial"/>
          <w:color w:val="000000"/>
          <w:sz w:val="24"/>
        </w:rPr>
        <w:t xml:space="preserve">. </w:t>
      </w:r>
    </w:p>
    <w:p>
      <w:pPr>
        <w:pStyle w:val="CaselawQuote"/>
        <w:spacing w:before="150" w:after="150"/>
        <w:ind w:left="1350"/>
        <w:jc w:val="left"/>
      </w:pPr>
      <w:r>
        <w:rPr>
          <w:rFonts w:ascii="Arial"/>
          <w:b/>
          <w:color w:val="000000"/>
          <w:sz w:val="22"/>
        </w:rPr>
        <w:t>15 Matters to be considered when determining applications for water supply, sewerage and stormwater drainage approvals:</w:t>
      </w:r>
    </w:p>
    <w:p>
      <w:pPr>
        <w:pStyle w:val="CaselawQuote"/>
        <w:spacing w:before="150" w:after="150"/>
        <w:ind w:left="1350"/>
        <w:jc w:val="left"/>
      </w:pPr>
      <w:r>
        <w:rPr>
          <w:rFonts w:ascii="Arial"/>
          <w:color w:val="000000"/>
          <w:sz w:val="22"/>
        </w:rPr>
        <w:t xml:space="preserve">(1) </w:t>
      </w:r>
      <w:r>
        <w:rPr>
          <w:rFonts w:ascii="Arial"/>
          <w:color w:val="000000"/>
          <w:sz w:val="22"/>
        </w:rPr>
        <w:t>This section applies to the following activities—</w:t>
      </w:r>
    </w:p>
    <w:p>
      <w:pPr>
        <w:pStyle w:val="CaselawQuote0"/>
        <w:spacing w:before="150" w:after="150"/>
        <w:ind w:left="2100"/>
        <w:jc w:val="left"/>
      </w:pPr>
      <w:r>
        <w:rPr>
          <w:rFonts w:ascii="Arial"/>
          <w:color w:val="000000"/>
          <w:sz w:val="22"/>
        </w:rPr>
        <w:t>(a) carrying out water supply work,</w:t>
      </w:r>
    </w:p>
    <w:p>
      <w:pPr>
        <w:pStyle w:val="CaselawQuote0"/>
        <w:spacing w:before="150" w:after="150"/>
        <w:ind w:left="2100"/>
        <w:jc w:val="left"/>
      </w:pPr>
      <w:r>
        <w:rPr>
          <w:rFonts w:ascii="Arial"/>
          <w:color w:val="000000"/>
          <w:sz w:val="22"/>
        </w:rPr>
        <w:t xml:space="preserve">(b) drawing water from the council water supply or a </w:t>
      </w:r>
      <w:r>
        <w:rPr>
          <w:rFonts w:ascii="Arial"/>
          <w:color w:val="000000"/>
          <w:sz w:val="22"/>
        </w:rPr>
        <w:t>standpipe</w:t>
      </w:r>
    </w:p>
    <w:p>
      <w:pPr>
        <w:pStyle w:val="CaselawQuote0"/>
        <w:spacing w:before="150" w:after="150"/>
        <w:ind w:left="2100"/>
        <w:jc w:val="left"/>
      </w:pPr>
      <w:r>
        <w:rPr>
          <w:rFonts w:ascii="Arial"/>
          <w:color w:val="000000"/>
          <w:sz w:val="22"/>
        </w:rPr>
        <w:t xml:space="preserve">(c) </w:t>
      </w:r>
      <w:r>
        <w:rPr>
          <w:rFonts w:ascii="Arial"/>
          <w:color w:val="000000"/>
          <w:sz w:val="22"/>
        </w:rPr>
        <w:t>installing, altering, disconnecting or removing a water meter connected to a service pipe,</w:t>
      </w:r>
    </w:p>
    <w:p>
      <w:pPr>
        <w:pStyle w:val="CaselawQuote0"/>
        <w:spacing w:before="150" w:after="150"/>
        <w:ind w:left="2100"/>
        <w:jc w:val="left"/>
      </w:pPr>
      <w:r>
        <w:rPr>
          <w:rFonts w:ascii="Arial"/>
          <w:color w:val="000000"/>
          <w:sz w:val="22"/>
        </w:rPr>
        <w:t xml:space="preserve">(d) carrying out </w:t>
      </w:r>
      <w:r>
        <w:rPr>
          <w:rFonts w:ascii="Arial"/>
          <w:color w:val="000000"/>
          <w:sz w:val="22"/>
        </w:rPr>
        <w:t>sewerage work,</w:t>
      </w:r>
    </w:p>
    <w:p>
      <w:pPr>
        <w:pStyle w:val="CaselawQuote0"/>
        <w:spacing w:before="150" w:after="150"/>
        <w:ind w:left="2100"/>
        <w:jc w:val="left"/>
      </w:pPr>
      <w:r>
        <w:rPr>
          <w:rFonts w:ascii="Arial"/>
          <w:color w:val="000000"/>
          <w:sz w:val="22"/>
        </w:rPr>
        <w:t>(e) carrying out stormwater drainage work.</w:t>
      </w:r>
    </w:p>
    <w:p>
      <w:pPr>
        <w:pStyle w:val="CaselawQuote"/>
        <w:spacing w:before="150" w:after="150"/>
        <w:ind w:left="1350"/>
        <w:jc w:val="left"/>
      </w:pPr>
      <w:r>
        <w:rPr>
          <w:rFonts w:ascii="Arial"/>
          <w:color w:val="000000"/>
          <w:sz w:val="22"/>
        </w:rPr>
        <w:t>(2) In determining an application for the purposes of section 68 of the Act for an approval to do any of the activities to which this section applies, the council must have regard to the following considerations—</w:t>
      </w:r>
    </w:p>
    <w:p>
      <w:pPr>
        <w:pStyle w:val="CaselawQuote0"/>
        <w:spacing w:before="150" w:after="150"/>
        <w:ind w:left="2100"/>
        <w:jc w:val="left"/>
      </w:pPr>
      <w:r>
        <w:rPr>
          <w:rFonts w:ascii="Arial"/>
          <w:color w:val="000000"/>
          <w:sz w:val="22"/>
        </w:rPr>
        <w:t>(a) the protection and promotion of public health,</w:t>
      </w:r>
    </w:p>
    <w:p>
      <w:pPr>
        <w:pStyle w:val="CaselawQuote0"/>
        <w:spacing w:before="150" w:after="150"/>
        <w:ind w:left="2100"/>
        <w:jc w:val="left"/>
      </w:pPr>
      <w:r>
        <w:rPr>
          <w:rFonts w:ascii="Arial"/>
          <w:color w:val="000000"/>
          <w:sz w:val="22"/>
        </w:rPr>
        <w:t>(b</w:t>
      </w:r>
      <w:r>
        <w:rPr>
          <w:rFonts w:ascii="Arial"/>
          <w:color w:val="000000"/>
          <w:sz w:val="22"/>
        </w:rPr>
        <w:t xml:space="preserve">) the protection of the </w:t>
      </w:r>
      <w:r>
        <w:rPr>
          <w:rFonts w:ascii="Arial"/>
          <w:color w:val="000000"/>
          <w:sz w:val="22"/>
        </w:rPr>
        <w:t>environment,</w:t>
      </w:r>
    </w:p>
    <w:p>
      <w:pPr>
        <w:pStyle w:val="CaselawQuote0"/>
        <w:spacing w:before="150" w:after="150"/>
        <w:ind w:left="2100"/>
        <w:jc w:val="left"/>
      </w:pPr>
      <w:r>
        <w:rPr>
          <w:rFonts w:ascii="Arial"/>
          <w:color w:val="000000"/>
          <w:sz w:val="22"/>
        </w:rPr>
        <w:t>(c) the safety of its employees,</w:t>
      </w:r>
    </w:p>
    <w:p>
      <w:pPr>
        <w:pStyle w:val="CaselawQuote0"/>
        <w:spacing w:before="150" w:after="150"/>
        <w:ind w:left="2100"/>
        <w:jc w:val="left"/>
      </w:pPr>
      <w:r>
        <w:rPr>
          <w:rFonts w:ascii="Arial"/>
          <w:color w:val="000000"/>
          <w:sz w:val="22"/>
        </w:rPr>
        <w:t xml:space="preserve">(d) the safeguarding </w:t>
      </w:r>
      <w:r>
        <w:rPr>
          <w:rFonts w:ascii="Arial"/>
          <w:color w:val="000000"/>
          <w:sz w:val="22"/>
        </w:rPr>
        <w:t>of its</w:t>
      </w:r>
      <w:r>
        <w:rPr>
          <w:rFonts w:ascii="Arial"/>
          <w:color w:val="000000"/>
          <w:sz w:val="22"/>
        </w:rPr>
        <w:t xml:space="preserve"> as</w:t>
      </w:r>
      <w:r>
        <w:rPr>
          <w:rFonts w:ascii="Arial"/>
          <w:color w:val="000000"/>
          <w:sz w:val="22"/>
        </w:rPr>
        <w:t>sets,</w:t>
      </w:r>
    </w:p>
    <w:p>
      <w:pPr>
        <w:pStyle w:val="CaselawQuote0"/>
        <w:spacing w:before="150" w:after="150"/>
        <w:ind w:left="2100"/>
        <w:jc w:val="left"/>
      </w:pPr>
      <w:r>
        <w:rPr>
          <w:rFonts w:ascii="Arial"/>
          <w:color w:val="000000"/>
          <w:sz w:val="22"/>
        </w:rPr>
        <w:t>(e) any other matter that it considers to be relevant in the circumstances.</w:t>
      </w:r>
    </w:p>
    <w:p>
      <w:pPr>
        <w:pStyle w:val="CaselawNumbered10"/>
        <w:numPr>
          <w:ilvl w:val="0"/>
          <w:numId w:val="48"/>
        </w:numPr>
        <w:spacing w:before="150" w:after="0"/>
        <w:ind w:left="600" w:hanging="600"/>
      </w:pPr>
      <w:r>
        <w:rPr>
          <w:rFonts w:ascii="Arial"/>
          <w:color w:val="000000"/>
          <w:sz w:val="24"/>
        </w:rPr>
        <w:t xml:space="preserve">It is to be noted that </w:t>
      </w:r>
      <w:r>
        <w:rPr>
          <w:rFonts w:ascii="Arial"/>
          <w:color w:val="000000"/>
          <w:sz w:val="24"/>
        </w:rPr>
        <w:t>sub</w:t>
      </w:r>
      <w:r>
        <w:rPr>
          <w:rFonts w:ascii="Arial"/>
          <w:color w:val="000000"/>
          <w:sz w:val="24"/>
        </w:rPr>
        <w:t>cl</w:t>
      </w:r>
      <w:r>
        <w:rPr>
          <w:rFonts w:ascii="Arial"/>
          <w:color w:val="000000"/>
          <w:sz w:val="24"/>
        </w:rPr>
        <w:t xml:space="preserve"> </w:t>
      </w:r>
      <w:r>
        <w:rPr>
          <w:rFonts w:ascii="Arial"/>
          <w:color w:val="000000"/>
          <w:sz w:val="24"/>
        </w:rPr>
        <w:t>15(1) does not explicitly</w:t>
      </w:r>
      <w:r>
        <w:rPr>
          <w:rFonts w:ascii="Arial"/>
          <w:color w:val="000000"/>
          <w:sz w:val="24"/>
        </w:rPr>
        <w:t xml:space="preserve"> </w:t>
      </w:r>
      <w:r>
        <w:rPr>
          <w:rFonts w:ascii="Arial"/>
          <w:color w:val="000000"/>
          <w:sz w:val="24"/>
        </w:rPr>
        <w:t xml:space="preserve">reference </w:t>
      </w:r>
      <w:r>
        <w:rPr>
          <w:rFonts w:ascii="Arial"/>
          <w:color w:val="000000"/>
          <w:sz w:val="24"/>
        </w:rPr>
        <w:t>“</w:t>
      </w:r>
      <w:r>
        <w:rPr>
          <w:rFonts w:ascii="Arial"/>
          <w:i/>
          <w:color w:val="000000"/>
          <w:sz w:val="24"/>
        </w:rPr>
        <w:t>connect a private drain or sewer with a public drain or sewer under the control of a council or with a drain or sewer which connect with such a public drain or sewer</w:t>
      </w:r>
      <w:r>
        <w:rPr>
          <w:rFonts w:ascii="Arial"/>
          <w:color w:val="000000"/>
          <w:sz w:val="24"/>
        </w:rPr>
        <w:t xml:space="preserve">” – </w:t>
      </w:r>
      <w:r>
        <w:rPr>
          <w:rFonts w:ascii="Arial"/>
          <w:color w:val="000000"/>
          <w:sz w:val="24"/>
        </w:rPr>
        <w:t xml:space="preserve">which is a separate category under the </w:t>
      </w:r>
      <w:r>
        <w:rPr>
          <w:rFonts w:ascii="Arial"/>
          <w:color w:val="000000"/>
          <w:sz w:val="24"/>
        </w:rPr>
        <w:t>T</w:t>
      </w:r>
      <w:r>
        <w:rPr>
          <w:rFonts w:ascii="Arial"/>
          <w:color w:val="000000"/>
          <w:sz w:val="24"/>
        </w:rPr>
        <w:t>able to s</w:t>
      </w:r>
      <w:r>
        <w:rPr>
          <w:rFonts w:ascii="Arial"/>
          <w:color w:val="000000"/>
          <w:sz w:val="24"/>
        </w:rPr>
        <w:t xml:space="preserve"> </w:t>
      </w:r>
      <w:r>
        <w:rPr>
          <w:rFonts w:ascii="Arial"/>
          <w:color w:val="000000"/>
          <w:sz w:val="24"/>
        </w:rPr>
        <w:t>68</w:t>
      </w:r>
      <w:r>
        <w:rPr>
          <w:rFonts w:ascii="Arial"/>
          <w:color w:val="000000"/>
          <w:sz w:val="24"/>
        </w:rPr>
        <w:t xml:space="preserve"> </w:t>
      </w:r>
      <w:r>
        <w:rPr>
          <w:rFonts w:ascii="Arial"/>
          <w:color w:val="000000"/>
          <w:sz w:val="24"/>
        </w:rPr>
        <w:t>of the LG Act</w:t>
      </w:r>
      <w:r>
        <w:rPr>
          <w:rFonts w:ascii="Arial"/>
          <w:color w:val="000000"/>
          <w:sz w:val="24"/>
        </w:rPr>
        <w:t xml:space="preserve"> </w:t>
      </w:r>
      <w:r>
        <w:rPr>
          <w:rFonts w:ascii="Arial"/>
          <w:color w:val="000000"/>
          <w:sz w:val="24"/>
        </w:rPr>
        <w:t xml:space="preserve">from the other activities </w:t>
      </w:r>
      <w:r>
        <w:rPr>
          <w:rFonts w:ascii="Arial"/>
          <w:color w:val="000000"/>
          <w:sz w:val="24"/>
        </w:rPr>
        <w:t xml:space="preserve">in </w:t>
      </w:r>
      <w:r>
        <w:rPr>
          <w:rFonts w:ascii="Arial"/>
          <w:color w:val="000000"/>
          <w:sz w:val="24"/>
        </w:rPr>
        <w:t>sub</w:t>
      </w:r>
      <w:r>
        <w:rPr>
          <w:rFonts w:ascii="Arial"/>
          <w:color w:val="000000"/>
          <w:sz w:val="24"/>
        </w:rPr>
        <w:t>cl</w:t>
      </w:r>
      <w:r>
        <w:rPr>
          <w:rFonts w:ascii="Arial"/>
          <w:color w:val="000000"/>
          <w:sz w:val="24"/>
        </w:rPr>
        <w:t xml:space="preserve"> </w:t>
      </w:r>
      <w:r>
        <w:rPr>
          <w:rFonts w:ascii="Arial"/>
          <w:color w:val="000000"/>
          <w:sz w:val="24"/>
        </w:rPr>
        <w:t xml:space="preserve">15(1) of the LG Reg. </w:t>
      </w:r>
      <w:r>
        <w:rPr>
          <w:rFonts w:ascii="Arial"/>
          <w:color w:val="000000"/>
          <w:sz w:val="24"/>
        </w:rPr>
        <w:t>Nonetheless,</w:t>
      </w:r>
      <w:r>
        <w:rPr>
          <w:rFonts w:ascii="Arial"/>
          <w:color w:val="000000"/>
          <w:sz w:val="24"/>
        </w:rPr>
        <w:t xml:space="preserve"> </w:t>
      </w:r>
      <w:r>
        <w:rPr>
          <w:rFonts w:ascii="Arial"/>
          <w:color w:val="000000"/>
          <w:sz w:val="24"/>
        </w:rPr>
        <w:t>the Council</w:t>
      </w:r>
      <w:r>
        <w:rPr>
          <w:rFonts w:ascii="Arial"/>
          <w:color w:val="000000"/>
          <w:sz w:val="24"/>
        </w:rPr>
        <w:t xml:space="preserve"> </w:t>
      </w:r>
      <w:r>
        <w:rPr>
          <w:rFonts w:ascii="Arial"/>
          <w:color w:val="000000"/>
          <w:sz w:val="24"/>
        </w:rPr>
        <w:t xml:space="preserve">submits </w:t>
      </w:r>
      <w:r>
        <w:rPr>
          <w:rFonts w:ascii="Arial"/>
          <w:color w:val="000000"/>
          <w:sz w:val="24"/>
        </w:rPr>
        <w:t xml:space="preserve">that </w:t>
      </w:r>
      <w:r>
        <w:rPr>
          <w:rFonts w:ascii="Arial"/>
          <w:color w:val="000000"/>
          <w:sz w:val="24"/>
        </w:rPr>
        <w:t xml:space="preserve">the reference to </w:t>
      </w:r>
      <w:r>
        <w:rPr>
          <w:rFonts w:ascii="Arial"/>
          <w:color w:val="000000"/>
          <w:sz w:val="24"/>
        </w:rPr>
        <w:t>“</w:t>
      </w:r>
      <w:r>
        <w:rPr>
          <w:rFonts w:ascii="Arial"/>
          <w:color w:val="000000"/>
          <w:sz w:val="24"/>
        </w:rPr>
        <w:t>carrying out sewerage work</w:t>
      </w:r>
      <w:r>
        <w:rPr>
          <w:rFonts w:ascii="Arial"/>
          <w:color w:val="000000"/>
          <w:sz w:val="24"/>
        </w:rPr>
        <w:t xml:space="preserve">” </w:t>
      </w:r>
      <w:r>
        <w:rPr>
          <w:rFonts w:ascii="Arial"/>
          <w:color w:val="000000"/>
          <w:sz w:val="24"/>
        </w:rPr>
        <w:t xml:space="preserve">in </w:t>
      </w:r>
      <w:r>
        <w:rPr>
          <w:rFonts w:ascii="Arial"/>
          <w:color w:val="000000"/>
          <w:sz w:val="24"/>
        </w:rPr>
        <w:t>sub</w:t>
      </w:r>
      <w:r>
        <w:rPr>
          <w:rFonts w:ascii="Arial"/>
          <w:color w:val="000000"/>
          <w:sz w:val="24"/>
        </w:rPr>
        <w:t>cl</w:t>
      </w:r>
      <w:r>
        <w:rPr>
          <w:rFonts w:ascii="Arial"/>
          <w:color w:val="000000"/>
          <w:sz w:val="24"/>
        </w:rPr>
        <w:t xml:space="preserve"> </w:t>
      </w:r>
      <w:r>
        <w:rPr>
          <w:rFonts w:ascii="Arial"/>
          <w:color w:val="000000"/>
          <w:sz w:val="24"/>
        </w:rPr>
        <w:t xml:space="preserve">15(1)(d) </w:t>
      </w:r>
      <w:r>
        <w:rPr>
          <w:rFonts w:ascii="Arial"/>
          <w:color w:val="000000"/>
          <w:sz w:val="24"/>
        </w:rPr>
        <w:t xml:space="preserve">can be </w:t>
      </w:r>
      <w:r>
        <w:rPr>
          <w:rFonts w:ascii="Arial"/>
          <w:color w:val="000000"/>
          <w:sz w:val="24"/>
        </w:rPr>
        <w:t>construed to encompass</w:t>
      </w:r>
      <w:r>
        <w:rPr>
          <w:rFonts w:ascii="Arial"/>
          <w:color w:val="000000"/>
          <w:sz w:val="24"/>
        </w:rPr>
        <w:t xml:space="preserve"> </w:t>
      </w:r>
      <w:r>
        <w:rPr>
          <w:rFonts w:ascii="Arial"/>
          <w:color w:val="000000"/>
          <w:sz w:val="24"/>
        </w:rPr>
        <w:t xml:space="preserve">both </w:t>
      </w:r>
      <w:r>
        <w:rPr>
          <w:rFonts w:ascii="Arial"/>
          <w:color w:val="000000"/>
          <w:sz w:val="24"/>
        </w:rPr>
        <w:t>“</w:t>
      </w:r>
      <w:r>
        <w:rPr>
          <w:rFonts w:ascii="Arial"/>
          <w:color w:val="000000"/>
          <w:sz w:val="24"/>
        </w:rPr>
        <w:t>carrying out sewerage work</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connect a private drain or sewer with a pu</w:t>
      </w:r>
      <w:r>
        <w:rPr>
          <w:rFonts w:ascii="Arial"/>
          <w:color w:val="000000"/>
          <w:sz w:val="24"/>
        </w:rPr>
        <w:t>blic</w:t>
      </w:r>
      <w:r>
        <w:rPr>
          <w:rFonts w:ascii="Arial"/>
          <w:color w:val="000000"/>
          <w:sz w:val="24"/>
        </w:rPr>
        <w:t xml:space="preserve"> </w:t>
      </w:r>
      <w:r>
        <w:rPr>
          <w:rFonts w:ascii="Arial"/>
          <w:color w:val="000000"/>
          <w:sz w:val="24"/>
        </w:rPr>
        <w:t xml:space="preserve">drain or </w:t>
      </w:r>
      <w:r>
        <w:rPr>
          <w:rFonts w:ascii="Arial"/>
          <w:color w:val="000000"/>
          <w:sz w:val="24"/>
        </w:rPr>
        <w:t>sewer...</w:t>
      </w:r>
      <w:r>
        <w:rPr>
          <w:rFonts w:ascii="Arial"/>
          <w:color w:val="000000"/>
          <w:sz w:val="24"/>
        </w:rPr>
        <w:t xml:space="preserve">” </w:t>
      </w:r>
      <w:r>
        <w:rPr>
          <w:rFonts w:ascii="Arial"/>
          <w:color w:val="000000"/>
          <w:sz w:val="24"/>
        </w:rPr>
        <w:t>under s</w:t>
      </w:r>
      <w:r>
        <w:rPr>
          <w:rFonts w:ascii="Arial"/>
          <w:color w:val="000000"/>
          <w:sz w:val="24"/>
        </w:rPr>
        <w:t xml:space="preserve"> </w:t>
      </w:r>
      <w:r>
        <w:rPr>
          <w:rFonts w:ascii="Arial"/>
          <w:color w:val="000000"/>
          <w:sz w:val="24"/>
        </w:rPr>
        <w:t xml:space="preserve">68 of the LG Act. </w:t>
      </w:r>
      <w:r>
        <w:rPr>
          <w:rFonts w:ascii="Arial"/>
          <w:color w:val="000000"/>
          <w:sz w:val="24"/>
        </w:rPr>
        <w:t xml:space="preserve">Given that </w:t>
      </w:r>
      <w:r>
        <w:rPr>
          <w:rFonts w:ascii="Arial"/>
          <w:color w:val="000000"/>
          <w:sz w:val="24"/>
        </w:rPr>
        <w:t>the</w:t>
      </w:r>
      <w:r>
        <w:rPr>
          <w:rFonts w:ascii="Arial"/>
          <w:color w:val="000000"/>
          <w:sz w:val="24"/>
        </w:rPr>
        <w:t xml:space="preserve"> </w:t>
      </w:r>
      <w:r>
        <w:rPr>
          <w:rFonts w:ascii="Arial"/>
          <w:color w:val="000000"/>
          <w:sz w:val="24"/>
        </w:rPr>
        <w:t xml:space="preserve">Council </w:t>
      </w:r>
      <w:r>
        <w:rPr>
          <w:rFonts w:ascii="Arial"/>
          <w:color w:val="000000"/>
          <w:sz w:val="24"/>
        </w:rPr>
        <w:t xml:space="preserve">has assessed </w:t>
      </w:r>
      <w:r>
        <w:rPr>
          <w:rFonts w:ascii="Arial"/>
          <w:color w:val="000000"/>
          <w:sz w:val="24"/>
        </w:rPr>
        <w:t xml:space="preserve">the sewerage works (including interconnection) </w:t>
      </w:r>
      <w:r>
        <w:rPr>
          <w:rFonts w:ascii="Arial"/>
          <w:color w:val="000000"/>
          <w:sz w:val="24"/>
        </w:rPr>
        <w:t>as complying</w:t>
      </w:r>
      <w:r>
        <w:rPr>
          <w:rFonts w:ascii="Arial"/>
          <w:color w:val="000000"/>
          <w:sz w:val="24"/>
        </w:rPr>
        <w:t xml:space="preserve"> </w:t>
      </w:r>
      <w:r>
        <w:rPr>
          <w:rFonts w:ascii="Arial"/>
          <w:color w:val="000000"/>
          <w:sz w:val="24"/>
        </w:rPr>
        <w:t xml:space="preserve">with the requirements </w:t>
      </w:r>
      <w:r>
        <w:rPr>
          <w:rFonts w:ascii="Arial"/>
          <w:color w:val="000000"/>
          <w:sz w:val="24"/>
        </w:rPr>
        <w:t>of the</w:t>
      </w:r>
      <w:r>
        <w:rPr>
          <w:rFonts w:ascii="Arial"/>
          <w:color w:val="000000"/>
          <w:sz w:val="24"/>
        </w:rPr>
        <w:t xml:space="preserve"> </w:t>
      </w:r>
      <w:r>
        <w:rPr>
          <w:rFonts w:ascii="Arial"/>
          <w:color w:val="000000"/>
          <w:sz w:val="24"/>
        </w:rPr>
        <w:t>LG Act</w:t>
      </w:r>
      <w:r>
        <w:rPr>
          <w:rFonts w:ascii="Arial"/>
          <w:color w:val="000000"/>
          <w:sz w:val="24"/>
        </w:rPr>
        <w:t xml:space="preserve">, </w:t>
      </w:r>
      <w:r>
        <w:rPr>
          <w:rFonts w:ascii="Arial"/>
          <w:color w:val="000000"/>
          <w:sz w:val="24"/>
        </w:rPr>
        <w:t xml:space="preserve">I </w:t>
      </w:r>
      <w:r>
        <w:rPr>
          <w:rFonts w:ascii="Arial"/>
          <w:color w:val="000000"/>
          <w:sz w:val="24"/>
        </w:rPr>
        <w:t xml:space="preserve">do not need to </w:t>
      </w:r>
      <w:r>
        <w:rPr>
          <w:rFonts w:ascii="Arial"/>
          <w:color w:val="000000"/>
          <w:sz w:val="24"/>
        </w:rPr>
        <w:t xml:space="preserve">express </w:t>
      </w:r>
      <w:r>
        <w:rPr>
          <w:rFonts w:ascii="Arial"/>
          <w:color w:val="000000"/>
          <w:sz w:val="24"/>
        </w:rPr>
        <w:t>a view</w:t>
      </w:r>
      <w:r>
        <w:rPr>
          <w:rFonts w:ascii="Arial"/>
          <w:color w:val="000000"/>
          <w:sz w:val="24"/>
        </w:rPr>
        <w:t xml:space="preserve"> </w:t>
      </w:r>
      <w:r>
        <w:rPr>
          <w:rFonts w:ascii="Arial"/>
          <w:color w:val="000000"/>
          <w:sz w:val="24"/>
        </w:rPr>
        <w:t xml:space="preserve">as to whether </w:t>
      </w:r>
      <w:r>
        <w:rPr>
          <w:rFonts w:ascii="Arial"/>
          <w:color w:val="000000"/>
          <w:sz w:val="24"/>
        </w:rPr>
        <w:t xml:space="preserve">subss </w:t>
      </w:r>
      <w:r>
        <w:rPr>
          <w:rFonts w:ascii="Arial"/>
          <w:color w:val="000000"/>
          <w:sz w:val="24"/>
        </w:rPr>
        <w:t>89(2) and (3</w:t>
      </w:r>
      <w:r>
        <w:rPr>
          <w:rFonts w:ascii="Arial"/>
          <w:color w:val="000000"/>
          <w:sz w:val="24"/>
        </w:rPr>
        <w:t>)</w:t>
      </w:r>
      <w:r>
        <w:rPr>
          <w:rFonts w:ascii="Arial"/>
          <w:color w:val="000000"/>
          <w:sz w:val="24"/>
        </w:rPr>
        <w:t xml:space="preserve"> </w:t>
      </w:r>
      <w:r>
        <w:rPr>
          <w:rFonts w:ascii="Arial"/>
          <w:color w:val="000000"/>
          <w:sz w:val="24"/>
        </w:rPr>
        <w:t xml:space="preserve">of the LG Act or </w:t>
      </w:r>
      <w:r>
        <w:rPr>
          <w:rFonts w:ascii="Arial"/>
          <w:color w:val="000000"/>
          <w:sz w:val="24"/>
        </w:rPr>
        <w:t>cl</w:t>
      </w:r>
      <w:r>
        <w:rPr>
          <w:rFonts w:ascii="Arial"/>
          <w:color w:val="000000"/>
          <w:sz w:val="24"/>
        </w:rPr>
        <w:t xml:space="preserve"> </w:t>
      </w:r>
      <w:r>
        <w:rPr>
          <w:rFonts w:ascii="Arial"/>
          <w:color w:val="000000"/>
          <w:sz w:val="24"/>
        </w:rPr>
        <w:t xml:space="preserve">15 of </w:t>
      </w:r>
      <w:r>
        <w:rPr>
          <w:rFonts w:ascii="Arial"/>
          <w:color w:val="000000"/>
          <w:sz w:val="24"/>
        </w:rPr>
        <w:t>the</w:t>
      </w:r>
      <w:r>
        <w:rPr>
          <w:rFonts w:ascii="Arial"/>
          <w:color w:val="000000"/>
          <w:sz w:val="24"/>
        </w:rPr>
        <w:t xml:space="preserve"> </w:t>
      </w:r>
      <w:r>
        <w:rPr>
          <w:rFonts w:ascii="Arial"/>
          <w:color w:val="000000"/>
          <w:sz w:val="24"/>
        </w:rPr>
        <w:t>LG Reg is the source of the relevant considerations</w:t>
      </w:r>
      <w:r>
        <w:rPr>
          <w:rFonts w:ascii="Arial"/>
          <w:color w:val="000000"/>
          <w:sz w:val="24"/>
        </w:rPr>
        <w:t xml:space="preserve"> </w:t>
      </w:r>
      <w:r>
        <w:rPr>
          <w:rFonts w:ascii="Arial"/>
          <w:color w:val="000000"/>
          <w:sz w:val="24"/>
        </w:rPr>
        <w:t xml:space="preserve">in order to accept that they are </w:t>
      </w:r>
      <w:r>
        <w:rPr>
          <w:rFonts w:ascii="Arial"/>
          <w:color w:val="000000"/>
          <w:sz w:val="24"/>
        </w:rPr>
        <w:t xml:space="preserve">relevantly </w:t>
      </w:r>
      <w:r>
        <w:rPr>
          <w:rFonts w:ascii="Arial"/>
          <w:color w:val="000000"/>
          <w:sz w:val="24"/>
        </w:rPr>
        <w:t>compliant</w:t>
      </w:r>
      <w:r>
        <w:rPr>
          <w:rFonts w:ascii="Arial"/>
          <w:color w:val="000000"/>
          <w:sz w:val="24"/>
        </w:rPr>
        <w:t>.</w:t>
      </w:r>
      <w:r>
        <w:rPr>
          <w:rFonts w:ascii="Arial"/>
          <w:color w:val="000000"/>
          <w:sz w:val="24"/>
        </w:rPr>
        <w:t xml:space="preserve"> </w:t>
      </w:r>
      <w:r>
        <w:rPr>
          <w:rFonts w:ascii="Arial"/>
          <w:color w:val="000000"/>
          <w:sz w:val="24"/>
        </w:rPr>
        <w:t xml:space="preserve">The same cannot be said for the proposed </w:t>
      </w:r>
      <w:r>
        <w:rPr>
          <w:rFonts w:ascii="Arial"/>
          <w:color w:val="000000"/>
          <w:sz w:val="24"/>
        </w:rPr>
        <w:t>stormwater drainage works in</w:t>
      </w:r>
      <w:r>
        <w:rPr>
          <w:rFonts w:ascii="Arial"/>
          <w:color w:val="000000"/>
          <w:sz w:val="24"/>
        </w:rPr>
        <w:t xml:space="preserve"> </w:t>
      </w:r>
      <w:r>
        <w:rPr>
          <w:rFonts w:ascii="Arial"/>
          <w:color w:val="000000"/>
          <w:sz w:val="24"/>
        </w:rPr>
        <w:t xml:space="preserve">these </w:t>
      </w:r>
      <w:r>
        <w:rPr>
          <w:rFonts w:ascii="Arial"/>
          <w:color w:val="000000"/>
          <w:sz w:val="24"/>
        </w:rPr>
        <w:t>proceedings</w:t>
      </w:r>
      <w:r>
        <w:rPr>
          <w:rFonts w:ascii="Arial"/>
          <w:color w:val="000000"/>
          <w:sz w:val="24"/>
        </w:rPr>
        <w:t xml:space="preserve">, </w:t>
      </w:r>
      <w:r>
        <w:rPr>
          <w:rFonts w:ascii="Arial"/>
          <w:color w:val="000000"/>
          <w:sz w:val="24"/>
        </w:rPr>
        <w:t xml:space="preserve">they are as indicated in heated dispute. </w:t>
      </w:r>
      <w:r>
        <w:rPr>
          <w:rFonts w:ascii="Arial"/>
          <w:color w:val="000000"/>
          <w:sz w:val="24"/>
        </w:rPr>
        <w:t xml:space="preserve"> </w:t>
      </w:r>
    </w:p>
    <w:p>
      <w:pPr>
        <w:pStyle w:val="CaselawNumbered10"/>
        <w:numPr>
          <w:ilvl w:val="0"/>
          <w:numId w:val="48"/>
        </w:numPr>
        <w:spacing w:before="150" w:after="0"/>
        <w:ind w:left="600" w:hanging="600"/>
      </w:pPr>
      <w:r>
        <w:rPr>
          <w:rFonts w:ascii="Arial"/>
          <w:color w:val="000000"/>
          <w:sz w:val="24"/>
        </w:rPr>
        <w:t xml:space="preserve">Clause </w:t>
      </w:r>
      <w:r>
        <w:rPr>
          <w:rFonts w:ascii="Arial"/>
          <w:color w:val="000000"/>
          <w:sz w:val="24"/>
        </w:rPr>
        <w:t xml:space="preserve">15(2) of the LG Reg sets out relevant </w:t>
      </w:r>
      <w:r>
        <w:rPr>
          <w:rFonts w:ascii="Arial"/>
          <w:color w:val="000000"/>
          <w:sz w:val="24"/>
        </w:rPr>
        <w:t>considerations</w:t>
      </w:r>
      <w:r>
        <w:rPr>
          <w:rFonts w:ascii="Arial"/>
          <w:color w:val="000000"/>
          <w:sz w:val="24"/>
        </w:rPr>
        <w:t xml:space="preserve"> </w:t>
      </w:r>
      <w:r>
        <w:rPr>
          <w:rFonts w:ascii="Arial"/>
          <w:color w:val="000000"/>
          <w:sz w:val="24"/>
        </w:rPr>
        <w:t>that the Court must take into account</w:t>
      </w:r>
      <w:r>
        <w:rPr>
          <w:rFonts w:ascii="Arial"/>
          <w:color w:val="000000"/>
          <w:sz w:val="24"/>
        </w:rPr>
        <w:t xml:space="preserve"> </w:t>
      </w:r>
      <w:r>
        <w:rPr>
          <w:rFonts w:ascii="Arial"/>
          <w:color w:val="000000"/>
          <w:sz w:val="24"/>
        </w:rPr>
        <w:t>when determining a s68 application</w:t>
      </w:r>
      <w:r>
        <w:rPr>
          <w:rFonts w:ascii="Arial"/>
          <w:color w:val="000000"/>
          <w:sz w:val="24"/>
        </w:rPr>
        <w:t>. Relevantly</w:t>
      </w:r>
      <w:r>
        <w:rPr>
          <w:rFonts w:ascii="Arial"/>
          <w:color w:val="000000"/>
          <w:sz w:val="24"/>
        </w:rPr>
        <w:t>,</w:t>
      </w:r>
      <w:r>
        <w:rPr>
          <w:rFonts w:ascii="Arial"/>
          <w:color w:val="000000"/>
          <w:sz w:val="24"/>
        </w:rPr>
        <w:t xml:space="preserve"> </w:t>
      </w:r>
      <w:r>
        <w:rPr>
          <w:rFonts w:ascii="Arial"/>
          <w:color w:val="000000"/>
          <w:sz w:val="24"/>
        </w:rPr>
        <w:t xml:space="preserve">in the context of the </w:t>
      </w:r>
      <w:r>
        <w:rPr>
          <w:rFonts w:ascii="Arial"/>
          <w:color w:val="000000"/>
          <w:sz w:val="24"/>
        </w:rPr>
        <w:t xml:space="preserve">proposed </w:t>
      </w:r>
      <w:r>
        <w:rPr>
          <w:rFonts w:ascii="Arial"/>
          <w:color w:val="000000"/>
          <w:sz w:val="24"/>
        </w:rPr>
        <w:t xml:space="preserve">stormwater drainage </w:t>
      </w:r>
      <w:r>
        <w:rPr>
          <w:rFonts w:ascii="Arial"/>
          <w:color w:val="000000"/>
          <w:sz w:val="24"/>
        </w:rPr>
        <w:t xml:space="preserve">in this case </w:t>
      </w:r>
      <w:r>
        <w:rPr>
          <w:rFonts w:ascii="Arial"/>
          <w:color w:val="000000"/>
          <w:sz w:val="24"/>
        </w:rPr>
        <w:t>the Council identifies</w:t>
      </w:r>
      <w:r>
        <w:rPr>
          <w:rFonts w:ascii="Arial"/>
          <w:color w:val="000000"/>
          <w:sz w:val="24"/>
        </w:rPr>
        <w:t xml:space="preserve">: </w:t>
      </w:r>
      <w:r>
        <w:rPr>
          <w:rFonts w:ascii="Arial"/>
          <w:color w:val="000000"/>
          <w:sz w:val="24"/>
        </w:rPr>
        <w:t xml:space="preserve">the </w:t>
      </w:r>
      <w:r>
        <w:rPr>
          <w:rFonts w:ascii="Arial"/>
          <w:color w:val="000000"/>
          <w:sz w:val="24"/>
        </w:rPr>
        <w:t>principles</w:t>
      </w:r>
      <w:r>
        <w:rPr>
          <w:rFonts w:ascii="Arial"/>
          <w:color w:val="000000"/>
          <w:sz w:val="24"/>
        </w:rPr>
        <w:t xml:space="preserve"> </w:t>
      </w:r>
      <w:r>
        <w:rPr>
          <w:rFonts w:ascii="Arial"/>
          <w:color w:val="000000"/>
          <w:sz w:val="24"/>
        </w:rPr>
        <w:t xml:space="preserve">of </w:t>
      </w:r>
      <w:r>
        <w:rPr>
          <w:rFonts w:ascii="Arial"/>
          <w:color w:val="000000"/>
          <w:sz w:val="24"/>
        </w:rPr>
        <w:t>ESD</w:t>
      </w:r>
      <w:r>
        <w:rPr>
          <w:rFonts w:ascii="Arial"/>
          <w:color w:val="000000"/>
          <w:sz w:val="24"/>
        </w:rPr>
        <w:t xml:space="preserve"> </w:t>
      </w:r>
      <w:r>
        <w:rPr>
          <w:rFonts w:ascii="Arial"/>
          <w:color w:val="000000"/>
          <w:sz w:val="24"/>
        </w:rPr>
        <w:t>(as defined in s</w:t>
      </w:r>
      <w:r>
        <w:rPr>
          <w:rFonts w:ascii="Arial"/>
          <w:color w:val="000000"/>
          <w:sz w:val="24"/>
        </w:rPr>
        <w:t xml:space="preserve"> </w:t>
      </w:r>
      <w:r>
        <w:rPr>
          <w:rFonts w:ascii="Arial"/>
          <w:color w:val="000000"/>
          <w:sz w:val="24"/>
        </w:rPr>
        <w:t xml:space="preserve">3 of the LG Act and </w:t>
      </w:r>
      <w:r>
        <w:rPr>
          <w:rFonts w:ascii="Arial"/>
          <w:color w:val="000000"/>
          <w:sz w:val="24"/>
        </w:rPr>
        <w:t>D</w:t>
      </w:r>
      <w:r>
        <w:rPr>
          <w:rFonts w:ascii="Arial"/>
          <w:color w:val="000000"/>
          <w:sz w:val="24"/>
        </w:rPr>
        <w:t>ictionary)</w:t>
      </w:r>
      <w:r>
        <w:rPr>
          <w:rFonts w:ascii="Arial"/>
          <w:color w:val="000000"/>
          <w:sz w:val="24"/>
        </w:rPr>
        <w:t>; protection of the environment; and any other matter that the Court considers relevant in the circumstances (C</w:t>
      </w:r>
      <w:r>
        <w:rPr>
          <w:rFonts w:ascii="Arial"/>
          <w:color w:val="000000"/>
          <w:sz w:val="24"/>
        </w:rPr>
        <w:t>ouncil</w:t>
      </w:r>
      <w:r>
        <w:rPr>
          <w:rFonts w:ascii="Arial"/>
          <w:color w:val="000000"/>
          <w:sz w:val="24"/>
        </w:rPr>
        <w:t>’</w:t>
      </w:r>
      <w:r>
        <w:rPr>
          <w:rFonts w:ascii="Arial"/>
          <w:color w:val="000000"/>
          <w:sz w:val="24"/>
        </w:rPr>
        <w:t xml:space="preserve">s </w:t>
      </w:r>
      <w:r>
        <w:rPr>
          <w:rFonts w:ascii="Arial"/>
          <w:color w:val="000000"/>
          <w:sz w:val="24"/>
        </w:rPr>
        <w:t xml:space="preserve">closing </w:t>
      </w:r>
      <w:r>
        <w:rPr>
          <w:rFonts w:ascii="Arial"/>
          <w:color w:val="000000"/>
          <w:sz w:val="24"/>
        </w:rPr>
        <w:t>written submissions</w:t>
      </w:r>
      <w:r>
        <w:rPr>
          <w:rFonts w:ascii="Arial"/>
          <w:color w:val="000000"/>
          <w:sz w:val="24"/>
        </w:rPr>
        <w:t xml:space="preserve"> </w:t>
      </w:r>
      <w:r>
        <w:rPr>
          <w:rFonts w:ascii="Arial"/>
          <w:color w:val="000000"/>
          <w:sz w:val="24"/>
        </w:rPr>
        <w:t>dated 11 December 2023</w:t>
      </w:r>
      <w:r>
        <w:rPr>
          <w:rFonts w:ascii="Arial"/>
          <w:color w:val="000000"/>
          <w:sz w:val="24"/>
        </w:rPr>
        <w:t xml:space="preserve"> </w:t>
      </w:r>
      <w:r>
        <w:rPr>
          <w:rFonts w:ascii="Arial"/>
          <w:color w:val="000000"/>
          <w:sz w:val="24"/>
        </w:rPr>
        <w:t>(</w:t>
      </w:r>
      <w:r>
        <w:rPr>
          <w:rFonts w:ascii="Arial"/>
          <w:b/>
          <w:color w:val="000000"/>
          <w:sz w:val="24"/>
        </w:rPr>
        <w:t>C</w:t>
      </w:r>
      <w:r>
        <w:rPr>
          <w:rFonts w:ascii="Arial"/>
          <w:b/>
          <w:color w:val="000000"/>
          <w:sz w:val="24"/>
        </w:rPr>
        <w:t>C</w:t>
      </w:r>
      <w:r>
        <w:rPr>
          <w:rFonts w:ascii="Arial"/>
          <w:b/>
          <w:color w:val="000000"/>
          <w:sz w:val="24"/>
        </w:rPr>
        <w:t>WS</w:t>
      </w:r>
      <w:r>
        <w:rPr>
          <w:rFonts w:ascii="Arial"/>
          <w:color w:val="000000"/>
          <w:sz w:val="24"/>
        </w:rPr>
        <w:t>)</w:t>
      </w:r>
      <w:r>
        <w:rPr>
          <w:rFonts w:ascii="Arial"/>
          <w:color w:val="000000"/>
          <w:sz w:val="24"/>
        </w:rPr>
        <w:t xml:space="preserve"> </w:t>
      </w:r>
      <w:r>
        <w:rPr>
          <w:rFonts w:ascii="Arial"/>
          <w:color w:val="000000"/>
          <w:sz w:val="24"/>
        </w:rPr>
        <w:t xml:space="preserve">at </w:t>
      </w:r>
      <w:r>
        <w:rPr>
          <w:rFonts w:ascii="Arial"/>
          <w:color w:val="000000"/>
          <w:sz w:val="24"/>
        </w:rPr>
        <w:t xml:space="preserve">par </w:t>
      </w:r>
      <w:r>
        <w:rPr>
          <w:rFonts w:ascii="Arial"/>
          <w:color w:val="000000"/>
          <w:sz w:val="24"/>
        </w:rPr>
        <w:t>31).</w:t>
      </w:r>
    </w:p>
    <w:p>
      <w:pPr>
        <w:pStyle w:val="CaselawNumbered10"/>
        <w:numPr>
          <w:ilvl w:val="0"/>
          <w:numId w:val="48"/>
        </w:numPr>
        <w:spacing w:before="150" w:after="0"/>
        <w:ind w:left="600" w:hanging="600"/>
      </w:pPr>
      <w:r>
        <w:rPr>
          <w:rFonts w:ascii="Arial"/>
          <w:color w:val="000000"/>
          <w:sz w:val="24"/>
        </w:rPr>
        <w:t>Clause</w:t>
      </w:r>
      <w:r>
        <w:rPr>
          <w:rFonts w:ascii="Arial"/>
          <w:color w:val="000000"/>
          <w:sz w:val="24"/>
        </w:rPr>
        <w:t xml:space="preserve"> </w:t>
      </w:r>
      <w:r>
        <w:rPr>
          <w:rFonts w:ascii="Arial"/>
          <w:color w:val="000000"/>
          <w:sz w:val="24"/>
        </w:rPr>
        <w:t xml:space="preserve">13 of the LG Reg </w:t>
      </w:r>
      <w:r>
        <w:rPr>
          <w:rFonts w:ascii="Arial"/>
          <w:color w:val="000000"/>
          <w:sz w:val="24"/>
        </w:rPr>
        <w:t xml:space="preserve">contains jurisdictional prerequisites </w:t>
      </w:r>
      <w:r>
        <w:rPr>
          <w:rFonts w:ascii="Arial"/>
          <w:color w:val="000000"/>
          <w:sz w:val="24"/>
        </w:rPr>
        <w:t xml:space="preserve">to the granting </w:t>
      </w:r>
      <w:r>
        <w:rPr>
          <w:rFonts w:ascii="Arial"/>
          <w:color w:val="000000"/>
          <w:sz w:val="24"/>
        </w:rPr>
        <w:t xml:space="preserve">of </w:t>
      </w:r>
      <w:r>
        <w:rPr>
          <w:rFonts w:ascii="Arial"/>
          <w:color w:val="000000"/>
          <w:sz w:val="24"/>
        </w:rPr>
        <w:t xml:space="preserve">the </w:t>
      </w:r>
      <w:r>
        <w:rPr>
          <w:rFonts w:ascii="Arial"/>
          <w:color w:val="000000"/>
          <w:sz w:val="24"/>
        </w:rPr>
        <w:t>s68 applications</w:t>
      </w:r>
      <w:r>
        <w:rPr>
          <w:rFonts w:ascii="Arial"/>
          <w:color w:val="000000"/>
          <w:sz w:val="24"/>
        </w:rPr>
        <w:t>,</w:t>
      </w:r>
      <w:r>
        <w:rPr>
          <w:rFonts w:ascii="Arial"/>
          <w:color w:val="000000"/>
          <w:sz w:val="24"/>
        </w:rPr>
        <w:t xml:space="preserve"> </w:t>
      </w:r>
      <w:r>
        <w:rPr>
          <w:rFonts w:ascii="Arial"/>
          <w:color w:val="000000"/>
          <w:sz w:val="24"/>
        </w:rPr>
        <w:t>and importantly</w:t>
      </w:r>
      <w:r>
        <w:rPr>
          <w:rFonts w:ascii="Arial"/>
          <w:color w:val="000000"/>
          <w:sz w:val="24"/>
        </w:rPr>
        <w:t>,</w:t>
      </w:r>
      <w:r>
        <w:rPr>
          <w:rFonts w:ascii="Arial"/>
          <w:color w:val="000000"/>
          <w:sz w:val="24"/>
        </w:rPr>
        <w:t xml:space="preserve"> </w:t>
      </w:r>
      <w:r>
        <w:rPr>
          <w:rFonts w:ascii="Arial"/>
          <w:color w:val="000000"/>
          <w:sz w:val="24"/>
        </w:rPr>
        <w:t xml:space="preserve">links </w:t>
      </w:r>
      <w:r>
        <w:rPr>
          <w:rFonts w:ascii="Arial"/>
          <w:color w:val="000000"/>
          <w:sz w:val="24"/>
        </w:rPr>
        <w:t>compliance with applicable standar</w:t>
      </w:r>
      <w:r>
        <w:rPr>
          <w:rFonts w:ascii="Arial"/>
          <w:color w:val="000000"/>
          <w:sz w:val="24"/>
        </w:rPr>
        <w:t>d</w:t>
      </w:r>
      <w:r>
        <w:rPr>
          <w:rFonts w:ascii="Arial"/>
          <w:color w:val="000000"/>
          <w:sz w:val="24"/>
        </w:rPr>
        <w:t xml:space="preserve">s and development </w:t>
      </w:r>
      <w:r>
        <w:rPr>
          <w:rFonts w:ascii="Arial"/>
          <w:color w:val="000000"/>
          <w:sz w:val="24"/>
        </w:rPr>
        <w:t xml:space="preserve">consents. </w:t>
      </w:r>
    </w:p>
    <w:p>
      <w:pPr>
        <w:pStyle w:val="CaselawNumbered10"/>
        <w:numPr>
          <w:ilvl w:val="0"/>
          <w:numId w:val="48"/>
        </w:numPr>
        <w:spacing w:before="150" w:after="0"/>
        <w:ind w:left="600" w:hanging="600"/>
      </w:pPr>
      <w:r>
        <w:rPr>
          <w:rFonts w:ascii="Arial"/>
          <w:color w:val="000000"/>
          <w:sz w:val="24"/>
        </w:rPr>
        <w:t>Shortly stated</w:t>
      </w:r>
      <w:r>
        <w:rPr>
          <w:rFonts w:ascii="Arial"/>
          <w:color w:val="000000"/>
          <w:sz w:val="24"/>
        </w:rPr>
        <w:t>,</w:t>
      </w:r>
      <w:r>
        <w:rPr>
          <w:rFonts w:ascii="Arial"/>
          <w:color w:val="000000"/>
          <w:sz w:val="24"/>
        </w:rPr>
        <w:t xml:space="preserve"> </w:t>
      </w:r>
      <w:r>
        <w:rPr>
          <w:rFonts w:ascii="Arial"/>
          <w:color w:val="000000"/>
          <w:sz w:val="24"/>
        </w:rPr>
        <w:t xml:space="preserve">the Court </w:t>
      </w:r>
      <w:r>
        <w:rPr>
          <w:rFonts w:ascii="Arial"/>
          <w:color w:val="000000"/>
          <w:sz w:val="24"/>
        </w:rPr>
        <w:t xml:space="preserve">needs </w:t>
      </w:r>
      <w:r>
        <w:rPr>
          <w:rFonts w:ascii="Arial"/>
          <w:color w:val="000000"/>
          <w:sz w:val="24"/>
        </w:rPr>
        <w:t xml:space="preserve">to be </w:t>
      </w:r>
      <w:r>
        <w:rPr>
          <w:rFonts w:ascii="Arial"/>
          <w:color w:val="000000"/>
          <w:sz w:val="24"/>
        </w:rPr>
        <w:t xml:space="preserve">satisfied that the proposed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relevantly the stormwater drainage works in dispute, will comply with any applicable standards or requirements referred to in Pt 2 </w:t>
      </w:r>
      <w:r>
        <w:rPr>
          <w:rFonts w:ascii="Arial"/>
          <w:color w:val="000000"/>
          <w:sz w:val="24"/>
        </w:rPr>
        <w:t xml:space="preserve">of </w:t>
      </w:r>
      <w:r>
        <w:rPr>
          <w:rFonts w:ascii="Arial"/>
          <w:color w:val="000000"/>
          <w:sz w:val="24"/>
        </w:rPr>
        <w:t>Sch</w:t>
      </w:r>
      <w:r>
        <w:rPr>
          <w:rFonts w:ascii="Arial"/>
          <w:color w:val="000000"/>
          <w:sz w:val="24"/>
        </w:rPr>
        <w:t> </w:t>
      </w:r>
      <w:r>
        <w:rPr>
          <w:rFonts w:ascii="Arial"/>
          <w:color w:val="000000"/>
          <w:sz w:val="24"/>
        </w:rPr>
        <w:t>1</w:t>
      </w:r>
      <w:r>
        <w:rPr>
          <w:rFonts w:ascii="Arial"/>
          <w:color w:val="000000"/>
          <w:sz w:val="24"/>
        </w:rPr>
        <w:t>,</w:t>
      </w:r>
      <w:r>
        <w:rPr>
          <w:rFonts w:ascii="Arial"/>
          <w:color w:val="000000"/>
          <w:sz w:val="24"/>
        </w:rPr>
        <w:t xml:space="preserve"> </w:t>
      </w:r>
      <w:r>
        <w:rPr>
          <w:rFonts w:ascii="Arial"/>
          <w:color w:val="000000"/>
          <w:sz w:val="24"/>
        </w:rPr>
        <w:t>and with any other applicable standards or requirements set out or referred to in this Regulation.</w:t>
      </w:r>
      <w:r>
        <w:rPr>
          <w:rFonts w:ascii="Arial"/>
          <w:color w:val="000000"/>
          <w:sz w:val="24"/>
        </w:rPr>
        <w:t xml:space="preserve"> </w:t>
      </w:r>
      <w:r>
        <w:rPr>
          <w:rFonts w:ascii="Arial"/>
          <w:color w:val="000000"/>
          <w:sz w:val="24"/>
        </w:rPr>
        <w:t>This includes the requirements in Pt 1 of Sch 1 in relation to water supply, sewerage and stormwater drainage works.</w:t>
      </w:r>
      <w:r>
        <w:rPr>
          <w:rFonts w:ascii="Arial"/>
          <w:color w:val="000000"/>
          <w:sz w:val="24"/>
        </w:rPr>
        <w:t xml:space="preserve"> </w:t>
      </w:r>
      <w:r>
        <w:rPr>
          <w:rFonts w:ascii="Arial"/>
          <w:color w:val="000000"/>
          <w:sz w:val="24"/>
        </w:rPr>
        <w:t xml:space="preserve">It is to be noted that </w:t>
      </w:r>
      <w:r>
        <w:rPr>
          <w:rFonts w:ascii="Arial"/>
          <w:color w:val="000000"/>
          <w:sz w:val="24"/>
        </w:rPr>
        <w:t>t</w:t>
      </w:r>
      <w:r>
        <w:rPr>
          <w:rFonts w:ascii="Arial"/>
          <w:color w:val="000000"/>
          <w:sz w:val="24"/>
        </w:rPr>
        <w:t xml:space="preserve">he state of satisfaction </w:t>
      </w:r>
      <w:r>
        <w:rPr>
          <w:rFonts w:ascii="Arial"/>
          <w:color w:val="000000"/>
          <w:sz w:val="24"/>
        </w:rPr>
        <w:t xml:space="preserve">referred in the clause is a </w:t>
      </w:r>
      <w:r>
        <w:rPr>
          <w:rFonts w:ascii="Arial"/>
          <w:color w:val="000000"/>
          <w:sz w:val="24"/>
        </w:rPr>
        <w:t>jurisdictional</w:t>
      </w:r>
      <w:r>
        <w:rPr>
          <w:rFonts w:ascii="Arial"/>
          <w:color w:val="000000"/>
          <w:sz w:val="24"/>
        </w:rPr>
        <w:t xml:space="preserve"> </w:t>
      </w:r>
      <w:r>
        <w:rPr>
          <w:rFonts w:ascii="Arial"/>
          <w:color w:val="000000"/>
          <w:sz w:val="24"/>
        </w:rPr>
        <w:t>precondition</w:t>
      </w:r>
      <w:r>
        <w:rPr>
          <w:rFonts w:ascii="Arial"/>
          <w:color w:val="000000"/>
          <w:sz w:val="24"/>
        </w:rPr>
        <w:t xml:space="preserve"> </w:t>
      </w:r>
      <w:r>
        <w:rPr>
          <w:rFonts w:ascii="Arial"/>
          <w:color w:val="000000"/>
          <w:sz w:val="24"/>
        </w:rPr>
        <w:t xml:space="preserve">- being </w:t>
      </w:r>
      <w:r>
        <w:rPr>
          <w:rFonts w:ascii="Arial"/>
          <w:color w:val="000000"/>
          <w:sz w:val="24"/>
        </w:rPr>
        <w:t xml:space="preserve">a jurisdictional fact of a </w:t>
      </w:r>
      <w:r>
        <w:rPr>
          <w:rFonts w:ascii="Arial"/>
          <w:color w:val="000000"/>
          <w:sz w:val="24"/>
        </w:rPr>
        <w:t>“</w:t>
      </w:r>
      <w:r>
        <w:rPr>
          <w:rFonts w:ascii="Arial"/>
          <w:color w:val="000000"/>
          <w:sz w:val="24"/>
        </w:rPr>
        <w:t>special kind</w:t>
      </w:r>
      <w:r>
        <w:rPr>
          <w:rFonts w:ascii="Arial"/>
          <w:color w:val="000000"/>
          <w:sz w:val="24"/>
        </w:rPr>
        <w:t xml:space="preserve">” </w:t>
      </w:r>
      <w:r>
        <w:rPr>
          <w:rFonts w:ascii="Arial"/>
          <w:color w:val="000000"/>
          <w:sz w:val="24"/>
        </w:rPr>
        <w:t xml:space="preserve">requiring the Court form the requisite opinion of satisfaction </w:t>
      </w:r>
      <w:r>
        <w:rPr>
          <w:rFonts w:ascii="Arial"/>
          <w:color w:val="000000"/>
          <w:sz w:val="24"/>
        </w:rPr>
        <w:t xml:space="preserve">such as to enliven </w:t>
      </w:r>
      <w:r>
        <w:rPr>
          <w:rFonts w:ascii="Arial"/>
          <w:color w:val="000000"/>
          <w:sz w:val="24"/>
        </w:rPr>
        <w:t xml:space="preserve">the </w:t>
      </w:r>
      <w:r>
        <w:rPr>
          <w:rFonts w:ascii="Arial"/>
          <w:color w:val="000000"/>
          <w:sz w:val="24"/>
        </w:rPr>
        <w:t>power</w:t>
      </w:r>
      <w:r>
        <w:rPr>
          <w:rFonts w:ascii="Arial"/>
          <w:color w:val="000000"/>
          <w:sz w:val="24"/>
        </w:rPr>
        <w:t xml:space="preserve"> </w:t>
      </w:r>
      <w:r>
        <w:rPr>
          <w:rFonts w:ascii="Arial"/>
          <w:color w:val="000000"/>
          <w:sz w:val="24"/>
        </w:rPr>
        <w:t>for the grant of a s68 approval</w:t>
      </w:r>
      <w:r>
        <w:rPr>
          <w:rFonts w:ascii="Arial"/>
          <w:color w:val="000000"/>
          <w:sz w:val="24"/>
        </w:rPr>
        <w:t xml:space="preserve">: </w:t>
      </w:r>
      <w:r>
        <w:rPr>
          <w:rFonts w:ascii="Arial"/>
          <w:i/>
          <w:color w:val="000000"/>
          <w:sz w:val="24"/>
        </w:rPr>
        <w:t>Initial Action Pty Ltd v Woollahra Municipal Council</w:t>
      </w:r>
      <w:r>
        <w:rPr>
          <w:rFonts w:ascii="Arial"/>
          <w:color w:val="000000"/>
          <w:sz w:val="24"/>
        </w:rPr>
        <w:t xml:space="preserve"> </w:t>
      </w:r>
      <w:r>
        <w:rPr>
          <w:rFonts w:ascii="Arial"/>
          <w:color w:val="000000"/>
          <w:sz w:val="24"/>
        </w:rPr>
        <w:t xml:space="preserve">(2018) 236 </w:t>
      </w:r>
      <w:r>
        <w:rPr>
          <w:rFonts w:ascii="Arial"/>
          <w:color w:val="000000"/>
          <w:sz w:val="24"/>
        </w:rPr>
        <w:t>LGERA 256</w:t>
      </w:r>
      <w:r>
        <w:rPr>
          <w:rFonts w:ascii="Arial"/>
          <w:color w:val="000000"/>
          <w:sz w:val="24"/>
        </w:rPr>
        <w:t xml:space="preserve">; </w:t>
      </w:r>
      <w:r>
        <w:rPr>
          <w:rFonts w:ascii="Arial"/>
          <w:color w:val="000000"/>
          <w:sz w:val="24"/>
        </w:rPr>
        <w:t xml:space="preserve">[2018] NSWLEC 118; </w:t>
      </w:r>
      <w:r>
        <w:rPr>
          <w:rFonts w:ascii="Arial"/>
          <w:i/>
          <w:color w:val="000000"/>
          <w:sz w:val="24"/>
        </w:rPr>
        <w:t>Al Maha Pty Ltd v Huajun Investments Pty Ltd</w:t>
      </w:r>
      <w:r>
        <w:rPr>
          <w:rFonts w:ascii="Arial"/>
          <w:color w:val="000000"/>
          <w:sz w:val="24"/>
        </w:rPr>
        <w:t xml:space="preserve"> </w:t>
      </w:r>
      <w:r>
        <w:rPr>
          <w:rFonts w:ascii="Arial"/>
          <w:color w:val="000000"/>
          <w:sz w:val="24"/>
        </w:rPr>
        <w:t>(2018) 365 ALR 86; (2018) 233 LGERA 170</w:t>
      </w:r>
      <w:r>
        <w:rPr>
          <w:rFonts w:ascii="Arial"/>
          <w:color w:val="000000"/>
          <w:sz w:val="24"/>
        </w:rPr>
        <w:t>;</w:t>
      </w:r>
      <w:r>
        <w:rPr>
          <w:rFonts w:ascii="Arial"/>
          <w:color w:val="000000"/>
          <w:sz w:val="24"/>
        </w:rPr>
        <w:t xml:space="preserve"> </w:t>
      </w:r>
      <w:r>
        <w:rPr>
          <w:rFonts w:ascii="Arial"/>
          <w:color w:val="000000"/>
          <w:sz w:val="24"/>
        </w:rPr>
        <w:t>[2018] NSWCA 245</w:t>
      </w:r>
      <w:r>
        <w:rPr>
          <w:rFonts w:ascii="Arial"/>
          <w:color w:val="000000"/>
          <w:sz w:val="24"/>
        </w:rPr>
        <w:t xml:space="preserve">). </w:t>
      </w:r>
    </w:p>
    <w:p>
      <w:pPr>
        <w:pStyle w:val="CaselawNumbered10"/>
        <w:numPr>
          <w:ilvl w:val="0"/>
          <w:numId w:val="48"/>
        </w:numPr>
        <w:spacing w:before="150" w:after="0"/>
        <w:ind w:left="600" w:hanging="600"/>
      </w:pPr>
      <w:r>
        <w:rPr>
          <w:rFonts w:ascii="Arial"/>
          <w:color w:val="000000"/>
          <w:sz w:val="24"/>
        </w:rPr>
        <w:t xml:space="preserve">Although </w:t>
      </w:r>
      <w:r>
        <w:rPr>
          <w:rFonts w:ascii="Arial"/>
          <w:color w:val="000000"/>
          <w:sz w:val="24"/>
        </w:rPr>
        <w:t xml:space="preserve">the Council </w:t>
      </w:r>
      <w:r>
        <w:rPr>
          <w:rFonts w:ascii="Arial"/>
          <w:color w:val="000000"/>
          <w:sz w:val="24"/>
        </w:rPr>
        <w:t xml:space="preserve">does not </w:t>
      </w:r>
      <w:r>
        <w:rPr>
          <w:rFonts w:ascii="Arial"/>
          <w:color w:val="000000"/>
          <w:sz w:val="24"/>
        </w:rPr>
        <w:t xml:space="preserve">contend that the requirements in </w:t>
      </w:r>
      <w:r>
        <w:rPr>
          <w:rFonts w:ascii="Arial"/>
          <w:color w:val="000000"/>
          <w:sz w:val="24"/>
        </w:rPr>
        <w:t>P</w:t>
      </w:r>
      <w:r>
        <w:rPr>
          <w:rFonts w:ascii="Arial"/>
          <w:color w:val="000000"/>
          <w:sz w:val="24"/>
        </w:rPr>
        <w:t xml:space="preserve">t 2 </w:t>
      </w:r>
      <w:r>
        <w:rPr>
          <w:rFonts w:ascii="Arial"/>
          <w:color w:val="000000"/>
          <w:sz w:val="24"/>
        </w:rPr>
        <w:t xml:space="preserve">of </w:t>
      </w:r>
      <w:r>
        <w:rPr>
          <w:rFonts w:ascii="Arial"/>
          <w:color w:val="000000"/>
          <w:sz w:val="24"/>
        </w:rPr>
        <w:t>Sch 1 are not met</w:t>
      </w:r>
      <w:r>
        <w:rPr>
          <w:rFonts w:ascii="Arial"/>
          <w:color w:val="000000"/>
          <w:sz w:val="24"/>
        </w:rPr>
        <w:t>,</w:t>
      </w:r>
      <w:r>
        <w:rPr>
          <w:rFonts w:ascii="Arial"/>
          <w:color w:val="000000"/>
          <w:sz w:val="24"/>
        </w:rPr>
        <w:t xml:space="preserve"> </w:t>
      </w:r>
      <w:r>
        <w:rPr>
          <w:rFonts w:ascii="Arial"/>
          <w:color w:val="000000"/>
          <w:sz w:val="24"/>
        </w:rPr>
        <w:t xml:space="preserve">it is to be noted that </w:t>
      </w:r>
      <w:r>
        <w:rPr>
          <w:rFonts w:ascii="Arial"/>
          <w:color w:val="000000"/>
          <w:sz w:val="24"/>
        </w:rPr>
        <w:t xml:space="preserve">the Court </w:t>
      </w:r>
      <w:r>
        <w:rPr>
          <w:rFonts w:ascii="Arial"/>
          <w:color w:val="000000"/>
          <w:sz w:val="24"/>
        </w:rPr>
        <w:t>needs to f</w:t>
      </w:r>
      <w:r>
        <w:rPr>
          <w:rFonts w:ascii="Arial"/>
          <w:color w:val="000000"/>
          <w:sz w:val="24"/>
        </w:rPr>
        <w:t>or</w:t>
      </w:r>
      <w:r>
        <w:rPr>
          <w:rFonts w:ascii="Arial"/>
          <w:color w:val="000000"/>
          <w:sz w:val="24"/>
        </w:rPr>
        <w:t xml:space="preserve">m its own </w:t>
      </w:r>
      <w:r>
        <w:rPr>
          <w:rFonts w:ascii="Arial"/>
          <w:color w:val="000000"/>
          <w:sz w:val="24"/>
        </w:rPr>
        <w:t xml:space="preserve">opinion that the activity as proposed to be carried out will comply with any other applicable standards or requirements set out or referred to in this Regulation. </w:t>
      </w:r>
    </w:p>
    <w:p>
      <w:pPr>
        <w:pStyle w:val="CaselawNumbered10"/>
        <w:numPr>
          <w:ilvl w:val="0"/>
          <w:numId w:val="48"/>
        </w:numPr>
        <w:spacing w:before="150" w:after="0"/>
        <w:ind w:left="600" w:hanging="600"/>
      </w:pPr>
      <w:r>
        <w:rPr>
          <w:rFonts w:ascii="Arial"/>
          <w:color w:val="000000"/>
          <w:sz w:val="24"/>
        </w:rPr>
        <w:t>Clause</w:t>
      </w:r>
      <w:r>
        <w:rPr>
          <w:rFonts w:ascii="Arial"/>
          <w:color w:val="000000"/>
          <w:sz w:val="24"/>
        </w:rPr>
        <w:t xml:space="preserve"> </w:t>
      </w:r>
      <w:r>
        <w:rPr>
          <w:rFonts w:ascii="Arial"/>
          <w:color w:val="000000"/>
          <w:sz w:val="24"/>
        </w:rPr>
        <w:t xml:space="preserve">16 of the LG Reg, </w:t>
      </w:r>
      <w:r>
        <w:rPr>
          <w:rFonts w:ascii="Arial"/>
          <w:color w:val="000000"/>
          <w:sz w:val="24"/>
        </w:rPr>
        <w:t xml:space="preserve">also </w:t>
      </w:r>
      <w:r>
        <w:rPr>
          <w:rFonts w:ascii="Arial"/>
          <w:color w:val="000000"/>
          <w:sz w:val="24"/>
        </w:rPr>
        <w:t>called up by s</w:t>
      </w:r>
      <w:r>
        <w:rPr>
          <w:rFonts w:ascii="Arial"/>
          <w:color w:val="000000"/>
          <w:sz w:val="24"/>
        </w:rPr>
        <w:t xml:space="preserve"> </w:t>
      </w:r>
      <w:r>
        <w:rPr>
          <w:rFonts w:ascii="Arial"/>
          <w:color w:val="000000"/>
          <w:sz w:val="24"/>
        </w:rPr>
        <w:t>89(1)(a) of the LG</w:t>
      </w:r>
      <w:r>
        <w:rPr>
          <w:rFonts w:ascii="Arial"/>
          <w:color w:val="000000"/>
          <w:sz w:val="24"/>
        </w:rPr>
        <w:t xml:space="preserve"> </w:t>
      </w:r>
      <w:r>
        <w:rPr>
          <w:rFonts w:ascii="Arial"/>
          <w:color w:val="000000"/>
          <w:sz w:val="24"/>
        </w:rPr>
        <w:t>A</w:t>
      </w:r>
      <w:r>
        <w:rPr>
          <w:rFonts w:ascii="Arial"/>
          <w:color w:val="000000"/>
          <w:sz w:val="24"/>
        </w:rPr>
        <w:t>ct</w:t>
      </w:r>
      <w:r>
        <w:rPr>
          <w:rFonts w:ascii="Arial"/>
          <w:color w:val="000000"/>
          <w:sz w:val="24"/>
        </w:rPr>
        <w:t xml:space="preserve">, requires (pursuant to s 98(2) of the LG Act) the imposition of a stormwater drainage work condition </w:t>
      </w:r>
      <w:r>
        <w:rPr>
          <w:rFonts w:ascii="Arial"/>
          <w:color w:val="000000"/>
          <w:sz w:val="24"/>
        </w:rPr>
        <w:t xml:space="preserve">that </w:t>
      </w:r>
      <w:r>
        <w:rPr>
          <w:rFonts w:ascii="Arial"/>
          <w:color w:val="000000"/>
          <w:sz w:val="24"/>
        </w:rPr>
        <w:t>ensur</w:t>
      </w:r>
      <w:r>
        <w:rPr>
          <w:rFonts w:ascii="Arial"/>
          <w:color w:val="000000"/>
          <w:sz w:val="24"/>
        </w:rPr>
        <w:t>es</w:t>
      </w:r>
      <w:r>
        <w:rPr>
          <w:rFonts w:ascii="Arial"/>
          <w:color w:val="000000"/>
          <w:sz w:val="24"/>
        </w:rPr>
        <w:t xml:space="preserve"> </w:t>
      </w:r>
      <w:r>
        <w:rPr>
          <w:rFonts w:ascii="Arial"/>
          <w:color w:val="000000"/>
          <w:sz w:val="24"/>
        </w:rPr>
        <w:t xml:space="preserve">compliance with applicable standards in Pt 2 </w:t>
      </w:r>
      <w:r>
        <w:rPr>
          <w:rFonts w:ascii="Arial"/>
          <w:color w:val="000000"/>
          <w:sz w:val="24"/>
        </w:rPr>
        <w:t xml:space="preserve">of </w:t>
      </w:r>
      <w:r>
        <w:rPr>
          <w:rFonts w:ascii="Arial"/>
          <w:color w:val="000000"/>
          <w:sz w:val="24"/>
        </w:rPr>
        <w:t xml:space="preserve">Sch 1 and </w:t>
      </w:r>
      <w:r>
        <w:rPr>
          <w:rFonts w:ascii="Arial"/>
          <w:color w:val="000000"/>
          <w:sz w:val="24"/>
        </w:rPr>
        <w:t xml:space="preserve">with any other applicable standards or requirements set out or referred to in this Regulation or any other regulation under the </w:t>
      </w:r>
      <w:r>
        <w:rPr>
          <w:rFonts w:ascii="Arial"/>
          <w:color w:val="000000"/>
          <w:sz w:val="24"/>
        </w:rPr>
        <w:t xml:space="preserve">LG </w:t>
      </w:r>
      <w:r>
        <w:rPr>
          <w:rFonts w:ascii="Arial"/>
          <w:color w:val="000000"/>
          <w:sz w:val="24"/>
        </w:rPr>
        <w:t>Act or the</w:t>
      </w:r>
      <w:r>
        <w:rPr>
          <w:rFonts w:ascii="Arial"/>
          <w:color w:val="000000"/>
          <w:sz w:val="24"/>
        </w:rPr>
        <w:t xml:space="preserve"> </w:t>
      </w:r>
      <w:r>
        <w:rPr>
          <w:rFonts w:ascii="Arial"/>
          <w:color w:val="000000"/>
          <w:sz w:val="24"/>
        </w:rPr>
        <w:t>EPA Act</w:t>
      </w:r>
      <w:r>
        <w:rPr>
          <w:rFonts w:ascii="Arial"/>
          <w:color w:val="000000"/>
          <w:sz w:val="24"/>
        </w:rPr>
        <w:t xml:space="preserve">. </w:t>
      </w:r>
      <w:r>
        <w:rPr>
          <w:rFonts w:ascii="Arial"/>
          <w:color w:val="000000"/>
          <w:sz w:val="24"/>
        </w:rPr>
        <w:t>It provides</w:t>
      </w:r>
      <w:r>
        <w:rPr>
          <w:rFonts w:ascii="Arial"/>
          <w:color w:val="000000"/>
          <w:sz w:val="24"/>
        </w:rPr>
        <w:t xml:space="preserve">: </w:t>
      </w:r>
    </w:p>
    <w:p>
      <w:pPr>
        <w:pStyle w:val="CaselawQuote"/>
        <w:spacing w:before="150" w:after="150"/>
        <w:ind w:left="1350"/>
        <w:jc w:val="left"/>
      </w:pPr>
      <w:r>
        <w:rPr>
          <w:rFonts w:ascii="Arial"/>
          <w:b/>
          <w:color w:val="000000"/>
          <w:sz w:val="22"/>
        </w:rPr>
        <w:t>16 Approvals for stormwater drainage work to be subject to a condition requiring compliance with standards and requirements</w:t>
      </w:r>
    </w:p>
    <w:p>
      <w:pPr>
        <w:pStyle w:val="CaselawQuote"/>
        <w:spacing w:before="150" w:after="150"/>
        <w:ind w:left="1350"/>
        <w:jc w:val="left"/>
      </w:pPr>
      <w:r>
        <w:rPr>
          <w:rFonts w:ascii="Arial"/>
          <w:color w:val="000000"/>
          <w:sz w:val="22"/>
        </w:rPr>
        <w:t>It is a condition of an approval allowing stormwater drainage work that—</w:t>
      </w:r>
    </w:p>
    <w:p>
      <w:pPr>
        <w:pStyle w:val="CaselawQuote"/>
        <w:spacing w:before="150" w:after="150"/>
        <w:ind w:left="1350"/>
        <w:jc w:val="left"/>
      </w:pPr>
      <w:r>
        <w:rPr>
          <w:rFonts w:ascii="Arial"/>
          <w:color w:val="000000"/>
          <w:sz w:val="22"/>
        </w:rPr>
        <w:t>(a) the activity approved, and</w:t>
      </w:r>
    </w:p>
    <w:p>
      <w:pPr>
        <w:pStyle w:val="CaselawQuote"/>
        <w:spacing w:before="150" w:after="150"/>
        <w:ind w:left="1350"/>
        <w:jc w:val="left"/>
      </w:pPr>
      <w:r>
        <w:rPr>
          <w:rFonts w:ascii="Arial"/>
          <w:color w:val="000000"/>
          <w:sz w:val="22"/>
        </w:rPr>
        <w:t>(b) any building or work associated or carried out in connection with the activity,</w:t>
      </w:r>
    </w:p>
    <w:p>
      <w:pPr>
        <w:pStyle w:val="CaselawQuote"/>
        <w:spacing w:before="150" w:after="150"/>
        <w:ind w:left="1350"/>
        <w:jc w:val="left"/>
      </w:pPr>
      <w:r>
        <w:rPr>
          <w:rFonts w:ascii="Arial"/>
          <w:b/>
          <w:color w:val="000000"/>
          <w:sz w:val="22"/>
        </w:rPr>
        <w:t>complies</w:t>
      </w:r>
      <w:r>
        <w:rPr>
          <w:rFonts w:ascii="Arial"/>
          <w:color w:val="000000"/>
          <w:sz w:val="22"/>
        </w:rPr>
        <w:t xml:space="preserve"> with any applicable standards set out or referred to in Part 2 of Schedule 1 and </w:t>
      </w:r>
      <w:r>
        <w:rPr>
          <w:rFonts w:ascii="Arial"/>
          <w:b/>
          <w:color w:val="000000"/>
          <w:sz w:val="22"/>
        </w:rPr>
        <w:t xml:space="preserve">with any other applicable standards or requirements set out or referred to in this Regulation or any other regulation under the Act or the </w:t>
      </w:r>
      <w:r>
        <w:rPr>
          <w:rFonts w:ascii="Arial"/>
          <w:b/>
          <w:i/>
          <w:color w:val="000000"/>
          <w:sz w:val="22"/>
        </w:rPr>
        <w:t>Environmental Planning and Assessment Act 1979</w:t>
      </w:r>
      <w:r>
        <w:rPr>
          <w:rFonts w:ascii="Arial"/>
          <w:color w:val="000000"/>
          <w:sz w:val="22"/>
        </w:rPr>
        <w:t xml:space="preserve">. </w:t>
      </w:r>
    </w:p>
    <w:p>
      <w:pPr>
        <w:pStyle w:val="CaselawQuote"/>
        <w:spacing w:before="150" w:after="150"/>
        <w:ind w:left="1350"/>
        <w:jc w:val="left"/>
      </w:pPr>
      <w:r>
        <w:rPr>
          <w:rFonts w:ascii="Arial"/>
          <w:color w:val="000000"/>
          <w:sz w:val="22"/>
        </w:rPr>
        <w:t>(Emphasis added)</w:t>
      </w:r>
    </w:p>
    <w:p>
      <w:pPr>
        <w:pStyle w:val="CaselawNumbered10"/>
        <w:numPr>
          <w:ilvl w:val="0"/>
          <w:numId w:val="49"/>
        </w:numPr>
        <w:spacing w:before="150" w:after="0"/>
        <w:ind w:left="600" w:hanging="600"/>
      </w:pPr>
      <w:r>
        <w:rPr>
          <w:rFonts w:ascii="Arial"/>
          <w:color w:val="000000"/>
          <w:sz w:val="24"/>
        </w:rPr>
        <w:t xml:space="preserve">Given that </w:t>
      </w:r>
      <w:r>
        <w:rPr>
          <w:rFonts w:ascii="Arial"/>
          <w:color w:val="000000"/>
          <w:sz w:val="24"/>
        </w:rPr>
        <w:t xml:space="preserve">the </w:t>
      </w:r>
      <w:r>
        <w:rPr>
          <w:rFonts w:ascii="Arial"/>
          <w:color w:val="000000"/>
          <w:sz w:val="24"/>
        </w:rPr>
        <w:t xml:space="preserve">prescribed condition </w:t>
      </w:r>
      <w:r>
        <w:rPr>
          <w:rFonts w:ascii="Arial"/>
          <w:color w:val="000000"/>
          <w:sz w:val="24"/>
        </w:rPr>
        <w:t xml:space="preserve">must be </w:t>
      </w:r>
      <w:r>
        <w:rPr>
          <w:rFonts w:ascii="Arial"/>
          <w:color w:val="000000"/>
          <w:sz w:val="24"/>
        </w:rPr>
        <w:t xml:space="preserve">imposed </w:t>
      </w:r>
      <w:r>
        <w:rPr>
          <w:rFonts w:ascii="Arial"/>
          <w:color w:val="000000"/>
          <w:sz w:val="24"/>
        </w:rPr>
        <w:t xml:space="preserve">on the grant of a </w:t>
      </w:r>
      <w:r>
        <w:rPr>
          <w:rFonts w:ascii="Arial"/>
          <w:color w:val="000000"/>
          <w:sz w:val="24"/>
        </w:rPr>
        <w:t>s68 approval</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Council submits that </w:t>
      </w:r>
      <w:r>
        <w:rPr>
          <w:rFonts w:ascii="Arial"/>
          <w:color w:val="000000"/>
          <w:sz w:val="24"/>
        </w:rPr>
        <w:t xml:space="preserve">this requirement is </w:t>
      </w:r>
      <w:r>
        <w:rPr>
          <w:rFonts w:ascii="Arial"/>
          <w:color w:val="000000"/>
          <w:sz w:val="24"/>
        </w:rPr>
        <w:t xml:space="preserve">also </w:t>
      </w:r>
      <w:r>
        <w:rPr>
          <w:rFonts w:ascii="Arial"/>
          <w:color w:val="000000"/>
          <w:sz w:val="24"/>
        </w:rPr>
        <w:t xml:space="preserve">relevant to the determination of the s68 </w:t>
      </w:r>
      <w:r>
        <w:rPr>
          <w:rFonts w:ascii="Arial"/>
          <w:color w:val="000000"/>
          <w:sz w:val="24"/>
        </w:rPr>
        <w:t xml:space="preserve">applications </w:t>
      </w:r>
      <w:r>
        <w:rPr>
          <w:rFonts w:ascii="Arial"/>
          <w:color w:val="000000"/>
          <w:sz w:val="24"/>
        </w:rPr>
        <w:t xml:space="preserve">because: </w:t>
      </w:r>
    </w:p>
    <w:p>
      <w:pPr>
        <w:pStyle w:val="CaselawNumbered1"/>
        <w:numPr>
          <w:ilvl w:val="0"/>
          <w:numId w:val="50"/>
        </w:numPr>
        <w:spacing w:before="150" w:after="0"/>
        <w:ind w:left="1350" w:hanging="750"/>
      </w:pPr>
      <w:r>
        <w:rPr>
          <w:rFonts w:ascii="Arial"/>
          <w:color w:val="000000"/>
          <w:sz w:val="24"/>
        </w:rPr>
        <w:t xml:space="preserve">the requirement in </w:t>
      </w:r>
      <w:r>
        <w:rPr>
          <w:rFonts w:ascii="Arial"/>
          <w:color w:val="000000"/>
          <w:sz w:val="24"/>
        </w:rPr>
        <w:t>cl</w:t>
      </w:r>
      <w:r>
        <w:rPr>
          <w:rFonts w:ascii="Arial"/>
          <w:color w:val="000000"/>
          <w:sz w:val="24"/>
        </w:rPr>
        <w:t xml:space="preserve"> </w:t>
      </w:r>
      <w:r>
        <w:rPr>
          <w:rFonts w:ascii="Arial"/>
          <w:color w:val="000000"/>
          <w:sz w:val="24"/>
        </w:rPr>
        <w:t xml:space="preserve">16 of the LG Reg is one of the </w:t>
      </w:r>
      <w:r>
        <w:rPr>
          <w:rFonts w:ascii="Arial"/>
          <w:color w:val="000000"/>
          <w:sz w:val="24"/>
        </w:rPr>
        <w:t>“</w:t>
      </w:r>
      <w:r>
        <w:rPr>
          <w:rFonts w:ascii="Arial"/>
          <w:color w:val="000000"/>
          <w:sz w:val="24"/>
        </w:rPr>
        <w:t>other applicable standards or requirements referred to in this Regulation</w:t>
      </w:r>
      <w:r>
        <w:rPr>
          <w:rFonts w:ascii="Arial"/>
          <w:color w:val="000000"/>
          <w:sz w:val="24"/>
        </w:rPr>
        <w:t xml:space="preserve">” </w:t>
      </w:r>
      <w:r>
        <w:rPr>
          <w:rFonts w:ascii="Arial"/>
          <w:color w:val="000000"/>
          <w:sz w:val="24"/>
        </w:rPr>
        <w:t xml:space="preserve">within the meaning of </w:t>
      </w:r>
      <w:r>
        <w:rPr>
          <w:rFonts w:ascii="Arial"/>
          <w:color w:val="000000"/>
          <w:sz w:val="24"/>
        </w:rPr>
        <w:t>cl</w:t>
      </w:r>
      <w:r>
        <w:rPr>
          <w:rFonts w:ascii="Arial"/>
          <w:color w:val="000000"/>
          <w:sz w:val="24"/>
        </w:rPr>
        <w:t xml:space="preserve"> </w:t>
      </w:r>
      <w:r>
        <w:rPr>
          <w:rFonts w:ascii="Arial"/>
          <w:color w:val="000000"/>
          <w:sz w:val="24"/>
        </w:rPr>
        <w:t>13</w:t>
      </w:r>
      <w:r>
        <w:rPr>
          <w:rFonts w:ascii="Arial"/>
          <w:color w:val="000000"/>
          <w:sz w:val="24"/>
        </w:rPr>
        <w:t xml:space="preserve"> </w:t>
      </w:r>
      <w:r>
        <w:rPr>
          <w:rFonts w:ascii="Arial"/>
          <w:color w:val="000000"/>
          <w:sz w:val="24"/>
        </w:rPr>
        <w:t>of the LG Reg, such that the Court must be satisfied</w:t>
      </w:r>
      <w:r>
        <w:rPr>
          <w:rFonts w:ascii="Arial"/>
          <w:color w:val="000000"/>
          <w:sz w:val="24"/>
        </w:rPr>
        <w:t xml:space="preserve"> </w:t>
      </w:r>
      <w:r>
        <w:rPr>
          <w:rFonts w:ascii="Arial"/>
          <w:color w:val="000000"/>
          <w:sz w:val="24"/>
        </w:rPr>
        <w:t xml:space="preserve">that the </w:t>
      </w:r>
      <w:r>
        <w:rPr>
          <w:rFonts w:ascii="Arial"/>
          <w:color w:val="000000"/>
          <w:sz w:val="24"/>
        </w:rPr>
        <w:t xml:space="preserve">activity will comply with the requirement in </w:t>
      </w:r>
      <w:r>
        <w:rPr>
          <w:rFonts w:ascii="Arial"/>
          <w:color w:val="000000"/>
          <w:sz w:val="24"/>
        </w:rPr>
        <w:t>cl</w:t>
      </w:r>
      <w:r>
        <w:rPr>
          <w:rFonts w:ascii="Arial"/>
          <w:color w:val="000000"/>
          <w:sz w:val="24"/>
        </w:rPr>
        <w:t xml:space="preserve"> </w:t>
      </w:r>
      <w:r>
        <w:rPr>
          <w:rFonts w:ascii="Arial"/>
          <w:color w:val="000000"/>
          <w:sz w:val="24"/>
        </w:rPr>
        <w:t>16 as a prerequisite</w:t>
      </w:r>
      <w:r>
        <w:rPr>
          <w:rFonts w:ascii="Arial"/>
          <w:color w:val="000000"/>
          <w:sz w:val="24"/>
        </w:rPr>
        <w:t xml:space="preserve"> </w:t>
      </w:r>
      <w:r>
        <w:rPr>
          <w:rFonts w:ascii="Arial"/>
          <w:color w:val="000000"/>
          <w:sz w:val="24"/>
        </w:rPr>
        <w:t>to the grant of approval</w:t>
      </w:r>
      <w:r>
        <w:rPr>
          <w:rFonts w:ascii="Arial"/>
          <w:color w:val="000000"/>
          <w:sz w:val="24"/>
        </w:rPr>
        <w:t xml:space="preserve">. </w:t>
      </w:r>
      <w:r>
        <w:rPr>
          <w:rFonts w:ascii="Arial"/>
          <w:color w:val="000000"/>
          <w:sz w:val="24"/>
        </w:rPr>
        <w:t xml:space="preserve">Clause </w:t>
      </w:r>
      <w:r>
        <w:rPr>
          <w:rFonts w:ascii="Arial"/>
          <w:color w:val="000000"/>
          <w:sz w:val="24"/>
        </w:rPr>
        <w:t xml:space="preserve">13 is directed to ensuring that </w:t>
      </w:r>
      <w:r>
        <w:rPr>
          <w:rFonts w:ascii="Arial"/>
          <w:color w:val="000000"/>
          <w:sz w:val="24"/>
        </w:rPr>
        <w:t xml:space="preserve">the </w:t>
      </w:r>
      <w:r>
        <w:rPr>
          <w:rFonts w:ascii="Arial"/>
          <w:color w:val="000000"/>
          <w:sz w:val="24"/>
        </w:rPr>
        <w:t xml:space="preserve">decision maker can be satisfied such requirements </w:t>
      </w:r>
      <w:r>
        <w:rPr>
          <w:rFonts w:ascii="Arial"/>
          <w:color w:val="000000"/>
          <w:sz w:val="24"/>
        </w:rPr>
        <w:t xml:space="preserve">will </w:t>
      </w:r>
      <w:r>
        <w:rPr>
          <w:rFonts w:ascii="Arial"/>
          <w:color w:val="000000"/>
          <w:sz w:val="24"/>
        </w:rPr>
        <w:t xml:space="preserve">be met at the time of </w:t>
      </w:r>
      <w:r>
        <w:rPr>
          <w:rFonts w:ascii="Arial"/>
          <w:color w:val="000000"/>
          <w:sz w:val="24"/>
        </w:rPr>
        <w:t>the decision</w:t>
      </w:r>
      <w:r>
        <w:rPr>
          <w:rFonts w:ascii="Arial"/>
          <w:color w:val="000000"/>
          <w:sz w:val="24"/>
        </w:rPr>
        <w:t xml:space="preserve">, while </w:t>
      </w:r>
      <w:r>
        <w:rPr>
          <w:rFonts w:ascii="Arial"/>
          <w:color w:val="000000"/>
          <w:sz w:val="24"/>
        </w:rPr>
        <w:t>cl</w:t>
      </w:r>
      <w:r>
        <w:rPr>
          <w:rFonts w:ascii="Arial"/>
          <w:color w:val="000000"/>
          <w:sz w:val="24"/>
        </w:rPr>
        <w:t xml:space="preserve"> </w:t>
      </w:r>
      <w:r>
        <w:rPr>
          <w:rFonts w:ascii="Arial"/>
          <w:color w:val="000000"/>
          <w:sz w:val="24"/>
        </w:rPr>
        <w:t xml:space="preserve">16 itself is directed to ensuring that these requirements are in fact met on an ongoing basis; </w:t>
      </w:r>
    </w:p>
    <w:p>
      <w:pPr>
        <w:pStyle w:val="CaselawNumbered1"/>
        <w:numPr>
          <w:ilvl w:val="0"/>
          <w:numId w:val="50"/>
        </w:numPr>
        <w:spacing w:before="150" w:after="0"/>
        <w:ind w:left="1350" w:hanging="750"/>
      </w:pPr>
      <w:r>
        <w:rPr>
          <w:rFonts w:ascii="Arial"/>
          <w:color w:val="000000"/>
          <w:sz w:val="24"/>
        </w:rPr>
        <w:t xml:space="preserve">separate from the jurisdictional requirement in </w:t>
      </w:r>
      <w:r>
        <w:rPr>
          <w:rFonts w:ascii="Arial"/>
          <w:color w:val="000000"/>
          <w:sz w:val="24"/>
        </w:rPr>
        <w:t>cl</w:t>
      </w:r>
      <w:r>
        <w:rPr>
          <w:rFonts w:ascii="Arial"/>
          <w:color w:val="000000"/>
          <w:sz w:val="24"/>
        </w:rPr>
        <w:t xml:space="preserve"> </w:t>
      </w:r>
      <w:r>
        <w:rPr>
          <w:rFonts w:ascii="Arial"/>
          <w:color w:val="000000"/>
          <w:sz w:val="24"/>
        </w:rPr>
        <w:t xml:space="preserve">13 of the LG Reg, it </w:t>
      </w:r>
      <w:r>
        <w:rPr>
          <w:rFonts w:ascii="Arial"/>
          <w:color w:val="000000"/>
          <w:sz w:val="24"/>
        </w:rPr>
        <w:t xml:space="preserve">would be unreasonable </w:t>
      </w:r>
      <w:r>
        <w:rPr>
          <w:rFonts w:ascii="Arial"/>
          <w:color w:val="000000"/>
          <w:sz w:val="24"/>
        </w:rPr>
        <w:t xml:space="preserve">for a decision maker </w:t>
      </w:r>
      <w:r>
        <w:rPr>
          <w:rFonts w:ascii="Arial"/>
          <w:color w:val="000000"/>
          <w:sz w:val="24"/>
        </w:rPr>
        <w:t>to grant approval to the s68 applications</w:t>
      </w:r>
      <w:r>
        <w:rPr>
          <w:rFonts w:ascii="Arial"/>
          <w:color w:val="000000"/>
          <w:sz w:val="24"/>
        </w:rPr>
        <w:t>,</w:t>
      </w:r>
      <w:r>
        <w:rPr>
          <w:rFonts w:ascii="Arial"/>
          <w:color w:val="000000"/>
          <w:sz w:val="24"/>
        </w:rPr>
        <w:t xml:space="preserve"> </w:t>
      </w:r>
      <w:r>
        <w:rPr>
          <w:rFonts w:ascii="Arial"/>
          <w:color w:val="000000"/>
          <w:sz w:val="24"/>
        </w:rPr>
        <w:t xml:space="preserve">in accord with </w:t>
      </w:r>
      <w:r>
        <w:rPr>
          <w:rFonts w:ascii="Arial"/>
          <w:color w:val="000000"/>
          <w:sz w:val="24"/>
        </w:rPr>
        <w:t>cl</w:t>
      </w:r>
      <w:r>
        <w:rPr>
          <w:rFonts w:ascii="Arial"/>
          <w:color w:val="000000"/>
          <w:sz w:val="24"/>
        </w:rPr>
        <w:t xml:space="preserve"> </w:t>
      </w:r>
      <w:r>
        <w:rPr>
          <w:rFonts w:ascii="Arial"/>
          <w:color w:val="000000"/>
          <w:sz w:val="24"/>
        </w:rPr>
        <w:t>16 of LG Reg, if it is apparent at the time the application for approval is determined that the proposal will not comply with a mandatory condition that the LG Act requires to be imposed on that approval;</w:t>
      </w:r>
    </w:p>
    <w:p>
      <w:pPr>
        <w:pStyle w:val="CaselawNumbered1"/>
        <w:numPr>
          <w:ilvl w:val="0"/>
          <w:numId w:val="50"/>
        </w:numPr>
        <w:spacing w:before="150" w:after="0"/>
        <w:ind w:left="1350" w:hanging="750"/>
      </w:pPr>
      <w:r>
        <w:rPr>
          <w:rFonts w:ascii="Arial"/>
          <w:color w:val="000000"/>
          <w:sz w:val="24"/>
        </w:rPr>
        <w:t xml:space="preserve">if the effect of the mandatory condition in </w:t>
      </w:r>
      <w:r>
        <w:rPr>
          <w:rFonts w:ascii="Arial"/>
          <w:color w:val="000000"/>
          <w:sz w:val="24"/>
        </w:rPr>
        <w:t xml:space="preserve">cl </w:t>
      </w:r>
      <w:r>
        <w:rPr>
          <w:rFonts w:ascii="Arial"/>
          <w:color w:val="000000"/>
          <w:sz w:val="24"/>
        </w:rPr>
        <w:t>16 of the LG Reg is to leave open the possibility that works carried out in accordance with the approval and that condition will be significan</w:t>
      </w:r>
      <w:r>
        <w:rPr>
          <w:rFonts w:ascii="Arial"/>
          <w:color w:val="000000"/>
          <w:sz w:val="24"/>
        </w:rPr>
        <w:t>tl</w:t>
      </w:r>
      <w:r>
        <w:rPr>
          <w:rFonts w:ascii="Arial"/>
          <w:color w:val="000000"/>
          <w:sz w:val="24"/>
        </w:rPr>
        <w:t>y different from the works for which the s68 application was made (in this case</w:t>
      </w:r>
      <w:r>
        <w:rPr>
          <w:rFonts w:ascii="Arial"/>
          <w:color w:val="000000"/>
          <w:sz w:val="24"/>
        </w:rPr>
        <w:t>,</w:t>
      </w:r>
      <w:r>
        <w:rPr>
          <w:rFonts w:ascii="Arial"/>
          <w:color w:val="000000"/>
          <w:sz w:val="24"/>
        </w:rPr>
        <w:t xml:space="preserve"> </w:t>
      </w:r>
      <w:r>
        <w:rPr>
          <w:rFonts w:ascii="Arial"/>
          <w:color w:val="000000"/>
          <w:sz w:val="24"/>
        </w:rPr>
        <w:t xml:space="preserve">if the stormwater management works applied for do not comply with </w:t>
      </w:r>
      <w:r>
        <w:rPr>
          <w:rFonts w:ascii="Arial"/>
          <w:color w:val="000000"/>
          <w:sz w:val="24"/>
        </w:rPr>
        <w:t xml:space="preserve">cl </w:t>
      </w:r>
      <w:r>
        <w:rPr>
          <w:rFonts w:ascii="Arial"/>
          <w:color w:val="000000"/>
          <w:sz w:val="24"/>
        </w:rPr>
        <w:t xml:space="preserve">16 but will be required to comply with that </w:t>
      </w:r>
      <w:r>
        <w:rPr>
          <w:rFonts w:ascii="Arial"/>
          <w:color w:val="000000"/>
          <w:sz w:val="24"/>
        </w:rPr>
        <w:t xml:space="preserve">clause </w:t>
      </w:r>
      <w:r>
        <w:rPr>
          <w:rFonts w:ascii="Arial"/>
          <w:color w:val="000000"/>
          <w:sz w:val="24"/>
        </w:rPr>
        <w:t>once consent is granted</w:t>
      </w:r>
      <w:r>
        <w:rPr>
          <w:rFonts w:ascii="Arial"/>
          <w:color w:val="000000"/>
          <w:sz w:val="24"/>
        </w:rPr>
        <w:t xml:space="preserve">), </w:t>
      </w:r>
      <w:r>
        <w:rPr>
          <w:rFonts w:ascii="Arial"/>
          <w:color w:val="000000"/>
          <w:sz w:val="24"/>
        </w:rPr>
        <w:t>then the decision maker has not granted consent to the application made</w:t>
      </w:r>
      <w:r>
        <w:rPr>
          <w:rFonts w:ascii="Arial"/>
          <w:color w:val="000000"/>
          <w:sz w:val="24"/>
        </w:rPr>
        <w:t xml:space="preserve">: </w:t>
      </w:r>
      <w:r>
        <w:rPr>
          <w:rFonts w:ascii="Arial"/>
          <w:i/>
          <w:color w:val="000000"/>
          <w:sz w:val="24"/>
        </w:rPr>
        <w:t>Mison v Randwick Municipal Council</w:t>
      </w:r>
      <w:r>
        <w:rPr>
          <w:rFonts w:ascii="Arial"/>
          <w:color w:val="000000"/>
          <w:sz w:val="24"/>
        </w:rPr>
        <w:t xml:space="preserve"> </w:t>
      </w:r>
      <w:r>
        <w:rPr>
          <w:rFonts w:ascii="Arial"/>
          <w:color w:val="000000"/>
          <w:sz w:val="24"/>
        </w:rPr>
        <w:t>(1919) 23 NSWLR 734 at 737B per Priestl</w:t>
      </w:r>
      <w:r>
        <w:rPr>
          <w:rFonts w:ascii="Arial"/>
          <w:color w:val="000000"/>
          <w:sz w:val="24"/>
        </w:rPr>
        <w:t>e</w:t>
      </w:r>
      <w:r>
        <w:rPr>
          <w:rFonts w:ascii="Arial"/>
          <w:color w:val="000000"/>
          <w:sz w:val="24"/>
        </w:rPr>
        <w:t>y</w:t>
      </w:r>
      <w:r>
        <w:rPr>
          <w:rFonts w:ascii="Arial"/>
          <w:color w:val="000000"/>
          <w:sz w:val="24"/>
        </w:rPr>
        <w:t xml:space="preserve"> </w:t>
      </w:r>
      <w:r>
        <w:rPr>
          <w:rFonts w:ascii="Arial"/>
          <w:color w:val="000000"/>
          <w:sz w:val="24"/>
        </w:rPr>
        <w:t>JA</w:t>
      </w:r>
      <w:r>
        <w:rPr>
          <w:rFonts w:ascii="Arial"/>
          <w:color w:val="000000"/>
          <w:sz w:val="24"/>
        </w:rPr>
        <w:t>.</w:t>
      </w:r>
      <w:r>
        <w:rPr>
          <w:rFonts w:ascii="Arial"/>
          <w:color w:val="000000"/>
          <w:sz w:val="24"/>
        </w:rPr>
        <w:t xml:space="preserve"> </w:t>
      </w:r>
    </w:p>
    <w:p>
      <w:pPr>
        <w:pStyle w:val="CaselawNormal"/>
        <w:spacing w:before="150" w:after="150"/>
        <w:ind w:left="1350"/>
        <w:jc w:val="left"/>
      </w:pPr>
      <w:r>
        <w:rPr>
          <w:rFonts w:ascii="Arial"/>
          <w:color w:val="000000"/>
          <w:sz w:val="24"/>
        </w:rPr>
        <w:t xml:space="preserve">(CCWS p 11 at par 37) </w:t>
      </w:r>
    </w:p>
    <w:p>
      <w:pPr>
        <w:pStyle w:val="CaselawNumbered10"/>
        <w:numPr>
          <w:ilvl w:val="0"/>
          <w:numId w:val="51"/>
        </w:numPr>
        <w:spacing w:before="150" w:after="0"/>
        <w:ind w:left="600" w:hanging="600"/>
      </w:pPr>
      <w:r>
        <w:rPr>
          <w:rFonts w:ascii="Arial"/>
          <w:color w:val="000000"/>
          <w:sz w:val="24"/>
        </w:rPr>
        <w:t xml:space="preserve">Expressed differently, </w:t>
      </w:r>
      <w:r>
        <w:rPr>
          <w:rFonts w:ascii="Arial"/>
          <w:color w:val="000000"/>
          <w:sz w:val="24"/>
        </w:rPr>
        <w:t xml:space="preserve">the Council </w:t>
      </w:r>
      <w:r>
        <w:rPr>
          <w:rFonts w:ascii="Arial"/>
          <w:color w:val="000000"/>
          <w:sz w:val="24"/>
        </w:rPr>
        <w:t xml:space="preserve">contends </w:t>
      </w:r>
      <w:r>
        <w:rPr>
          <w:rFonts w:ascii="Arial"/>
          <w:color w:val="000000"/>
          <w:sz w:val="24"/>
        </w:rPr>
        <w:t xml:space="preserve">that </w:t>
      </w:r>
      <w:r>
        <w:rPr>
          <w:rFonts w:ascii="Arial"/>
          <w:color w:val="000000"/>
          <w:sz w:val="24"/>
        </w:rPr>
        <w:t xml:space="preserve">cl </w:t>
      </w:r>
      <w:r>
        <w:rPr>
          <w:rFonts w:ascii="Arial"/>
          <w:color w:val="000000"/>
          <w:sz w:val="24"/>
        </w:rPr>
        <w:t xml:space="preserve">16 </w:t>
      </w:r>
      <w:r>
        <w:rPr>
          <w:rFonts w:ascii="Arial"/>
          <w:color w:val="000000"/>
          <w:sz w:val="24"/>
        </w:rPr>
        <w:t xml:space="preserve">of the LG Reg </w:t>
      </w:r>
      <w:r>
        <w:rPr>
          <w:rFonts w:ascii="Arial"/>
          <w:color w:val="000000"/>
          <w:sz w:val="24"/>
        </w:rPr>
        <w:t>on its proper construction</w:t>
      </w:r>
      <w:r>
        <w:rPr>
          <w:rFonts w:ascii="Arial"/>
          <w:color w:val="000000"/>
          <w:sz w:val="24"/>
        </w:rPr>
        <w:t>,</w:t>
      </w:r>
      <w:r>
        <w:rPr>
          <w:rFonts w:ascii="Arial"/>
          <w:color w:val="000000"/>
          <w:sz w:val="24"/>
        </w:rPr>
        <w:t xml:space="preserve"> </w:t>
      </w:r>
      <w:r>
        <w:rPr>
          <w:rFonts w:ascii="Arial"/>
          <w:color w:val="000000"/>
          <w:sz w:val="24"/>
        </w:rPr>
        <w:t xml:space="preserve">comprises three different types of applicable standards or requirements that must be complied with, separated by the </w:t>
      </w:r>
      <w:r>
        <w:rPr>
          <w:rFonts w:ascii="Arial"/>
          <w:color w:val="000000"/>
          <w:sz w:val="24"/>
        </w:rPr>
        <w:t>“</w:t>
      </w:r>
      <w:r>
        <w:rPr>
          <w:rFonts w:ascii="Arial"/>
          <w:color w:val="000000"/>
          <w:sz w:val="24"/>
        </w:rPr>
        <w:t>or</w:t>
      </w:r>
      <w:r>
        <w:rPr>
          <w:rFonts w:ascii="Arial"/>
          <w:color w:val="000000"/>
          <w:sz w:val="24"/>
        </w:rPr>
        <w:t>”</w:t>
      </w:r>
      <w:r>
        <w:rPr>
          <w:rFonts w:ascii="Arial"/>
          <w:color w:val="000000"/>
          <w:sz w:val="24"/>
        </w:rPr>
        <w:t xml:space="preserve"> </w:t>
      </w:r>
      <w:r>
        <w:rPr>
          <w:rFonts w:ascii="Arial"/>
          <w:color w:val="000000"/>
          <w:sz w:val="24"/>
        </w:rPr>
        <w:t>namely:</w:t>
      </w:r>
      <w:r>
        <w:rPr>
          <w:rFonts w:ascii="Arial"/>
          <w:color w:val="000000"/>
          <w:sz w:val="24"/>
        </w:rPr>
        <w:t xml:space="preserve"> </w:t>
      </w:r>
    </w:p>
    <w:p>
      <w:pPr>
        <w:pStyle w:val="CaselawQuote"/>
        <w:spacing w:before="150" w:after="150"/>
        <w:ind w:left="1350"/>
        <w:jc w:val="left"/>
      </w:pPr>
      <w:r>
        <w:rPr>
          <w:rFonts w:ascii="Arial"/>
          <w:color w:val="000000"/>
          <w:sz w:val="22"/>
        </w:rPr>
        <w:t xml:space="preserve">complies … </w:t>
      </w:r>
      <w:r>
        <w:rPr>
          <w:rFonts w:ascii="Arial"/>
          <w:color w:val="000000"/>
          <w:sz w:val="22"/>
        </w:rPr>
        <w:t>with any applicable standards set out or referred to in:</w:t>
      </w:r>
    </w:p>
    <w:p>
      <w:pPr>
        <w:pStyle w:val="CaselawQuote"/>
        <w:spacing w:before="150" w:after="150"/>
        <w:ind w:left="1350"/>
        <w:jc w:val="left"/>
      </w:pPr>
      <w:r>
        <w:rPr>
          <w:rFonts w:ascii="Arial"/>
          <w:color w:val="000000"/>
          <w:sz w:val="22"/>
        </w:rPr>
        <w:t xml:space="preserve">(i) </w:t>
      </w:r>
      <w:r>
        <w:rPr>
          <w:rFonts w:ascii="Arial"/>
          <w:color w:val="000000"/>
          <w:sz w:val="22"/>
        </w:rPr>
        <w:t>this Regulation</w:t>
      </w:r>
      <w:r>
        <w:rPr>
          <w:rFonts w:ascii="Arial"/>
          <w:color w:val="000000"/>
          <w:sz w:val="22"/>
        </w:rPr>
        <w:t xml:space="preserve">, or </w:t>
      </w:r>
    </w:p>
    <w:p>
      <w:pPr>
        <w:pStyle w:val="CaselawQuote"/>
        <w:spacing w:before="150" w:after="150"/>
        <w:ind w:left="1350"/>
        <w:jc w:val="left"/>
      </w:pPr>
      <w:r>
        <w:rPr>
          <w:rFonts w:ascii="Arial"/>
          <w:color w:val="000000"/>
          <w:sz w:val="22"/>
        </w:rPr>
        <w:t xml:space="preserve">(ii) </w:t>
      </w:r>
      <w:r>
        <w:rPr>
          <w:rFonts w:ascii="Arial"/>
          <w:color w:val="000000"/>
          <w:sz w:val="22"/>
        </w:rPr>
        <w:t>any other regulation under the Act</w:t>
      </w:r>
      <w:r>
        <w:rPr>
          <w:rFonts w:ascii="Arial"/>
          <w:color w:val="000000"/>
          <w:sz w:val="22"/>
        </w:rPr>
        <w:t xml:space="preserve">, or </w:t>
      </w:r>
    </w:p>
    <w:p>
      <w:pPr>
        <w:pStyle w:val="CaselawQuote"/>
        <w:spacing w:before="150" w:after="150"/>
        <w:ind w:left="1350"/>
        <w:jc w:val="left"/>
      </w:pPr>
      <w:r>
        <w:rPr>
          <w:rFonts w:ascii="Arial"/>
          <w:color w:val="000000"/>
          <w:sz w:val="22"/>
        </w:rPr>
        <w:t xml:space="preserve">(iii) the </w:t>
      </w:r>
      <w:r>
        <w:rPr>
          <w:rFonts w:ascii="Arial"/>
          <w:i/>
          <w:color w:val="000000"/>
          <w:sz w:val="22"/>
        </w:rPr>
        <w:t>Environmental Planning and Assessment Act 1979</w:t>
      </w:r>
      <w:r>
        <w:rPr>
          <w:rFonts w:ascii="Arial"/>
          <w:color w:val="000000"/>
          <w:sz w:val="22"/>
        </w:rPr>
        <w:t>.</w:t>
      </w:r>
    </w:p>
    <w:p>
      <w:pPr>
        <w:pStyle w:val="CaselawNumbered10"/>
        <w:numPr>
          <w:ilvl w:val="0"/>
          <w:numId w:val="52"/>
        </w:numPr>
        <w:spacing w:before="150" w:after="0"/>
        <w:ind w:left="600" w:hanging="600"/>
      </w:pPr>
      <w:r>
        <w:rPr>
          <w:rFonts w:ascii="Arial"/>
          <w:color w:val="000000"/>
          <w:sz w:val="24"/>
        </w:rPr>
        <w:t xml:space="preserve">Therefore, </w:t>
      </w:r>
      <w:r>
        <w:rPr>
          <w:rFonts w:ascii="Arial"/>
          <w:color w:val="000000"/>
          <w:sz w:val="24"/>
        </w:rPr>
        <w:t>t</w:t>
      </w:r>
      <w:r>
        <w:rPr>
          <w:rFonts w:ascii="Arial"/>
          <w:color w:val="000000"/>
          <w:sz w:val="24"/>
        </w:rPr>
        <w:t xml:space="preserve">he Council submits that </w:t>
      </w:r>
      <w:r>
        <w:rPr>
          <w:rFonts w:ascii="Arial"/>
          <w:color w:val="000000"/>
          <w:sz w:val="24"/>
        </w:rPr>
        <w:t xml:space="preserve">cl 16 makes compliance with applicable standards or requirements set out in the EPA Act a condition of the s68 approval </w:t>
      </w:r>
      <w:r>
        <w:rPr>
          <w:rFonts w:ascii="Arial"/>
          <w:color w:val="000000"/>
          <w:sz w:val="24"/>
        </w:rPr>
        <w:t>for stormwater drainage</w:t>
      </w:r>
      <w:r>
        <w:rPr>
          <w:rFonts w:ascii="Arial"/>
          <w:color w:val="000000"/>
          <w:sz w:val="24"/>
        </w:rPr>
        <w:t xml:space="preserve"> </w:t>
      </w:r>
      <w:r>
        <w:rPr>
          <w:rFonts w:ascii="Arial"/>
          <w:color w:val="000000"/>
          <w:sz w:val="24"/>
        </w:rPr>
        <w:t>(</w:t>
      </w:r>
      <w:r>
        <w:rPr>
          <w:rFonts w:ascii="Arial"/>
          <w:color w:val="000000"/>
          <w:sz w:val="24"/>
        </w:rPr>
        <w:t xml:space="preserve">see </w:t>
      </w:r>
      <w:r>
        <w:rPr>
          <w:rFonts w:ascii="Arial"/>
          <w:color w:val="000000"/>
          <w:sz w:val="24"/>
        </w:rPr>
        <w:t>C</w:t>
      </w:r>
      <w:r>
        <w:rPr>
          <w:rFonts w:ascii="Arial"/>
          <w:color w:val="000000"/>
          <w:sz w:val="24"/>
        </w:rPr>
        <w:t>C</w:t>
      </w:r>
      <w:r>
        <w:rPr>
          <w:rFonts w:ascii="Arial"/>
          <w:color w:val="000000"/>
          <w:sz w:val="24"/>
        </w:rPr>
        <w:t xml:space="preserve">WS at </w:t>
      </w:r>
      <w:r>
        <w:rPr>
          <w:rFonts w:ascii="Arial"/>
          <w:color w:val="000000"/>
          <w:sz w:val="24"/>
        </w:rPr>
        <w:t xml:space="preserve">p 12 </w:t>
      </w:r>
      <w:r>
        <w:rPr>
          <w:rFonts w:ascii="Arial"/>
          <w:color w:val="000000"/>
          <w:sz w:val="24"/>
        </w:rPr>
        <w:t xml:space="preserve">par </w:t>
      </w:r>
      <w:r>
        <w:rPr>
          <w:rFonts w:ascii="Arial"/>
          <w:color w:val="000000"/>
          <w:sz w:val="24"/>
        </w:rPr>
        <w:t>39(a),</w:t>
      </w:r>
      <w:r>
        <w:rPr>
          <w:rFonts w:ascii="Arial"/>
          <w:color w:val="000000"/>
          <w:sz w:val="24"/>
        </w:rPr>
        <w:t xml:space="preserve"> </w:t>
      </w:r>
      <w:r>
        <w:rPr>
          <w:rFonts w:ascii="Arial"/>
          <w:color w:val="000000"/>
          <w:sz w:val="24"/>
        </w:rPr>
        <w:t>(b)</w:t>
      </w:r>
      <w:r>
        <w:rPr>
          <w:rFonts w:ascii="Arial"/>
          <w:color w:val="000000"/>
          <w:sz w:val="24"/>
        </w:rPr>
        <w:t xml:space="preserve">, </w:t>
      </w:r>
      <w:r>
        <w:rPr>
          <w:rFonts w:ascii="Arial"/>
          <w:color w:val="000000"/>
          <w:sz w:val="24"/>
        </w:rPr>
        <w:t>(c) and (d)</w:t>
      </w:r>
      <w:r>
        <w:rPr>
          <w:rFonts w:ascii="Arial"/>
          <w:color w:val="000000"/>
          <w:sz w:val="24"/>
        </w:rPr>
        <w:t>)</w:t>
      </w:r>
      <w:r>
        <w:rPr>
          <w:rFonts w:ascii="Arial"/>
          <w:color w:val="000000"/>
          <w:sz w:val="24"/>
        </w:rPr>
        <w:t xml:space="preserve">. </w:t>
      </w:r>
      <w:r>
        <w:rPr>
          <w:rFonts w:ascii="Arial"/>
          <w:color w:val="000000"/>
          <w:sz w:val="24"/>
        </w:rPr>
        <w:t>This construction it is submitted, ensures consistency between any s68 approval and the EPA Act requirements for those works; thereby assisting to ensure that a s68 application cannot ignore the requirements for those works under the EPA Act.</w:t>
      </w:r>
    </w:p>
    <w:p>
      <w:pPr>
        <w:pStyle w:val="CaselawNumbered10"/>
        <w:numPr>
          <w:ilvl w:val="0"/>
          <w:numId w:val="52"/>
        </w:numPr>
        <w:spacing w:before="150" w:after="0"/>
        <w:ind w:left="600" w:hanging="600"/>
      </w:pPr>
      <w:r>
        <w:rPr>
          <w:rFonts w:ascii="Arial"/>
          <w:color w:val="000000"/>
          <w:sz w:val="24"/>
        </w:rPr>
        <w:t xml:space="preserve">And, </w:t>
      </w:r>
      <w:r>
        <w:rPr>
          <w:rFonts w:ascii="Arial"/>
          <w:color w:val="000000"/>
          <w:sz w:val="24"/>
        </w:rPr>
        <w:t xml:space="preserve">where development consent was required and obtained for the </w:t>
      </w:r>
      <w:r>
        <w:rPr>
          <w:rFonts w:ascii="Arial"/>
          <w:color w:val="000000"/>
          <w:sz w:val="24"/>
        </w:rPr>
        <w:t>development, it</w:t>
      </w:r>
      <w:r>
        <w:rPr>
          <w:rFonts w:ascii="Arial"/>
          <w:color w:val="000000"/>
          <w:sz w:val="24"/>
        </w:rPr>
        <w:t xml:space="preserve"> </w:t>
      </w:r>
      <w:r>
        <w:rPr>
          <w:rFonts w:ascii="Arial"/>
          <w:color w:val="000000"/>
          <w:sz w:val="24"/>
        </w:rPr>
        <w:t>is a requirement of the EPA Act that the development be carried out in accordance with the development consent and the instrument</w:t>
      </w:r>
      <w:r>
        <w:rPr>
          <w:rFonts w:ascii="Arial"/>
          <w:color w:val="000000"/>
          <w:sz w:val="24"/>
        </w:rPr>
        <w:t>. The Council submits that the criminal offence under s</w:t>
      </w:r>
      <w:r>
        <w:rPr>
          <w:rFonts w:ascii="Arial"/>
          <w:color w:val="000000"/>
          <w:sz w:val="24"/>
        </w:rPr>
        <w:t xml:space="preserve"> </w:t>
      </w:r>
      <w:r>
        <w:rPr>
          <w:rFonts w:ascii="Arial"/>
          <w:color w:val="000000"/>
          <w:sz w:val="24"/>
        </w:rPr>
        <w:t xml:space="preserve">4.2 of the EPA Act carries with it a requirement to carry out development in accordance with the development consent obtained and in force. This requirement to comply with a development </w:t>
      </w:r>
      <w:r>
        <w:rPr>
          <w:rFonts w:ascii="Arial"/>
          <w:color w:val="000000"/>
          <w:sz w:val="24"/>
        </w:rPr>
        <w:t>consent being</w:t>
      </w:r>
      <w:r>
        <w:rPr>
          <w:rFonts w:ascii="Arial"/>
          <w:color w:val="000000"/>
          <w:sz w:val="24"/>
        </w:rPr>
        <w:t xml:space="preserve"> </w:t>
      </w:r>
      <w:r>
        <w:rPr>
          <w:rFonts w:ascii="Arial"/>
          <w:color w:val="000000"/>
          <w:sz w:val="24"/>
        </w:rPr>
        <w:t>a</w:t>
      </w:r>
      <w:r>
        <w:rPr>
          <w:rFonts w:ascii="Arial"/>
          <w:i/>
          <w:color w:val="000000"/>
          <w:sz w:val="24"/>
        </w:rPr>
        <w:t xml:space="preserve"> requirement</w:t>
      </w:r>
      <w:r>
        <w:rPr>
          <w:rFonts w:ascii="Arial"/>
          <w:color w:val="000000"/>
          <w:sz w:val="24"/>
        </w:rPr>
        <w:t xml:space="preserve"> </w:t>
      </w:r>
      <w:r>
        <w:rPr>
          <w:rFonts w:ascii="Arial"/>
          <w:color w:val="000000"/>
          <w:sz w:val="24"/>
        </w:rPr>
        <w:t xml:space="preserve">within the meaning of cl 16 of the LG Reg in turn is one </w:t>
      </w:r>
      <w:r>
        <w:rPr>
          <w:rFonts w:ascii="Arial"/>
          <w:color w:val="000000"/>
          <w:sz w:val="24"/>
        </w:rPr>
        <w:t xml:space="preserve">of </w:t>
      </w:r>
      <w:r>
        <w:rPr>
          <w:rFonts w:ascii="Arial"/>
          <w:color w:val="000000"/>
          <w:sz w:val="24"/>
        </w:rPr>
        <w:t xml:space="preserve">the </w:t>
      </w:r>
      <w:r>
        <w:rPr>
          <w:rFonts w:ascii="Arial"/>
          <w:i/>
          <w:color w:val="000000"/>
          <w:sz w:val="24"/>
        </w:rPr>
        <w:t xml:space="preserve">requirement set out or </w:t>
      </w:r>
      <w:r>
        <w:rPr>
          <w:rFonts w:ascii="Arial"/>
          <w:i/>
          <w:color w:val="000000"/>
          <w:sz w:val="24"/>
        </w:rPr>
        <w:t>referred</w:t>
      </w:r>
      <w:r>
        <w:rPr>
          <w:rFonts w:ascii="Arial"/>
          <w:i/>
          <w:color w:val="000000"/>
          <w:sz w:val="24"/>
        </w:rPr>
        <w:t xml:space="preserve"> to in this Regulation</w:t>
      </w:r>
      <w:r>
        <w:rPr>
          <w:rFonts w:ascii="Arial"/>
          <w:color w:val="000000"/>
          <w:sz w:val="24"/>
        </w:rPr>
        <w:t xml:space="preserve"> </w:t>
      </w:r>
      <w:r>
        <w:rPr>
          <w:rFonts w:ascii="Arial"/>
          <w:color w:val="000000"/>
          <w:sz w:val="24"/>
        </w:rPr>
        <w:t xml:space="preserve">within the meaning of cl 13 </w:t>
      </w:r>
      <w:r>
        <w:rPr>
          <w:rFonts w:ascii="Arial"/>
          <w:color w:val="000000"/>
          <w:sz w:val="24"/>
        </w:rPr>
        <w:t>of the LG Reg.</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In this case</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development consents contain conditions that are relevant to the stormwater drainage works </w:t>
      </w:r>
      <w:r>
        <w:rPr>
          <w:rFonts w:ascii="Arial"/>
          <w:color w:val="000000"/>
          <w:sz w:val="24"/>
        </w:rPr>
        <w:t xml:space="preserve">as </w:t>
      </w:r>
      <w:r>
        <w:rPr>
          <w:rFonts w:ascii="Arial"/>
          <w:color w:val="000000"/>
          <w:sz w:val="24"/>
        </w:rPr>
        <w:t>proposed in the s68 applications</w:t>
      </w:r>
      <w:r>
        <w:rPr>
          <w:rFonts w:ascii="Arial"/>
          <w:color w:val="000000"/>
          <w:sz w:val="24"/>
        </w:rPr>
        <w:t>.</w:t>
      </w:r>
      <w:r>
        <w:rPr>
          <w:rFonts w:ascii="Arial"/>
          <w:color w:val="000000"/>
          <w:sz w:val="24"/>
        </w:rPr>
        <w:t xml:space="preserve"> </w:t>
      </w:r>
      <w:r>
        <w:rPr>
          <w:rFonts w:ascii="Arial"/>
          <w:color w:val="000000"/>
          <w:sz w:val="24"/>
        </w:rPr>
        <w:t xml:space="preserve">These </w:t>
      </w:r>
      <w:r>
        <w:rPr>
          <w:rFonts w:ascii="Arial"/>
          <w:color w:val="000000"/>
          <w:sz w:val="24"/>
        </w:rPr>
        <w:t>conditions</w:t>
      </w:r>
      <w:r>
        <w:rPr>
          <w:rFonts w:ascii="Arial"/>
          <w:color w:val="000000"/>
          <w:sz w:val="24"/>
        </w:rPr>
        <w:t xml:space="preserve"> </w:t>
      </w:r>
      <w:r>
        <w:rPr>
          <w:rFonts w:ascii="Arial"/>
          <w:color w:val="000000"/>
          <w:sz w:val="24"/>
        </w:rPr>
        <w:t xml:space="preserve">by their terms </w:t>
      </w:r>
      <w:r>
        <w:rPr>
          <w:rFonts w:ascii="Arial"/>
          <w:color w:val="000000"/>
          <w:sz w:val="24"/>
        </w:rPr>
        <w:t>require the satisfaction of the Council prior to the issue of an approval under s</w:t>
      </w:r>
      <w:r>
        <w:rPr>
          <w:rFonts w:ascii="Arial"/>
          <w:color w:val="000000"/>
          <w:sz w:val="24"/>
        </w:rPr>
        <w:t xml:space="preserve"> </w:t>
      </w:r>
      <w:r>
        <w:rPr>
          <w:rFonts w:ascii="Arial"/>
          <w:color w:val="000000"/>
          <w:sz w:val="24"/>
        </w:rPr>
        <w:t>68 of the LG</w:t>
      </w:r>
      <w:r>
        <w:rPr>
          <w:rFonts w:ascii="Arial"/>
          <w:color w:val="000000"/>
          <w:sz w:val="24"/>
        </w:rPr>
        <w:t xml:space="preserve"> </w:t>
      </w:r>
      <w:r>
        <w:rPr>
          <w:rFonts w:ascii="Arial"/>
          <w:color w:val="000000"/>
          <w:sz w:val="24"/>
        </w:rPr>
        <w:t>A</w:t>
      </w:r>
      <w:r>
        <w:rPr>
          <w:rFonts w:ascii="Arial"/>
          <w:color w:val="000000"/>
          <w:sz w:val="24"/>
        </w:rPr>
        <w:t>ct</w:t>
      </w:r>
      <w:r>
        <w:rPr>
          <w:rFonts w:ascii="Arial"/>
          <w:color w:val="000000"/>
          <w:sz w:val="24"/>
        </w:rPr>
        <w:t xml:space="preserve"> </w:t>
      </w:r>
      <w:r>
        <w:rPr>
          <w:rFonts w:ascii="Arial"/>
          <w:color w:val="000000"/>
          <w:sz w:val="24"/>
        </w:rPr>
        <w:t xml:space="preserve">(Contention 1(j) (99-lot appeal) and </w:t>
      </w:r>
      <w:r>
        <w:rPr>
          <w:rFonts w:ascii="Arial"/>
          <w:color w:val="000000"/>
          <w:sz w:val="24"/>
        </w:rPr>
        <w:t xml:space="preserve">Contention </w:t>
      </w:r>
      <w:r>
        <w:rPr>
          <w:rFonts w:ascii="Arial"/>
          <w:color w:val="000000"/>
          <w:sz w:val="24"/>
        </w:rPr>
        <w:t>1(d) (17</w:t>
      </w:r>
      <w:r>
        <w:rPr>
          <w:rFonts w:ascii="Arial"/>
          <w:color w:val="000000"/>
          <w:sz w:val="24"/>
        </w:rPr>
        <w:t>-l</w:t>
      </w:r>
      <w:r>
        <w:rPr>
          <w:rFonts w:ascii="Arial"/>
          <w:color w:val="000000"/>
          <w:sz w:val="24"/>
        </w:rPr>
        <w:t>ot appeal)).</w:t>
      </w:r>
    </w:p>
    <w:p>
      <w:pPr>
        <w:pStyle w:val="CaselawNumbered10"/>
        <w:numPr>
          <w:ilvl w:val="0"/>
          <w:numId w:val="52"/>
        </w:numPr>
        <w:spacing w:before="150" w:after="0"/>
        <w:ind w:left="600" w:hanging="600"/>
      </w:pPr>
      <w:r>
        <w:rPr>
          <w:rFonts w:ascii="Arial"/>
          <w:color w:val="000000"/>
          <w:sz w:val="24"/>
        </w:rPr>
        <w:t xml:space="preserve">Accordingly, </w:t>
      </w:r>
      <w:r>
        <w:rPr>
          <w:rFonts w:ascii="Arial"/>
          <w:color w:val="000000"/>
          <w:sz w:val="24"/>
        </w:rPr>
        <w:t xml:space="preserve">by force of cll 13 and 16 of the LG Reg and s 4.2 of the EPA Act, the Council submits that I must not approve the s68 applications allowing stormwater drainage work where the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 xml:space="preserve"> </w:t>
      </w:r>
      <w:r>
        <w:rPr>
          <w:rFonts w:ascii="Arial"/>
          <w:color w:val="000000"/>
          <w:sz w:val="24"/>
        </w:rPr>
        <w:t xml:space="preserve">proposed to be carried out will not comply with the requirements of a development consent. Put simply, the </w:t>
      </w:r>
      <w:r>
        <w:rPr>
          <w:rFonts w:ascii="Arial"/>
          <w:color w:val="000000"/>
          <w:sz w:val="24"/>
        </w:rPr>
        <w:t xml:space="preserve">Council contends that the </w:t>
      </w:r>
      <w:r>
        <w:rPr>
          <w:rFonts w:ascii="Arial"/>
          <w:color w:val="000000"/>
          <w:sz w:val="24"/>
        </w:rPr>
        <w:t xml:space="preserve">Court </w:t>
      </w:r>
      <w:r>
        <w:rPr>
          <w:rFonts w:ascii="Arial"/>
          <w:b/>
          <w:color w:val="000000"/>
          <w:sz w:val="24"/>
        </w:rPr>
        <w:t>has no jurisdiction</w:t>
      </w:r>
      <w:r>
        <w:rPr>
          <w:rFonts w:ascii="Arial"/>
          <w:color w:val="000000"/>
          <w:sz w:val="24"/>
        </w:rPr>
        <w:t xml:space="preserve"> </w:t>
      </w:r>
      <w:r>
        <w:rPr>
          <w:rFonts w:ascii="Arial"/>
          <w:color w:val="000000"/>
          <w:sz w:val="24"/>
        </w:rPr>
        <w:t xml:space="preserve">to grant the s68 approvals because conditions </w:t>
      </w:r>
      <w:r>
        <w:rPr>
          <w:rFonts w:ascii="Arial"/>
          <w:color w:val="000000"/>
          <w:sz w:val="24"/>
        </w:rPr>
        <w:t>57, 58</w:t>
      </w:r>
      <w:r>
        <w:rPr>
          <w:rFonts w:ascii="Arial"/>
          <w:color w:val="000000"/>
          <w:sz w:val="24"/>
        </w:rPr>
        <w:t xml:space="preserve">, 60 and </w:t>
      </w:r>
      <w:r>
        <w:rPr>
          <w:rFonts w:ascii="Arial"/>
          <w:color w:val="000000"/>
          <w:sz w:val="24"/>
        </w:rPr>
        <w:t>61</w:t>
      </w:r>
      <w:r>
        <w:rPr>
          <w:rFonts w:ascii="Arial"/>
          <w:color w:val="000000"/>
          <w:sz w:val="24"/>
        </w:rPr>
        <w:t xml:space="preserve"> </w:t>
      </w:r>
      <w:r>
        <w:rPr>
          <w:rFonts w:ascii="Arial"/>
          <w:color w:val="000000"/>
          <w:sz w:val="24"/>
        </w:rPr>
        <w:t xml:space="preserve">of </w:t>
      </w:r>
      <w:r>
        <w:rPr>
          <w:rFonts w:ascii="Arial"/>
          <w:color w:val="000000"/>
          <w:sz w:val="24"/>
        </w:rPr>
        <w:t xml:space="preserve">the conditions of </w:t>
      </w:r>
      <w:r>
        <w:rPr>
          <w:rFonts w:ascii="Arial"/>
          <w:color w:val="000000"/>
          <w:sz w:val="24"/>
        </w:rPr>
        <w:t xml:space="preserve">consent for DA 2018/51, that require satisfaction of the Council, have not been </w:t>
      </w:r>
      <w:r>
        <w:rPr>
          <w:rFonts w:ascii="Arial"/>
          <w:color w:val="000000"/>
          <w:sz w:val="24"/>
        </w:rPr>
        <w:t>satisfied.</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 xml:space="preserve">Against that background I am relieved to record </w:t>
      </w:r>
      <w:r>
        <w:rPr>
          <w:rFonts w:ascii="Arial"/>
          <w:color w:val="000000"/>
          <w:sz w:val="24"/>
        </w:rPr>
        <w:t>that t</w:t>
      </w:r>
      <w:r>
        <w:rPr>
          <w:rFonts w:ascii="Arial"/>
          <w:color w:val="000000"/>
          <w:sz w:val="24"/>
        </w:rPr>
        <w:t>he applicant agree</w:t>
      </w:r>
      <w:r>
        <w:rPr>
          <w:rFonts w:ascii="Arial"/>
          <w:color w:val="000000"/>
          <w:sz w:val="24"/>
        </w:rPr>
        <w:t xml:space="preserve">s </w:t>
      </w:r>
      <w:r>
        <w:rPr>
          <w:rFonts w:ascii="Arial"/>
          <w:color w:val="000000"/>
          <w:sz w:val="24"/>
        </w:rPr>
        <w:t>that the jurisdiction contention arises in relation to each of condition 57,</w:t>
      </w:r>
      <w:r>
        <w:rPr>
          <w:rFonts w:ascii="Arial"/>
          <w:color w:val="000000"/>
          <w:sz w:val="24"/>
        </w:rPr>
        <w:t xml:space="preserve"> </w:t>
      </w:r>
      <w:r>
        <w:rPr>
          <w:rFonts w:ascii="Arial"/>
          <w:color w:val="000000"/>
          <w:sz w:val="24"/>
        </w:rPr>
        <w:t>58 and 60</w:t>
      </w:r>
      <w:r>
        <w:rPr>
          <w:rFonts w:ascii="Arial"/>
          <w:color w:val="000000"/>
          <w:sz w:val="24"/>
        </w:rPr>
        <w:t xml:space="preserve"> </w:t>
      </w:r>
      <w:r>
        <w:rPr>
          <w:rFonts w:ascii="Arial"/>
          <w:color w:val="000000"/>
          <w:sz w:val="24"/>
        </w:rPr>
        <w:t>in the DA 2018/51</w:t>
      </w:r>
      <w:r>
        <w:rPr>
          <w:rFonts w:ascii="Arial"/>
          <w:color w:val="000000"/>
          <w:sz w:val="24"/>
        </w:rPr>
        <w:t xml:space="preserve">, which </w:t>
      </w:r>
      <w:r>
        <w:rPr>
          <w:rFonts w:ascii="Arial"/>
          <w:color w:val="000000"/>
          <w:sz w:val="24"/>
        </w:rPr>
        <w:t xml:space="preserve">are also relevant for the DA </w:t>
      </w:r>
      <w:r>
        <w:rPr>
          <w:rFonts w:ascii="Arial"/>
          <w:color w:val="000000"/>
          <w:sz w:val="24"/>
        </w:rPr>
        <w:t>2020/284</w:t>
      </w:r>
      <w:r>
        <w:rPr>
          <w:rFonts w:ascii="Arial"/>
          <w:color w:val="000000"/>
          <w:sz w:val="24"/>
        </w:rPr>
        <w:t xml:space="preserve">. </w:t>
      </w:r>
      <w:r>
        <w:rPr>
          <w:rFonts w:ascii="Arial"/>
          <w:color w:val="000000"/>
          <w:sz w:val="24"/>
        </w:rPr>
        <w:t xml:space="preserve"> </w:t>
      </w:r>
      <w:r>
        <w:rPr>
          <w:rFonts w:ascii="Arial"/>
          <w:color w:val="000000"/>
          <w:sz w:val="24"/>
        </w:rPr>
        <w:t xml:space="preserve">In respect to condition 61, the bond, the applicant submits that it will be lodged with the </w:t>
      </w:r>
      <w:r>
        <w:rPr>
          <w:rFonts w:ascii="Arial"/>
          <w:color w:val="000000"/>
          <w:sz w:val="24"/>
        </w:rPr>
        <w:t>Council in accordance with the terms of the condition upon conf</w:t>
      </w:r>
      <w:r>
        <w:rPr>
          <w:rFonts w:ascii="Arial"/>
          <w:color w:val="000000"/>
          <w:sz w:val="24"/>
        </w:rPr>
        <w:t>i</w:t>
      </w:r>
      <w:r>
        <w:rPr>
          <w:rFonts w:ascii="Arial"/>
          <w:color w:val="000000"/>
          <w:sz w:val="24"/>
        </w:rPr>
        <w:t>rmation that the Court be minded to grant approval to the applications</w:t>
      </w:r>
      <w:r>
        <w:rPr>
          <w:rFonts w:ascii="Arial"/>
          <w:color w:val="000000"/>
          <w:sz w:val="24"/>
        </w:rPr>
        <w:t>.</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 xml:space="preserve">Conditions </w:t>
      </w:r>
      <w:r>
        <w:rPr>
          <w:rFonts w:ascii="Arial"/>
          <w:color w:val="000000"/>
          <w:sz w:val="24"/>
        </w:rPr>
        <w:t>58, 60 and 57</w:t>
      </w:r>
      <w:r>
        <w:rPr>
          <w:rFonts w:ascii="Arial"/>
          <w:color w:val="000000"/>
          <w:sz w:val="24"/>
        </w:rPr>
        <w:t xml:space="preserve"> </w:t>
      </w:r>
      <w:r>
        <w:rPr>
          <w:rFonts w:ascii="Arial"/>
          <w:color w:val="000000"/>
          <w:sz w:val="24"/>
        </w:rPr>
        <w:t>of the DA 2018/51</w:t>
      </w:r>
      <w:r>
        <w:rPr>
          <w:rFonts w:ascii="Arial"/>
          <w:color w:val="000000"/>
          <w:sz w:val="24"/>
        </w:rPr>
        <w:t xml:space="preserve"> </w:t>
      </w:r>
      <w:r>
        <w:rPr>
          <w:rFonts w:ascii="Arial"/>
          <w:color w:val="000000"/>
          <w:sz w:val="24"/>
        </w:rPr>
        <w:t xml:space="preserve">consent </w:t>
      </w:r>
      <w:r>
        <w:rPr>
          <w:rFonts w:ascii="Arial"/>
          <w:color w:val="000000"/>
          <w:sz w:val="24"/>
        </w:rPr>
        <w:t xml:space="preserve">state: </w:t>
      </w:r>
    </w:p>
    <w:p>
      <w:pPr>
        <w:pStyle w:val="CaselawQuote"/>
        <w:spacing w:before="150" w:after="150"/>
        <w:ind w:left="1350"/>
        <w:jc w:val="left"/>
      </w:pPr>
      <w:r>
        <w:rPr>
          <w:rFonts w:ascii="Arial"/>
          <w:color w:val="000000"/>
          <w:sz w:val="22"/>
        </w:rPr>
        <w:t>“</w:t>
      </w:r>
      <w:r>
        <w:rPr>
          <w:rFonts w:ascii="Arial"/>
          <w:b/>
          <w:color w:val="000000"/>
          <w:sz w:val="22"/>
        </w:rPr>
        <w:t>58. Wetland Monitoring and Adaptive Management Plan (WMAMP)</w:t>
      </w:r>
    </w:p>
    <w:p>
      <w:pPr>
        <w:pStyle w:val="CaselawQuote0"/>
        <w:spacing w:before="150" w:after="150"/>
        <w:ind w:left="2100"/>
        <w:jc w:val="left"/>
      </w:pPr>
      <w:r>
        <w:rPr>
          <w:rFonts w:ascii="Arial"/>
          <w:color w:val="000000"/>
          <w:sz w:val="22"/>
        </w:rPr>
        <w:t>Prior to the issue of an approval under Section 68 of the Local Government Act 1993 for the proposed drainage work</w:t>
      </w:r>
      <w:r>
        <w:rPr>
          <w:rFonts w:ascii="Arial"/>
          <w:color w:val="000000"/>
          <w:sz w:val="22"/>
        </w:rPr>
        <w:t xml:space="preserve"> the proponent shall prepare a Wetland Monitoring and Adaptive Management Plan (WMAMP) </w:t>
      </w:r>
      <w:r>
        <w:rPr>
          <w:rFonts w:ascii="Arial"/>
          <w:color w:val="000000"/>
          <w:sz w:val="22"/>
        </w:rPr>
        <w:t>to the satisfaction of Council. The objective of the plan shall be to monitor the health of the Freshwater Wetland EEC and associated hydrology over time to assess whether or not the development is resulting in material adverse changes to the health and composition of the wetland.</w:t>
      </w:r>
    </w:p>
    <w:p>
      <w:pPr>
        <w:pStyle w:val="CaselawQuote0"/>
        <w:spacing w:before="150" w:after="150"/>
        <w:ind w:left="2100"/>
        <w:jc w:val="left"/>
      </w:pPr>
      <w:r>
        <w:rPr>
          <w:rFonts w:ascii="Arial"/>
          <w:color w:val="000000"/>
          <w:sz w:val="22"/>
        </w:rPr>
        <w:t xml:space="preserve">The WMAMP must include a range of remedial actions to address the ecological decline of the wetland resulting from the development in the event such decline occurs. The WMAMP is to be prepared by a Council approved specialist wetland ecologist with at least 5 years </w:t>
      </w:r>
      <w:r>
        <w:rPr>
          <w:rFonts w:ascii="Arial"/>
          <w:color w:val="000000"/>
          <w:sz w:val="22"/>
        </w:rPr>
        <w:t>experience</w:t>
      </w:r>
      <w:r>
        <w:rPr>
          <w:rFonts w:ascii="Arial"/>
          <w:color w:val="000000"/>
          <w:sz w:val="22"/>
        </w:rPr>
        <w:t xml:space="preserve"> in wetland ecology and monitoring.</w:t>
      </w:r>
    </w:p>
    <w:p>
      <w:pPr>
        <w:pStyle w:val="CaselawQuote0"/>
        <w:spacing w:before="150" w:after="150"/>
        <w:ind w:left="2100"/>
        <w:jc w:val="left"/>
      </w:pPr>
      <w:r>
        <w:rPr>
          <w:rFonts w:ascii="Arial"/>
          <w:color w:val="000000"/>
          <w:sz w:val="22"/>
        </w:rPr>
        <w:t>Monitoring of the ecology shall be undertaken in accordance with the Biodiversity Assessment Method (OEH 2017) to determine a Vegetation Integrity Score (VIS). A VIS baseline calculation shall be undertaken prior to any works commencing at the site and subsequent VIS assessments undertaken annually for a period until five years after the registration of the plan of subdivision for the 90</w:t>
      </w:r>
      <w:r>
        <w:rPr>
          <w:rFonts w:ascii="Arial"/>
          <w:color w:val="000000"/>
          <w:sz w:val="22"/>
        </w:rPr>
        <w:t>th</w:t>
      </w:r>
      <w:r>
        <w:rPr>
          <w:rFonts w:ascii="Arial"/>
          <w:color w:val="000000"/>
          <w:sz w:val="22"/>
        </w:rPr>
        <w:t xml:space="preserve"> residential lot. </w:t>
      </w:r>
    </w:p>
    <w:p>
      <w:pPr>
        <w:pStyle w:val="CaselawQuote0"/>
        <w:spacing w:before="150" w:after="150"/>
        <w:ind w:left="2100"/>
        <w:jc w:val="left"/>
      </w:pPr>
      <w:r>
        <w:rPr>
          <w:rFonts w:ascii="Arial"/>
          <w:color w:val="000000"/>
          <w:sz w:val="22"/>
        </w:rPr>
        <w:t>The WHMAMP is required to have direct linkage to the results of the hydrological monitoring program as revealed in the report titled “Wetland Hydrological Monitoring and Management Plan (WHMMP)” prepared by Gilbert and Sutherland and dated April 2020 and as amended by conditions of this consent.</w:t>
      </w:r>
    </w:p>
    <w:p>
      <w:pPr>
        <w:pStyle w:val="CaselawQuote0"/>
        <w:spacing w:before="150" w:after="150"/>
        <w:ind w:left="2100"/>
        <w:jc w:val="left"/>
      </w:pPr>
      <w:r>
        <w:rPr>
          <w:rFonts w:ascii="Arial"/>
          <w:color w:val="000000"/>
          <w:sz w:val="22"/>
        </w:rPr>
        <w:t xml:space="preserve">Outside of any major climatic event, an adaptive management regime is to be implemented if any or all of the following scenarios occur: </w:t>
      </w:r>
    </w:p>
    <w:p>
      <w:pPr>
        <w:pStyle w:val="CaselawQuote1"/>
        <w:spacing w:before="150" w:after="150"/>
        <w:ind w:left="2850"/>
        <w:jc w:val="left"/>
      </w:pPr>
      <w:r>
        <w:rPr>
          <w:rFonts w:ascii="Arial"/>
          <w:color w:val="000000"/>
          <w:sz w:val="22"/>
        </w:rPr>
        <w:t>• the development results in a 10% or greater change in either or both surface and/or groundwater levels when compared to the predevelopment baseline levels</w:t>
      </w:r>
    </w:p>
    <w:p>
      <w:pPr>
        <w:pStyle w:val="CaselawQuote1"/>
        <w:spacing w:before="150" w:after="150"/>
        <w:ind w:left="2850"/>
        <w:jc w:val="left"/>
      </w:pPr>
      <w:r>
        <w:rPr>
          <w:rFonts w:ascii="Arial"/>
          <w:color w:val="000000"/>
          <w:sz w:val="22"/>
        </w:rPr>
        <w:t>• for the first two years of the monitoring program the VIS scores associated with the monitoring program record a decline of 10% or greater when compared to the baseline VIS scores</w:t>
      </w:r>
    </w:p>
    <w:p>
      <w:pPr>
        <w:pStyle w:val="CaselawQuote1"/>
        <w:spacing w:before="150" w:after="150"/>
        <w:ind w:left="2850"/>
        <w:jc w:val="left"/>
      </w:pPr>
      <w:r>
        <w:rPr>
          <w:rFonts w:ascii="Arial"/>
          <w:color w:val="000000"/>
          <w:sz w:val="22"/>
        </w:rPr>
        <w:t>• the VIS scores decline by 10% or greater when compared to the previous 12 month monitoring period.</w:t>
      </w:r>
      <w:r>
        <w:rPr>
          <w:rFonts w:ascii="Arial"/>
          <w:color w:val="000000"/>
          <w:sz w:val="22"/>
        </w:rPr>
        <w:t xml:space="preserve">” </w:t>
      </w:r>
    </w:p>
    <w:p>
      <w:pPr>
        <w:pStyle w:val="CaselawQuote"/>
        <w:spacing w:before="150" w:after="150"/>
        <w:ind w:left="1350"/>
        <w:jc w:val="left"/>
      </w:pPr>
      <w:r>
        <w:rPr>
          <w:rFonts w:ascii="Arial"/>
          <w:color w:val="000000"/>
          <w:sz w:val="22"/>
        </w:rPr>
        <w:t xml:space="preserve">(Emphasis added, </w:t>
      </w:r>
      <w:r>
        <w:rPr>
          <w:rFonts w:ascii="Arial"/>
          <w:color w:val="000000"/>
          <w:sz w:val="22"/>
        </w:rPr>
        <w:t>Ex 7)</w:t>
      </w:r>
    </w:p>
    <w:p>
      <w:pPr>
        <w:pStyle w:val="CaselawQuote"/>
        <w:spacing w:before="150" w:after="150"/>
        <w:ind w:left="1350"/>
        <w:jc w:val="left"/>
      </w:pPr>
      <w:r>
        <w:rPr>
          <w:rFonts w:ascii="Arial"/>
          <w:color w:val="000000"/>
          <w:sz w:val="22"/>
        </w:rPr>
        <w:t>“</w:t>
      </w:r>
      <w:r>
        <w:rPr>
          <w:rFonts w:ascii="Arial"/>
          <w:b/>
          <w:color w:val="000000"/>
          <w:sz w:val="22"/>
        </w:rPr>
        <w:t>60. Revised Wetland Management Plan</w:t>
      </w:r>
      <w:r>
        <w:rPr>
          <w:rFonts w:ascii="Arial"/>
          <w:color w:val="000000"/>
          <w:sz w:val="22"/>
        </w:rPr>
        <w:t xml:space="preserve"> </w:t>
      </w:r>
    </w:p>
    <w:p>
      <w:pPr>
        <w:pStyle w:val="CaselawQuote0"/>
        <w:spacing w:before="150" w:after="150"/>
        <w:ind w:left="2100"/>
        <w:jc w:val="left"/>
      </w:pPr>
      <w:r>
        <w:rPr>
          <w:rFonts w:ascii="Arial"/>
          <w:b/>
          <w:color w:val="000000"/>
          <w:sz w:val="22"/>
        </w:rPr>
        <w:t xml:space="preserve">Prior to the issue of an approval under Section 68 of the Local Government Act 1993 for the </w:t>
      </w:r>
      <w:r>
        <w:rPr>
          <w:rFonts w:ascii="Arial"/>
          <w:b/>
          <w:color w:val="000000"/>
          <w:sz w:val="22"/>
        </w:rPr>
        <w:t>proposed drainage work</w:t>
      </w:r>
      <w:r>
        <w:rPr>
          <w:rFonts w:ascii="Arial"/>
          <w:color w:val="000000"/>
          <w:sz w:val="22"/>
        </w:rPr>
        <w:t xml:space="preserve">, the submitted “Wetland Management Plan” prepared by JWA Pty Ltd dated 19 February 2020, is to be amended </w:t>
      </w:r>
      <w:r>
        <w:rPr>
          <w:rFonts w:ascii="Arial"/>
          <w:b/>
          <w:color w:val="000000"/>
          <w:sz w:val="22"/>
        </w:rPr>
        <w:t>to the satisfaction of Council</w:t>
      </w:r>
      <w:r>
        <w:rPr>
          <w:rFonts w:ascii="Arial"/>
          <w:color w:val="000000"/>
          <w:sz w:val="22"/>
        </w:rPr>
        <w:t xml:space="preserve"> to address the following matters</w:t>
      </w:r>
      <w:r>
        <w:rPr>
          <w:rFonts w:ascii="Arial"/>
          <w:color w:val="000000"/>
          <w:sz w:val="22"/>
        </w:rPr>
        <w:t>:</w:t>
      </w:r>
    </w:p>
    <w:p>
      <w:pPr>
        <w:pStyle w:val="CaselawQuote1"/>
        <w:spacing w:before="150" w:after="150"/>
        <w:ind w:left="2850"/>
        <w:jc w:val="left"/>
      </w:pPr>
      <w:r>
        <w:rPr>
          <w:rFonts w:ascii="Arial"/>
          <w:color w:val="000000"/>
          <w:sz w:val="22"/>
        </w:rPr>
        <w:t xml:space="preserve">a) Section 1 is to be modified to confirm the Section 88b Instrument will state that the ownership and maintenance of the restoration area either is dedicated to Council or is attached to a residential allotment within the subdivision and that it will be managed and protected in perpetuity. </w:t>
      </w:r>
    </w:p>
    <w:p>
      <w:pPr>
        <w:pStyle w:val="CaselawQuote1"/>
        <w:spacing w:before="150" w:after="150"/>
        <w:ind w:left="2850"/>
        <w:jc w:val="left"/>
      </w:pPr>
      <w:r>
        <w:rPr>
          <w:rFonts w:ascii="Arial"/>
          <w:color w:val="000000"/>
          <w:sz w:val="22"/>
        </w:rPr>
        <w:t xml:space="preserve">b) A timetable for the implementation of all revegetation, rehabilitation and weed control works linked to the staging of the development. </w:t>
      </w:r>
    </w:p>
    <w:p>
      <w:pPr>
        <w:pStyle w:val="CaselawQuote1"/>
        <w:spacing w:before="150" w:after="150"/>
        <w:ind w:left="2850"/>
        <w:jc w:val="left"/>
      </w:pPr>
      <w:r>
        <w:rPr>
          <w:rFonts w:ascii="Arial"/>
          <w:color w:val="000000"/>
          <w:sz w:val="22"/>
        </w:rPr>
        <w:t xml:space="preserve">c) The WMP including all maps are to remove all references to the construction of the Council drainage network located in the northwest corner of Residual Lot 104. </w:t>
      </w:r>
    </w:p>
    <w:p>
      <w:pPr>
        <w:pStyle w:val="CaselawQuote1"/>
        <w:spacing w:before="150" w:after="150"/>
        <w:ind w:left="2850"/>
        <w:jc w:val="left"/>
      </w:pPr>
      <w:r>
        <w:rPr>
          <w:rFonts w:ascii="Arial"/>
          <w:color w:val="000000"/>
          <w:sz w:val="22"/>
        </w:rPr>
        <w:t xml:space="preserve">d) Figure 5 Category 2 of the legend is to replace “natural regeneration” with “assisted regeneration”. </w:t>
      </w:r>
    </w:p>
    <w:p>
      <w:pPr>
        <w:pStyle w:val="CaselawQuote1"/>
        <w:spacing w:before="150" w:after="150"/>
        <w:ind w:left="2850"/>
        <w:jc w:val="left"/>
      </w:pPr>
      <w:r>
        <w:rPr>
          <w:rFonts w:ascii="Arial"/>
          <w:color w:val="000000"/>
          <w:sz w:val="22"/>
        </w:rPr>
        <w:t xml:space="preserve">e) Figure 5 Category 6 is to be removed. </w:t>
      </w:r>
    </w:p>
    <w:p>
      <w:pPr>
        <w:pStyle w:val="CaselawQuote1"/>
        <w:spacing w:before="150" w:after="150"/>
        <w:ind w:left="2850"/>
        <w:jc w:val="left"/>
      </w:pPr>
      <w:r>
        <w:rPr>
          <w:rFonts w:ascii="Arial"/>
          <w:color w:val="000000"/>
          <w:sz w:val="22"/>
        </w:rPr>
        <w:t xml:space="preserve">f) Figure 5 is to be updated to show the location of the exclusion fencing. </w:t>
      </w:r>
    </w:p>
    <w:p>
      <w:pPr>
        <w:pStyle w:val="CaselawQuote1"/>
        <w:spacing w:before="150" w:after="150"/>
        <w:ind w:left="2850"/>
        <w:jc w:val="left"/>
      </w:pPr>
      <w:r>
        <w:rPr>
          <w:rFonts w:ascii="Arial"/>
          <w:color w:val="000000"/>
          <w:sz w:val="22"/>
        </w:rPr>
        <w:t xml:space="preserve">g) Section 3.3 is to modify what actions will be implemented if the range of identified risks eventuate. </w:t>
      </w:r>
    </w:p>
    <w:p>
      <w:pPr>
        <w:pStyle w:val="CaselawQuote1"/>
        <w:spacing w:before="150" w:after="150"/>
        <w:ind w:left="2850"/>
        <w:jc w:val="left"/>
      </w:pPr>
      <w:r>
        <w:rPr>
          <w:rFonts w:ascii="Arial"/>
          <w:color w:val="000000"/>
          <w:sz w:val="22"/>
        </w:rPr>
        <w:t xml:space="preserve">h) Section 4.3 is to be modified to </w:t>
      </w:r>
      <w:r>
        <w:rPr>
          <w:rFonts w:ascii="Arial"/>
          <w:color w:val="000000"/>
          <w:sz w:val="22"/>
        </w:rPr>
        <w:t>comply</w:t>
      </w:r>
      <w:r>
        <w:rPr>
          <w:rFonts w:ascii="Arial"/>
          <w:color w:val="000000"/>
          <w:sz w:val="22"/>
        </w:rPr>
        <w:t xml:space="preserve"> with Sections 4.5.5. </w:t>
      </w:r>
    </w:p>
    <w:p>
      <w:pPr>
        <w:pStyle w:val="CaselawQuote1"/>
        <w:spacing w:before="150" w:after="150"/>
        <w:ind w:left="2850"/>
        <w:jc w:val="left"/>
      </w:pPr>
      <w:r>
        <w:rPr>
          <w:rFonts w:ascii="Arial"/>
          <w:color w:val="000000"/>
          <w:sz w:val="22"/>
        </w:rPr>
        <w:t>i) Section 4.3 is to be modified to confirm the “</w:t>
      </w:r>
      <w:r>
        <w:rPr>
          <w:rFonts w:ascii="Arial"/>
          <w:i/>
          <w:color w:val="000000"/>
          <w:sz w:val="22"/>
        </w:rPr>
        <w:t>maintenance period</w:t>
      </w:r>
      <w:r>
        <w:rPr>
          <w:rFonts w:ascii="Arial"/>
          <w:color w:val="000000"/>
          <w:sz w:val="22"/>
        </w:rPr>
        <w:t>” commences immediately after the 12 month “</w:t>
      </w:r>
      <w:r>
        <w:rPr>
          <w:rFonts w:ascii="Arial"/>
          <w:i/>
          <w:color w:val="000000"/>
          <w:sz w:val="22"/>
        </w:rPr>
        <w:t>establishment period</w:t>
      </w:r>
      <w:r>
        <w:rPr>
          <w:rFonts w:ascii="Arial"/>
          <w:color w:val="000000"/>
          <w:sz w:val="22"/>
        </w:rPr>
        <w:t>”. The “</w:t>
      </w:r>
      <w:r>
        <w:rPr>
          <w:rFonts w:ascii="Arial"/>
          <w:i/>
          <w:color w:val="000000"/>
          <w:sz w:val="22"/>
        </w:rPr>
        <w:t>maintenance period</w:t>
      </w:r>
      <w:r>
        <w:rPr>
          <w:rFonts w:ascii="Arial"/>
          <w:color w:val="000000"/>
          <w:sz w:val="22"/>
        </w:rPr>
        <w:t>” will be undertaken by the development for a period until five years after the registration of the plan of subdivision for the 90</w:t>
      </w:r>
      <w:r>
        <w:rPr>
          <w:rFonts w:ascii="Arial"/>
          <w:color w:val="000000"/>
          <w:sz w:val="22"/>
        </w:rPr>
        <w:t>th</w:t>
      </w:r>
      <w:r>
        <w:rPr>
          <w:rFonts w:ascii="Arial"/>
          <w:color w:val="000000"/>
          <w:sz w:val="22"/>
        </w:rPr>
        <w:t xml:space="preserve"> residential lot. </w:t>
      </w:r>
    </w:p>
    <w:p>
      <w:pPr>
        <w:pStyle w:val="CaselawQuote1"/>
        <w:spacing w:before="150" w:after="150"/>
        <w:ind w:left="2850"/>
        <w:jc w:val="left"/>
      </w:pPr>
      <w:r>
        <w:rPr>
          <w:rFonts w:ascii="Arial"/>
          <w:color w:val="000000"/>
          <w:sz w:val="22"/>
        </w:rPr>
        <w:t>j) Section 4.3</w:t>
      </w:r>
      <w:r>
        <w:rPr>
          <w:rFonts w:ascii="Arial"/>
          <w:color w:val="000000"/>
          <w:sz w:val="22"/>
        </w:rPr>
        <w:t xml:space="preserve"> is to be modified to state weed control works will be undertaken as required. </w:t>
      </w:r>
    </w:p>
    <w:p>
      <w:pPr>
        <w:pStyle w:val="CaselawQuote1"/>
        <w:spacing w:before="150" w:after="150"/>
        <w:ind w:left="2850"/>
        <w:jc w:val="left"/>
      </w:pPr>
      <w:r>
        <w:rPr>
          <w:rFonts w:ascii="Arial"/>
          <w:color w:val="000000"/>
          <w:sz w:val="22"/>
        </w:rPr>
        <w:t xml:space="preserve">k) Section 4.4.3 is to be modified to state that all erosion and sediment measures will be established outside of the management areas. </w:t>
      </w:r>
    </w:p>
    <w:p>
      <w:pPr>
        <w:pStyle w:val="CaselawQuote1"/>
        <w:spacing w:before="150" w:after="150"/>
        <w:ind w:left="2850"/>
        <w:jc w:val="left"/>
      </w:pPr>
      <w:r>
        <w:rPr>
          <w:rFonts w:ascii="Arial"/>
          <w:color w:val="000000"/>
          <w:sz w:val="22"/>
        </w:rPr>
        <w:t xml:space="preserve">l) Section 4.4.4 is to be modified to state all construction plans will depict the location of the management areas and exclusion fencing will be erected around all areas subject to the plan. </w:t>
      </w:r>
    </w:p>
    <w:p>
      <w:pPr>
        <w:pStyle w:val="CaselawQuote1"/>
        <w:spacing w:before="150" w:after="150"/>
        <w:ind w:left="2850"/>
        <w:jc w:val="left"/>
      </w:pPr>
      <w:r>
        <w:rPr>
          <w:rFonts w:ascii="Arial"/>
          <w:color w:val="000000"/>
          <w:sz w:val="22"/>
        </w:rPr>
        <w:t xml:space="preserve">m) Section 4.6.2 is to be revised to state that Phase 1 will be completed within two months of the earthworks being completed. </w:t>
      </w:r>
    </w:p>
    <w:p>
      <w:pPr>
        <w:pStyle w:val="CaselawQuote1"/>
        <w:spacing w:before="150" w:after="150"/>
        <w:ind w:left="2850"/>
        <w:jc w:val="left"/>
      </w:pPr>
      <w:r>
        <w:rPr>
          <w:rFonts w:ascii="Arial"/>
          <w:color w:val="000000"/>
          <w:sz w:val="22"/>
        </w:rPr>
        <w:t>n) Phase 6 of Section 4.6.2 is to be modified to be consistent with the maintenance period for the project being until a period of five years after the registration of the plan of subdivision for the 90</w:t>
      </w:r>
      <w:r>
        <w:rPr>
          <w:rFonts w:ascii="Arial"/>
          <w:color w:val="000000"/>
          <w:sz w:val="22"/>
        </w:rPr>
        <w:t>th</w:t>
      </w:r>
      <w:r>
        <w:rPr>
          <w:rFonts w:ascii="Arial"/>
          <w:color w:val="000000"/>
          <w:sz w:val="22"/>
        </w:rPr>
        <w:t xml:space="preserve"> residential lot. </w:t>
      </w:r>
    </w:p>
    <w:p>
      <w:pPr>
        <w:pStyle w:val="CaselawQuote1"/>
        <w:spacing w:before="150" w:after="150"/>
        <w:ind w:left="2850"/>
        <w:jc w:val="left"/>
      </w:pPr>
      <w:r>
        <w:rPr>
          <w:rFonts w:ascii="Arial"/>
          <w:color w:val="000000"/>
          <w:sz w:val="22"/>
        </w:rPr>
        <w:t xml:space="preserve">o) Section 4.6.3 is to [be] modified to include a cane toad monitoring and control program. </w:t>
      </w:r>
    </w:p>
    <w:p>
      <w:pPr>
        <w:pStyle w:val="CaselawQuote1"/>
        <w:spacing w:before="150" w:after="150"/>
        <w:ind w:left="2850"/>
        <w:jc w:val="left"/>
      </w:pPr>
      <w:r>
        <w:rPr>
          <w:rFonts w:ascii="Arial"/>
          <w:color w:val="000000"/>
          <w:sz w:val="22"/>
        </w:rPr>
        <w:t xml:space="preserve">p) Section 4.6.3 and Table 3 are to be modified to confirm all rainforest trees will be planted at 1.8m spacings. </w:t>
      </w:r>
    </w:p>
    <w:p>
      <w:pPr>
        <w:pStyle w:val="CaselawQuote1"/>
        <w:spacing w:before="150" w:after="150"/>
        <w:ind w:left="2850"/>
        <w:jc w:val="left"/>
      </w:pPr>
      <w:r>
        <w:rPr>
          <w:rFonts w:ascii="Arial"/>
          <w:color w:val="000000"/>
          <w:sz w:val="22"/>
        </w:rPr>
        <w:t xml:space="preserve">q) Section 4.6.4 is to be modified to comply with the planting models detailed in Table 3 of the document titled “Subtropical Rainforest Restoration – A practical manual and data source for Landscape groups, land managers and rainforest regenerators (Third Addition). </w:t>
      </w:r>
    </w:p>
    <w:p>
      <w:pPr>
        <w:pStyle w:val="CaselawQuote1"/>
        <w:spacing w:before="150" w:after="150"/>
        <w:ind w:left="2850"/>
        <w:jc w:val="left"/>
      </w:pPr>
      <w:r>
        <w:rPr>
          <w:rFonts w:ascii="Arial"/>
          <w:color w:val="000000"/>
          <w:sz w:val="22"/>
        </w:rPr>
        <w:t>r) Section 4.7 is to be consistent with the maintenance period for the project being until after the registration of the plan of subdivision for the 90</w:t>
      </w:r>
      <w:r>
        <w:rPr>
          <w:rFonts w:ascii="Arial"/>
          <w:color w:val="000000"/>
          <w:sz w:val="22"/>
        </w:rPr>
        <w:t>th</w:t>
      </w:r>
      <w:r>
        <w:rPr>
          <w:rFonts w:ascii="Arial"/>
          <w:color w:val="000000"/>
          <w:sz w:val="22"/>
        </w:rPr>
        <w:t xml:space="preserve"> residential lot. </w:t>
      </w:r>
    </w:p>
    <w:p>
      <w:pPr>
        <w:pStyle w:val="CaselawQuote1"/>
        <w:spacing w:before="150" w:after="150"/>
        <w:ind w:left="2850"/>
        <w:jc w:val="left"/>
      </w:pPr>
      <w:r>
        <w:rPr>
          <w:rFonts w:ascii="Arial"/>
          <w:color w:val="000000"/>
          <w:sz w:val="22"/>
        </w:rPr>
        <w:t xml:space="preserve">s) Section 5 dot point 6 is to be revised to delete the references to the “2 year maintenance period or the site becomes self-sustaining, vehicle tracks. Dot point 6(d) is to be deleted. </w:t>
      </w:r>
    </w:p>
    <w:p>
      <w:pPr>
        <w:pStyle w:val="CaselawQuote1"/>
        <w:spacing w:before="150" w:after="150"/>
        <w:ind w:left="2850"/>
        <w:jc w:val="left"/>
      </w:pPr>
      <w:r>
        <w:rPr>
          <w:rFonts w:ascii="Arial"/>
          <w:color w:val="000000"/>
          <w:sz w:val="22"/>
        </w:rPr>
        <w:t xml:space="preserve">t) Section 5 is to be revised to confirm that if the performance criteria is not achieved within the restoration period, the Developer will extend the restoration project until the performance criteria are achieved or forfeit the Freshwater Wetland Bond. In this regard, all forested areas are to achieve a 90% native vegetation canopy coverage within a minimum five year period. All wetland areas are to achieve a 90% native coverage. All vegetation stratas are to be free of all environmental and noxious weeds. </w:t>
      </w:r>
    </w:p>
    <w:p>
      <w:pPr>
        <w:pStyle w:val="CaselawQuote1"/>
        <w:spacing w:before="150" w:after="150"/>
        <w:ind w:left="2850"/>
        <w:jc w:val="left"/>
      </w:pPr>
      <w:r>
        <w:rPr>
          <w:rFonts w:ascii="Arial"/>
          <w:color w:val="000000"/>
          <w:sz w:val="22"/>
        </w:rPr>
        <w:t xml:space="preserve">u) Identify contingency plans should the proposed revegetation works not respond to proposed treatment works. </w:t>
      </w:r>
    </w:p>
    <w:p>
      <w:pPr>
        <w:pStyle w:val="CaselawQuote1"/>
        <w:spacing w:before="150" w:after="150"/>
        <w:ind w:left="2850"/>
        <w:jc w:val="left"/>
      </w:pPr>
      <w:r>
        <w:rPr>
          <w:rFonts w:ascii="Arial"/>
          <w:color w:val="000000"/>
          <w:sz w:val="22"/>
        </w:rPr>
        <w:t>v) All references to “should” throughout the WMP are to be replaced with “will”.</w:t>
      </w:r>
    </w:p>
    <w:p>
      <w:pPr>
        <w:pStyle w:val="CaselawQuote1"/>
        <w:spacing w:before="150" w:after="150"/>
        <w:ind w:left="2850"/>
        <w:jc w:val="left"/>
      </w:pPr>
      <w:r>
        <w:rPr>
          <w:rFonts w:ascii="Arial"/>
          <w:color w:val="000000"/>
          <w:sz w:val="22"/>
        </w:rPr>
        <w:t>w) Section 6.3 is to be revised to include the provision of monitoring reports to be provided to Council’s Planning and Environmental Health Division (PEHD).</w:t>
      </w:r>
    </w:p>
    <w:p>
      <w:pPr>
        <w:pStyle w:val="CaselawQuote1"/>
        <w:spacing w:before="150" w:after="150"/>
        <w:ind w:left="2850"/>
        <w:jc w:val="left"/>
      </w:pPr>
      <w:r>
        <w:rPr>
          <w:rFonts w:ascii="Arial"/>
          <w:color w:val="000000"/>
          <w:sz w:val="22"/>
        </w:rPr>
        <w:t xml:space="preserve">x) Confirmation that all restoration work shall be undertaken by or overseen by a qualified bush regenerator. The bush regenerator must hold the Bushland Regeneration Certificate II or equivalent and have a minimum of two years’ experience regenerating floodplain communities. </w:t>
      </w:r>
    </w:p>
    <w:p>
      <w:pPr>
        <w:pStyle w:val="CaselawQuote1"/>
        <w:spacing w:before="150" w:after="150"/>
        <w:ind w:left="2850"/>
        <w:jc w:val="left"/>
      </w:pPr>
      <w:r>
        <w:rPr>
          <w:rFonts w:ascii="Arial"/>
          <w:color w:val="000000"/>
          <w:sz w:val="22"/>
        </w:rPr>
        <w:t>y) Outline of all future management actions the owner of the wetland will be required to undertake in perpetuity to maintain the ecological condition of the restored restoration area.”</w:t>
      </w:r>
    </w:p>
    <w:p>
      <w:pPr>
        <w:pStyle w:val="CaselawQuote"/>
        <w:spacing w:before="150" w:after="150"/>
        <w:ind w:left="1350"/>
        <w:jc w:val="left"/>
      </w:pPr>
      <w:r>
        <w:rPr>
          <w:rFonts w:ascii="Arial"/>
          <w:color w:val="000000"/>
          <w:sz w:val="22"/>
        </w:rPr>
        <w:t xml:space="preserve">(Emphasis added, </w:t>
      </w:r>
      <w:r>
        <w:rPr>
          <w:rFonts w:ascii="Arial"/>
          <w:color w:val="000000"/>
          <w:sz w:val="22"/>
        </w:rPr>
        <w:t>Ex 7)</w:t>
      </w:r>
    </w:p>
    <w:p>
      <w:pPr>
        <w:pStyle w:val="CaselawQuote"/>
        <w:spacing w:before="150" w:after="150"/>
        <w:ind w:left="1350"/>
        <w:jc w:val="left"/>
      </w:pPr>
      <w:r>
        <w:rPr>
          <w:rFonts w:ascii="Arial"/>
          <w:color w:val="000000"/>
          <w:sz w:val="22"/>
        </w:rPr>
        <w:t>“</w:t>
      </w:r>
      <w:r>
        <w:rPr>
          <w:rFonts w:ascii="Arial"/>
          <w:b/>
          <w:color w:val="000000"/>
          <w:sz w:val="22"/>
        </w:rPr>
        <w:t>57.</w:t>
      </w:r>
      <w:r>
        <w:rPr>
          <w:rFonts w:ascii="Arial"/>
          <w:color w:val="000000"/>
          <w:sz w:val="22"/>
        </w:rPr>
        <w:t xml:space="preserve"> </w:t>
      </w:r>
      <w:r>
        <w:rPr>
          <w:rFonts w:ascii="Arial"/>
          <w:b/>
          <w:color w:val="000000"/>
          <w:sz w:val="22"/>
        </w:rPr>
        <w:t>Protection of Freshwater Wetland EEC</w:t>
      </w:r>
    </w:p>
    <w:p>
      <w:pPr>
        <w:pStyle w:val="CaselawQuote"/>
        <w:spacing w:before="150" w:after="150"/>
        <w:ind w:left="1350"/>
        <w:jc w:val="left"/>
      </w:pPr>
      <w:r>
        <w:rPr>
          <w:rFonts w:ascii="Arial"/>
          <w:color w:val="000000"/>
          <w:sz w:val="22"/>
        </w:rPr>
        <w:t xml:space="preserve">To reduce the impact to the Freshwater Wetland EEC located on Residual Lot 104 and to ensure excavation works associated with the installation and operation of the stormwater network and swale system do not affect the existing surface and groundwater hydrology the following mitigation measures are to be implemented: </w:t>
      </w:r>
    </w:p>
    <w:p>
      <w:pPr>
        <w:pStyle w:val="CaselawQuote0"/>
        <w:spacing w:before="150" w:after="150"/>
        <w:ind w:left="2100"/>
        <w:jc w:val="left"/>
      </w:pPr>
      <w:r>
        <w:rPr>
          <w:rFonts w:ascii="Arial"/>
          <w:color w:val="000000"/>
          <w:sz w:val="22"/>
        </w:rPr>
        <w:t xml:space="preserve">a) All works associated with the construction of the drainage basins, swale system and stormwater infrastructure are restricted to areas depicted in the “Earthworks Cut and Fill Plan Stage 1A Enabling Works” (Revision 8) prepared by Mott McDonald and dated 13.08.2020. Consequently, no further construction works will be permitted within the Freshwater Wetland EEC. </w:t>
      </w:r>
    </w:p>
    <w:p>
      <w:pPr>
        <w:pStyle w:val="CaselawQuote0"/>
        <w:spacing w:before="150" w:after="150"/>
        <w:ind w:left="2100"/>
        <w:jc w:val="left"/>
      </w:pPr>
      <w:r>
        <w:rPr>
          <w:rFonts w:ascii="Arial"/>
          <w:color w:val="000000"/>
          <w:sz w:val="22"/>
        </w:rPr>
        <w:t xml:space="preserve">b) Works within the area depicted as ‘SW1’ are to be avoided or minimised where possible. Should any works be necessary in ‘SW1’, construction design details and rationale for these works in this area are to be provided to Council. Any works to be carried out within this area are to be undertaken in accordance with a construction management plan to minimise impact on the wetland. At the completion of the construction phase, the ‘SW1’ area is to be rehabilitated in accordance with the actions in the approved Wetland Management Plan. </w:t>
      </w:r>
    </w:p>
    <w:p>
      <w:pPr>
        <w:pStyle w:val="CaselawQuote0"/>
        <w:spacing w:before="150" w:after="150"/>
        <w:ind w:left="2100"/>
        <w:jc w:val="left"/>
      </w:pPr>
      <w:r>
        <w:rPr>
          <w:rFonts w:ascii="Arial"/>
          <w:color w:val="000000"/>
          <w:sz w:val="22"/>
        </w:rPr>
        <w:t xml:space="preserve">c) To reduce the footprint of Drainage Basin 2 all batters associated with the bioretention basin that will reduce the footprint in the wetland are to be steepened to 1:4. The modified drainage basin is to be moved landward away from the Freshwater Wetland. The resulting gain in space may be used for construction works and then rehabilitated in accordance with the actions of the approved Wetland Management Plan. </w:t>
      </w:r>
    </w:p>
    <w:p>
      <w:pPr>
        <w:pStyle w:val="CaselawQuote0"/>
        <w:spacing w:before="150" w:after="150"/>
        <w:ind w:left="2100"/>
        <w:jc w:val="left"/>
      </w:pPr>
      <w:r>
        <w:rPr>
          <w:rFonts w:ascii="Arial"/>
          <w:color w:val="000000"/>
          <w:sz w:val="22"/>
        </w:rPr>
        <w:t xml:space="preserve">d) The existing seepage area depicted in Figure 8 of the Revised Ecological Assessment (Volume 1) prepared by JWA Pty Ltd and dated 19 February 2020 is to be retained as a subsurface drainage structure. Within this area, the existing natural topography and flow paths are to be retained through the placement of suitably sized boulders and/or rocks encased by geotextile or the like. </w:t>
      </w:r>
    </w:p>
    <w:p>
      <w:pPr>
        <w:pStyle w:val="CaselawQuote0"/>
        <w:spacing w:before="150" w:after="150"/>
        <w:ind w:left="2100"/>
        <w:jc w:val="left"/>
      </w:pPr>
      <w:r>
        <w:rPr>
          <w:rFonts w:ascii="Arial"/>
          <w:color w:val="000000"/>
          <w:sz w:val="22"/>
        </w:rPr>
        <w:t xml:space="preserve">e) Measures implemented during construction and operation to prevent groundwater and surface waters of the wetland system draining into subsurface gravel material and/or the constructed swale system. The baseline hydrological monitoring is to be used to inform this design. </w:t>
      </w:r>
    </w:p>
    <w:p>
      <w:pPr>
        <w:pStyle w:val="CaselawQuote0"/>
        <w:spacing w:before="150" w:after="150"/>
        <w:ind w:left="2100"/>
        <w:jc w:val="left"/>
      </w:pPr>
      <w:r>
        <w:rPr>
          <w:rFonts w:ascii="Arial"/>
          <w:color w:val="000000"/>
          <w:sz w:val="22"/>
        </w:rPr>
        <w:t xml:space="preserve">f) Ensure all construction plans will depict the location of the management areas and exclusion fencing will be erected around all areas subject to the plan. </w:t>
      </w:r>
    </w:p>
    <w:p>
      <w:pPr>
        <w:pStyle w:val="CaselawQuote"/>
        <w:spacing w:before="150" w:after="150"/>
        <w:ind w:left="1350"/>
        <w:jc w:val="left"/>
      </w:pPr>
      <w:r>
        <w:rPr>
          <w:rFonts w:ascii="Arial"/>
          <w:b/>
          <w:color w:val="000000"/>
          <w:sz w:val="22"/>
        </w:rPr>
        <w:t xml:space="preserve">Prior to [the] issue of an approval under Section 68 of the Local Government Act 1993 for the </w:t>
      </w:r>
      <w:r>
        <w:rPr>
          <w:rFonts w:ascii="Arial"/>
          <w:b/>
          <w:color w:val="000000"/>
          <w:sz w:val="22"/>
        </w:rPr>
        <w:t>proposed drainage work</w:t>
      </w:r>
      <w:r>
        <w:rPr>
          <w:rFonts w:ascii="Arial"/>
          <w:color w:val="000000"/>
          <w:sz w:val="22"/>
        </w:rPr>
        <w:t xml:space="preserve">, revised construction plans and reports depicting compliance with the above mitigation strategies are to be submitted </w:t>
      </w:r>
      <w:r>
        <w:rPr>
          <w:rFonts w:ascii="Arial"/>
          <w:b/>
          <w:color w:val="000000"/>
          <w:sz w:val="22"/>
        </w:rPr>
        <w:t>to the satisfaction of Council</w:t>
      </w:r>
      <w:r>
        <w:rPr>
          <w:rFonts w:ascii="Arial"/>
          <w:color w:val="000000"/>
          <w:sz w:val="22"/>
        </w:rPr>
        <w:t>.”</w:t>
      </w:r>
    </w:p>
    <w:p>
      <w:pPr>
        <w:pStyle w:val="CaselawQuote"/>
        <w:spacing w:before="150" w:after="150"/>
        <w:ind w:left="1350"/>
        <w:jc w:val="left"/>
      </w:pPr>
      <w:r>
        <w:rPr>
          <w:rFonts w:ascii="Arial"/>
          <w:color w:val="000000"/>
          <w:sz w:val="22"/>
        </w:rPr>
        <w:t xml:space="preserve">(Emphasis added, </w:t>
      </w:r>
      <w:r>
        <w:rPr>
          <w:rFonts w:ascii="Arial"/>
          <w:color w:val="000000"/>
          <w:sz w:val="22"/>
        </w:rPr>
        <w:t>Ex 7</w:t>
      </w:r>
      <w:r>
        <w:rPr>
          <w:rFonts w:ascii="Arial"/>
          <w:color w:val="000000"/>
          <w:sz w:val="22"/>
        </w:rPr>
        <w:t xml:space="preserve">) </w:t>
      </w:r>
    </w:p>
    <w:p>
      <w:pPr>
        <w:pStyle w:val="CaselawNumbered10"/>
        <w:numPr>
          <w:ilvl w:val="0"/>
          <w:numId w:val="53"/>
        </w:numPr>
        <w:spacing w:before="150" w:after="0"/>
        <w:ind w:left="600" w:hanging="600"/>
      </w:pPr>
      <w:r>
        <w:rPr>
          <w:rFonts w:ascii="Arial"/>
          <w:color w:val="000000"/>
          <w:sz w:val="24"/>
        </w:rPr>
        <w:t>Relevantly</w:t>
      </w:r>
      <w:r>
        <w:rPr>
          <w:rFonts w:ascii="Arial"/>
          <w:color w:val="000000"/>
          <w:sz w:val="24"/>
        </w:rPr>
        <w:t>,</w:t>
      </w:r>
      <w:r>
        <w:rPr>
          <w:rFonts w:ascii="Arial"/>
          <w:color w:val="000000"/>
          <w:sz w:val="24"/>
        </w:rPr>
        <w:t xml:space="preserve"> </w:t>
      </w:r>
      <w:r>
        <w:rPr>
          <w:rFonts w:ascii="Arial"/>
          <w:color w:val="000000"/>
          <w:sz w:val="24"/>
        </w:rPr>
        <w:t xml:space="preserve">each </w:t>
      </w:r>
      <w:r>
        <w:rPr>
          <w:rFonts w:ascii="Arial"/>
          <w:color w:val="000000"/>
          <w:sz w:val="24"/>
        </w:rPr>
        <w:t>condition</w:t>
      </w:r>
      <w:r>
        <w:rPr>
          <w:rFonts w:ascii="Arial"/>
          <w:color w:val="000000"/>
          <w:sz w:val="24"/>
        </w:rPr>
        <w:t xml:space="preserve"> </w:t>
      </w:r>
      <w:r>
        <w:rPr>
          <w:rFonts w:ascii="Arial"/>
          <w:color w:val="000000"/>
          <w:sz w:val="24"/>
        </w:rPr>
        <w:t xml:space="preserve">is predicated by </w:t>
      </w:r>
      <w:r>
        <w:rPr>
          <w:rFonts w:ascii="Arial"/>
          <w:color w:val="000000"/>
          <w:sz w:val="24"/>
        </w:rPr>
        <w:t>the</w:t>
      </w:r>
      <w:r>
        <w:rPr>
          <w:rFonts w:ascii="Arial"/>
          <w:color w:val="000000"/>
          <w:sz w:val="24"/>
        </w:rPr>
        <w:t xml:space="preserve"> </w:t>
      </w:r>
      <w:r>
        <w:rPr>
          <w:rFonts w:ascii="Arial"/>
          <w:color w:val="000000"/>
          <w:sz w:val="24"/>
        </w:rPr>
        <w:t>direction</w:t>
      </w:r>
      <w:r>
        <w:rPr>
          <w:rFonts w:ascii="Arial"/>
          <w:color w:val="000000"/>
          <w:sz w:val="24"/>
        </w:rPr>
        <w:t xml:space="preserve"> </w:t>
      </w:r>
      <w:r>
        <w:rPr>
          <w:rFonts w:ascii="Arial"/>
          <w:color w:val="000000"/>
          <w:sz w:val="24"/>
        </w:rPr>
        <w:t xml:space="preserve">that </w:t>
      </w:r>
      <w:r>
        <w:rPr>
          <w:rFonts w:ascii="Arial"/>
          <w:color w:val="000000"/>
          <w:sz w:val="24"/>
        </w:rPr>
        <w:t>“</w:t>
      </w:r>
      <w:r>
        <w:rPr>
          <w:rFonts w:ascii="Arial"/>
          <w:color w:val="000000"/>
          <w:sz w:val="24"/>
        </w:rPr>
        <w:t xml:space="preserve">Prior to the issue of an approval under </w:t>
      </w:r>
      <w:r>
        <w:rPr>
          <w:rFonts w:ascii="Arial"/>
          <w:color w:val="000000"/>
          <w:sz w:val="24"/>
        </w:rPr>
        <w:t xml:space="preserve">Section </w:t>
      </w:r>
      <w:r>
        <w:rPr>
          <w:rFonts w:ascii="Arial"/>
          <w:color w:val="000000"/>
          <w:sz w:val="24"/>
        </w:rPr>
        <w:t>68 of the L</w:t>
      </w:r>
      <w:r>
        <w:rPr>
          <w:rFonts w:ascii="Arial"/>
          <w:color w:val="000000"/>
          <w:sz w:val="24"/>
        </w:rPr>
        <w:t xml:space="preserve">ocal </w:t>
      </w:r>
      <w:r>
        <w:rPr>
          <w:rFonts w:ascii="Arial"/>
          <w:color w:val="000000"/>
          <w:sz w:val="24"/>
        </w:rPr>
        <w:t>G</w:t>
      </w:r>
      <w:r>
        <w:rPr>
          <w:rFonts w:ascii="Arial"/>
          <w:color w:val="000000"/>
          <w:sz w:val="24"/>
        </w:rPr>
        <w:t xml:space="preserve">overnment </w:t>
      </w:r>
      <w:r>
        <w:rPr>
          <w:rFonts w:ascii="Arial"/>
          <w:color w:val="000000"/>
          <w:sz w:val="24"/>
        </w:rPr>
        <w:t>A</w:t>
      </w:r>
      <w:r>
        <w:rPr>
          <w:rFonts w:ascii="Arial"/>
          <w:color w:val="000000"/>
          <w:sz w:val="24"/>
        </w:rPr>
        <w:t>ct 1993</w:t>
      </w:r>
      <w:r>
        <w:rPr>
          <w:rFonts w:ascii="Arial"/>
          <w:color w:val="000000"/>
          <w:sz w:val="24"/>
        </w:rPr>
        <w:t xml:space="preserve"> </w:t>
      </w:r>
      <w:r>
        <w:rPr>
          <w:rFonts w:ascii="Arial"/>
          <w:color w:val="000000"/>
          <w:sz w:val="24"/>
        </w:rPr>
        <w:t>for the proposed drainage work</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 applicant is to </w:t>
      </w:r>
      <w:r>
        <w:rPr>
          <w:rFonts w:ascii="Arial"/>
          <w:color w:val="000000"/>
          <w:sz w:val="24"/>
        </w:rPr>
        <w:t xml:space="preserve">submit </w:t>
      </w:r>
      <w:r>
        <w:rPr>
          <w:rFonts w:ascii="Arial"/>
          <w:color w:val="000000"/>
          <w:sz w:val="24"/>
        </w:rPr>
        <w:t xml:space="preserve">a </w:t>
      </w:r>
      <w:r>
        <w:rPr>
          <w:rFonts w:ascii="Arial"/>
          <w:color w:val="000000"/>
          <w:sz w:val="24"/>
        </w:rPr>
        <w:t>WMAMP</w:t>
      </w:r>
      <w:r>
        <w:rPr>
          <w:rFonts w:ascii="Arial"/>
          <w:color w:val="000000"/>
          <w:sz w:val="24"/>
        </w:rPr>
        <w:t xml:space="preserve"> </w:t>
      </w:r>
      <w:r>
        <w:rPr>
          <w:rFonts w:ascii="Arial"/>
          <w:i/>
          <w:color w:val="000000"/>
          <w:sz w:val="24"/>
        </w:rPr>
        <w:t>to the satisfaction of Council</w:t>
      </w:r>
      <w:r>
        <w:rPr>
          <w:rFonts w:ascii="Arial"/>
          <w:color w:val="000000"/>
          <w:sz w:val="24"/>
        </w:rPr>
        <w:t>;</w:t>
      </w:r>
      <w:r>
        <w:rPr>
          <w:rFonts w:ascii="Arial"/>
          <w:color w:val="000000"/>
          <w:sz w:val="24"/>
        </w:rPr>
        <w:t xml:space="preserve"> </w:t>
      </w:r>
      <w:r>
        <w:rPr>
          <w:rFonts w:ascii="Arial"/>
          <w:color w:val="000000"/>
          <w:sz w:val="24"/>
        </w:rPr>
        <w:t xml:space="preserve">attend to the </w:t>
      </w:r>
      <w:r>
        <w:rPr>
          <w:rFonts w:ascii="Arial"/>
          <w:color w:val="000000"/>
          <w:sz w:val="24"/>
        </w:rPr>
        <w:t xml:space="preserve">amendment of the submitted </w:t>
      </w:r>
      <w:r>
        <w:rPr>
          <w:rFonts w:ascii="Arial"/>
          <w:color w:val="000000"/>
          <w:sz w:val="24"/>
        </w:rPr>
        <w:t>WMP</w:t>
      </w:r>
      <w:r>
        <w:rPr>
          <w:rFonts w:ascii="Arial"/>
          <w:color w:val="000000"/>
          <w:sz w:val="24"/>
        </w:rPr>
        <w:t xml:space="preserve"> </w:t>
      </w:r>
      <w:r>
        <w:rPr>
          <w:rFonts w:ascii="Arial"/>
          <w:color w:val="000000"/>
          <w:sz w:val="24"/>
        </w:rPr>
        <w:t xml:space="preserve">prepared by JWA Pty </w:t>
      </w:r>
      <w:r>
        <w:rPr>
          <w:rFonts w:ascii="Arial"/>
          <w:color w:val="000000"/>
          <w:sz w:val="24"/>
        </w:rPr>
        <w:t>L</w:t>
      </w:r>
      <w:r>
        <w:rPr>
          <w:rFonts w:ascii="Arial"/>
          <w:color w:val="000000"/>
          <w:sz w:val="24"/>
        </w:rPr>
        <w:t xml:space="preserve">td dated 19 February 2020 </w:t>
      </w:r>
      <w:r>
        <w:rPr>
          <w:rFonts w:ascii="Arial"/>
          <w:i/>
          <w:color w:val="000000"/>
          <w:sz w:val="24"/>
        </w:rPr>
        <w:t>to the satisfaction of Council</w:t>
      </w:r>
      <w:r>
        <w:rPr>
          <w:rFonts w:ascii="Arial"/>
          <w:color w:val="000000"/>
          <w:sz w:val="24"/>
        </w:rPr>
        <w:t xml:space="preserve"> </w:t>
      </w:r>
      <w:r>
        <w:rPr>
          <w:rFonts w:ascii="Arial"/>
          <w:color w:val="000000"/>
          <w:sz w:val="24"/>
        </w:rPr>
        <w:t xml:space="preserve">and revise construction plans and reports depicting compliance with the specified mitigation strategies </w:t>
      </w:r>
      <w:r>
        <w:rPr>
          <w:rFonts w:ascii="Arial"/>
          <w:i/>
          <w:color w:val="000000"/>
          <w:sz w:val="24"/>
        </w:rPr>
        <w:t xml:space="preserve">to the satisfaction of </w:t>
      </w:r>
      <w:r>
        <w:rPr>
          <w:rFonts w:ascii="Arial"/>
          <w:i/>
          <w:color w:val="000000"/>
          <w:sz w:val="24"/>
        </w:rPr>
        <w:t>Council</w:t>
      </w:r>
      <w:r>
        <w:rPr>
          <w:rFonts w:ascii="Arial"/>
          <w:i/>
          <w:color w:val="000000"/>
          <w:sz w:val="24"/>
        </w:rPr>
        <w:t>.</w:t>
      </w:r>
    </w:p>
    <w:p>
      <w:pPr>
        <w:pStyle w:val="CaselawNumbered10"/>
        <w:numPr>
          <w:ilvl w:val="0"/>
          <w:numId w:val="53"/>
        </w:numPr>
        <w:spacing w:before="150" w:after="0"/>
        <w:ind w:left="600" w:hanging="600"/>
      </w:pPr>
      <w:r>
        <w:rPr>
          <w:rFonts w:ascii="Arial"/>
          <w:color w:val="000000"/>
          <w:sz w:val="24"/>
        </w:rPr>
        <w:t xml:space="preserve">The Council contends </w:t>
      </w:r>
      <w:r>
        <w:rPr>
          <w:rFonts w:ascii="Arial"/>
          <w:color w:val="000000"/>
          <w:sz w:val="24"/>
        </w:rPr>
        <w:t>that the language in conditions 58,</w:t>
      </w:r>
      <w:r>
        <w:rPr>
          <w:rFonts w:ascii="Arial"/>
          <w:color w:val="000000"/>
          <w:sz w:val="24"/>
        </w:rPr>
        <w:t xml:space="preserve"> </w:t>
      </w:r>
      <w:r>
        <w:rPr>
          <w:rFonts w:ascii="Arial"/>
          <w:color w:val="000000"/>
          <w:sz w:val="24"/>
        </w:rPr>
        <w:t xml:space="preserve">60 and 57 is clear. It requires that </w:t>
      </w:r>
      <w:r>
        <w:rPr>
          <w:rFonts w:ascii="Arial"/>
          <w:color w:val="000000"/>
          <w:sz w:val="24"/>
        </w:rPr>
        <w:t xml:space="preserve">the </w:t>
      </w:r>
      <w:r>
        <w:rPr>
          <w:rFonts w:ascii="Arial"/>
          <w:color w:val="000000"/>
          <w:sz w:val="24"/>
        </w:rPr>
        <w:t xml:space="preserve">Council be satisfied with the </w:t>
      </w:r>
      <w:r>
        <w:rPr>
          <w:rFonts w:ascii="Arial"/>
          <w:color w:val="000000"/>
          <w:sz w:val="24"/>
        </w:rPr>
        <w:t xml:space="preserve">identified </w:t>
      </w:r>
      <w:r>
        <w:rPr>
          <w:rFonts w:ascii="Arial"/>
          <w:color w:val="000000"/>
          <w:sz w:val="24"/>
        </w:rPr>
        <w:t>updated plans and reports for the purpose of its function under the EPA Act by the time the applica</w:t>
      </w:r>
      <w:r>
        <w:rPr>
          <w:rFonts w:ascii="Arial"/>
          <w:color w:val="000000"/>
          <w:sz w:val="24"/>
        </w:rPr>
        <w:t xml:space="preserve">nt </w:t>
      </w:r>
      <w:r>
        <w:rPr>
          <w:rFonts w:ascii="Arial"/>
          <w:color w:val="000000"/>
          <w:sz w:val="24"/>
        </w:rPr>
        <w:t xml:space="preserve">takes the next step of obtaining approval for the stormwater drainage works under the LG Act. </w:t>
      </w:r>
      <w:r>
        <w:rPr>
          <w:rFonts w:ascii="Arial"/>
          <w:color w:val="000000"/>
          <w:sz w:val="24"/>
        </w:rPr>
        <w:t xml:space="preserve">And, as condition 6 of </w:t>
      </w:r>
      <w:r>
        <w:rPr>
          <w:rFonts w:ascii="Arial"/>
          <w:color w:val="000000"/>
          <w:sz w:val="24"/>
        </w:rPr>
        <w:t>DA 2020/284 requires compliance with the environmental protection measures established and set out in the Notice of Determination for DA 2018/51</w:t>
      </w:r>
      <w:r>
        <w:rPr>
          <w:rFonts w:ascii="Arial"/>
          <w:color w:val="000000"/>
          <w:sz w:val="24"/>
        </w:rPr>
        <w:t>,</w:t>
      </w:r>
      <w:r>
        <w:rPr>
          <w:rFonts w:ascii="Arial"/>
          <w:color w:val="000000"/>
          <w:sz w:val="24"/>
        </w:rPr>
        <w:t xml:space="preserve"> </w:t>
      </w:r>
      <w:r>
        <w:rPr>
          <w:rFonts w:ascii="Arial"/>
          <w:color w:val="000000"/>
          <w:sz w:val="24"/>
        </w:rPr>
        <w:t xml:space="preserve">there is the requirement for compliance with the conditions 57, 58, 59, 60, 71, 79, 81 and 109 of DA 2018/51 (as is relevant) before the grant of the s68 application for DA 2020/284. </w:t>
      </w:r>
    </w:p>
    <w:p>
      <w:pPr>
        <w:pStyle w:val="CaselawNumbered10"/>
        <w:numPr>
          <w:ilvl w:val="0"/>
          <w:numId w:val="53"/>
        </w:numPr>
        <w:spacing w:before="150" w:after="0"/>
        <w:ind w:left="600" w:hanging="600"/>
      </w:pPr>
      <w:r>
        <w:rPr>
          <w:rFonts w:ascii="Arial"/>
          <w:color w:val="000000"/>
          <w:sz w:val="24"/>
        </w:rPr>
        <w:t>I</w:t>
      </w:r>
      <w:r>
        <w:rPr>
          <w:rFonts w:ascii="Arial"/>
          <w:color w:val="000000"/>
          <w:sz w:val="24"/>
        </w:rPr>
        <w:t xml:space="preserve">n the absence of compliance with the conditions of consent of DA 2018/51 imposed under the EPA Act and </w:t>
      </w:r>
      <w:r>
        <w:rPr>
          <w:rFonts w:ascii="Arial"/>
          <w:color w:val="000000"/>
          <w:sz w:val="24"/>
        </w:rPr>
        <w:t xml:space="preserve">the </w:t>
      </w:r>
      <w:r>
        <w:rPr>
          <w:rFonts w:ascii="Arial"/>
          <w:color w:val="000000"/>
          <w:sz w:val="24"/>
        </w:rPr>
        <w:t xml:space="preserve">Regulations </w:t>
      </w:r>
      <w:r>
        <w:rPr>
          <w:rFonts w:ascii="Arial"/>
          <w:color w:val="000000"/>
          <w:sz w:val="24"/>
        </w:rPr>
        <w:t>for the reasons outlined</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Council </w:t>
      </w:r>
      <w:r>
        <w:rPr>
          <w:rFonts w:ascii="Arial"/>
          <w:color w:val="000000"/>
          <w:sz w:val="24"/>
        </w:rPr>
        <w:t>submits that my hands are tied</w:t>
      </w:r>
      <w:r>
        <w:rPr>
          <w:rFonts w:ascii="Arial"/>
          <w:color w:val="000000"/>
          <w:sz w:val="24"/>
        </w:rPr>
        <w:t>.</w:t>
      </w:r>
      <w:r>
        <w:rPr>
          <w:rFonts w:ascii="Arial"/>
          <w:color w:val="000000"/>
          <w:sz w:val="24"/>
        </w:rPr>
        <w:t xml:space="preserve"> </w:t>
      </w:r>
      <w:r>
        <w:rPr>
          <w:rFonts w:ascii="Arial"/>
          <w:color w:val="000000"/>
          <w:sz w:val="24"/>
        </w:rPr>
        <w:t xml:space="preserve">I </w:t>
      </w:r>
      <w:r>
        <w:rPr>
          <w:rFonts w:ascii="Arial"/>
          <w:color w:val="000000"/>
          <w:sz w:val="24"/>
        </w:rPr>
        <w:t>simply ha</w:t>
      </w:r>
      <w:r>
        <w:rPr>
          <w:rFonts w:ascii="Arial"/>
          <w:color w:val="000000"/>
          <w:sz w:val="24"/>
        </w:rPr>
        <w:t>ve</w:t>
      </w:r>
      <w:r>
        <w:rPr>
          <w:rFonts w:ascii="Arial"/>
          <w:color w:val="000000"/>
          <w:sz w:val="24"/>
        </w:rPr>
        <w:t xml:space="preserve"> </w:t>
      </w:r>
      <w:r>
        <w:rPr>
          <w:rFonts w:ascii="Arial"/>
          <w:color w:val="000000"/>
          <w:sz w:val="24"/>
        </w:rPr>
        <w:t xml:space="preserve">no power to </w:t>
      </w:r>
      <w:r>
        <w:rPr>
          <w:rFonts w:ascii="Arial"/>
          <w:color w:val="000000"/>
          <w:sz w:val="24"/>
        </w:rPr>
        <w:t>approve the s68</w:t>
      </w:r>
      <w:r>
        <w:rPr>
          <w:rFonts w:ascii="Arial"/>
          <w:color w:val="000000"/>
          <w:sz w:val="24"/>
        </w:rPr>
        <w:t xml:space="preserve"> </w:t>
      </w:r>
      <w:r>
        <w:rPr>
          <w:rFonts w:ascii="Arial"/>
          <w:color w:val="000000"/>
          <w:sz w:val="24"/>
        </w:rPr>
        <w:t>applications</w:t>
      </w:r>
      <w:r>
        <w:rPr>
          <w:rFonts w:ascii="Arial"/>
          <w:color w:val="000000"/>
          <w:sz w:val="24"/>
        </w:rPr>
        <w:t xml:space="preserve"> </w:t>
      </w:r>
      <w:r>
        <w:rPr>
          <w:rFonts w:ascii="Arial"/>
          <w:color w:val="000000"/>
          <w:sz w:val="24"/>
        </w:rPr>
        <w:t>before the Court</w:t>
      </w:r>
      <w:r>
        <w:rPr>
          <w:rFonts w:ascii="Arial"/>
          <w:color w:val="000000"/>
          <w:sz w:val="24"/>
        </w:rPr>
        <w:t xml:space="preserve">. </w:t>
      </w:r>
    </w:p>
    <w:p>
      <w:pPr>
        <w:pStyle w:val="CaselawHeading2"/>
        <w:keepNext/>
        <w:spacing w:before="150" w:after="150" w:line="264"/>
        <w:ind w:left="0"/>
        <w:jc w:val="left"/>
      </w:pPr>
      <w:r>
        <w:rPr>
          <w:rFonts w:ascii="Arial"/>
        </w:rPr>
        <w:t xml:space="preserve">Section 39(2) of the </w:t>
      </w:r>
      <w:r>
        <w:rPr>
          <w:rFonts w:ascii="Arial"/>
        </w:rPr>
        <w:t>Land and Environment Court Act 1979</w:t>
      </w:r>
      <w:r>
        <w:rPr>
          <w:rFonts w:ascii="Arial"/>
        </w:rPr>
        <w:t xml:space="preserve"> (Court </w:t>
      </w:r>
      <w:r>
        <w:rPr>
          <w:rFonts w:ascii="Arial"/>
        </w:rPr>
        <w:t>Act)</w:t>
      </w:r>
      <w:r>
        <w:rPr>
          <w:rFonts w:ascii="Arial"/>
        </w:rPr>
        <w:t xml:space="preserve"> </w:t>
      </w:r>
    </w:p>
    <w:p>
      <w:pPr>
        <w:pStyle w:val="CaselawNumbered10"/>
        <w:numPr>
          <w:ilvl w:val="0"/>
          <w:numId w:val="54"/>
        </w:numPr>
        <w:spacing w:before="150" w:after="0"/>
        <w:ind w:left="600" w:hanging="600"/>
      </w:pPr>
      <w:r>
        <w:rPr>
          <w:rFonts w:ascii="Arial"/>
          <w:color w:val="000000"/>
          <w:sz w:val="24"/>
        </w:rPr>
        <w:t>T</w:t>
      </w:r>
      <w:r>
        <w:rPr>
          <w:rFonts w:ascii="Arial"/>
          <w:color w:val="000000"/>
          <w:sz w:val="24"/>
        </w:rPr>
        <w:t xml:space="preserve">he applicant submits that compliance with the above conditions of the consents is necessary, albeit not determinative of the grant of the s68 approvals which must be separately assessed. </w:t>
      </w:r>
    </w:p>
    <w:p>
      <w:pPr>
        <w:pStyle w:val="CaselawNumbered10"/>
        <w:numPr>
          <w:ilvl w:val="0"/>
          <w:numId w:val="54"/>
        </w:numPr>
        <w:spacing w:before="150" w:after="0"/>
        <w:ind w:left="600" w:hanging="600"/>
      </w:pPr>
      <w:r>
        <w:rPr>
          <w:rFonts w:ascii="Arial"/>
          <w:color w:val="000000"/>
          <w:sz w:val="24"/>
        </w:rPr>
        <w:t>To</w:t>
      </w:r>
      <w:r>
        <w:rPr>
          <w:rFonts w:ascii="Arial"/>
          <w:color w:val="000000"/>
          <w:sz w:val="24"/>
        </w:rPr>
        <w:t xml:space="preserve"> </w:t>
      </w:r>
      <w:r>
        <w:rPr>
          <w:rFonts w:ascii="Arial"/>
          <w:color w:val="000000"/>
          <w:sz w:val="24"/>
        </w:rPr>
        <w:t xml:space="preserve">overcome </w:t>
      </w:r>
      <w:r>
        <w:rPr>
          <w:rFonts w:ascii="Arial"/>
          <w:color w:val="000000"/>
          <w:sz w:val="24"/>
        </w:rPr>
        <w:t xml:space="preserve">the </w:t>
      </w:r>
      <w:r>
        <w:rPr>
          <w:rFonts w:ascii="Arial"/>
          <w:color w:val="000000"/>
          <w:sz w:val="24"/>
        </w:rPr>
        <w:t>jurisdiction</w:t>
      </w:r>
      <w:r>
        <w:rPr>
          <w:rFonts w:ascii="Arial"/>
          <w:color w:val="000000"/>
          <w:sz w:val="24"/>
        </w:rPr>
        <w:t>al</w:t>
      </w:r>
      <w:r>
        <w:rPr>
          <w:rFonts w:ascii="Arial"/>
          <w:color w:val="000000"/>
          <w:sz w:val="24"/>
        </w:rPr>
        <w:t xml:space="preserve"> </w:t>
      </w:r>
      <w:r>
        <w:rPr>
          <w:rFonts w:ascii="Arial"/>
          <w:color w:val="000000"/>
          <w:sz w:val="24"/>
        </w:rPr>
        <w:t xml:space="preserve">issue </w:t>
      </w:r>
      <w:r>
        <w:rPr>
          <w:rFonts w:ascii="Arial"/>
          <w:color w:val="000000"/>
          <w:sz w:val="24"/>
        </w:rPr>
        <w:t xml:space="preserve">raised by the Council, </w:t>
      </w:r>
      <w:r>
        <w:rPr>
          <w:rFonts w:ascii="Arial"/>
          <w:color w:val="000000"/>
          <w:sz w:val="24"/>
        </w:rPr>
        <w:t xml:space="preserve">the applicant contends </w:t>
      </w:r>
      <w:r>
        <w:rPr>
          <w:rFonts w:ascii="Arial"/>
          <w:color w:val="000000"/>
          <w:sz w:val="24"/>
        </w:rPr>
        <w:t xml:space="preserve">that s 39(2) places the Court in the shoes of the Council at the time an application is lodged. As such, </w:t>
      </w:r>
      <w:r>
        <w:rPr>
          <w:rFonts w:ascii="Arial"/>
          <w:color w:val="000000"/>
          <w:sz w:val="24"/>
        </w:rPr>
        <w:t xml:space="preserve">it submits that </w:t>
      </w:r>
      <w:r>
        <w:rPr>
          <w:rFonts w:ascii="Arial"/>
          <w:color w:val="000000"/>
          <w:sz w:val="24"/>
        </w:rPr>
        <w:t xml:space="preserve">the Court can exercise all the functions and discretions of the Council in relation to the satisfaction of the </w:t>
      </w:r>
      <w:r>
        <w:rPr>
          <w:rFonts w:ascii="Arial"/>
          <w:color w:val="000000"/>
          <w:sz w:val="24"/>
        </w:rPr>
        <w:t xml:space="preserve">Council as required by conditions 57, 58 and 60 </w:t>
      </w:r>
      <w:r>
        <w:rPr>
          <w:rFonts w:ascii="Arial"/>
          <w:color w:val="000000"/>
          <w:sz w:val="24"/>
        </w:rPr>
        <w:t xml:space="preserve">in order </w:t>
      </w:r>
      <w:r>
        <w:rPr>
          <w:rFonts w:ascii="Arial"/>
          <w:color w:val="000000"/>
          <w:sz w:val="24"/>
        </w:rPr>
        <w:t xml:space="preserve">to facilitate the </w:t>
      </w:r>
      <w:r>
        <w:rPr>
          <w:rFonts w:ascii="Arial"/>
          <w:color w:val="000000"/>
          <w:sz w:val="24"/>
        </w:rPr>
        <w:t xml:space="preserve">further assessment </w:t>
      </w:r>
      <w:r>
        <w:rPr>
          <w:rFonts w:ascii="Arial"/>
          <w:color w:val="000000"/>
          <w:sz w:val="24"/>
        </w:rPr>
        <w:t>of the s68 application</w:t>
      </w:r>
      <w:r>
        <w:rPr>
          <w:rFonts w:ascii="Arial"/>
          <w:color w:val="000000"/>
          <w:sz w:val="24"/>
        </w:rPr>
        <w:t>s</w:t>
      </w:r>
      <w:r>
        <w:rPr>
          <w:rFonts w:ascii="Arial"/>
          <w:color w:val="000000"/>
          <w:sz w:val="24"/>
        </w:rPr>
        <w:t xml:space="preserve"> </w:t>
      </w:r>
      <w:r>
        <w:rPr>
          <w:rFonts w:ascii="Arial"/>
          <w:color w:val="000000"/>
          <w:sz w:val="24"/>
        </w:rPr>
        <w:t xml:space="preserve">under the LGA. </w:t>
      </w:r>
    </w:p>
    <w:p>
      <w:pPr>
        <w:pStyle w:val="CaselawNumbered10"/>
        <w:numPr>
          <w:ilvl w:val="0"/>
          <w:numId w:val="54"/>
        </w:numPr>
        <w:spacing w:before="150" w:after="0"/>
        <w:ind w:left="600" w:hanging="600"/>
      </w:pPr>
      <w:r>
        <w:rPr>
          <w:rFonts w:ascii="Arial"/>
          <w:color w:val="000000"/>
          <w:sz w:val="24"/>
        </w:rPr>
        <w:t>In making that submission</w:t>
      </w:r>
      <w:r>
        <w:rPr>
          <w:rFonts w:ascii="Arial"/>
          <w:color w:val="000000"/>
          <w:sz w:val="24"/>
        </w:rPr>
        <w:t>,</w:t>
      </w:r>
      <w:r>
        <w:rPr>
          <w:rFonts w:ascii="Arial"/>
          <w:color w:val="000000"/>
          <w:sz w:val="24"/>
        </w:rPr>
        <w:t xml:space="preserve"> </w:t>
      </w:r>
      <w:r>
        <w:rPr>
          <w:rFonts w:ascii="Arial"/>
          <w:color w:val="000000"/>
          <w:sz w:val="24"/>
        </w:rPr>
        <w:t xml:space="preserve">the applicant </w:t>
      </w:r>
      <w:r>
        <w:rPr>
          <w:rFonts w:ascii="Arial"/>
          <w:color w:val="000000"/>
          <w:sz w:val="24"/>
        </w:rPr>
        <w:t xml:space="preserve">relies on the </w:t>
      </w:r>
      <w:r>
        <w:rPr>
          <w:rFonts w:ascii="Arial"/>
          <w:color w:val="000000"/>
          <w:sz w:val="24"/>
        </w:rPr>
        <w:t xml:space="preserve">construction of </w:t>
      </w:r>
      <w:r>
        <w:rPr>
          <w:rFonts w:ascii="Arial"/>
          <w:color w:val="000000"/>
          <w:sz w:val="24"/>
        </w:rPr>
        <w:t xml:space="preserve">s39(2) </w:t>
      </w:r>
      <w:r>
        <w:rPr>
          <w:rFonts w:ascii="Arial"/>
          <w:color w:val="000000"/>
          <w:sz w:val="24"/>
        </w:rPr>
        <w:t xml:space="preserve">accepted </w:t>
      </w:r>
      <w:r>
        <w:rPr>
          <w:rFonts w:ascii="Arial"/>
          <w:color w:val="000000"/>
          <w:sz w:val="24"/>
        </w:rPr>
        <w:t xml:space="preserve">by the Court of Appeal in </w:t>
      </w:r>
      <w:r>
        <w:rPr>
          <w:rFonts w:ascii="Arial"/>
          <w:i/>
          <w:color w:val="000000"/>
          <w:sz w:val="24"/>
        </w:rPr>
        <w:t>Kogarah Municipal Council v Kent</w:t>
      </w:r>
      <w:r>
        <w:rPr>
          <w:rFonts w:ascii="Arial"/>
          <w:color w:val="000000"/>
          <w:sz w:val="24"/>
        </w:rPr>
        <w:t xml:space="preserve"> </w:t>
      </w:r>
      <w:r>
        <w:rPr>
          <w:rFonts w:ascii="Arial"/>
          <w:color w:val="000000"/>
          <w:sz w:val="24"/>
        </w:rPr>
        <w:t xml:space="preserve">(1981) 46 LGRA 334 wherein Reynolds J at 336 stated </w:t>
      </w:r>
      <w:r>
        <w:rPr>
          <w:rFonts w:ascii="Arial"/>
          <w:color w:val="000000"/>
          <w:sz w:val="24"/>
        </w:rPr>
        <w:t>“…</w:t>
      </w:r>
      <w:r>
        <w:rPr>
          <w:rFonts w:ascii="Arial"/>
          <w:i/>
          <w:color w:val="000000"/>
          <w:sz w:val="24"/>
        </w:rPr>
        <w:t>the language of s 39(2) … is wide and clear and to me it means, … that the Court could do whatever the council could do to dispose of the appeal</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applicant </w:t>
      </w:r>
      <w:r>
        <w:rPr>
          <w:rFonts w:ascii="Arial"/>
          <w:color w:val="000000"/>
          <w:sz w:val="24"/>
        </w:rPr>
        <w:t xml:space="preserve">also </w:t>
      </w:r>
      <w:r>
        <w:rPr>
          <w:rFonts w:ascii="Arial"/>
          <w:color w:val="000000"/>
          <w:sz w:val="24"/>
        </w:rPr>
        <w:t xml:space="preserve">relies upon </w:t>
      </w:r>
      <w:r>
        <w:rPr>
          <w:rFonts w:ascii="Arial"/>
          <w:color w:val="000000"/>
          <w:sz w:val="24"/>
        </w:rPr>
        <w:t xml:space="preserve">the </w:t>
      </w:r>
      <w:r>
        <w:rPr>
          <w:rFonts w:ascii="Arial"/>
          <w:color w:val="000000"/>
          <w:sz w:val="24"/>
        </w:rPr>
        <w:t xml:space="preserve">reasoning in </w:t>
      </w:r>
      <w:r>
        <w:rPr>
          <w:rFonts w:ascii="Arial"/>
          <w:i/>
          <w:color w:val="000000"/>
          <w:sz w:val="24"/>
        </w:rPr>
        <w:t>Goldberg v Waverl</w:t>
      </w:r>
      <w:r>
        <w:rPr>
          <w:rFonts w:ascii="Arial"/>
          <w:i/>
          <w:color w:val="000000"/>
          <w:sz w:val="24"/>
        </w:rPr>
        <w:t>e</w:t>
      </w:r>
      <w:r>
        <w:rPr>
          <w:rFonts w:ascii="Arial"/>
          <w:i/>
          <w:color w:val="000000"/>
          <w:sz w:val="24"/>
        </w:rPr>
        <w:t>y</w:t>
      </w:r>
      <w:r>
        <w:rPr>
          <w:rFonts w:ascii="Arial"/>
          <w:color w:val="000000"/>
          <w:sz w:val="24"/>
        </w:rPr>
        <w:t xml:space="preserve"> </w:t>
      </w:r>
      <w:r>
        <w:rPr>
          <w:rFonts w:ascii="Arial"/>
          <w:i/>
          <w:color w:val="000000"/>
          <w:sz w:val="24"/>
        </w:rPr>
        <w:t>Council</w:t>
      </w:r>
      <w:r>
        <w:rPr>
          <w:rFonts w:ascii="Arial"/>
          <w:color w:val="000000"/>
          <w:sz w:val="24"/>
        </w:rPr>
        <w:t xml:space="preserve"> </w:t>
      </w:r>
      <w:r>
        <w:rPr>
          <w:rFonts w:ascii="Arial"/>
          <w:color w:val="000000"/>
          <w:sz w:val="24"/>
        </w:rPr>
        <w:t>(2007) 156 LGERA 27; [2007] NSWLEC 259 (</w:t>
      </w:r>
      <w:r>
        <w:rPr>
          <w:rFonts w:ascii="Arial"/>
          <w:b/>
          <w:i/>
          <w:color w:val="000000"/>
          <w:sz w:val="24"/>
        </w:rPr>
        <w:t>Goldberg</w:t>
      </w:r>
      <w:r>
        <w:rPr>
          <w:rFonts w:ascii="Arial"/>
          <w:color w:val="000000"/>
          <w:sz w:val="24"/>
        </w:rPr>
        <w:t xml:space="preserve">) </w:t>
      </w:r>
      <w:r>
        <w:rPr>
          <w:rFonts w:ascii="Arial"/>
          <w:color w:val="000000"/>
          <w:sz w:val="24"/>
        </w:rPr>
        <w:t>and the observation</w:t>
      </w:r>
      <w:r>
        <w:rPr>
          <w:rFonts w:ascii="Arial"/>
          <w:color w:val="000000"/>
          <w:sz w:val="24"/>
        </w:rPr>
        <w:t>s</w:t>
      </w:r>
      <w:r>
        <w:rPr>
          <w:rFonts w:ascii="Arial"/>
          <w:color w:val="000000"/>
          <w:sz w:val="24"/>
        </w:rPr>
        <w:t xml:space="preserve"> </w:t>
      </w:r>
      <w:r>
        <w:rPr>
          <w:rFonts w:ascii="Arial"/>
          <w:color w:val="000000"/>
          <w:sz w:val="24"/>
        </w:rPr>
        <w:t xml:space="preserve">of Kirby P in </w:t>
      </w:r>
      <w:r>
        <w:rPr>
          <w:rFonts w:ascii="Arial"/>
          <w:i/>
          <w:color w:val="000000"/>
          <w:sz w:val="24"/>
        </w:rPr>
        <w:t>McDougall v Warringah Shire Council</w:t>
      </w:r>
      <w:r>
        <w:rPr>
          <w:rFonts w:ascii="Arial"/>
          <w:color w:val="000000"/>
          <w:sz w:val="24"/>
        </w:rPr>
        <w:t xml:space="preserve"> </w:t>
      </w:r>
      <w:r>
        <w:rPr>
          <w:rFonts w:ascii="Arial"/>
          <w:color w:val="000000"/>
          <w:sz w:val="24"/>
        </w:rPr>
        <w:t xml:space="preserve">(1993) 30 NSWLR 258 at 264 </w:t>
      </w:r>
      <w:r>
        <w:rPr>
          <w:rFonts w:ascii="Arial"/>
          <w:color w:val="000000"/>
          <w:sz w:val="24"/>
        </w:rPr>
        <w:t xml:space="preserve">to submit </w:t>
      </w:r>
      <w:r>
        <w:rPr>
          <w:rFonts w:ascii="Arial"/>
          <w:color w:val="000000"/>
          <w:sz w:val="24"/>
        </w:rPr>
        <w:t>that s</w:t>
      </w:r>
      <w:r>
        <w:rPr>
          <w:rFonts w:ascii="Arial"/>
          <w:color w:val="000000"/>
          <w:sz w:val="24"/>
        </w:rPr>
        <w:t> 39(2) intended that the Land and Environment Court</w:t>
      </w:r>
      <w:r>
        <w:rPr>
          <w:rFonts w:ascii="Arial"/>
          <w:color w:val="000000"/>
          <w:sz w:val="24"/>
        </w:rPr>
        <w:t xml:space="preserve"> </w:t>
      </w:r>
      <w:r>
        <w:rPr>
          <w:rFonts w:ascii="Arial"/>
          <w:color w:val="000000"/>
          <w:sz w:val="24"/>
        </w:rPr>
        <w:t>of NSW</w:t>
      </w:r>
      <w:r>
        <w:rPr>
          <w:rFonts w:ascii="Arial"/>
          <w:color w:val="000000"/>
          <w:sz w:val="24"/>
        </w:rPr>
        <w:t xml:space="preserve"> </w:t>
      </w:r>
      <w:r>
        <w:rPr>
          <w:rFonts w:ascii="Arial"/>
          <w:color w:val="000000"/>
          <w:sz w:val="24"/>
        </w:rPr>
        <w:t>(</w:t>
      </w:r>
      <w:r>
        <w:rPr>
          <w:rFonts w:ascii="Arial"/>
          <w:b/>
          <w:color w:val="000000"/>
          <w:sz w:val="24"/>
        </w:rPr>
        <w:t>LEC</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 xml:space="preserve">“be placed fully in the shoes of [the] council at the time an application is lodged … The result of this interpretation is that all the functions and discretions the council could have exercised when considering the application are open to the [Court] on appeal and not only those strictly </w:t>
      </w:r>
      <w:r>
        <w:rPr>
          <w:rFonts w:ascii="Arial"/>
          <w:i/>
          <w:color w:val="000000"/>
          <w:sz w:val="22"/>
        </w:rPr>
        <w:t>necessary</w:t>
      </w:r>
      <w:r>
        <w:rPr>
          <w:rFonts w:ascii="Arial"/>
          <w:color w:val="000000"/>
          <w:sz w:val="22"/>
        </w:rPr>
        <w:t xml:space="preserve"> to the approval.”</w:t>
      </w:r>
    </w:p>
    <w:p>
      <w:pPr>
        <w:pStyle w:val="CaselawNumbered10"/>
        <w:numPr>
          <w:ilvl w:val="0"/>
          <w:numId w:val="55"/>
        </w:numPr>
        <w:spacing w:before="150" w:after="0"/>
        <w:ind w:left="600" w:hanging="600"/>
      </w:pPr>
      <w:r>
        <w:rPr>
          <w:rFonts w:ascii="Arial"/>
          <w:color w:val="000000"/>
          <w:sz w:val="24"/>
        </w:rPr>
        <w:t xml:space="preserve">It also </w:t>
      </w:r>
      <w:r>
        <w:rPr>
          <w:rFonts w:ascii="Arial"/>
          <w:color w:val="000000"/>
          <w:sz w:val="24"/>
        </w:rPr>
        <w:t>submits that t</w:t>
      </w:r>
      <w:r>
        <w:rPr>
          <w:rFonts w:ascii="Arial"/>
          <w:color w:val="000000"/>
          <w:sz w:val="24"/>
        </w:rPr>
        <w:t>he</w:t>
      </w:r>
      <w:r>
        <w:rPr>
          <w:rFonts w:ascii="Arial"/>
          <w:color w:val="000000"/>
          <w:sz w:val="24"/>
        </w:rPr>
        <w:t xml:space="preserve"> </w:t>
      </w:r>
      <w:r>
        <w:rPr>
          <w:rFonts w:ascii="Arial"/>
          <w:color w:val="000000"/>
          <w:sz w:val="24"/>
        </w:rPr>
        <w:t xml:space="preserve">Court should embrace the </w:t>
      </w:r>
      <w:r>
        <w:rPr>
          <w:rFonts w:ascii="Arial"/>
          <w:color w:val="000000"/>
          <w:sz w:val="24"/>
        </w:rPr>
        <w:t xml:space="preserve">decision of the Court of Appeal in </w:t>
      </w:r>
      <w:r>
        <w:rPr>
          <w:rFonts w:ascii="Arial"/>
          <w:i/>
          <w:color w:val="000000"/>
          <w:sz w:val="24"/>
        </w:rPr>
        <w:t>Codlea</w:t>
      </w:r>
      <w:r>
        <w:rPr>
          <w:rFonts w:ascii="Arial"/>
          <w:i/>
          <w:color w:val="000000"/>
          <w:sz w:val="24"/>
        </w:rPr>
        <w:t xml:space="preserve"> Pty Ltd</w:t>
      </w:r>
      <w:r>
        <w:rPr>
          <w:rFonts w:ascii="Arial"/>
          <w:i/>
          <w:color w:val="000000"/>
          <w:sz w:val="24"/>
        </w:rPr>
        <w:t xml:space="preserve"> v Byron Shire Council</w:t>
      </w:r>
      <w:r>
        <w:rPr>
          <w:rFonts w:ascii="Arial"/>
          <w:color w:val="000000"/>
          <w:sz w:val="24"/>
        </w:rPr>
        <w:t xml:space="preserve"> </w:t>
      </w:r>
      <w:r>
        <w:rPr>
          <w:rFonts w:ascii="Arial"/>
          <w:color w:val="000000"/>
          <w:sz w:val="24"/>
        </w:rPr>
        <w:t>(1999) 105 LGERA 370</w:t>
      </w:r>
      <w:r>
        <w:rPr>
          <w:rFonts w:ascii="Arial"/>
          <w:color w:val="000000"/>
          <w:sz w:val="24"/>
        </w:rPr>
        <w:t>;</w:t>
      </w:r>
      <w:r>
        <w:rPr>
          <w:rFonts w:ascii="Arial"/>
          <w:color w:val="000000"/>
          <w:sz w:val="24"/>
        </w:rPr>
        <w:t xml:space="preserve"> </w:t>
      </w:r>
      <w:r>
        <w:rPr>
          <w:rFonts w:ascii="Arial"/>
          <w:color w:val="000000"/>
          <w:sz w:val="24"/>
        </w:rPr>
        <w:t>[1999] NSWCA 399</w:t>
      </w:r>
      <w:r>
        <w:rPr>
          <w:rFonts w:ascii="Arial"/>
          <w:color w:val="000000"/>
          <w:sz w:val="24"/>
        </w:rPr>
        <w:t xml:space="preserve"> </w:t>
      </w:r>
      <w:r>
        <w:rPr>
          <w:rFonts w:ascii="Arial"/>
          <w:color w:val="000000"/>
          <w:sz w:val="24"/>
        </w:rPr>
        <w:t>(</w:t>
      </w:r>
      <w:r>
        <w:rPr>
          <w:rFonts w:ascii="Arial"/>
          <w:b/>
          <w:i/>
          <w:color w:val="000000"/>
          <w:sz w:val="24"/>
        </w:rPr>
        <w:t>Codlea</w:t>
      </w:r>
      <w:r>
        <w:rPr>
          <w:rFonts w:ascii="Arial"/>
          <w:color w:val="000000"/>
          <w:sz w:val="24"/>
        </w:rPr>
        <w:t>)</w:t>
      </w:r>
      <w:r>
        <w:rPr>
          <w:rFonts w:ascii="Arial"/>
          <w:color w:val="000000"/>
          <w:sz w:val="24"/>
        </w:rPr>
        <w:t xml:space="preserve"> </w:t>
      </w:r>
      <w:r>
        <w:rPr>
          <w:rFonts w:ascii="Arial"/>
          <w:color w:val="000000"/>
          <w:sz w:val="24"/>
        </w:rPr>
        <w:t>at [12]</w:t>
      </w:r>
      <w:r>
        <w:rPr>
          <w:rFonts w:ascii="Arial"/>
          <w:color w:val="000000"/>
          <w:sz w:val="24"/>
        </w:rPr>
        <w:t>-</w:t>
      </w:r>
      <w:r>
        <w:rPr>
          <w:rFonts w:ascii="Arial"/>
          <w:color w:val="000000"/>
          <w:sz w:val="24"/>
        </w:rPr>
        <w:t>[16]</w:t>
      </w:r>
      <w:r>
        <w:rPr>
          <w:rFonts w:ascii="Arial"/>
          <w:color w:val="000000"/>
          <w:sz w:val="24"/>
        </w:rPr>
        <w:t xml:space="preserve">, </w:t>
      </w:r>
      <w:r>
        <w:rPr>
          <w:rFonts w:ascii="Arial"/>
          <w:color w:val="000000"/>
          <w:sz w:val="24"/>
        </w:rPr>
        <w:t xml:space="preserve">as </w:t>
      </w:r>
      <w:r>
        <w:rPr>
          <w:rFonts w:ascii="Arial"/>
          <w:color w:val="000000"/>
          <w:sz w:val="24"/>
        </w:rPr>
        <w:t>a complete answer, favourable to the applicant on jurisdiction</w:t>
      </w:r>
      <w:r>
        <w:rPr>
          <w:rFonts w:ascii="Arial"/>
          <w:color w:val="000000"/>
          <w:sz w:val="24"/>
        </w:rPr>
        <w:t>.</w:t>
      </w:r>
      <w:r>
        <w:rPr>
          <w:rFonts w:ascii="Arial"/>
          <w:color w:val="000000"/>
          <w:sz w:val="24"/>
        </w:rPr>
        <w:t xml:space="preserve"> </w:t>
      </w:r>
      <w:r>
        <w:rPr>
          <w:rFonts w:ascii="Arial"/>
          <w:color w:val="000000"/>
          <w:sz w:val="24"/>
        </w:rPr>
        <w:t>In short, the submission is that the Court cannot determine whether prior adequate arrangements had been made but the question of whether the Council is satisfied about that matter is something that the Court could stand in the shoes of the Council in relation to the satisfaction component of conditions 57,</w:t>
      </w:r>
      <w:r>
        <w:rPr>
          <w:rFonts w:ascii="Arial"/>
          <w:color w:val="000000"/>
          <w:sz w:val="24"/>
        </w:rPr>
        <w:t xml:space="preserve"> </w:t>
      </w:r>
      <w:r>
        <w:rPr>
          <w:rFonts w:ascii="Arial"/>
          <w:color w:val="000000"/>
          <w:sz w:val="24"/>
        </w:rPr>
        <w:t xml:space="preserve">58 and 60 </w:t>
      </w:r>
      <w:r>
        <w:rPr>
          <w:rFonts w:ascii="Arial"/>
          <w:color w:val="000000"/>
          <w:sz w:val="24"/>
        </w:rPr>
        <w:t>(T</w:t>
      </w:r>
      <w:r>
        <w:rPr>
          <w:rFonts w:ascii="Arial"/>
          <w:color w:val="000000"/>
          <w:sz w:val="24"/>
        </w:rPr>
        <w:t>cpt, 11 December 2023, pp 351(35)-352(20)).</w:t>
      </w:r>
      <w:r>
        <w:rPr>
          <w:rFonts w:ascii="Arial"/>
          <w:color w:val="000000"/>
          <w:sz w:val="24"/>
        </w:rPr>
        <w:t xml:space="preserve"> </w:t>
      </w:r>
    </w:p>
    <w:p>
      <w:pPr>
        <w:pStyle w:val="CaselawNumbered10"/>
        <w:numPr>
          <w:ilvl w:val="0"/>
          <w:numId w:val="55"/>
        </w:numPr>
        <w:spacing w:before="150" w:after="0"/>
        <w:ind w:left="600" w:hanging="600"/>
      </w:pPr>
      <w:r>
        <w:rPr>
          <w:rFonts w:ascii="Arial"/>
          <w:color w:val="000000"/>
          <w:sz w:val="24"/>
        </w:rPr>
        <w:t xml:space="preserve">The </w:t>
      </w:r>
      <w:r>
        <w:rPr>
          <w:rFonts w:ascii="Arial"/>
          <w:color w:val="000000"/>
          <w:sz w:val="24"/>
        </w:rPr>
        <w:t xml:space="preserve">decision </w:t>
      </w:r>
      <w:r>
        <w:rPr>
          <w:rFonts w:ascii="Arial"/>
          <w:color w:val="000000"/>
          <w:sz w:val="24"/>
        </w:rPr>
        <w:t xml:space="preserve">of </w:t>
      </w:r>
      <w:r>
        <w:rPr>
          <w:rFonts w:ascii="Arial"/>
          <w:i/>
          <w:color w:val="000000"/>
          <w:sz w:val="24"/>
        </w:rPr>
        <w:t>Codlea</w:t>
      </w:r>
      <w:r>
        <w:rPr>
          <w:rFonts w:ascii="Arial"/>
          <w:color w:val="000000"/>
          <w:sz w:val="24"/>
        </w:rPr>
        <w:t xml:space="preserve"> </w:t>
      </w:r>
      <w:r>
        <w:rPr>
          <w:rFonts w:ascii="Arial"/>
          <w:color w:val="000000"/>
          <w:sz w:val="24"/>
        </w:rPr>
        <w:t>concerned an appeal</w:t>
      </w:r>
      <w:r>
        <w:rPr>
          <w:rFonts w:ascii="Arial"/>
          <w:color w:val="000000"/>
          <w:sz w:val="24"/>
        </w:rPr>
        <w:t xml:space="preserve"> </w:t>
      </w:r>
      <w:r>
        <w:rPr>
          <w:rFonts w:ascii="Arial"/>
          <w:color w:val="000000"/>
          <w:sz w:val="24"/>
        </w:rPr>
        <w:t xml:space="preserve">from a decision of </w:t>
      </w:r>
      <w:r>
        <w:rPr>
          <w:rFonts w:ascii="Arial"/>
          <w:color w:val="000000"/>
          <w:sz w:val="24"/>
        </w:rPr>
        <w:t xml:space="preserve">the LEC </w:t>
      </w:r>
      <w:r>
        <w:rPr>
          <w:rFonts w:ascii="Arial"/>
          <w:color w:val="000000"/>
          <w:sz w:val="24"/>
        </w:rPr>
        <w:t xml:space="preserve">in respect of a Class 1 development appeal seeking consent for </w:t>
      </w:r>
      <w:r>
        <w:rPr>
          <w:rFonts w:ascii="Arial"/>
          <w:color w:val="000000"/>
          <w:sz w:val="24"/>
        </w:rPr>
        <w:t xml:space="preserve">the </w:t>
      </w:r>
      <w:r>
        <w:rPr>
          <w:rFonts w:ascii="Arial"/>
          <w:color w:val="000000"/>
          <w:sz w:val="24"/>
        </w:rPr>
        <w:t>subdivision of land</w:t>
      </w:r>
      <w:r>
        <w:rPr>
          <w:rFonts w:ascii="Arial"/>
          <w:color w:val="000000"/>
          <w:sz w:val="24"/>
        </w:rPr>
        <w:t>.</w:t>
      </w:r>
      <w:r>
        <w:rPr>
          <w:rFonts w:ascii="Arial"/>
          <w:color w:val="000000"/>
          <w:sz w:val="24"/>
        </w:rPr>
        <w:t xml:space="preserve"> </w:t>
      </w:r>
      <w:r>
        <w:rPr>
          <w:rFonts w:ascii="Arial"/>
          <w:color w:val="000000"/>
          <w:sz w:val="24"/>
        </w:rPr>
        <w:t xml:space="preserve">At [25] </w:t>
      </w:r>
      <w:r>
        <w:rPr>
          <w:rFonts w:ascii="Arial"/>
          <w:color w:val="000000"/>
          <w:sz w:val="24"/>
        </w:rPr>
        <w:t xml:space="preserve">the </w:t>
      </w:r>
      <w:r>
        <w:rPr>
          <w:rFonts w:ascii="Arial"/>
          <w:color w:val="000000"/>
          <w:sz w:val="24"/>
        </w:rPr>
        <w:t xml:space="preserve">judgment </w:t>
      </w:r>
      <w:r>
        <w:rPr>
          <w:rFonts w:ascii="Arial"/>
          <w:color w:val="000000"/>
          <w:sz w:val="24"/>
        </w:rPr>
        <w:t xml:space="preserve">records that the question of law was one of construction of cl 45 of the </w:t>
      </w:r>
      <w:r>
        <w:rPr>
          <w:rFonts w:ascii="Arial"/>
          <w:color w:val="000000"/>
          <w:sz w:val="24"/>
        </w:rPr>
        <w:t>Byron Local Environmental Plan 1988</w:t>
      </w:r>
      <w:r>
        <w:rPr>
          <w:rFonts w:ascii="Arial"/>
          <w:color w:val="000000"/>
          <w:sz w:val="24"/>
        </w:rPr>
        <w:t xml:space="preserve"> </w:t>
      </w:r>
      <w:r>
        <w:rPr>
          <w:rFonts w:ascii="Arial"/>
          <w:color w:val="000000"/>
          <w:sz w:val="24"/>
        </w:rPr>
        <w:t>(</w:t>
      </w:r>
      <w:r>
        <w:rPr>
          <w:rFonts w:ascii="Arial"/>
          <w:b/>
          <w:color w:val="000000"/>
          <w:sz w:val="24"/>
        </w:rPr>
        <w:t>BLEP 1988</w:t>
      </w:r>
      <w:r>
        <w:rPr>
          <w:rFonts w:ascii="Arial"/>
          <w:color w:val="000000"/>
          <w:sz w:val="24"/>
        </w:rPr>
        <w:t xml:space="preserve">), </w:t>
      </w:r>
      <w:r>
        <w:rPr>
          <w:rFonts w:ascii="Arial"/>
          <w:color w:val="000000"/>
          <w:sz w:val="24"/>
        </w:rPr>
        <w:t>and the power of the Court under s 39(2) of the Court Act to exercise a function of the Council under cl 45. To determine whether the Court c</w:t>
      </w:r>
      <w:r>
        <w:rPr>
          <w:rFonts w:ascii="Arial"/>
          <w:color w:val="000000"/>
          <w:sz w:val="24"/>
        </w:rPr>
        <w:t>an</w:t>
      </w:r>
      <w:r>
        <w:rPr>
          <w:rFonts w:ascii="Arial"/>
          <w:color w:val="000000"/>
          <w:sz w:val="24"/>
        </w:rPr>
        <w:t xml:space="preserve"> </w:t>
      </w:r>
      <w:r>
        <w:rPr>
          <w:rFonts w:ascii="Arial"/>
          <w:color w:val="000000"/>
          <w:sz w:val="24"/>
        </w:rPr>
        <w:t xml:space="preserve">exercise that function under cl 45 of </w:t>
      </w:r>
      <w:r>
        <w:rPr>
          <w:rFonts w:ascii="Arial"/>
          <w:color w:val="000000"/>
          <w:sz w:val="24"/>
        </w:rPr>
        <w:t>BLEP</w:t>
      </w:r>
      <w:r>
        <w:rPr>
          <w:rFonts w:ascii="Arial"/>
          <w:color w:val="000000"/>
          <w:sz w:val="24"/>
        </w:rPr>
        <w:t xml:space="preserve"> </w:t>
      </w:r>
      <w:r>
        <w:rPr>
          <w:rFonts w:ascii="Arial"/>
          <w:color w:val="000000"/>
          <w:sz w:val="24"/>
        </w:rPr>
        <w:t>1988</w:t>
      </w:r>
      <w:r>
        <w:rPr>
          <w:rFonts w:ascii="Arial"/>
          <w:color w:val="000000"/>
          <w:sz w:val="24"/>
        </w:rPr>
        <w:t xml:space="preserve"> </w:t>
      </w:r>
      <w:r>
        <w:rPr>
          <w:rFonts w:ascii="Arial"/>
          <w:color w:val="000000"/>
          <w:sz w:val="24"/>
        </w:rPr>
        <w:t xml:space="preserve">the Court </w:t>
      </w:r>
      <w:r>
        <w:rPr>
          <w:rFonts w:ascii="Arial"/>
          <w:color w:val="000000"/>
          <w:sz w:val="24"/>
        </w:rPr>
        <w:t xml:space="preserve">of Appeal judgment </w:t>
      </w:r>
      <w:r>
        <w:rPr>
          <w:rFonts w:ascii="Arial"/>
          <w:color w:val="000000"/>
          <w:sz w:val="24"/>
        </w:rPr>
        <w:t xml:space="preserve">identified that it was first necessary to carefully evaluate what function, power or duty the </w:t>
      </w:r>
      <w:r>
        <w:rPr>
          <w:rFonts w:ascii="Arial"/>
          <w:color w:val="000000"/>
          <w:sz w:val="24"/>
        </w:rPr>
        <w:t>Council is exercising under the clause. This involved closely examining the clause. In that regard</w:t>
      </w:r>
      <w:r>
        <w:rPr>
          <w:rFonts w:ascii="Arial"/>
          <w:color w:val="000000"/>
          <w:sz w:val="24"/>
        </w:rPr>
        <w:t>,</w:t>
      </w:r>
      <w:r>
        <w:rPr>
          <w:rFonts w:ascii="Arial"/>
          <w:color w:val="000000"/>
          <w:sz w:val="24"/>
        </w:rPr>
        <w:t xml:space="preserve"> </w:t>
      </w:r>
      <w:r>
        <w:rPr>
          <w:rFonts w:ascii="Arial"/>
          <w:color w:val="000000"/>
          <w:sz w:val="24"/>
        </w:rPr>
        <w:t xml:space="preserve">it was observed that cl 45 of the </w:t>
      </w:r>
      <w:r>
        <w:rPr>
          <w:rFonts w:ascii="Arial"/>
          <w:color w:val="000000"/>
          <w:sz w:val="24"/>
        </w:rPr>
        <w:t>B</w:t>
      </w:r>
      <w:r>
        <w:rPr>
          <w:rFonts w:ascii="Arial"/>
          <w:color w:val="000000"/>
          <w:sz w:val="24"/>
        </w:rPr>
        <w:t>LEP</w:t>
      </w:r>
      <w:r>
        <w:rPr>
          <w:rFonts w:ascii="Arial"/>
          <w:color w:val="000000"/>
          <w:sz w:val="24"/>
        </w:rPr>
        <w:t xml:space="preserve"> </w:t>
      </w:r>
      <w:r>
        <w:rPr>
          <w:rFonts w:ascii="Arial"/>
          <w:color w:val="000000"/>
          <w:sz w:val="24"/>
        </w:rPr>
        <w:t>1988</w:t>
      </w:r>
      <w:r>
        <w:rPr>
          <w:rFonts w:ascii="Arial"/>
          <w:color w:val="000000"/>
          <w:sz w:val="24"/>
        </w:rPr>
        <w:t xml:space="preserve"> </w:t>
      </w:r>
      <w:r>
        <w:rPr>
          <w:rFonts w:ascii="Arial"/>
          <w:color w:val="000000"/>
          <w:sz w:val="24"/>
        </w:rPr>
        <w:t xml:space="preserve">mandated that the Council must not grant development consent unless it is satisfied that prior adequate arrangements have been made for the provision of sewerage services to the land. The Court described the condition as being in the nature of a condition precedent to the grant of consent. It speaks in the past </w:t>
      </w:r>
      <w:r>
        <w:rPr>
          <w:rFonts w:ascii="Arial"/>
          <w:color w:val="000000"/>
          <w:sz w:val="24"/>
        </w:rPr>
        <w:t>“</w:t>
      </w:r>
      <w:r>
        <w:rPr>
          <w:rFonts w:ascii="Arial"/>
          <w:color w:val="000000"/>
          <w:sz w:val="24"/>
        </w:rPr>
        <w:t>prior adequate arrangements have been made</w:t>
      </w:r>
      <w:r>
        <w:rPr>
          <w:rFonts w:ascii="Arial"/>
          <w:color w:val="000000"/>
          <w:sz w:val="24"/>
        </w:rPr>
        <w:t xml:space="preserve">” </w:t>
      </w:r>
      <w:r>
        <w:rPr>
          <w:rFonts w:ascii="Arial"/>
          <w:color w:val="000000"/>
          <w:sz w:val="24"/>
        </w:rPr>
        <w:t>(at [26]).</w:t>
      </w:r>
    </w:p>
    <w:p>
      <w:pPr>
        <w:pStyle w:val="CaselawNumbered10"/>
        <w:numPr>
          <w:ilvl w:val="0"/>
          <w:numId w:val="55"/>
        </w:numPr>
        <w:spacing w:before="150" w:after="0"/>
        <w:ind w:left="600" w:hanging="600"/>
      </w:pPr>
      <w:r>
        <w:rPr>
          <w:rFonts w:ascii="Arial"/>
          <w:color w:val="000000"/>
          <w:sz w:val="24"/>
        </w:rPr>
        <w:t xml:space="preserve">The Court </w:t>
      </w:r>
      <w:r>
        <w:rPr>
          <w:rFonts w:ascii="Arial"/>
          <w:color w:val="000000"/>
          <w:sz w:val="24"/>
        </w:rPr>
        <w:t xml:space="preserve">of Appeal </w:t>
      </w:r>
      <w:r>
        <w:rPr>
          <w:rFonts w:ascii="Arial"/>
          <w:color w:val="000000"/>
          <w:sz w:val="24"/>
        </w:rPr>
        <w:t>emphasised that s</w:t>
      </w:r>
      <w:r>
        <w:rPr>
          <w:rFonts w:ascii="Arial"/>
          <w:color w:val="000000"/>
          <w:sz w:val="24"/>
        </w:rPr>
        <w:t xml:space="preserve"> </w:t>
      </w:r>
      <w:r>
        <w:rPr>
          <w:rFonts w:ascii="Arial"/>
          <w:color w:val="000000"/>
          <w:sz w:val="24"/>
        </w:rPr>
        <w:t>39 of the Court Act directs attention to the matter the subject of the appeal. In C</w:t>
      </w:r>
      <w:r>
        <w:rPr>
          <w:rFonts w:ascii="Arial"/>
          <w:i/>
          <w:color w:val="000000"/>
          <w:sz w:val="24"/>
        </w:rPr>
        <w:t>odlea</w:t>
      </w:r>
      <w:r>
        <w:rPr>
          <w:rFonts w:ascii="Arial"/>
          <w:color w:val="000000"/>
          <w:sz w:val="24"/>
        </w:rPr>
        <w:t>,</w:t>
      </w:r>
      <w:r>
        <w:rPr>
          <w:rFonts w:ascii="Arial"/>
          <w:i/>
          <w:color w:val="000000"/>
          <w:sz w:val="24"/>
        </w:rPr>
        <w:t xml:space="preserve"> </w:t>
      </w:r>
      <w:r>
        <w:rPr>
          <w:rFonts w:ascii="Arial"/>
          <w:color w:val="000000"/>
          <w:sz w:val="24"/>
        </w:rPr>
        <w:t>the matter the subject of the appeal was the Council</w:t>
      </w:r>
      <w:r>
        <w:rPr>
          <w:rFonts w:ascii="Arial"/>
          <w:color w:val="000000"/>
          <w:sz w:val="24"/>
        </w:rPr>
        <w:t>’</w:t>
      </w:r>
      <w:r>
        <w:rPr>
          <w:rFonts w:ascii="Arial"/>
          <w:color w:val="000000"/>
          <w:sz w:val="24"/>
        </w:rPr>
        <w:t xml:space="preserve">s refusal of the DA. In that circumstance, the Court </w:t>
      </w:r>
      <w:r>
        <w:rPr>
          <w:rFonts w:ascii="Arial"/>
          <w:color w:val="000000"/>
          <w:sz w:val="24"/>
        </w:rPr>
        <w:t xml:space="preserve">of Appeal </w:t>
      </w:r>
      <w:r>
        <w:rPr>
          <w:rFonts w:ascii="Arial"/>
          <w:color w:val="000000"/>
          <w:sz w:val="24"/>
        </w:rPr>
        <w:t xml:space="preserve">considered whether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s funct</w:t>
      </w:r>
      <w:r>
        <w:rPr>
          <w:rFonts w:ascii="Arial"/>
          <w:color w:val="000000"/>
          <w:sz w:val="24"/>
        </w:rPr>
        <w:t>i</w:t>
      </w:r>
      <w:r>
        <w:rPr>
          <w:rFonts w:ascii="Arial"/>
          <w:color w:val="000000"/>
          <w:sz w:val="24"/>
        </w:rPr>
        <w:t>on of satisfaction</w:t>
      </w:r>
      <w:r>
        <w:rPr>
          <w:rFonts w:ascii="Arial"/>
          <w:color w:val="000000"/>
          <w:sz w:val="24"/>
        </w:rPr>
        <w:t>,</w:t>
      </w:r>
      <w:r>
        <w:rPr>
          <w:rFonts w:ascii="Arial"/>
          <w:color w:val="000000"/>
          <w:sz w:val="24"/>
        </w:rPr>
        <w:t xml:space="preserve"> </w:t>
      </w:r>
      <w:r>
        <w:rPr>
          <w:rFonts w:ascii="Arial"/>
          <w:color w:val="000000"/>
          <w:sz w:val="24"/>
        </w:rPr>
        <w:t xml:space="preserve">that prior adequate arrangements have been made for the provision of sewerage services to the land, is a function in respect of the matter the subject of the development application. </w:t>
      </w:r>
      <w:r>
        <w:rPr>
          <w:rFonts w:ascii="Arial"/>
          <w:color w:val="000000"/>
          <w:sz w:val="24"/>
        </w:rPr>
        <w:t xml:space="preserve">At [28] </w:t>
      </w:r>
      <w:r>
        <w:rPr>
          <w:rFonts w:ascii="Arial"/>
          <w:color w:val="000000"/>
          <w:sz w:val="24"/>
        </w:rPr>
        <w:t>Stein J found that the issue of the Council</w:t>
      </w:r>
      <w:r>
        <w:rPr>
          <w:rFonts w:ascii="Arial"/>
          <w:color w:val="000000"/>
          <w:sz w:val="24"/>
        </w:rPr>
        <w:t>’</w:t>
      </w:r>
      <w:r>
        <w:rPr>
          <w:rFonts w:ascii="Arial"/>
          <w:color w:val="000000"/>
          <w:sz w:val="24"/>
        </w:rPr>
        <w:t>s satisfaction under cl 45 can be seen as a function basic to its function to grant development approval or as a function sufficiently analogous to the function to be performed regarding the development application so that it is in respect of the subject matter of the appeal</w:t>
      </w:r>
      <w:r>
        <w:rPr>
          <w:rFonts w:ascii="Arial"/>
          <w:color w:val="000000"/>
          <w:sz w:val="24"/>
        </w:rPr>
        <w:t>.</w:t>
      </w:r>
      <w:r>
        <w:rPr>
          <w:rFonts w:ascii="Arial"/>
          <w:color w:val="000000"/>
          <w:sz w:val="24"/>
        </w:rPr>
        <w:t xml:space="preserve"> </w:t>
      </w:r>
      <w:r>
        <w:rPr>
          <w:rFonts w:ascii="Arial"/>
          <w:color w:val="000000"/>
          <w:sz w:val="24"/>
        </w:rPr>
        <w:t xml:space="preserve">In fact, the function of satisfaction </w:t>
      </w:r>
      <w:r>
        <w:rPr>
          <w:rFonts w:ascii="Arial"/>
          <w:color w:val="000000"/>
          <w:sz w:val="24"/>
        </w:rPr>
        <w:t xml:space="preserve">was described </w:t>
      </w:r>
      <w:r>
        <w:rPr>
          <w:rFonts w:ascii="Arial"/>
          <w:color w:val="000000"/>
          <w:sz w:val="24"/>
        </w:rPr>
        <w:t>“…</w:t>
      </w:r>
      <w:r>
        <w:rPr>
          <w:rFonts w:ascii="Arial"/>
          <w:color w:val="000000"/>
          <w:sz w:val="24"/>
        </w:rPr>
        <w:t>to be the heart of the matter the subject of the appeal</w:t>
      </w:r>
      <w:r>
        <w:rPr>
          <w:rFonts w:ascii="Arial"/>
          <w:color w:val="000000"/>
          <w:sz w:val="24"/>
        </w:rPr>
        <w:t xml:space="preserve">” </w:t>
      </w:r>
      <w:r>
        <w:rPr>
          <w:rFonts w:ascii="Arial"/>
          <w:color w:val="000000"/>
          <w:sz w:val="24"/>
        </w:rPr>
        <w:t>(at [28]). Therefore, the issue of satisfaction was held to be a function the Council acquires under s</w:t>
      </w:r>
      <w:r>
        <w:rPr>
          <w:rFonts w:ascii="Arial"/>
          <w:color w:val="000000"/>
          <w:sz w:val="24"/>
        </w:rPr>
        <w:t> </w:t>
      </w:r>
      <w:r>
        <w:rPr>
          <w:rFonts w:ascii="Arial"/>
          <w:color w:val="000000"/>
          <w:sz w:val="24"/>
        </w:rPr>
        <w:t xml:space="preserve">39(2) of the Court Act. </w:t>
      </w:r>
    </w:p>
    <w:p>
      <w:pPr>
        <w:pStyle w:val="CaselawNumbered10"/>
        <w:numPr>
          <w:ilvl w:val="0"/>
          <w:numId w:val="55"/>
        </w:numPr>
        <w:spacing w:before="150" w:after="0"/>
        <w:ind w:left="600" w:hanging="600"/>
      </w:pPr>
      <w:r>
        <w:rPr>
          <w:rFonts w:ascii="Arial"/>
          <w:color w:val="000000"/>
          <w:sz w:val="24"/>
        </w:rPr>
        <w:t>However, t</w:t>
      </w:r>
      <w:r>
        <w:rPr>
          <w:rFonts w:ascii="Arial"/>
          <w:color w:val="000000"/>
          <w:sz w:val="24"/>
        </w:rPr>
        <w:t xml:space="preserve">he Court of Appeal in </w:t>
      </w:r>
      <w:r>
        <w:rPr>
          <w:rFonts w:ascii="Arial"/>
          <w:i/>
          <w:color w:val="000000"/>
          <w:sz w:val="24"/>
        </w:rPr>
        <w:t xml:space="preserve">Codlea </w:t>
      </w:r>
      <w:r>
        <w:rPr>
          <w:rFonts w:ascii="Arial"/>
          <w:color w:val="000000"/>
          <w:sz w:val="24"/>
        </w:rPr>
        <w:t>found that the function of making prior adequate arrangements referred to in cl 45 was not sufficiently analogous to the function to be performed in relation to the DA to warrant the conclusion that th</w:t>
      </w:r>
      <w:r>
        <w:rPr>
          <w:rFonts w:ascii="Arial"/>
          <w:color w:val="000000"/>
          <w:sz w:val="24"/>
        </w:rPr>
        <w:t>at</w:t>
      </w:r>
      <w:r>
        <w:rPr>
          <w:rFonts w:ascii="Arial"/>
          <w:color w:val="000000"/>
          <w:sz w:val="24"/>
        </w:rPr>
        <w:t xml:space="preserve"> </w:t>
      </w:r>
      <w:r>
        <w:rPr>
          <w:rFonts w:ascii="Arial"/>
          <w:color w:val="000000"/>
          <w:sz w:val="24"/>
        </w:rPr>
        <w:t xml:space="preserve">function is one which is in respect of the subject matter of the appeal. </w:t>
      </w:r>
    </w:p>
    <w:p>
      <w:pPr>
        <w:pStyle w:val="CaselawNumbered10"/>
        <w:numPr>
          <w:ilvl w:val="0"/>
          <w:numId w:val="55"/>
        </w:numPr>
        <w:spacing w:before="150" w:after="0"/>
        <w:ind w:left="600" w:hanging="600"/>
      </w:pPr>
      <w:r>
        <w:rPr>
          <w:rFonts w:ascii="Arial"/>
          <w:color w:val="000000"/>
          <w:sz w:val="24"/>
        </w:rPr>
        <w:t>The Council</w:t>
      </w:r>
      <w:r>
        <w:rPr>
          <w:rFonts w:ascii="Arial"/>
          <w:color w:val="000000"/>
          <w:sz w:val="24"/>
        </w:rPr>
        <w:t>,</w:t>
      </w:r>
      <w:r>
        <w:rPr>
          <w:rFonts w:ascii="Arial"/>
          <w:color w:val="000000"/>
          <w:sz w:val="24"/>
        </w:rPr>
        <w:t xml:space="preserve"> </w:t>
      </w:r>
      <w:r>
        <w:rPr>
          <w:rFonts w:ascii="Arial"/>
          <w:color w:val="000000"/>
          <w:sz w:val="24"/>
        </w:rPr>
        <w:t xml:space="preserve">in this </w:t>
      </w:r>
      <w:r>
        <w:rPr>
          <w:rFonts w:ascii="Arial"/>
          <w:color w:val="000000"/>
          <w:sz w:val="24"/>
        </w:rPr>
        <w:t>instance</w:t>
      </w:r>
      <w:r>
        <w:rPr>
          <w:rFonts w:ascii="Arial"/>
          <w:color w:val="000000"/>
          <w:sz w:val="24"/>
        </w:rPr>
        <w:t>,</w:t>
      </w:r>
      <w:r>
        <w:rPr>
          <w:rFonts w:ascii="Arial"/>
          <w:color w:val="000000"/>
          <w:sz w:val="24"/>
        </w:rPr>
        <w:t xml:space="preserve"> </w:t>
      </w:r>
      <w:r>
        <w:rPr>
          <w:rFonts w:ascii="Arial"/>
          <w:color w:val="000000"/>
          <w:sz w:val="24"/>
        </w:rPr>
        <w:t xml:space="preserve">submits </w:t>
      </w:r>
      <w:r>
        <w:rPr>
          <w:rFonts w:ascii="Arial"/>
          <w:color w:val="000000"/>
          <w:sz w:val="24"/>
        </w:rPr>
        <w:t xml:space="preserve">that the state of satisfaction required by the individual conditions </w:t>
      </w:r>
      <w:r>
        <w:rPr>
          <w:rFonts w:ascii="Arial"/>
          <w:color w:val="000000"/>
          <w:sz w:val="24"/>
        </w:rPr>
        <w:t xml:space="preserve">of consent </w:t>
      </w:r>
      <w:r>
        <w:rPr>
          <w:rFonts w:ascii="Arial"/>
          <w:color w:val="000000"/>
          <w:sz w:val="24"/>
        </w:rPr>
        <w:t xml:space="preserve">under the EPA Act is analogous to the </w:t>
      </w:r>
      <w:r>
        <w:rPr>
          <w:rFonts w:ascii="Arial"/>
          <w:color w:val="000000"/>
          <w:sz w:val="24"/>
        </w:rPr>
        <w:t>“</w:t>
      </w:r>
      <w:r>
        <w:rPr>
          <w:rFonts w:ascii="Arial"/>
          <w:color w:val="000000"/>
          <w:sz w:val="24"/>
        </w:rPr>
        <w:t>prior adequate arrangements</w:t>
      </w:r>
      <w:r>
        <w:rPr>
          <w:rFonts w:ascii="Arial"/>
          <w:color w:val="000000"/>
          <w:sz w:val="24"/>
        </w:rPr>
        <w:t xml:space="preserve">” </w:t>
      </w:r>
      <w:r>
        <w:rPr>
          <w:rFonts w:ascii="Arial"/>
          <w:color w:val="000000"/>
          <w:sz w:val="24"/>
        </w:rPr>
        <w:t>i</w:t>
      </w:r>
      <w:r>
        <w:rPr>
          <w:rFonts w:ascii="Arial"/>
          <w:color w:val="000000"/>
          <w:sz w:val="24"/>
        </w:rPr>
        <w:t>n</w:t>
      </w:r>
      <w:r>
        <w:rPr>
          <w:rFonts w:ascii="Arial"/>
          <w:color w:val="000000"/>
          <w:sz w:val="24"/>
        </w:rPr>
        <w:t xml:space="preserve"> </w:t>
      </w:r>
      <w:r>
        <w:rPr>
          <w:rFonts w:ascii="Arial"/>
          <w:i/>
          <w:color w:val="000000"/>
          <w:sz w:val="24"/>
        </w:rPr>
        <w:t>Cod</w:t>
      </w:r>
      <w:r>
        <w:rPr>
          <w:rFonts w:ascii="Arial"/>
          <w:i/>
          <w:color w:val="000000"/>
          <w:sz w:val="24"/>
        </w:rPr>
        <w:t>l</w:t>
      </w:r>
      <w:r>
        <w:rPr>
          <w:rFonts w:ascii="Arial"/>
          <w:i/>
          <w:color w:val="000000"/>
          <w:sz w:val="24"/>
        </w:rPr>
        <w:t>ea</w:t>
      </w:r>
      <w:r>
        <w:rPr>
          <w:rFonts w:ascii="Arial"/>
          <w:i/>
          <w:color w:val="000000"/>
          <w:sz w:val="24"/>
        </w:rPr>
        <w:t>.</w:t>
      </w:r>
      <w:r>
        <w:rPr>
          <w:rFonts w:ascii="Arial"/>
          <w:color w:val="000000"/>
          <w:sz w:val="24"/>
        </w:rPr>
        <w:t xml:space="preserve"> </w:t>
      </w:r>
      <w:r>
        <w:rPr>
          <w:rFonts w:ascii="Arial"/>
          <w:color w:val="000000"/>
          <w:sz w:val="24"/>
        </w:rPr>
        <w:t>T</w:t>
      </w:r>
      <w:r>
        <w:rPr>
          <w:rFonts w:ascii="Arial"/>
          <w:color w:val="000000"/>
          <w:sz w:val="24"/>
        </w:rPr>
        <w:t>he Council</w:t>
      </w:r>
      <w:r>
        <w:rPr>
          <w:rFonts w:ascii="Arial"/>
          <w:color w:val="000000"/>
          <w:sz w:val="24"/>
        </w:rPr>
        <w:t>’</w:t>
      </w:r>
      <w:r>
        <w:rPr>
          <w:rFonts w:ascii="Arial"/>
          <w:color w:val="000000"/>
          <w:sz w:val="24"/>
        </w:rPr>
        <w:t>s satisfaction under the conditions of consent for DA 2018/51 and DA 2020/284 as to the WMAMP, WMP and construction plans and reports is not a function in respect of the matter the subject of the s68 applications</w:t>
      </w:r>
      <w:r>
        <w:rPr>
          <w:rFonts w:ascii="Arial"/>
          <w:color w:val="000000"/>
          <w:sz w:val="24"/>
        </w:rPr>
        <w:t xml:space="preserve"> </w:t>
      </w:r>
      <w:r>
        <w:rPr>
          <w:rFonts w:ascii="Arial"/>
          <w:color w:val="000000"/>
          <w:sz w:val="24"/>
        </w:rPr>
        <w:t>for three reasons:</w:t>
      </w:r>
    </w:p>
    <w:p>
      <w:pPr>
        <w:pStyle w:val="CaselawNumbered1"/>
        <w:numPr>
          <w:ilvl w:val="0"/>
          <w:numId w:val="56"/>
        </w:numPr>
        <w:spacing w:before="150" w:after="0"/>
        <w:ind w:left="1350" w:hanging="750"/>
      </w:pPr>
      <w:r>
        <w:rPr>
          <w:rFonts w:ascii="Arial"/>
          <w:color w:val="000000"/>
          <w:sz w:val="24"/>
        </w:rPr>
        <w:t>Firstly, the matter of which the Council is required to be satisfied under the conditions of consents are imposed under the EPA Act for the purpose of performing its planning functions under the EPA Act. This is different function of the Council for the purpose of the consideration and approval of the s68 applications</w:t>
      </w:r>
      <w:r>
        <w:rPr>
          <w:rFonts w:ascii="Arial"/>
          <w:color w:val="000000"/>
          <w:sz w:val="24"/>
        </w:rPr>
        <w:t xml:space="preserve"> </w:t>
      </w:r>
      <w:r>
        <w:rPr>
          <w:rFonts w:ascii="Arial"/>
          <w:color w:val="000000"/>
          <w:sz w:val="24"/>
        </w:rPr>
        <w:t>under the LGA</w:t>
      </w:r>
      <w:r>
        <w:rPr>
          <w:rFonts w:ascii="Arial"/>
          <w:color w:val="000000"/>
          <w:sz w:val="24"/>
        </w:rPr>
        <w:t xml:space="preserve">. </w:t>
      </w:r>
    </w:p>
    <w:p>
      <w:pPr>
        <w:pStyle w:val="CaselawNumbered1"/>
        <w:numPr>
          <w:ilvl w:val="0"/>
          <w:numId w:val="56"/>
        </w:numPr>
        <w:spacing w:before="150" w:after="0"/>
        <w:ind w:left="1350" w:hanging="750"/>
      </w:pPr>
      <w:r>
        <w:rPr>
          <w:rFonts w:ascii="Arial"/>
          <w:color w:val="000000"/>
          <w:sz w:val="24"/>
        </w:rPr>
        <w:t xml:space="preserve">Secondly, the function of determining a s68 application does not include a function as to whether the Council (now the Court) is satisfied of the matters the subject of </w:t>
      </w:r>
      <w:r>
        <w:rPr>
          <w:rFonts w:ascii="Arial"/>
          <w:color w:val="000000"/>
          <w:sz w:val="24"/>
        </w:rPr>
        <w:t xml:space="preserve">the </w:t>
      </w:r>
      <w:r>
        <w:rPr>
          <w:rFonts w:ascii="Arial"/>
          <w:color w:val="000000"/>
          <w:sz w:val="24"/>
        </w:rPr>
        <w:t xml:space="preserve">conditions </w:t>
      </w:r>
      <w:r>
        <w:rPr>
          <w:rFonts w:ascii="Arial"/>
          <w:color w:val="000000"/>
          <w:sz w:val="24"/>
        </w:rPr>
        <w:t xml:space="preserve">of development consent </w:t>
      </w:r>
      <w:r>
        <w:rPr>
          <w:rFonts w:ascii="Arial"/>
          <w:color w:val="000000"/>
          <w:sz w:val="24"/>
        </w:rPr>
        <w:t>imposed under s 4.17(2)</w:t>
      </w:r>
      <w:r>
        <w:rPr>
          <w:rFonts w:ascii="Arial"/>
          <w:color w:val="000000"/>
          <w:sz w:val="24"/>
        </w:rPr>
        <w:t xml:space="preserve"> </w:t>
      </w:r>
      <w:r>
        <w:rPr>
          <w:rFonts w:ascii="Arial"/>
          <w:color w:val="000000"/>
          <w:sz w:val="24"/>
        </w:rPr>
        <w:t>of the EPA Act</w:t>
      </w:r>
      <w:r>
        <w:rPr>
          <w:rFonts w:ascii="Arial"/>
          <w:color w:val="000000"/>
          <w:sz w:val="24"/>
        </w:rPr>
        <w:t xml:space="preserve"> </w:t>
      </w:r>
      <w:r>
        <w:rPr>
          <w:rFonts w:ascii="Arial"/>
          <w:color w:val="000000"/>
          <w:sz w:val="24"/>
        </w:rPr>
        <w:t>. Instead, s 68 of the LG Act,</w:t>
      </w:r>
      <w:r>
        <w:rPr>
          <w:rFonts w:ascii="Arial"/>
          <w:color w:val="000000"/>
          <w:sz w:val="24"/>
        </w:rPr>
        <w:t xml:space="preserve"> </w:t>
      </w:r>
      <w:r>
        <w:rPr>
          <w:rFonts w:ascii="Arial"/>
          <w:color w:val="000000"/>
          <w:sz w:val="24"/>
        </w:rPr>
        <w:t>for the purpose of cl</w:t>
      </w:r>
      <w:r>
        <w:rPr>
          <w:rFonts w:ascii="Arial"/>
          <w:color w:val="000000"/>
          <w:sz w:val="24"/>
        </w:rPr>
        <w:t> </w:t>
      </w:r>
      <w:r>
        <w:rPr>
          <w:rFonts w:ascii="Arial"/>
          <w:color w:val="000000"/>
          <w:sz w:val="24"/>
        </w:rPr>
        <w:t xml:space="preserve">13 of the LG Reg asks whether the </w:t>
      </w:r>
      <w:r>
        <w:rPr>
          <w:rFonts w:ascii="Arial"/>
          <w:color w:val="000000"/>
          <w:sz w:val="24"/>
        </w:rPr>
        <w:t>“</w:t>
      </w:r>
      <w:r>
        <w:rPr>
          <w:rFonts w:ascii="Arial"/>
          <w:color w:val="000000"/>
          <w:sz w:val="24"/>
        </w:rPr>
        <w:t>activity</w:t>
      </w:r>
      <w:r>
        <w:rPr>
          <w:rFonts w:ascii="Arial"/>
          <w:color w:val="000000"/>
          <w:sz w:val="24"/>
        </w:rPr>
        <w:t xml:space="preserve">” </w:t>
      </w:r>
      <w:r>
        <w:rPr>
          <w:rFonts w:ascii="Arial"/>
          <w:color w:val="000000"/>
          <w:sz w:val="24"/>
        </w:rPr>
        <w:t xml:space="preserve">proposed complies with the conditions of consent or not </w:t>
      </w:r>
      <w:r>
        <w:rPr>
          <w:rFonts w:ascii="Arial"/>
          <w:color w:val="000000"/>
          <w:sz w:val="24"/>
        </w:rPr>
        <w:t xml:space="preserve">– </w:t>
      </w:r>
      <w:r>
        <w:rPr>
          <w:rFonts w:ascii="Arial"/>
          <w:color w:val="000000"/>
          <w:sz w:val="24"/>
        </w:rPr>
        <w:t>that is, as th</w:t>
      </w:r>
      <w:r>
        <w:rPr>
          <w:rFonts w:ascii="Arial"/>
          <w:color w:val="000000"/>
          <w:sz w:val="24"/>
        </w:rPr>
        <w:t>e</w:t>
      </w:r>
      <w:r>
        <w:rPr>
          <w:rFonts w:ascii="Arial"/>
          <w:color w:val="000000"/>
          <w:sz w:val="24"/>
        </w:rPr>
        <w:t xml:space="preserve"> </w:t>
      </w:r>
      <w:r>
        <w:rPr>
          <w:rFonts w:ascii="Arial"/>
          <w:color w:val="000000"/>
          <w:sz w:val="24"/>
        </w:rPr>
        <w:t>Council identifies - the matter of satisfaction that the Council (now the Court) must address being the subject matter of the s68 applications. As the Council in performing its function under the EPA Act has determined that it is not yet satisfied that the WMAMP, WMP and the construction plans and reports have been settled</w:t>
      </w:r>
      <w:r>
        <w:rPr>
          <w:rFonts w:ascii="Arial"/>
          <w:color w:val="000000"/>
          <w:sz w:val="24"/>
        </w:rPr>
        <w:t xml:space="preserve"> </w:t>
      </w:r>
      <w:r>
        <w:rPr>
          <w:rFonts w:ascii="Arial"/>
          <w:color w:val="000000"/>
          <w:sz w:val="24"/>
        </w:rPr>
        <w:t xml:space="preserve">to its satisfaction </w:t>
      </w:r>
      <w:r>
        <w:rPr>
          <w:rFonts w:ascii="Arial"/>
          <w:color w:val="000000"/>
          <w:sz w:val="24"/>
        </w:rPr>
        <w:t xml:space="preserve">- </w:t>
      </w:r>
      <w:r>
        <w:rPr>
          <w:rFonts w:ascii="Arial"/>
          <w:color w:val="000000"/>
          <w:sz w:val="24"/>
        </w:rPr>
        <w:t xml:space="preserve">in accordance with the terms of the conditions of the consents </w:t>
      </w:r>
      <w:r>
        <w:rPr>
          <w:rFonts w:ascii="Arial"/>
          <w:color w:val="000000"/>
          <w:sz w:val="24"/>
        </w:rPr>
        <w:t xml:space="preserve">– </w:t>
      </w:r>
      <w:r>
        <w:rPr>
          <w:rFonts w:ascii="Arial"/>
          <w:color w:val="000000"/>
          <w:sz w:val="24"/>
        </w:rPr>
        <w:t xml:space="preserve">the proposed activity in the s68 application cannot be said to comply with the relevant conditions of consent. </w:t>
      </w:r>
      <w:r>
        <w:rPr>
          <w:rFonts w:ascii="Arial"/>
          <w:color w:val="000000"/>
          <w:sz w:val="24"/>
        </w:rPr>
        <w:t xml:space="preserve">Furthermore, it </w:t>
      </w:r>
      <w:r>
        <w:rPr>
          <w:rFonts w:ascii="Arial"/>
          <w:color w:val="000000"/>
          <w:sz w:val="24"/>
        </w:rPr>
        <w:t xml:space="preserve">is not a relevant consideration </w:t>
      </w:r>
      <w:r>
        <w:rPr>
          <w:rFonts w:ascii="Arial"/>
          <w:color w:val="000000"/>
          <w:sz w:val="24"/>
        </w:rPr>
        <w:t xml:space="preserve">for present purposes </w:t>
      </w:r>
      <w:r>
        <w:rPr>
          <w:rFonts w:ascii="Arial"/>
          <w:color w:val="000000"/>
          <w:sz w:val="24"/>
        </w:rPr>
        <w:t xml:space="preserve">under the LG Act that fresh or further reports can be now submitted as part of the s68 application and that the Court </w:t>
      </w:r>
      <w:r>
        <w:rPr>
          <w:rFonts w:ascii="Arial"/>
          <w:color w:val="000000"/>
          <w:sz w:val="24"/>
        </w:rPr>
        <w:t>use</w:t>
      </w:r>
      <w:r>
        <w:rPr>
          <w:rFonts w:ascii="Arial"/>
          <w:color w:val="000000"/>
          <w:sz w:val="24"/>
        </w:rPr>
        <w:t xml:space="preserve"> </w:t>
      </w:r>
      <w:r>
        <w:rPr>
          <w:rFonts w:ascii="Arial"/>
          <w:color w:val="000000"/>
          <w:sz w:val="24"/>
        </w:rPr>
        <w:t xml:space="preserve">39(2) to be satisfied about those matters. </w:t>
      </w:r>
      <w:r>
        <w:rPr>
          <w:rFonts w:ascii="Arial"/>
          <w:color w:val="000000"/>
          <w:sz w:val="24"/>
        </w:rPr>
        <w:t>T</w:t>
      </w:r>
      <w:r>
        <w:rPr>
          <w:rFonts w:ascii="Arial"/>
          <w:color w:val="000000"/>
          <w:sz w:val="24"/>
        </w:rPr>
        <w:t>he</w:t>
      </w:r>
      <w:r>
        <w:rPr>
          <w:rFonts w:ascii="Arial"/>
          <w:color w:val="000000"/>
          <w:sz w:val="24"/>
        </w:rPr>
        <w:t xml:space="preserve"> </w:t>
      </w:r>
      <w:r>
        <w:rPr>
          <w:rFonts w:ascii="Arial"/>
          <w:color w:val="000000"/>
          <w:sz w:val="24"/>
        </w:rPr>
        <w:t>Council submits that the</w:t>
      </w:r>
      <w:r>
        <w:rPr>
          <w:rFonts w:ascii="Arial"/>
          <w:color w:val="000000"/>
          <w:sz w:val="24"/>
        </w:rPr>
        <w:t>se Council functions are distinct and under separate legislation and the Court on appeal only has the function under the LG Act being the subject matter of the appeals.</w:t>
      </w:r>
    </w:p>
    <w:p>
      <w:pPr>
        <w:pStyle w:val="CaselawNumbered1"/>
        <w:numPr>
          <w:ilvl w:val="0"/>
          <w:numId w:val="56"/>
        </w:numPr>
        <w:spacing w:before="150" w:after="0"/>
        <w:ind w:left="1350" w:hanging="750"/>
      </w:pPr>
      <w:r>
        <w:rPr>
          <w:rFonts w:ascii="Arial"/>
          <w:color w:val="000000"/>
          <w:sz w:val="24"/>
        </w:rPr>
        <w:t xml:space="preserve">Thirdly, the matters of which the council is required to be satisfied under the development consent conditions </w:t>
      </w:r>
      <w:r>
        <w:rPr>
          <w:rFonts w:ascii="Arial"/>
          <w:color w:val="000000"/>
          <w:sz w:val="24"/>
        </w:rPr>
        <w:t>“</w:t>
      </w:r>
      <w:r>
        <w:rPr>
          <w:rFonts w:ascii="Arial"/>
          <w:color w:val="000000"/>
          <w:sz w:val="24"/>
        </w:rPr>
        <w:t>prior</w:t>
      </w:r>
      <w:r>
        <w:rPr>
          <w:rFonts w:ascii="Arial"/>
          <w:color w:val="000000"/>
          <w:sz w:val="24"/>
        </w:rPr>
        <w:t xml:space="preserve">” </w:t>
      </w:r>
      <w:r>
        <w:rPr>
          <w:rFonts w:ascii="Arial"/>
          <w:color w:val="000000"/>
          <w:sz w:val="24"/>
        </w:rPr>
        <w:t>to a s68 approval being granted is a matter under the EP</w:t>
      </w:r>
      <w:r>
        <w:rPr>
          <w:rFonts w:ascii="Arial"/>
          <w:color w:val="000000"/>
          <w:sz w:val="24"/>
        </w:rPr>
        <w:t>A</w:t>
      </w:r>
      <w:r>
        <w:rPr>
          <w:rFonts w:ascii="Arial"/>
          <w:color w:val="000000"/>
          <w:sz w:val="24"/>
        </w:rPr>
        <w:t xml:space="preserve"> </w:t>
      </w:r>
      <w:r>
        <w:rPr>
          <w:rFonts w:ascii="Arial"/>
          <w:color w:val="000000"/>
          <w:sz w:val="24"/>
        </w:rPr>
        <w:t xml:space="preserve">Act not the LG Act - and to be dealt with in a way that is analogous to the </w:t>
      </w:r>
      <w:r>
        <w:rPr>
          <w:rFonts w:ascii="Arial"/>
          <w:color w:val="000000"/>
          <w:sz w:val="24"/>
        </w:rPr>
        <w:t>“</w:t>
      </w:r>
      <w:r>
        <w:rPr>
          <w:rFonts w:ascii="Arial"/>
          <w:color w:val="000000"/>
          <w:sz w:val="24"/>
        </w:rPr>
        <w:t>prior adequate arrangements</w:t>
      </w:r>
      <w:r>
        <w:rPr>
          <w:rFonts w:ascii="Arial"/>
          <w:color w:val="000000"/>
          <w:sz w:val="24"/>
        </w:rPr>
        <w:t xml:space="preserve">” </w:t>
      </w:r>
      <w:r>
        <w:rPr>
          <w:rFonts w:ascii="Arial"/>
          <w:color w:val="000000"/>
          <w:sz w:val="24"/>
        </w:rPr>
        <w:t xml:space="preserve">in </w:t>
      </w:r>
      <w:r>
        <w:rPr>
          <w:rFonts w:ascii="Arial"/>
          <w:i/>
          <w:color w:val="000000"/>
          <w:sz w:val="24"/>
        </w:rPr>
        <w:t>Codlea</w:t>
      </w:r>
      <w:r>
        <w:rPr>
          <w:rFonts w:ascii="Arial"/>
          <w:color w:val="000000"/>
          <w:sz w:val="24"/>
        </w:rPr>
        <w:t xml:space="preserve"> </w:t>
      </w:r>
      <w:r>
        <w:rPr>
          <w:rFonts w:ascii="Arial"/>
          <w:color w:val="000000"/>
          <w:sz w:val="24"/>
        </w:rPr>
        <w:t xml:space="preserve">at [36] which the Court held were not picked up by s 39(2) of the Court Act.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satisfaction is a precondition to the grant of the s68 approvals which are the subject matter of the appeal. In the absence </w:t>
      </w:r>
      <w:r>
        <w:rPr>
          <w:rFonts w:ascii="Arial"/>
          <w:color w:val="000000"/>
          <w:sz w:val="24"/>
        </w:rPr>
        <w:t xml:space="preserve">of that satisfaction in respect to conditions 58, 60 and 57, I must refuse the s68 application in each appeal. </w:t>
      </w:r>
    </w:p>
    <w:p>
      <w:pPr>
        <w:pStyle w:val="CaselawNumbered10"/>
        <w:numPr>
          <w:ilvl w:val="0"/>
          <w:numId w:val="57"/>
        </w:numPr>
        <w:spacing w:before="150" w:after="0"/>
        <w:ind w:left="600" w:hanging="600"/>
      </w:pPr>
      <w:r>
        <w:rPr>
          <w:rFonts w:ascii="Arial"/>
          <w:color w:val="000000"/>
          <w:sz w:val="24"/>
        </w:rPr>
        <w:t>It is further submitted by the Council that these s68 proceedings under the LG Act are not the occasion for a de facto appeal. They are not a de novo investigation of the merits of the determination by the Council in relation to the manner of ensuring the ecological values of the retained wetland. In short, the Council submits there is no power to grant consent to the s68 applications absent the Council</w:t>
      </w:r>
      <w:r>
        <w:rPr>
          <w:rFonts w:ascii="Arial"/>
          <w:color w:val="000000"/>
          <w:sz w:val="24"/>
        </w:rPr>
        <w:t>’</w:t>
      </w:r>
      <w:r>
        <w:rPr>
          <w:rFonts w:ascii="Arial"/>
          <w:color w:val="000000"/>
          <w:sz w:val="24"/>
        </w:rPr>
        <w:t xml:space="preserve">s satisfaction with the WMAMP, the WWP and the updated construction plans and reports for the proposed drainage works in the 99-lot and 17-lot proceedings. </w:t>
      </w:r>
    </w:p>
    <w:p>
      <w:pPr>
        <w:pStyle w:val="CaselawNumbered10"/>
        <w:numPr>
          <w:ilvl w:val="0"/>
          <w:numId w:val="57"/>
        </w:numPr>
        <w:spacing w:before="150" w:after="0"/>
        <w:ind w:left="600" w:hanging="600"/>
      </w:pPr>
      <w:r>
        <w:rPr>
          <w:rFonts w:ascii="Arial"/>
          <w:color w:val="000000"/>
          <w:sz w:val="24"/>
        </w:rPr>
        <w:t xml:space="preserve">Relying on </w:t>
      </w:r>
      <w:r>
        <w:rPr>
          <w:rFonts w:ascii="Arial"/>
          <w:i/>
          <w:color w:val="000000"/>
          <w:sz w:val="24"/>
        </w:rPr>
        <w:t>Codlea</w:t>
      </w:r>
      <w:r>
        <w:rPr>
          <w:rFonts w:ascii="Arial"/>
          <w:color w:val="000000"/>
          <w:sz w:val="24"/>
        </w:rPr>
        <w:t xml:space="preserve"> </w:t>
      </w:r>
      <w:r>
        <w:rPr>
          <w:rFonts w:ascii="Arial"/>
          <w:color w:val="000000"/>
          <w:sz w:val="24"/>
        </w:rPr>
        <w:t xml:space="preserve">at [28], the Council </w:t>
      </w:r>
      <w:r>
        <w:rPr>
          <w:rFonts w:ascii="Arial"/>
          <w:color w:val="000000"/>
          <w:sz w:val="24"/>
        </w:rPr>
        <w:t xml:space="preserve">emphasises </w:t>
      </w:r>
      <w:r>
        <w:rPr>
          <w:rFonts w:ascii="Arial"/>
          <w:color w:val="000000"/>
          <w:sz w:val="24"/>
        </w:rPr>
        <w:t xml:space="preserve">that s 39(2) is directed to the matter the subject of the appeal which in these Class 2 proceedings is the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 xml:space="preserve"> </w:t>
      </w:r>
      <w:r>
        <w:rPr>
          <w:rFonts w:ascii="Arial"/>
          <w:color w:val="000000"/>
          <w:sz w:val="24"/>
        </w:rPr>
        <w:t xml:space="preserve">in the </w:t>
      </w:r>
      <w:r>
        <w:rPr>
          <w:rFonts w:ascii="Arial"/>
          <w:color w:val="000000"/>
          <w:sz w:val="24"/>
        </w:rPr>
        <w:t xml:space="preserve">applications made under s 68 of the LG Act. </w:t>
      </w:r>
    </w:p>
    <w:p>
      <w:pPr>
        <w:pStyle w:val="CaselawNumbered10"/>
        <w:numPr>
          <w:ilvl w:val="0"/>
          <w:numId w:val="57"/>
        </w:numPr>
        <w:spacing w:before="150" w:after="0"/>
        <w:ind w:left="600" w:hanging="600"/>
      </w:pPr>
      <w:r>
        <w:rPr>
          <w:rFonts w:ascii="Arial"/>
          <w:color w:val="000000"/>
          <w:sz w:val="24"/>
        </w:rPr>
        <w:t>By force of cl</w:t>
      </w:r>
      <w:r>
        <w:rPr>
          <w:rFonts w:ascii="Arial"/>
          <w:color w:val="000000"/>
          <w:sz w:val="24"/>
        </w:rPr>
        <w:t>l</w:t>
      </w:r>
      <w:r>
        <w:rPr>
          <w:rFonts w:ascii="Arial"/>
          <w:color w:val="000000"/>
          <w:sz w:val="24"/>
        </w:rPr>
        <w:t xml:space="preserve"> </w:t>
      </w:r>
      <w:r>
        <w:rPr>
          <w:rFonts w:ascii="Arial"/>
          <w:color w:val="000000"/>
          <w:sz w:val="24"/>
        </w:rPr>
        <w:t xml:space="preserve">13 and 16 </w:t>
      </w:r>
      <w:r>
        <w:rPr>
          <w:rFonts w:ascii="Arial"/>
          <w:color w:val="000000"/>
          <w:sz w:val="24"/>
        </w:rPr>
        <w:t>of the</w:t>
      </w:r>
      <w:r>
        <w:rPr>
          <w:rFonts w:ascii="Arial"/>
          <w:color w:val="000000"/>
          <w:sz w:val="24"/>
        </w:rPr>
        <w:t xml:space="preserve"> </w:t>
      </w:r>
      <w:r>
        <w:rPr>
          <w:rFonts w:ascii="Arial"/>
          <w:color w:val="000000"/>
          <w:sz w:val="24"/>
        </w:rPr>
        <w:t xml:space="preserve">LG </w:t>
      </w:r>
      <w:r>
        <w:rPr>
          <w:rFonts w:ascii="Arial"/>
          <w:color w:val="000000"/>
          <w:sz w:val="24"/>
        </w:rPr>
        <w:t>R</w:t>
      </w:r>
      <w:r>
        <w:rPr>
          <w:rFonts w:ascii="Arial"/>
          <w:color w:val="000000"/>
          <w:sz w:val="24"/>
        </w:rPr>
        <w:t>eg and s</w:t>
      </w:r>
      <w:r>
        <w:rPr>
          <w:rFonts w:ascii="Arial"/>
          <w:color w:val="000000"/>
          <w:sz w:val="24"/>
        </w:rPr>
        <w:t xml:space="preserve"> </w:t>
      </w:r>
      <w:r>
        <w:rPr>
          <w:rFonts w:ascii="Arial"/>
          <w:color w:val="000000"/>
          <w:sz w:val="24"/>
        </w:rPr>
        <w:t>4.2 of the EPA Act</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submits that </w:t>
      </w:r>
      <w:r>
        <w:rPr>
          <w:rFonts w:ascii="Arial"/>
          <w:color w:val="000000"/>
          <w:sz w:val="24"/>
        </w:rPr>
        <w:t>the Court must not approve the s68 application</w:t>
      </w:r>
      <w:r>
        <w:rPr>
          <w:rFonts w:ascii="Arial"/>
          <w:color w:val="000000"/>
          <w:sz w:val="24"/>
        </w:rPr>
        <w:t>s</w:t>
      </w:r>
      <w:r>
        <w:rPr>
          <w:rFonts w:ascii="Arial"/>
          <w:color w:val="000000"/>
          <w:sz w:val="24"/>
        </w:rPr>
        <w:t xml:space="preserve"> </w:t>
      </w:r>
      <w:r>
        <w:rPr>
          <w:rFonts w:ascii="Arial"/>
          <w:color w:val="000000"/>
          <w:sz w:val="24"/>
        </w:rPr>
        <w:t>allowing stormwater drainage work if the activity as proposed to be carried out will n</w:t>
      </w:r>
      <w:r>
        <w:rPr>
          <w:rFonts w:ascii="Arial"/>
          <w:color w:val="000000"/>
          <w:sz w:val="24"/>
        </w:rPr>
        <w:t>o</w:t>
      </w:r>
      <w:r>
        <w:rPr>
          <w:rFonts w:ascii="Arial"/>
          <w:color w:val="000000"/>
          <w:sz w:val="24"/>
        </w:rPr>
        <w:t xml:space="preserve">t comply with the requirements of </w:t>
      </w:r>
      <w:r>
        <w:rPr>
          <w:rFonts w:ascii="Arial"/>
          <w:color w:val="000000"/>
          <w:sz w:val="24"/>
        </w:rPr>
        <w:t>the</w:t>
      </w:r>
      <w:r>
        <w:rPr>
          <w:rFonts w:ascii="Arial"/>
          <w:color w:val="000000"/>
          <w:sz w:val="24"/>
        </w:rPr>
        <w:t xml:space="preserve"> </w:t>
      </w:r>
      <w:r>
        <w:rPr>
          <w:rFonts w:ascii="Arial"/>
          <w:color w:val="000000"/>
          <w:sz w:val="24"/>
        </w:rPr>
        <w:t>development consent</w:t>
      </w:r>
      <w:r>
        <w:rPr>
          <w:rFonts w:ascii="Arial"/>
          <w:color w:val="000000"/>
          <w:sz w:val="24"/>
        </w:rPr>
        <w:t>s</w:t>
      </w:r>
      <w:r>
        <w:rPr>
          <w:rFonts w:ascii="Arial"/>
          <w:color w:val="000000"/>
          <w:sz w:val="24"/>
        </w:rPr>
        <w:t>.</w:t>
      </w:r>
      <w:r>
        <w:rPr>
          <w:rFonts w:ascii="Arial"/>
          <w:color w:val="000000"/>
          <w:sz w:val="24"/>
        </w:rPr>
        <w:t xml:space="preserve"> </w:t>
      </w:r>
    </w:p>
    <w:p>
      <w:pPr>
        <w:pStyle w:val="CaselawNumbered10"/>
        <w:numPr>
          <w:ilvl w:val="0"/>
          <w:numId w:val="57"/>
        </w:numPr>
        <w:spacing w:before="150" w:after="0"/>
        <w:ind w:left="600" w:hanging="600"/>
      </w:pPr>
      <w:r>
        <w:rPr>
          <w:rFonts w:ascii="Arial"/>
          <w:color w:val="000000"/>
          <w:sz w:val="24"/>
        </w:rPr>
        <w:t xml:space="preserve">The conditions </w:t>
      </w:r>
      <w:r>
        <w:rPr>
          <w:rFonts w:ascii="Arial"/>
          <w:color w:val="000000"/>
          <w:sz w:val="24"/>
        </w:rPr>
        <w:t>of the</w:t>
      </w:r>
      <w:r>
        <w:rPr>
          <w:rFonts w:ascii="Arial"/>
          <w:color w:val="000000"/>
          <w:sz w:val="24"/>
        </w:rPr>
        <w:t xml:space="preserve"> </w:t>
      </w:r>
      <w:r>
        <w:rPr>
          <w:rFonts w:ascii="Arial"/>
          <w:color w:val="000000"/>
          <w:sz w:val="24"/>
        </w:rPr>
        <w:t xml:space="preserve">development consents are </w:t>
      </w:r>
      <w:r>
        <w:rPr>
          <w:rFonts w:ascii="Arial"/>
          <w:color w:val="000000"/>
          <w:sz w:val="24"/>
        </w:rPr>
        <w:t xml:space="preserve">imposed </w:t>
      </w:r>
      <w:r>
        <w:rPr>
          <w:rFonts w:ascii="Arial"/>
          <w:color w:val="000000"/>
          <w:sz w:val="24"/>
        </w:rPr>
        <w:t xml:space="preserve">under </w:t>
      </w:r>
      <w:r>
        <w:rPr>
          <w:rFonts w:ascii="Arial"/>
          <w:color w:val="000000"/>
          <w:sz w:val="24"/>
        </w:rPr>
        <w:t>s</w:t>
      </w:r>
      <w:r>
        <w:rPr>
          <w:rFonts w:ascii="Arial"/>
          <w:color w:val="000000"/>
          <w:sz w:val="24"/>
        </w:rPr>
        <w:t xml:space="preserve"> </w:t>
      </w:r>
      <w:r>
        <w:rPr>
          <w:rFonts w:ascii="Arial"/>
          <w:color w:val="000000"/>
          <w:sz w:val="24"/>
        </w:rPr>
        <w:t>4.17(2)</w:t>
      </w:r>
      <w:r>
        <w:rPr>
          <w:rFonts w:ascii="Arial"/>
          <w:color w:val="000000"/>
          <w:sz w:val="24"/>
        </w:rPr>
        <w:t xml:space="preserve"> </w:t>
      </w:r>
      <w:r>
        <w:rPr>
          <w:rFonts w:ascii="Arial"/>
          <w:color w:val="000000"/>
          <w:sz w:val="24"/>
        </w:rPr>
        <w:t>of the</w:t>
      </w:r>
      <w:r>
        <w:rPr>
          <w:rFonts w:ascii="Arial"/>
          <w:color w:val="000000"/>
          <w:sz w:val="24"/>
        </w:rPr>
        <w:t xml:space="preserve"> </w:t>
      </w:r>
      <w:r>
        <w:rPr>
          <w:rFonts w:ascii="Arial"/>
          <w:color w:val="000000"/>
          <w:sz w:val="24"/>
        </w:rPr>
        <w:t xml:space="preserve">EPA Act. The section provides: </w:t>
      </w:r>
    </w:p>
    <w:p>
      <w:pPr>
        <w:pStyle w:val="CaselawQuote"/>
        <w:spacing w:before="150" w:after="150"/>
        <w:ind w:left="1350"/>
        <w:jc w:val="left"/>
      </w:pPr>
      <w:r>
        <w:rPr>
          <w:rFonts w:ascii="Arial"/>
          <w:color w:val="000000"/>
          <w:sz w:val="22"/>
        </w:rPr>
        <w:t xml:space="preserve">(2) </w:t>
      </w:r>
      <w:r>
        <w:rPr>
          <w:rFonts w:ascii="Arial"/>
          <w:b/>
          <w:color w:val="000000"/>
          <w:sz w:val="22"/>
        </w:rPr>
        <w:t>Ancillary aspects of development</w:t>
      </w:r>
      <w:r>
        <w:rPr>
          <w:rFonts w:ascii="Arial"/>
          <w:color w:val="000000"/>
          <w:sz w:val="22"/>
        </w:rPr>
        <w:t xml:space="preserve"> A consent may be granted subject to a condition that a specified aspect of the development that is ancillary to the core purpose of the development is to be carried out to the satisfaction, determined in accordance with the regulations, of the consent authority or a person specified by the consent authority.</w:t>
      </w:r>
    </w:p>
    <w:p>
      <w:pPr>
        <w:pStyle w:val="CaselawNumbered10"/>
        <w:numPr>
          <w:ilvl w:val="0"/>
          <w:numId w:val="58"/>
        </w:numPr>
        <w:spacing w:before="150" w:after="0"/>
        <w:ind w:left="600" w:hanging="600"/>
      </w:pPr>
      <w:r>
        <w:rPr>
          <w:rFonts w:ascii="Arial"/>
          <w:color w:val="000000"/>
          <w:sz w:val="24"/>
        </w:rPr>
        <w:t xml:space="preserve">The </w:t>
      </w:r>
      <w:r>
        <w:rPr>
          <w:rFonts w:ascii="Arial"/>
          <w:color w:val="000000"/>
          <w:sz w:val="24"/>
        </w:rPr>
        <w:t xml:space="preserve">applicant </w:t>
      </w:r>
      <w:r>
        <w:rPr>
          <w:rFonts w:ascii="Arial"/>
          <w:color w:val="000000"/>
          <w:sz w:val="24"/>
        </w:rPr>
        <w:t xml:space="preserve">has a </w:t>
      </w:r>
      <w:r>
        <w:rPr>
          <w:rFonts w:ascii="Arial"/>
          <w:color w:val="000000"/>
          <w:sz w:val="24"/>
        </w:rPr>
        <w:t>separate right of appeal under s</w:t>
      </w:r>
      <w:r>
        <w:rPr>
          <w:rFonts w:ascii="Arial"/>
          <w:color w:val="000000"/>
          <w:sz w:val="24"/>
        </w:rPr>
        <w:t xml:space="preserve"> </w:t>
      </w:r>
      <w:r>
        <w:rPr>
          <w:rFonts w:ascii="Arial"/>
          <w:color w:val="000000"/>
          <w:sz w:val="24"/>
        </w:rPr>
        <w:t>8.7(2)(a) of the EPA Act</w:t>
      </w:r>
      <w:r>
        <w:rPr>
          <w:rFonts w:ascii="Arial"/>
          <w:color w:val="000000"/>
          <w:sz w:val="24"/>
        </w:rPr>
        <w:t xml:space="preserve">, </w:t>
      </w:r>
      <w:r>
        <w:rPr>
          <w:rFonts w:ascii="Arial"/>
          <w:color w:val="000000"/>
          <w:sz w:val="24"/>
        </w:rPr>
        <w:t>and s</w:t>
      </w:r>
      <w:r>
        <w:rPr>
          <w:rFonts w:ascii="Arial"/>
          <w:color w:val="000000"/>
          <w:sz w:val="24"/>
        </w:rPr>
        <w:t xml:space="preserve"> </w:t>
      </w:r>
      <w:r>
        <w:rPr>
          <w:rFonts w:ascii="Arial"/>
          <w:color w:val="000000"/>
          <w:sz w:val="24"/>
        </w:rPr>
        <w:t xml:space="preserve">4.17(3) </w:t>
      </w:r>
      <w:r>
        <w:rPr>
          <w:rFonts w:ascii="Arial"/>
          <w:color w:val="000000"/>
          <w:sz w:val="24"/>
        </w:rPr>
        <w:t>in respect of the Council</w:t>
      </w:r>
      <w:r>
        <w:rPr>
          <w:rFonts w:ascii="Arial"/>
          <w:color w:val="000000"/>
          <w:sz w:val="24"/>
        </w:rPr>
        <w:t>’</w:t>
      </w:r>
      <w:r>
        <w:rPr>
          <w:rFonts w:ascii="Arial"/>
          <w:color w:val="000000"/>
          <w:sz w:val="24"/>
        </w:rPr>
        <w:t>s actual and deemed dissatisfaction</w:t>
      </w:r>
      <w:r>
        <w:rPr>
          <w:rFonts w:ascii="Arial"/>
          <w:color w:val="000000"/>
          <w:sz w:val="24"/>
        </w:rPr>
        <w:t>.</w:t>
      </w:r>
      <w:r>
        <w:rPr>
          <w:rFonts w:ascii="Arial"/>
          <w:color w:val="000000"/>
          <w:sz w:val="24"/>
        </w:rPr>
        <w:t xml:space="preserve"> </w:t>
      </w:r>
      <w:r>
        <w:rPr>
          <w:rFonts w:ascii="Arial"/>
          <w:color w:val="000000"/>
          <w:sz w:val="24"/>
        </w:rPr>
        <w:t>S</w:t>
      </w:r>
      <w:r>
        <w:rPr>
          <w:rFonts w:ascii="Arial"/>
          <w:color w:val="000000"/>
          <w:sz w:val="24"/>
        </w:rPr>
        <w:t xml:space="preserve">ection </w:t>
      </w:r>
      <w:r>
        <w:rPr>
          <w:rFonts w:ascii="Arial"/>
          <w:color w:val="000000"/>
          <w:sz w:val="24"/>
        </w:rPr>
        <w:t>8.7(2)(a)</w:t>
      </w:r>
      <w:r>
        <w:rPr>
          <w:rFonts w:ascii="Arial"/>
          <w:color w:val="000000"/>
          <w:sz w:val="24"/>
        </w:rPr>
        <w:t xml:space="preserve"> </w:t>
      </w:r>
      <w:r>
        <w:rPr>
          <w:rFonts w:ascii="Arial"/>
          <w:color w:val="000000"/>
          <w:sz w:val="24"/>
        </w:rPr>
        <w:t>and 4.17(3)</w:t>
      </w:r>
      <w:r>
        <w:rPr>
          <w:rFonts w:ascii="Arial"/>
          <w:color w:val="000000"/>
          <w:sz w:val="24"/>
        </w:rPr>
        <w:t xml:space="preserve"> </w:t>
      </w:r>
      <w:r>
        <w:rPr>
          <w:rFonts w:ascii="Arial"/>
          <w:color w:val="000000"/>
          <w:sz w:val="24"/>
        </w:rPr>
        <w:t xml:space="preserve">provide: </w:t>
      </w:r>
    </w:p>
    <w:p>
      <w:pPr>
        <w:pStyle w:val="CaselawQuote"/>
        <w:spacing w:before="150" w:after="150"/>
        <w:ind w:left="1350"/>
        <w:jc w:val="left"/>
      </w:pPr>
      <w:r>
        <w:rPr>
          <w:rFonts w:ascii="Arial"/>
          <w:b/>
          <w:color w:val="000000"/>
          <w:sz w:val="22"/>
        </w:rPr>
        <w:t>8.7 Appeal by applicant—applications for development consent</w:t>
      </w:r>
      <w:r>
        <w:rPr>
          <w:rFonts w:ascii="Arial"/>
          <w:color w:val="000000"/>
          <w:sz w:val="22"/>
        </w:rPr>
        <w:t xml:space="preserve"> </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(2) For the purposes of this section, the determination of an application by a consent authority includes—</w:t>
      </w:r>
    </w:p>
    <w:p>
      <w:pPr>
        <w:pStyle w:val="CaselawQuote0"/>
        <w:spacing w:before="150" w:after="150"/>
        <w:ind w:left="2100"/>
        <w:jc w:val="left"/>
      </w:pPr>
      <w:r>
        <w:rPr>
          <w:rFonts w:ascii="Arial"/>
          <w:color w:val="000000"/>
          <w:sz w:val="22"/>
        </w:rPr>
        <w:t>(a) any decision subsequently made by the consent authority or other person about an aspect of the development that under the conditions of development consent was required to be carried out to the satisfaction of the consent authority or other person, or</w:t>
      </w:r>
    </w:p>
    <w:p>
      <w:pPr>
        <w:pStyle w:val="CaselawQuote"/>
        <w:spacing w:before="150" w:after="150"/>
        <w:ind w:left="1350"/>
        <w:jc w:val="left"/>
      </w:pPr>
      <w:r>
        <w:rPr>
          <w:rFonts w:ascii="Arial"/>
          <w:b/>
          <w:color w:val="000000"/>
          <w:sz w:val="22"/>
        </w:rPr>
        <w:t>4.17 Imposition of conditions</w:t>
      </w:r>
      <w:r>
        <w:rPr>
          <w:rFonts w:ascii="Arial"/>
          <w:b/>
          <w:color w:val="000000"/>
          <w:sz w:val="22"/>
        </w:rPr>
        <w:t xml:space="preserve"> </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(3) A consent authority that has not determined a request to indicate whether a specified aspect of development has been carried out to the satisfaction of the consent authority, or a person specified by the consent authority, within the relevant period, prescribed by the regulations, applicable to the aspect or the development is, for the purpose only of section 8.7, taken to have determined the request by indicating that it, or the person, is not satisfied as to the specified aspect.</w:t>
      </w:r>
    </w:p>
    <w:p>
      <w:pPr>
        <w:pStyle w:val="CaselawQuote"/>
        <w:spacing w:before="150" w:after="150"/>
        <w:ind w:left="1350"/>
        <w:jc w:val="left"/>
      </w:pPr>
      <w:r>
        <w:rPr>
          <w:rFonts w:ascii="Arial"/>
          <w:color w:val="000000"/>
          <w:sz w:val="22"/>
        </w:rPr>
        <w:t>…</w:t>
      </w:r>
    </w:p>
    <w:p>
      <w:pPr>
        <w:pStyle w:val="CaselawNumbered10"/>
        <w:numPr>
          <w:ilvl w:val="0"/>
          <w:numId w:val="59"/>
        </w:numPr>
        <w:spacing w:before="150" w:after="0"/>
        <w:ind w:left="600" w:hanging="600"/>
      </w:pPr>
      <w:r>
        <w:rPr>
          <w:rFonts w:ascii="Arial"/>
          <w:color w:val="000000"/>
          <w:sz w:val="24"/>
        </w:rPr>
        <w:t xml:space="preserve">In </w:t>
      </w:r>
      <w:r>
        <w:rPr>
          <w:rFonts w:ascii="Arial"/>
          <w:color w:val="000000"/>
          <w:sz w:val="24"/>
        </w:rPr>
        <w:t>the a</w:t>
      </w:r>
      <w:r>
        <w:rPr>
          <w:rFonts w:ascii="Arial"/>
          <w:color w:val="000000"/>
          <w:sz w:val="24"/>
        </w:rPr>
        <w:t>bsen</w:t>
      </w:r>
      <w:r>
        <w:rPr>
          <w:rFonts w:ascii="Arial"/>
          <w:color w:val="000000"/>
          <w:sz w:val="24"/>
        </w:rPr>
        <w:t>ce</w:t>
      </w:r>
      <w:r>
        <w:rPr>
          <w:rFonts w:ascii="Arial"/>
          <w:color w:val="000000"/>
          <w:sz w:val="24"/>
        </w:rPr>
        <w:t xml:space="preserve"> </w:t>
      </w:r>
      <w:r>
        <w:rPr>
          <w:rFonts w:ascii="Arial"/>
          <w:color w:val="000000"/>
          <w:sz w:val="24"/>
        </w:rPr>
        <w:t xml:space="preserve">of </w:t>
      </w:r>
      <w:r>
        <w:rPr>
          <w:rFonts w:ascii="Arial"/>
          <w:color w:val="000000"/>
          <w:sz w:val="24"/>
        </w:rPr>
        <w:t xml:space="preserve">such </w:t>
      </w:r>
      <w:r>
        <w:rPr>
          <w:rFonts w:ascii="Arial"/>
          <w:color w:val="000000"/>
          <w:sz w:val="24"/>
        </w:rPr>
        <w:t xml:space="preserve">a </w:t>
      </w:r>
      <w:r>
        <w:rPr>
          <w:rFonts w:ascii="Arial"/>
          <w:color w:val="000000"/>
          <w:sz w:val="24"/>
        </w:rPr>
        <w:t>challenge</w:t>
      </w:r>
      <w:r>
        <w:rPr>
          <w:rFonts w:ascii="Arial"/>
          <w:color w:val="000000"/>
          <w:sz w:val="24"/>
        </w:rPr>
        <w:t xml:space="preserve"> </w:t>
      </w:r>
      <w:r>
        <w:rPr>
          <w:rFonts w:ascii="Arial"/>
          <w:color w:val="000000"/>
          <w:sz w:val="24"/>
        </w:rPr>
        <w:t>in Class 1 proceedings</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Court has no power to step into the shoes of the Council under s</w:t>
      </w:r>
      <w:r>
        <w:rPr>
          <w:rFonts w:ascii="Arial"/>
          <w:color w:val="000000"/>
          <w:sz w:val="24"/>
        </w:rPr>
        <w:t xml:space="preserve"> </w:t>
      </w:r>
      <w:r>
        <w:rPr>
          <w:rFonts w:ascii="Arial"/>
          <w:color w:val="000000"/>
          <w:sz w:val="24"/>
        </w:rPr>
        <w:t xml:space="preserve">39(2) of the </w:t>
      </w:r>
      <w:r>
        <w:rPr>
          <w:rFonts w:ascii="Arial"/>
          <w:color w:val="000000"/>
          <w:sz w:val="24"/>
        </w:rPr>
        <w:t xml:space="preserve">Court </w:t>
      </w:r>
      <w:r>
        <w:rPr>
          <w:rFonts w:ascii="Arial"/>
          <w:color w:val="000000"/>
          <w:sz w:val="24"/>
        </w:rPr>
        <w:t>Act</w:t>
      </w:r>
      <w:r>
        <w:rPr>
          <w:rFonts w:ascii="Arial"/>
          <w:color w:val="000000"/>
          <w:sz w:val="24"/>
        </w:rPr>
        <w:t xml:space="preserve"> </w:t>
      </w:r>
      <w:r>
        <w:rPr>
          <w:rFonts w:ascii="Arial"/>
          <w:color w:val="000000"/>
          <w:sz w:val="24"/>
        </w:rPr>
        <w:t xml:space="preserve">to change the terms of the </w:t>
      </w:r>
      <w:r>
        <w:rPr>
          <w:rFonts w:ascii="Arial"/>
          <w:color w:val="000000"/>
          <w:sz w:val="24"/>
        </w:rPr>
        <w:t xml:space="preserve">imposed </w:t>
      </w:r>
      <w:r>
        <w:rPr>
          <w:rFonts w:ascii="Arial"/>
          <w:color w:val="000000"/>
          <w:sz w:val="24"/>
        </w:rPr>
        <w:t xml:space="preserve">conditions of </w:t>
      </w:r>
      <w:r>
        <w:rPr>
          <w:rFonts w:ascii="Arial"/>
          <w:color w:val="000000"/>
          <w:sz w:val="24"/>
        </w:rPr>
        <w:t xml:space="preserve">development </w:t>
      </w:r>
      <w:r>
        <w:rPr>
          <w:rFonts w:ascii="Arial"/>
          <w:color w:val="000000"/>
          <w:sz w:val="24"/>
        </w:rPr>
        <w:t xml:space="preserve">consent. </w:t>
      </w:r>
    </w:p>
    <w:p>
      <w:pPr>
        <w:pStyle w:val="CaselawHeading3"/>
        <w:keepNext/>
        <w:spacing w:before="150" w:after="150" w:line="264"/>
        <w:ind w:left="0"/>
        <w:jc w:val="left"/>
      </w:pPr>
      <w:r>
        <w:rPr>
          <w:rFonts w:ascii="Arial"/>
        </w:rPr>
        <w:t>Co</w:t>
      </w:r>
      <w:r>
        <w:rPr>
          <w:rFonts w:ascii="Arial"/>
        </w:rPr>
        <w:t xml:space="preserve">nsideration and </w:t>
      </w:r>
      <w:r>
        <w:rPr>
          <w:rFonts w:ascii="Arial"/>
        </w:rPr>
        <w:t>findings</w:t>
      </w:r>
      <w:r>
        <w:rPr>
          <w:rFonts w:ascii="Arial"/>
        </w:rPr>
        <w:t xml:space="preserve"> – jurisdiction under s 39(2) of the Court </w:t>
      </w:r>
      <w:r>
        <w:rPr>
          <w:rFonts w:ascii="Arial"/>
        </w:rPr>
        <w:t>Act</w:t>
      </w:r>
    </w:p>
    <w:p>
      <w:pPr>
        <w:pStyle w:val="CaselawNumbered10"/>
        <w:numPr>
          <w:ilvl w:val="0"/>
          <w:numId w:val="60"/>
        </w:numPr>
        <w:spacing w:before="150" w:after="0"/>
        <w:ind w:left="600" w:hanging="600"/>
      </w:pPr>
      <w:r>
        <w:rPr>
          <w:rFonts w:ascii="Arial"/>
          <w:color w:val="000000"/>
          <w:sz w:val="24"/>
        </w:rPr>
        <w:t>E</w:t>
      </w:r>
      <w:r>
        <w:rPr>
          <w:rFonts w:ascii="Arial"/>
          <w:color w:val="000000"/>
          <w:sz w:val="24"/>
        </w:rPr>
        <w:t xml:space="preserve">ach condition </w:t>
      </w:r>
      <w:r>
        <w:rPr>
          <w:rFonts w:ascii="Arial"/>
          <w:color w:val="000000"/>
          <w:sz w:val="24"/>
        </w:rPr>
        <w:t>commences</w:t>
      </w:r>
      <w:r>
        <w:rPr>
          <w:rFonts w:ascii="Arial"/>
          <w:color w:val="000000"/>
          <w:sz w:val="24"/>
        </w:rPr>
        <w:t xml:space="preserve"> </w:t>
      </w:r>
      <w:r>
        <w:rPr>
          <w:rFonts w:ascii="Arial"/>
          <w:color w:val="000000"/>
          <w:sz w:val="24"/>
        </w:rPr>
        <w:t xml:space="preserve">with the </w:t>
      </w:r>
      <w:r>
        <w:rPr>
          <w:rFonts w:ascii="Arial"/>
          <w:color w:val="000000"/>
          <w:sz w:val="24"/>
        </w:rPr>
        <w:t xml:space="preserve">proviso: </w:t>
      </w:r>
      <w:r>
        <w:rPr>
          <w:rFonts w:ascii="Arial"/>
          <w:color w:val="000000"/>
          <w:sz w:val="24"/>
        </w:rPr>
        <w:t>“</w:t>
      </w:r>
      <w:r>
        <w:rPr>
          <w:rFonts w:ascii="Arial"/>
          <w:i/>
          <w:color w:val="000000"/>
          <w:sz w:val="24"/>
        </w:rPr>
        <w:t>Prior to the issue of an approval under s68 of the Local Government Act, 1993 for the proposed drainage</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 xml:space="preserve">. This </w:t>
      </w:r>
      <w:r>
        <w:rPr>
          <w:rFonts w:ascii="Arial"/>
          <w:color w:val="000000"/>
          <w:sz w:val="24"/>
        </w:rPr>
        <w:t xml:space="preserve">prescribes a timeframe by which the s68 application must be </w:t>
      </w:r>
      <w:r>
        <w:rPr>
          <w:rFonts w:ascii="Arial"/>
          <w:color w:val="000000"/>
          <w:sz w:val="24"/>
        </w:rPr>
        <w:t>obtained, relevantly</w:t>
      </w:r>
      <w:r>
        <w:rPr>
          <w:rFonts w:ascii="Arial"/>
          <w:color w:val="000000"/>
          <w:sz w:val="24"/>
        </w:rPr>
        <w:t xml:space="preserve"> </w:t>
      </w:r>
      <w:r>
        <w:rPr>
          <w:rFonts w:ascii="Arial"/>
          <w:color w:val="000000"/>
          <w:sz w:val="24"/>
        </w:rPr>
        <w:t xml:space="preserve">after the submission of specified material </w:t>
      </w:r>
      <w:r>
        <w:rPr>
          <w:rFonts w:ascii="Arial"/>
          <w:b/>
          <w:color w:val="000000"/>
          <w:sz w:val="24"/>
        </w:rPr>
        <w:t>to the satisfaction of the Council</w:t>
      </w:r>
      <w:r>
        <w:rPr>
          <w:rFonts w:ascii="Arial"/>
          <w:b/>
          <w:color w:val="000000"/>
          <w:sz w:val="24"/>
        </w:rPr>
        <w:t>.</w:t>
      </w:r>
    </w:p>
    <w:p>
      <w:pPr>
        <w:pStyle w:val="CaselawNumbered10"/>
        <w:numPr>
          <w:ilvl w:val="0"/>
          <w:numId w:val="60"/>
        </w:numPr>
        <w:spacing w:before="150" w:after="0"/>
        <w:ind w:left="600" w:hanging="600"/>
      </w:pPr>
      <w:r>
        <w:rPr>
          <w:rFonts w:ascii="Arial"/>
          <w:color w:val="000000"/>
          <w:sz w:val="24"/>
        </w:rPr>
        <w:t>I</w:t>
      </w:r>
      <w:r>
        <w:rPr>
          <w:rFonts w:ascii="Arial"/>
          <w:color w:val="000000"/>
          <w:sz w:val="24"/>
        </w:rPr>
        <w:t>rrespective of the timing under the development consent</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requirement for a </w:t>
      </w:r>
      <w:r>
        <w:rPr>
          <w:rFonts w:ascii="Arial"/>
          <w:color w:val="000000"/>
          <w:sz w:val="24"/>
        </w:rPr>
        <w:t xml:space="preserve">s68 application </w:t>
      </w:r>
      <w:r>
        <w:rPr>
          <w:rFonts w:ascii="Arial"/>
          <w:color w:val="000000"/>
          <w:sz w:val="24"/>
        </w:rPr>
        <w:t xml:space="preserve">is a </w:t>
      </w:r>
      <w:r>
        <w:rPr>
          <w:rFonts w:ascii="Arial"/>
          <w:color w:val="000000"/>
          <w:sz w:val="24"/>
        </w:rPr>
        <w:t>requirement of the LG</w:t>
      </w:r>
      <w:r>
        <w:rPr>
          <w:rFonts w:ascii="Arial"/>
          <w:color w:val="000000"/>
          <w:sz w:val="24"/>
        </w:rPr>
        <w:t xml:space="preserve"> </w:t>
      </w:r>
      <w:r>
        <w:rPr>
          <w:rFonts w:ascii="Arial"/>
          <w:color w:val="000000"/>
          <w:sz w:val="24"/>
        </w:rPr>
        <w:t>A</w:t>
      </w:r>
      <w:r>
        <w:rPr>
          <w:rFonts w:ascii="Arial"/>
          <w:color w:val="000000"/>
          <w:sz w:val="24"/>
        </w:rPr>
        <w:t>ct</w:t>
      </w:r>
      <w:r>
        <w:rPr>
          <w:rFonts w:ascii="Arial"/>
          <w:color w:val="000000"/>
          <w:sz w:val="24"/>
        </w:rPr>
        <w:t>,</w:t>
      </w:r>
      <w:r>
        <w:rPr>
          <w:rFonts w:ascii="Arial"/>
          <w:color w:val="000000"/>
          <w:sz w:val="24"/>
        </w:rPr>
        <w:t xml:space="preserve"> </w:t>
      </w:r>
      <w:r>
        <w:rPr>
          <w:rFonts w:ascii="Arial"/>
          <w:color w:val="000000"/>
          <w:sz w:val="24"/>
        </w:rPr>
        <w:t>not the EPA Act</w:t>
      </w:r>
      <w:r>
        <w:rPr>
          <w:rFonts w:ascii="Arial"/>
          <w:color w:val="000000"/>
          <w:sz w:val="24"/>
        </w:rPr>
        <w:t xml:space="preserve">. As the reasoning of the Court made plain in </w:t>
      </w:r>
      <w:r>
        <w:rPr>
          <w:rFonts w:ascii="Arial"/>
          <w:i/>
          <w:color w:val="000000"/>
          <w:sz w:val="24"/>
        </w:rPr>
        <w:t>Australian Leisure and Hospitality Group Pty Ltd v Manly Council (No 4)</w:t>
      </w:r>
      <w:r>
        <w:rPr>
          <w:rFonts w:ascii="Arial"/>
          <w:color w:val="000000"/>
          <w:sz w:val="24"/>
        </w:rPr>
        <w:t xml:space="preserve"> </w:t>
      </w:r>
      <w:r>
        <w:rPr>
          <w:rFonts w:ascii="Arial"/>
          <w:color w:val="000000"/>
          <w:sz w:val="24"/>
        </w:rPr>
        <w:t>(2009) 172 LGERA 1; [2009] NSWLEC 226</w:t>
      </w:r>
      <w:r>
        <w:rPr>
          <w:rFonts w:ascii="Arial"/>
          <w:color w:val="000000"/>
          <w:sz w:val="24"/>
        </w:rPr>
        <w:t xml:space="preserve"> </w:t>
      </w:r>
      <w:r>
        <w:rPr>
          <w:rFonts w:ascii="Arial"/>
          <w:color w:val="000000"/>
          <w:sz w:val="24"/>
        </w:rPr>
        <w:t>(</w:t>
      </w:r>
      <w:r>
        <w:rPr>
          <w:rFonts w:ascii="Arial"/>
          <w:b/>
          <w:i/>
          <w:color w:val="000000"/>
          <w:sz w:val="24"/>
        </w:rPr>
        <w:t>Australian Leisure</w:t>
      </w:r>
      <w:r>
        <w:rPr>
          <w:rFonts w:ascii="Arial"/>
          <w:color w:val="000000"/>
          <w:sz w:val="24"/>
        </w:rPr>
        <w:t xml:space="preserve">) </w:t>
      </w:r>
      <w:r>
        <w:rPr>
          <w:rFonts w:ascii="Arial"/>
          <w:color w:val="000000"/>
          <w:sz w:val="24"/>
        </w:rPr>
        <w:t>a development consent</w:t>
      </w:r>
      <w:r>
        <w:rPr>
          <w:rFonts w:ascii="Arial"/>
          <w:color w:val="000000"/>
          <w:sz w:val="24"/>
        </w:rPr>
        <w:t>’</w:t>
      </w:r>
      <w:r>
        <w:rPr>
          <w:rFonts w:ascii="Arial"/>
          <w:color w:val="000000"/>
          <w:sz w:val="24"/>
        </w:rPr>
        <w:t>s requirement for a s68 approval is not a requirement of the condition of the development consent. It is a requirement of the LG</w:t>
      </w:r>
      <w:r>
        <w:rPr>
          <w:rFonts w:ascii="Arial"/>
          <w:color w:val="000000"/>
          <w:sz w:val="24"/>
        </w:rPr>
        <w:t xml:space="preserve"> </w:t>
      </w:r>
      <w:r>
        <w:rPr>
          <w:rFonts w:ascii="Arial"/>
          <w:color w:val="000000"/>
          <w:sz w:val="24"/>
        </w:rPr>
        <w:t>A</w:t>
      </w:r>
      <w:r>
        <w:rPr>
          <w:rFonts w:ascii="Arial"/>
          <w:color w:val="000000"/>
          <w:sz w:val="24"/>
        </w:rPr>
        <w:t>ct</w:t>
      </w:r>
      <w:r>
        <w:rPr>
          <w:rFonts w:ascii="Arial"/>
          <w:color w:val="000000"/>
          <w:sz w:val="24"/>
        </w:rPr>
        <w:t xml:space="preserve">. It is a stand-alone power under one statute not dependent on, and having no relationship to, conditions of a development </w:t>
      </w:r>
      <w:r>
        <w:rPr>
          <w:rFonts w:ascii="Arial"/>
          <w:color w:val="000000"/>
          <w:sz w:val="24"/>
        </w:rPr>
        <w:t>consent granted under a difference statute</w:t>
      </w:r>
      <w:r>
        <w:rPr>
          <w:rFonts w:ascii="Arial"/>
          <w:color w:val="000000"/>
          <w:sz w:val="24"/>
        </w:rPr>
        <w:t>:</w:t>
      </w:r>
      <w:r>
        <w:rPr>
          <w:rFonts w:ascii="Arial"/>
          <w:color w:val="000000"/>
          <w:sz w:val="24"/>
        </w:rPr>
        <w:t xml:space="preserve"> </w:t>
      </w:r>
      <w:r>
        <w:rPr>
          <w:rFonts w:ascii="Arial"/>
          <w:i/>
          <w:color w:val="000000"/>
          <w:sz w:val="24"/>
        </w:rPr>
        <w:t>Australian Leisure</w:t>
      </w:r>
      <w:r>
        <w:rPr>
          <w:rFonts w:ascii="Arial"/>
          <w:color w:val="000000"/>
          <w:sz w:val="24"/>
        </w:rPr>
        <w:t xml:space="preserve"> </w:t>
      </w:r>
      <w:r>
        <w:rPr>
          <w:rFonts w:ascii="Arial"/>
          <w:color w:val="000000"/>
          <w:sz w:val="24"/>
        </w:rPr>
        <w:t xml:space="preserve">at </w:t>
      </w:r>
      <w:r>
        <w:rPr>
          <w:rFonts w:ascii="Arial"/>
          <w:color w:val="000000"/>
          <w:sz w:val="24"/>
        </w:rPr>
        <w:t>[82]-[83]</w:t>
      </w:r>
      <w:r>
        <w:rPr>
          <w:rFonts w:ascii="Arial"/>
          <w:color w:val="000000"/>
          <w:sz w:val="24"/>
        </w:rPr>
        <w:t xml:space="preserve"> </w:t>
      </w:r>
      <w:r>
        <w:rPr>
          <w:rFonts w:ascii="Arial"/>
          <w:color w:val="000000"/>
          <w:sz w:val="24"/>
        </w:rPr>
        <w:t>per</w:t>
      </w:r>
      <w:r>
        <w:rPr>
          <w:rFonts w:ascii="Arial"/>
          <w:color w:val="000000"/>
          <w:sz w:val="24"/>
        </w:rPr>
        <w:t xml:space="preserve"> </w:t>
      </w:r>
      <w:r>
        <w:rPr>
          <w:rFonts w:ascii="Arial"/>
          <w:color w:val="000000"/>
          <w:sz w:val="24"/>
        </w:rPr>
        <w:t xml:space="preserve">Preston CJ. </w:t>
      </w:r>
    </w:p>
    <w:p>
      <w:pPr>
        <w:pStyle w:val="CaselawNumbered10"/>
        <w:numPr>
          <w:ilvl w:val="0"/>
          <w:numId w:val="60"/>
        </w:numPr>
        <w:spacing w:before="150" w:after="0"/>
        <w:ind w:left="600" w:hanging="600"/>
      </w:pPr>
      <w:r>
        <w:rPr>
          <w:rFonts w:ascii="Arial"/>
          <w:color w:val="000000"/>
          <w:sz w:val="24"/>
        </w:rPr>
        <w:t>The same proposition can be properly and correctly made in the current situation where approval is required under s</w:t>
      </w:r>
      <w:r>
        <w:rPr>
          <w:rFonts w:ascii="Arial"/>
          <w:color w:val="000000"/>
          <w:sz w:val="24"/>
        </w:rPr>
        <w:t xml:space="preserve"> </w:t>
      </w:r>
      <w:r>
        <w:rPr>
          <w:rFonts w:ascii="Arial"/>
          <w:color w:val="000000"/>
          <w:sz w:val="24"/>
        </w:rPr>
        <w:t>68 of the LG</w:t>
      </w:r>
      <w:r>
        <w:rPr>
          <w:rFonts w:ascii="Arial"/>
          <w:color w:val="000000"/>
          <w:sz w:val="24"/>
        </w:rPr>
        <w:t xml:space="preserve"> </w:t>
      </w:r>
      <w:r>
        <w:rPr>
          <w:rFonts w:ascii="Arial"/>
          <w:color w:val="000000"/>
          <w:sz w:val="24"/>
        </w:rPr>
        <w:t>A</w:t>
      </w:r>
      <w:r>
        <w:rPr>
          <w:rFonts w:ascii="Arial"/>
          <w:color w:val="000000"/>
          <w:sz w:val="24"/>
        </w:rPr>
        <w:t>ct</w:t>
      </w:r>
      <w:r>
        <w:rPr>
          <w:rFonts w:ascii="Arial"/>
          <w:color w:val="000000"/>
          <w:sz w:val="24"/>
        </w:rPr>
        <w:t xml:space="preserve"> </w:t>
      </w:r>
      <w:r>
        <w:rPr>
          <w:rFonts w:ascii="Arial"/>
          <w:color w:val="000000"/>
          <w:sz w:val="24"/>
        </w:rPr>
        <w:t>and s</w:t>
      </w:r>
      <w:r>
        <w:rPr>
          <w:rFonts w:ascii="Arial"/>
          <w:color w:val="000000"/>
          <w:sz w:val="24"/>
        </w:rPr>
        <w:t xml:space="preserve"> </w:t>
      </w:r>
      <w:r>
        <w:rPr>
          <w:rFonts w:ascii="Arial"/>
          <w:color w:val="000000"/>
          <w:sz w:val="24"/>
        </w:rPr>
        <w:t xml:space="preserve">138 of the Road </w:t>
      </w:r>
      <w:r>
        <w:rPr>
          <w:rFonts w:ascii="Arial"/>
          <w:color w:val="000000"/>
          <w:sz w:val="24"/>
        </w:rPr>
        <w:t>Act.</w:t>
      </w:r>
    </w:p>
    <w:p>
      <w:pPr>
        <w:pStyle w:val="CaselawNumbered10"/>
        <w:numPr>
          <w:ilvl w:val="0"/>
          <w:numId w:val="60"/>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s foundation for the Court</w:t>
      </w:r>
      <w:r>
        <w:rPr>
          <w:rFonts w:ascii="Arial"/>
          <w:color w:val="000000"/>
          <w:sz w:val="24"/>
        </w:rPr>
        <w:t>’</w:t>
      </w:r>
      <w:r>
        <w:rPr>
          <w:rFonts w:ascii="Arial"/>
          <w:color w:val="000000"/>
          <w:sz w:val="24"/>
        </w:rPr>
        <w:t xml:space="preserve">s jurisdiction is as contained in the </w:t>
      </w:r>
      <w:r>
        <w:rPr>
          <w:rFonts w:ascii="Arial"/>
          <w:color w:val="000000"/>
          <w:sz w:val="24"/>
        </w:rPr>
        <w:t>Court Act</w:t>
      </w:r>
      <w:r>
        <w:rPr>
          <w:rFonts w:ascii="Arial"/>
          <w:color w:val="000000"/>
          <w:sz w:val="24"/>
        </w:rPr>
        <w:t xml:space="preserve">. </w:t>
      </w:r>
      <w:r>
        <w:rPr>
          <w:rFonts w:ascii="Arial"/>
          <w:color w:val="000000"/>
          <w:sz w:val="24"/>
        </w:rPr>
        <w:t xml:space="preserve">It submits and I accept that </w:t>
      </w:r>
      <w:r>
        <w:rPr>
          <w:rFonts w:ascii="Arial"/>
          <w:color w:val="000000"/>
          <w:sz w:val="24"/>
        </w:rPr>
        <w:t>a reference to an appeal in s</w:t>
      </w:r>
      <w:r>
        <w:rPr>
          <w:rFonts w:ascii="Arial"/>
          <w:color w:val="000000"/>
          <w:sz w:val="24"/>
        </w:rPr>
        <w:t xml:space="preserve"> </w:t>
      </w:r>
      <w:r>
        <w:rPr>
          <w:rFonts w:ascii="Arial"/>
          <w:color w:val="000000"/>
          <w:sz w:val="24"/>
        </w:rPr>
        <w:t>39(</w:t>
      </w:r>
      <w:r>
        <w:rPr>
          <w:rFonts w:ascii="Arial"/>
          <w:color w:val="000000"/>
          <w:sz w:val="24"/>
        </w:rPr>
        <w:t>2</w:t>
      </w:r>
      <w:r>
        <w:rPr>
          <w:rFonts w:ascii="Arial"/>
          <w:color w:val="000000"/>
          <w:sz w:val="24"/>
        </w:rPr>
        <w:t>) is a reference to an appeal which may be disposed of in proceedings in the Court</w:t>
      </w:r>
      <w:r>
        <w:rPr>
          <w:rFonts w:ascii="Arial"/>
          <w:color w:val="000000"/>
          <w:sz w:val="24"/>
        </w:rPr>
        <w:t>’</w:t>
      </w:r>
      <w:r>
        <w:rPr>
          <w:rFonts w:ascii="Arial"/>
          <w:color w:val="000000"/>
          <w:sz w:val="24"/>
        </w:rPr>
        <w:t xml:space="preserve">s Class 2 jurisdiction. </w:t>
      </w:r>
      <w:r>
        <w:rPr>
          <w:rFonts w:ascii="Arial"/>
          <w:color w:val="000000"/>
          <w:sz w:val="24"/>
        </w:rPr>
        <w:t xml:space="preserve">Furthermore, that </w:t>
      </w:r>
      <w:r>
        <w:rPr>
          <w:rFonts w:ascii="Arial"/>
          <w:color w:val="000000"/>
          <w:sz w:val="24"/>
        </w:rPr>
        <w:t>s</w:t>
      </w:r>
      <w:r>
        <w:rPr>
          <w:rFonts w:ascii="Arial"/>
          <w:color w:val="000000"/>
          <w:sz w:val="24"/>
        </w:rPr>
        <w:t xml:space="preserve"> </w:t>
      </w:r>
      <w:r>
        <w:rPr>
          <w:rFonts w:ascii="Arial"/>
          <w:color w:val="000000"/>
          <w:sz w:val="24"/>
        </w:rPr>
        <w:t>17 of the Court Act includes an appeal if the appeal relates to an application made to a Council within the meaning of the LG</w:t>
      </w:r>
      <w:r>
        <w:rPr>
          <w:rFonts w:ascii="Arial"/>
          <w:color w:val="000000"/>
          <w:sz w:val="24"/>
        </w:rPr>
        <w:t xml:space="preserve"> </w:t>
      </w:r>
      <w:r>
        <w:rPr>
          <w:rFonts w:ascii="Arial"/>
          <w:color w:val="000000"/>
          <w:sz w:val="24"/>
        </w:rPr>
        <w:t>A</w:t>
      </w:r>
      <w:r>
        <w:rPr>
          <w:rFonts w:ascii="Arial"/>
          <w:color w:val="000000"/>
          <w:sz w:val="24"/>
        </w:rPr>
        <w:t>ct</w:t>
      </w:r>
      <w:r>
        <w:rPr>
          <w:rFonts w:ascii="Arial"/>
          <w:color w:val="000000"/>
          <w:sz w:val="24"/>
        </w:rPr>
        <w:t>. The applicant</w:t>
      </w:r>
      <w:r>
        <w:rPr>
          <w:rFonts w:ascii="Arial"/>
          <w:color w:val="000000"/>
          <w:sz w:val="24"/>
        </w:rPr>
        <w:t>’</w:t>
      </w:r>
      <w:r>
        <w:rPr>
          <w:rFonts w:ascii="Arial"/>
          <w:color w:val="000000"/>
          <w:sz w:val="24"/>
        </w:rPr>
        <w:t>s appeals are such applications under s</w:t>
      </w:r>
      <w:r>
        <w:rPr>
          <w:rFonts w:ascii="Arial"/>
          <w:color w:val="000000"/>
          <w:sz w:val="24"/>
        </w:rPr>
        <w:t xml:space="preserve"> </w:t>
      </w:r>
      <w:r>
        <w:rPr>
          <w:rFonts w:ascii="Arial"/>
          <w:color w:val="000000"/>
          <w:sz w:val="24"/>
        </w:rPr>
        <w:t>68 of the LG</w:t>
      </w:r>
      <w:r>
        <w:rPr>
          <w:rFonts w:ascii="Arial"/>
          <w:color w:val="000000"/>
          <w:sz w:val="24"/>
        </w:rPr>
        <w:t xml:space="preserve"> </w:t>
      </w:r>
      <w:r>
        <w:rPr>
          <w:rFonts w:ascii="Arial"/>
          <w:color w:val="000000"/>
          <w:sz w:val="24"/>
        </w:rPr>
        <w:t>A</w:t>
      </w:r>
      <w:r>
        <w:rPr>
          <w:rFonts w:ascii="Arial"/>
          <w:color w:val="000000"/>
          <w:sz w:val="24"/>
        </w:rPr>
        <w:t>ct</w:t>
      </w:r>
      <w:r>
        <w:rPr>
          <w:rFonts w:ascii="Arial"/>
          <w:color w:val="000000"/>
          <w:sz w:val="24"/>
        </w:rPr>
        <w:t>.</w:t>
      </w:r>
    </w:p>
    <w:p>
      <w:pPr>
        <w:pStyle w:val="CaselawNumbered10"/>
        <w:numPr>
          <w:ilvl w:val="0"/>
          <w:numId w:val="60"/>
        </w:numPr>
        <w:spacing w:before="150" w:after="0"/>
        <w:ind w:left="600" w:hanging="600"/>
      </w:pPr>
      <w:r>
        <w:rPr>
          <w:rFonts w:ascii="Arial"/>
          <w:color w:val="000000"/>
          <w:sz w:val="24"/>
        </w:rPr>
        <w:t>I also accept f</w:t>
      </w:r>
      <w:r>
        <w:rPr>
          <w:rFonts w:ascii="Arial"/>
          <w:color w:val="000000"/>
          <w:sz w:val="24"/>
        </w:rPr>
        <w:t>or the purpose of engaging the jurisdiction available under s</w:t>
      </w:r>
      <w:r>
        <w:rPr>
          <w:rFonts w:ascii="Arial"/>
          <w:color w:val="000000"/>
          <w:sz w:val="24"/>
        </w:rPr>
        <w:t> </w:t>
      </w:r>
      <w:r>
        <w:rPr>
          <w:rFonts w:ascii="Arial"/>
          <w:color w:val="000000"/>
          <w:sz w:val="24"/>
        </w:rPr>
        <w:t xml:space="preserve">39(2) that the subject matter of </w:t>
      </w:r>
      <w:r>
        <w:rPr>
          <w:rFonts w:ascii="Arial"/>
          <w:color w:val="000000"/>
          <w:sz w:val="24"/>
        </w:rPr>
        <w:t xml:space="preserve">an </w:t>
      </w:r>
      <w:r>
        <w:rPr>
          <w:rFonts w:ascii="Arial"/>
          <w:color w:val="000000"/>
          <w:sz w:val="24"/>
        </w:rPr>
        <w:t xml:space="preserve">appeal </w:t>
      </w:r>
      <w:r>
        <w:rPr>
          <w:rFonts w:ascii="Arial"/>
          <w:color w:val="000000"/>
          <w:sz w:val="24"/>
        </w:rPr>
        <w:t xml:space="preserve">could </w:t>
      </w:r>
      <w:r>
        <w:rPr>
          <w:rFonts w:ascii="Arial"/>
          <w:color w:val="000000"/>
          <w:sz w:val="24"/>
        </w:rPr>
        <w:t>be the refusal or deemed refusal of the s68 application.</w:t>
      </w:r>
      <w:r>
        <w:rPr>
          <w:rFonts w:ascii="Arial"/>
          <w:color w:val="000000"/>
          <w:sz w:val="24"/>
        </w:rPr>
        <w:t xml:space="preserve"> </w:t>
      </w:r>
      <w:r>
        <w:rPr>
          <w:rFonts w:ascii="Arial"/>
          <w:color w:val="000000"/>
          <w:sz w:val="24"/>
        </w:rPr>
        <w:t>However, the Court exists pursuant to statute and its jurisdiction is</w:t>
      </w:r>
      <w:r>
        <w:rPr>
          <w:rFonts w:ascii="Arial"/>
          <w:color w:val="000000"/>
          <w:sz w:val="24"/>
        </w:rPr>
        <w:t xml:space="preserve"> </w:t>
      </w:r>
      <w:r>
        <w:rPr>
          <w:rFonts w:ascii="Arial"/>
          <w:color w:val="000000"/>
          <w:sz w:val="24"/>
        </w:rPr>
        <w:t>therefore</w:t>
      </w:r>
      <w:r>
        <w:rPr>
          <w:rFonts w:ascii="Arial"/>
          <w:color w:val="000000"/>
          <w:sz w:val="24"/>
        </w:rPr>
        <w:t xml:space="preserve"> </w:t>
      </w:r>
      <w:r>
        <w:rPr>
          <w:rFonts w:ascii="Arial"/>
          <w:color w:val="000000"/>
          <w:sz w:val="24"/>
        </w:rPr>
        <w:t>limited to that conferred by statute</w:t>
      </w:r>
      <w:r>
        <w:rPr>
          <w:rFonts w:ascii="Arial"/>
          <w:color w:val="000000"/>
          <w:sz w:val="24"/>
        </w:rPr>
        <w:t>,</w:t>
      </w:r>
      <w:r>
        <w:rPr>
          <w:rFonts w:ascii="Arial"/>
          <w:color w:val="000000"/>
          <w:sz w:val="24"/>
        </w:rPr>
        <w:t xml:space="preserve"> </w:t>
      </w:r>
      <w:r>
        <w:rPr>
          <w:rFonts w:ascii="Arial"/>
          <w:color w:val="000000"/>
          <w:sz w:val="24"/>
        </w:rPr>
        <w:t xml:space="preserve">relevantly the </w:t>
      </w:r>
      <w:r>
        <w:rPr>
          <w:rFonts w:ascii="Arial"/>
          <w:color w:val="000000"/>
          <w:sz w:val="24"/>
        </w:rPr>
        <w:t xml:space="preserve">Court </w:t>
      </w:r>
      <w:r>
        <w:rPr>
          <w:rFonts w:ascii="Arial"/>
          <w:color w:val="000000"/>
          <w:sz w:val="24"/>
        </w:rPr>
        <w:t xml:space="preserve">Act. </w:t>
      </w:r>
    </w:p>
    <w:p>
      <w:pPr>
        <w:pStyle w:val="CaselawNumbered10"/>
        <w:numPr>
          <w:ilvl w:val="0"/>
          <w:numId w:val="60"/>
        </w:numPr>
        <w:spacing w:before="150" w:after="0"/>
        <w:ind w:left="600" w:hanging="600"/>
      </w:pPr>
      <w:r>
        <w:rPr>
          <w:rFonts w:ascii="Arial"/>
          <w:color w:val="000000"/>
          <w:sz w:val="24"/>
        </w:rPr>
        <w:t>T</w:t>
      </w:r>
      <w:r>
        <w:rPr>
          <w:rFonts w:ascii="Arial"/>
          <w:color w:val="000000"/>
          <w:sz w:val="24"/>
        </w:rPr>
        <w:t>he</w:t>
      </w:r>
      <w:r>
        <w:rPr>
          <w:rFonts w:ascii="Arial"/>
          <w:color w:val="000000"/>
          <w:sz w:val="24"/>
        </w:rPr>
        <w:t xml:space="preserve"> </w:t>
      </w:r>
      <w:r>
        <w:rPr>
          <w:rFonts w:ascii="Arial"/>
          <w:color w:val="000000"/>
          <w:sz w:val="24"/>
        </w:rPr>
        <w:t>jurisdiction and powers of th</w:t>
      </w:r>
      <w:r>
        <w:rPr>
          <w:rFonts w:ascii="Arial"/>
          <w:color w:val="000000"/>
          <w:sz w:val="24"/>
        </w:rPr>
        <w:t>e</w:t>
      </w:r>
      <w:r>
        <w:rPr>
          <w:rFonts w:ascii="Arial"/>
          <w:color w:val="000000"/>
          <w:sz w:val="24"/>
        </w:rPr>
        <w:t xml:space="preserve"> </w:t>
      </w:r>
      <w:r>
        <w:rPr>
          <w:rFonts w:ascii="Arial"/>
          <w:color w:val="000000"/>
          <w:sz w:val="24"/>
        </w:rPr>
        <w:t xml:space="preserve">Court differ from Class to Class. </w:t>
      </w:r>
      <w:r>
        <w:rPr>
          <w:rFonts w:ascii="Arial"/>
          <w:color w:val="000000"/>
          <w:sz w:val="24"/>
        </w:rPr>
        <w:t>I</w:t>
      </w:r>
      <w:r>
        <w:rPr>
          <w:rFonts w:ascii="Arial"/>
          <w:color w:val="000000"/>
          <w:sz w:val="24"/>
        </w:rPr>
        <w:t xml:space="preserve">n </w:t>
      </w:r>
      <w:r>
        <w:rPr>
          <w:rFonts w:ascii="Arial"/>
          <w:color w:val="000000"/>
          <w:sz w:val="24"/>
        </w:rPr>
        <w:t xml:space="preserve">a </w:t>
      </w:r>
      <w:r>
        <w:rPr>
          <w:rFonts w:ascii="Arial"/>
          <w:color w:val="000000"/>
          <w:sz w:val="24"/>
        </w:rPr>
        <w:t>Class 1 appeal</w:t>
      </w:r>
      <w:r>
        <w:rPr>
          <w:rFonts w:ascii="Arial"/>
          <w:color w:val="000000"/>
          <w:sz w:val="24"/>
        </w:rPr>
        <w:t xml:space="preserve"> </w:t>
      </w:r>
      <w:r>
        <w:rPr>
          <w:rFonts w:ascii="Arial"/>
          <w:color w:val="000000"/>
          <w:sz w:val="24"/>
        </w:rPr>
        <w:t xml:space="preserve">the Court under s 39(2) may exercise the functions and discretions of the Council in its capacity as consent authority in relation to the application that founds the right of appeal and any other function in relation to the decision under appeal. </w:t>
      </w:r>
      <w:r>
        <w:rPr>
          <w:rFonts w:ascii="Arial"/>
          <w:color w:val="000000"/>
          <w:sz w:val="24"/>
        </w:rPr>
        <w:t xml:space="preserve"> </w:t>
      </w:r>
      <w:r>
        <w:rPr>
          <w:rFonts w:ascii="Arial"/>
          <w:color w:val="000000"/>
          <w:sz w:val="24"/>
        </w:rPr>
        <w:t xml:space="preserve">For example, </w:t>
      </w:r>
      <w:r>
        <w:rPr>
          <w:rFonts w:ascii="Arial"/>
          <w:color w:val="000000"/>
          <w:sz w:val="24"/>
        </w:rPr>
        <w:t>where the development underlying the appeal from the Council</w:t>
      </w:r>
      <w:r>
        <w:rPr>
          <w:rFonts w:ascii="Arial"/>
          <w:color w:val="000000"/>
          <w:sz w:val="24"/>
        </w:rPr>
        <w:t>’</w:t>
      </w:r>
      <w:r>
        <w:rPr>
          <w:rFonts w:ascii="Arial"/>
          <w:color w:val="000000"/>
          <w:sz w:val="24"/>
        </w:rPr>
        <w:t>s decision involves work on the public road the Court may exercise the functions of the Council under the Roads Act even where there is no right of appeal to the Court in respect to an application under s</w:t>
      </w:r>
      <w:r>
        <w:rPr>
          <w:rFonts w:ascii="Arial"/>
          <w:color w:val="000000"/>
          <w:sz w:val="24"/>
        </w:rPr>
        <w:t xml:space="preserve"> </w:t>
      </w:r>
      <w:r>
        <w:rPr>
          <w:rFonts w:ascii="Arial"/>
          <w:color w:val="000000"/>
          <w:sz w:val="24"/>
        </w:rPr>
        <w:t>138.</w:t>
      </w:r>
      <w:r>
        <w:rPr>
          <w:rFonts w:ascii="Arial"/>
          <w:color w:val="000000"/>
          <w:sz w:val="24"/>
        </w:rPr>
        <w:t xml:space="preserve"> </w:t>
      </w:r>
      <w:r>
        <w:rPr>
          <w:rFonts w:ascii="Arial"/>
          <w:color w:val="000000"/>
          <w:sz w:val="24"/>
        </w:rPr>
        <w:t xml:space="preserve">However, if the other functions were only exercisable in certain circumstances by a </w:t>
      </w:r>
      <w:r>
        <w:rPr>
          <w:rFonts w:ascii="Arial"/>
          <w:color w:val="000000"/>
          <w:sz w:val="24"/>
        </w:rPr>
        <w:t>c</w:t>
      </w:r>
      <w:r>
        <w:rPr>
          <w:rFonts w:ascii="Arial"/>
          <w:color w:val="000000"/>
          <w:sz w:val="24"/>
        </w:rPr>
        <w:t xml:space="preserve">ouncil, then the Court is similarly constrained. </w:t>
      </w:r>
    </w:p>
    <w:p>
      <w:pPr>
        <w:pStyle w:val="CaselawNumbered10"/>
        <w:numPr>
          <w:ilvl w:val="0"/>
          <w:numId w:val="60"/>
        </w:numPr>
        <w:spacing w:before="150" w:after="0"/>
        <w:ind w:left="600" w:hanging="600"/>
      </w:pPr>
      <w:r>
        <w:rPr>
          <w:rFonts w:ascii="Arial"/>
          <w:color w:val="000000"/>
          <w:sz w:val="24"/>
        </w:rPr>
        <w:t xml:space="preserve">The </w:t>
      </w:r>
      <w:r>
        <w:rPr>
          <w:rFonts w:ascii="Arial"/>
          <w:color w:val="000000"/>
          <w:sz w:val="24"/>
        </w:rPr>
        <w:t xml:space="preserve">s68 </w:t>
      </w:r>
      <w:r>
        <w:rPr>
          <w:rFonts w:ascii="Arial"/>
          <w:color w:val="000000"/>
          <w:sz w:val="24"/>
        </w:rPr>
        <w:t>application</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 xml:space="preserve">the subject of the </w:t>
      </w:r>
      <w:r>
        <w:rPr>
          <w:rFonts w:ascii="Arial"/>
          <w:color w:val="000000"/>
          <w:sz w:val="24"/>
        </w:rPr>
        <w:t>appeals</w:t>
      </w:r>
      <w:r>
        <w:rPr>
          <w:rFonts w:ascii="Arial"/>
          <w:color w:val="000000"/>
          <w:sz w:val="24"/>
        </w:rPr>
        <w:t xml:space="preserve"> </w:t>
      </w:r>
      <w:r>
        <w:rPr>
          <w:rFonts w:ascii="Arial"/>
          <w:color w:val="000000"/>
          <w:sz w:val="24"/>
        </w:rPr>
        <w:t xml:space="preserve">in these </w:t>
      </w:r>
      <w:r>
        <w:rPr>
          <w:rFonts w:ascii="Arial"/>
          <w:color w:val="000000"/>
          <w:sz w:val="24"/>
        </w:rPr>
        <w:t>proceedings</w:t>
      </w:r>
      <w:r>
        <w:rPr>
          <w:rFonts w:ascii="Arial"/>
          <w:color w:val="000000"/>
          <w:sz w:val="24"/>
        </w:rPr>
        <w:t>,</w:t>
      </w:r>
      <w:r>
        <w:rPr>
          <w:rFonts w:ascii="Arial"/>
          <w:color w:val="000000"/>
          <w:sz w:val="24"/>
        </w:rPr>
        <w:t xml:space="preserve"> </w:t>
      </w:r>
      <w:r>
        <w:rPr>
          <w:rFonts w:ascii="Arial"/>
          <w:color w:val="000000"/>
          <w:sz w:val="24"/>
        </w:rPr>
        <w:t>ha</w:t>
      </w:r>
      <w:r>
        <w:rPr>
          <w:rFonts w:ascii="Arial"/>
          <w:color w:val="000000"/>
          <w:sz w:val="24"/>
        </w:rPr>
        <w:t>ve</w:t>
      </w:r>
      <w:r>
        <w:rPr>
          <w:rFonts w:ascii="Arial"/>
          <w:color w:val="000000"/>
          <w:sz w:val="24"/>
        </w:rPr>
        <w:t xml:space="preserve"> </w:t>
      </w:r>
      <w:r>
        <w:rPr>
          <w:rFonts w:ascii="Arial"/>
          <w:color w:val="000000"/>
          <w:sz w:val="24"/>
        </w:rPr>
        <w:t xml:space="preserve">nothing to do with the state of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satisfaction in respect of the matters </w:t>
      </w:r>
      <w:r>
        <w:rPr>
          <w:rFonts w:ascii="Arial"/>
          <w:color w:val="000000"/>
          <w:sz w:val="24"/>
        </w:rPr>
        <w:t xml:space="preserve">raised by the </w:t>
      </w:r>
      <w:r>
        <w:rPr>
          <w:rFonts w:ascii="Arial"/>
          <w:color w:val="000000"/>
          <w:sz w:val="24"/>
        </w:rPr>
        <w:t>condition</w:t>
      </w:r>
      <w:r>
        <w:rPr>
          <w:rFonts w:ascii="Arial"/>
          <w:color w:val="000000"/>
          <w:sz w:val="24"/>
        </w:rPr>
        <w:t>s</w:t>
      </w:r>
      <w:r>
        <w:rPr>
          <w:rFonts w:ascii="Arial"/>
          <w:color w:val="000000"/>
          <w:sz w:val="24"/>
        </w:rPr>
        <w:t xml:space="preserve">. </w:t>
      </w:r>
      <w:r>
        <w:rPr>
          <w:rFonts w:ascii="Arial"/>
          <w:color w:val="000000"/>
          <w:sz w:val="24"/>
        </w:rPr>
        <w:t>T</w:t>
      </w:r>
      <w:r>
        <w:rPr>
          <w:rFonts w:ascii="Arial"/>
          <w:color w:val="000000"/>
          <w:sz w:val="24"/>
        </w:rPr>
        <w:t>he only relevance is that those mat</w:t>
      </w:r>
      <w:r>
        <w:rPr>
          <w:rFonts w:ascii="Arial"/>
          <w:color w:val="000000"/>
          <w:sz w:val="24"/>
        </w:rPr>
        <w:t>t</w:t>
      </w:r>
      <w:r>
        <w:rPr>
          <w:rFonts w:ascii="Arial"/>
          <w:color w:val="000000"/>
          <w:sz w:val="24"/>
        </w:rPr>
        <w:t xml:space="preserve">ers must be </w:t>
      </w:r>
      <w:r>
        <w:rPr>
          <w:rFonts w:ascii="Arial"/>
          <w:color w:val="000000"/>
          <w:sz w:val="24"/>
        </w:rPr>
        <w:t xml:space="preserve">satisfied prior to the grant of the s68 approvals which facilitates the orderly development of the land as those matters can then be accommodated as required by the s68 conditions of approval. </w:t>
      </w:r>
    </w:p>
    <w:p>
      <w:pPr>
        <w:pStyle w:val="CaselawNumbered10"/>
        <w:numPr>
          <w:ilvl w:val="0"/>
          <w:numId w:val="60"/>
        </w:numPr>
        <w:spacing w:before="150" w:after="0"/>
        <w:ind w:left="600" w:hanging="600"/>
      </w:pPr>
      <w:r>
        <w:rPr>
          <w:rFonts w:ascii="Arial"/>
          <w:color w:val="000000"/>
          <w:sz w:val="24"/>
        </w:rPr>
        <w:t>The applicant had opportunity to agitate the Council</w:t>
      </w:r>
      <w:r>
        <w:rPr>
          <w:rFonts w:ascii="Arial"/>
          <w:color w:val="000000"/>
          <w:sz w:val="24"/>
        </w:rPr>
        <w:t>’</w:t>
      </w:r>
      <w:r>
        <w:rPr>
          <w:rFonts w:ascii="Arial"/>
          <w:color w:val="000000"/>
          <w:sz w:val="24"/>
        </w:rPr>
        <w:t>s dissatisfaction with the matters raised by the conditions in the Court</w:t>
      </w:r>
      <w:r>
        <w:rPr>
          <w:rFonts w:ascii="Arial"/>
          <w:color w:val="000000"/>
          <w:sz w:val="24"/>
        </w:rPr>
        <w:t>’</w:t>
      </w:r>
      <w:r>
        <w:rPr>
          <w:rFonts w:ascii="Arial"/>
          <w:color w:val="000000"/>
          <w:sz w:val="24"/>
        </w:rPr>
        <w:t xml:space="preserve">s </w:t>
      </w:r>
      <w:r>
        <w:rPr>
          <w:rFonts w:ascii="Arial"/>
          <w:color w:val="000000"/>
          <w:sz w:val="24"/>
        </w:rPr>
        <w:t>C</w:t>
      </w:r>
      <w:r>
        <w:rPr>
          <w:rFonts w:ascii="Arial"/>
          <w:color w:val="000000"/>
          <w:sz w:val="24"/>
        </w:rPr>
        <w:t xml:space="preserve">lass 1 jurisdiction and </w:t>
      </w:r>
      <w:r>
        <w:rPr>
          <w:rFonts w:ascii="Arial"/>
          <w:color w:val="000000"/>
          <w:sz w:val="24"/>
        </w:rPr>
        <w:t xml:space="preserve">has </w:t>
      </w:r>
      <w:r>
        <w:rPr>
          <w:rFonts w:ascii="Arial"/>
          <w:color w:val="000000"/>
          <w:sz w:val="24"/>
        </w:rPr>
        <w:t xml:space="preserve">elected not to do so. </w:t>
      </w:r>
      <w:r>
        <w:rPr>
          <w:rFonts w:ascii="Arial"/>
          <w:color w:val="000000"/>
          <w:sz w:val="24"/>
        </w:rPr>
        <w:t>I accept the Council</w:t>
      </w:r>
      <w:r>
        <w:rPr>
          <w:rFonts w:ascii="Arial"/>
          <w:color w:val="000000"/>
          <w:sz w:val="24"/>
        </w:rPr>
        <w:t>’</w:t>
      </w:r>
      <w:r>
        <w:rPr>
          <w:rFonts w:ascii="Arial"/>
          <w:color w:val="000000"/>
          <w:sz w:val="24"/>
        </w:rPr>
        <w:t>s submission that t</w:t>
      </w:r>
      <w:r>
        <w:rPr>
          <w:rFonts w:ascii="Arial"/>
          <w:color w:val="000000"/>
          <w:sz w:val="24"/>
        </w:rPr>
        <w:t>he</w:t>
      </w:r>
      <w:r>
        <w:rPr>
          <w:rFonts w:ascii="Arial"/>
          <w:color w:val="000000"/>
          <w:sz w:val="24"/>
        </w:rPr>
        <w:t>se</w:t>
      </w:r>
      <w:r>
        <w:rPr>
          <w:rFonts w:ascii="Arial"/>
          <w:color w:val="000000"/>
          <w:sz w:val="24"/>
        </w:rPr>
        <w:t xml:space="preserve"> </w:t>
      </w:r>
      <w:r>
        <w:rPr>
          <w:rFonts w:ascii="Arial"/>
          <w:color w:val="000000"/>
          <w:sz w:val="24"/>
        </w:rPr>
        <w:t xml:space="preserve">Class 2 appeals </w:t>
      </w:r>
      <w:r>
        <w:rPr>
          <w:rFonts w:ascii="Arial"/>
          <w:color w:val="000000"/>
          <w:sz w:val="24"/>
        </w:rPr>
        <w:t xml:space="preserve">cannot </w:t>
      </w:r>
      <w:r>
        <w:rPr>
          <w:rFonts w:ascii="Arial"/>
          <w:color w:val="000000"/>
          <w:sz w:val="24"/>
        </w:rPr>
        <w:t xml:space="preserve">provide a backdoor to </w:t>
      </w:r>
      <w:r>
        <w:rPr>
          <w:rFonts w:ascii="Arial"/>
          <w:color w:val="000000"/>
          <w:sz w:val="24"/>
        </w:rPr>
        <w:t>the rewriting of the terms of the conditions</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the development consent </w:t>
      </w:r>
      <w:r>
        <w:rPr>
          <w:rFonts w:ascii="Arial"/>
          <w:color w:val="000000"/>
          <w:sz w:val="24"/>
        </w:rPr>
        <w:t xml:space="preserve">in circumstances where the Council is dissatisfied </w:t>
      </w:r>
      <w:r>
        <w:rPr>
          <w:rFonts w:ascii="Arial"/>
          <w:color w:val="000000"/>
          <w:sz w:val="24"/>
        </w:rPr>
        <w:t>with the matters identified in conditions 57,</w:t>
      </w:r>
      <w:r>
        <w:rPr>
          <w:rFonts w:ascii="Arial"/>
          <w:color w:val="000000"/>
          <w:sz w:val="24"/>
        </w:rPr>
        <w:t xml:space="preserve"> </w:t>
      </w:r>
      <w:r>
        <w:rPr>
          <w:rFonts w:ascii="Arial"/>
          <w:color w:val="000000"/>
          <w:sz w:val="24"/>
        </w:rPr>
        <w:t xml:space="preserve">58 and </w:t>
      </w:r>
      <w:r>
        <w:rPr>
          <w:rFonts w:ascii="Arial"/>
          <w:color w:val="000000"/>
          <w:sz w:val="24"/>
        </w:rPr>
        <w:t>60.</w:t>
      </w:r>
      <w:r>
        <w:rPr>
          <w:rFonts w:ascii="Arial"/>
          <w:color w:val="000000"/>
          <w:sz w:val="24"/>
        </w:rPr>
        <w:t xml:space="preserve"> </w:t>
      </w:r>
      <w:r>
        <w:rPr>
          <w:rFonts w:ascii="Arial"/>
          <w:color w:val="000000"/>
          <w:sz w:val="24"/>
        </w:rPr>
        <w:t>After careful consideration of the case law as submitted</w:t>
      </w:r>
      <w:r>
        <w:rPr>
          <w:rFonts w:ascii="Arial"/>
          <w:color w:val="000000"/>
          <w:sz w:val="24"/>
        </w:rPr>
        <w:t>,</w:t>
      </w:r>
      <w:r>
        <w:rPr>
          <w:rFonts w:ascii="Arial"/>
          <w:color w:val="000000"/>
          <w:sz w:val="24"/>
        </w:rPr>
        <w:t xml:space="preserve"> </w:t>
      </w:r>
      <w:r>
        <w:rPr>
          <w:rFonts w:ascii="Arial"/>
          <w:color w:val="000000"/>
          <w:sz w:val="24"/>
        </w:rPr>
        <w:t xml:space="preserve">I do not accept that the </w:t>
      </w:r>
      <w:r>
        <w:rPr>
          <w:rFonts w:ascii="Arial"/>
          <w:color w:val="000000"/>
          <w:sz w:val="24"/>
        </w:rPr>
        <w:t xml:space="preserve">Court </w:t>
      </w:r>
      <w:r>
        <w:rPr>
          <w:rFonts w:ascii="Arial"/>
          <w:color w:val="000000"/>
          <w:sz w:val="24"/>
        </w:rPr>
        <w:t>can utilise s</w:t>
      </w:r>
      <w:r>
        <w:rPr>
          <w:rFonts w:ascii="Arial"/>
          <w:color w:val="000000"/>
          <w:sz w:val="24"/>
        </w:rPr>
        <w:t xml:space="preserve"> </w:t>
      </w:r>
      <w:r>
        <w:rPr>
          <w:rFonts w:ascii="Arial"/>
          <w:color w:val="000000"/>
          <w:sz w:val="24"/>
        </w:rPr>
        <w:t>39</w:t>
      </w:r>
      <w:r>
        <w:rPr>
          <w:rFonts w:ascii="Arial"/>
          <w:color w:val="000000"/>
          <w:sz w:val="24"/>
        </w:rPr>
        <w:t>(</w:t>
      </w:r>
      <w:r>
        <w:rPr>
          <w:rFonts w:ascii="Arial"/>
          <w:color w:val="000000"/>
          <w:sz w:val="24"/>
        </w:rPr>
        <w:t xml:space="preserve">2) of the Court Act to </w:t>
      </w:r>
      <w:r>
        <w:rPr>
          <w:rFonts w:ascii="Arial"/>
          <w:color w:val="000000"/>
          <w:sz w:val="24"/>
        </w:rPr>
        <w:t>stand</w:t>
      </w:r>
      <w:r>
        <w:rPr>
          <w:rFonts w:ascii="Arial"/>
          <w:color w:val="000000"/>
          <w:sz w:val="24"/>
        </w:rPr>
        <w:t xml:space="preserve"> </w:t>
      </w:r>
      <w:r>
        <w:rPr>
          <w:rFonts w:ascii="Arial"/>
          <w:color w:val="000000"/>
          <w:sz w:val="24"/>
        </w:rPr>
        <w:t xml:space="preserve">in the shoes of the Council </w:t>
      </w:r>
      <w:r>
        <w:rPr>
          <w:rFonts w:ascii="Arial"/>
          <w:color w:val="000000"/>
          <w:sz w:val="24"/>
        </w:rPr>
        <w:t xml:space="preserve">to </w:t>
      </w:r>
      <w:r>
        <w:rPr>
          <w:rFonts w:ascii="Arial"/>
          <w:color w:val="000000"/>
          <w:sz w:val="24"/>
        </w:rPr>
        <w:t>substitut</w:t>
      </w:r>
      <w:r>
        <w:rPr>
          <w:rFonts w:ascii="Arial"/>
          <w:color w:val="000000"/>
          <w:sz w:val="24"/>
        </w:rPr>
        <w:t>e</w:t>
      </w:r>
      <w:r>
        <w:rPr>
          <w:rFonts w:ascii="Arial"/>
          <w:color w:val="000000"/>
          <w:sz w:val="24"/>
        </w:rPr>
        <w:t xml:space="preserve"> </w:t>
      </w:r>
      <w:r>
        <w:rPr>
          <w:rFonts w:ascii="Arial"/>
          <w:color w:val="000000"/>
          <w:sz w:val="24"/>
        </w:rPr>
        <w:t xml:space="preserve">its satisfaction </w:t>
      </w:r>
      <w:r>
        <w:rPr>
          <w:rFonts w:ascii="Arial"/>
          <w:color w:val="000000"/>
          <w:sz w:val="24"/>
        </w:rPr>
        <w:t xml:space="preserve">in respect to </w:t>
      </w:r>
      <w:r>
        <w:rPr>
          <w:rFonts w:ascii="Arial"/>
          <w:color w:val="000000"/>
          <w:sz w:val="24"/>
        </w:rPr>
        <w:t xml:space="preserve">the conditions </w:t>
      </w:r>
      <w:r>
        <w:rPr>
          <w:rFonts w:ascii="Arial"/>
          <w:color w:val="000000"/>
          <w:sz w:val="24"/>
        </w:rPr>
        <w:t>of the development consent</w:t>
      </w:r>
      <w:r>
        <w:rPr>
          <w:rFonts w:ascii="Arial"/>
          <w:color w:val="000000"/>
          <w:sz w:val="24"/>
        </w:rPr>
        <w:t>s</w:t>
      </w:r>
      <w:r>
        <w:rPr>
          <w:rFonts w:ascii="Arial"/>
          <w:color w:val="000000"/>
          <w:sz w:val="24"/>
        </w:rPr>
        <w:t xml:space="preserve"> </w:t>
      </w:r>
      <w:r>
        <w:rPr>
          <w:rFonts w:ascii="Arial"/>
          <w:color w:val="000000"/>
          <w:sz w:val="24"/>
        </w:rPr>
        <w:t xml:space="preserve">granted under the EPA Act </w:t>
      </w:r>
      <w:r>
        <w:rPr>
          <w:rFonts w:ascii="Arial"/>
          <w:color w:val="000000"/>
          <w:sz w:val="24"/>
        </w:rPr>
        <w:t xml:space="preserve">on the facts </w:t>
      </w:r>
      <w:r>
        <w:rPr>
          <w:rFonts w:ascii="Arial"/>
          <w:color w:val="000000"/>
          <w:sz w:val="24"/>
        </w:rPr>
        <w:t>in these s68 appeals under the LG Act</w:t>
      </w:r>
      <w:r>
        <w:rPr>
          <w:rFonts w:ascii="Arial"/>
          <w:color w:val="000000"/>
          <w:sz w:val="24"/>
        </w:rPr>
        <w:t xml:space="preserve">. </w:t>
      </w:r>
    </w:p>
    <w:p>
      <w:pPr>
        <w:pStyle w:val="CaselawNumbered10"/>
        <w:numPr>
          <w:ilvl w:val="0"/>
          <w:numId w:val="60"/>
        </w:numPr>
        <w:spacing w:before="150" w:after="0"/>
        <w:ind w:left="600" w:hanging="600"/>
      </w:pPr>
      <w:r>
        <w:rPr>
          <w:rFonts w:ascii="Arial"/>
          <w:color w:val="000000"/>
          <w:sz w:val="24"/>
        </w:rPr>
        <w:t>Each party relies on the reasoning</w:t>
      </w:r>
      <w:r>
        <w:rPr>
          <w:rFonts w:ascii="Arial"/>
          <w:color w:val="000000"/>
          <w:sz w:val="24"/>
        </w:rPr>
        <w:t xml:space="preserve"> </w:t>
      </w:r>
      <w:r>
        <w:rPr>
          <w:rFonts w:ascii="Arial"/>
          <w:color w:val="000000"/>
          <w:sz w:val="24"/>
        </w:rPr>
        <w:t xml:space="preserve">of </w:t>
      </w:r>
      <w:r>
        <w:rPr>
          <w:rFonts w:ascii="Arial"/>
          <w:color w:val="000000"/>
          <w:sz w:val="24"/>
        </w:rPr>
        <w:t>the Court</w:t>
      </w:r>
      <w:r>
        <w:rPr>
          <w:rFonts w:ascii="Arial"/>
          <w:color w:val="000000"/>
          <w:sz w:val="24"/>
        </w:rPr>
        <w:t xml:space="preserve"> </w:t>
      </w:r>
      <w:r>
        <w:rPr>
          <w:rFonts w:ascii="Arial"/>
          <w:color w:val="000000"/>
          <w:sz w:val="24"/>
        </w:rPr>
        <w:t xml:space="preserve">of Appeal </w:t>
      </w:r>
      <w:r>
        <w:rPr>
          <w:rFonts w:ascii="Arial"/>
          <w:color w:val="000000"/>
          <w:sz w:val="24"/>
        </w:rPr>
        <w:t>in</w:t>
      </w:r>
      <w:r>
        <w:rPr>
          <w:rFonts w:ascii="Arial"/>
          <w:i/>
          <w:color w:val="000000"/>
          <w:sz w:val="24"/>
        </w:rPr>
        <w:t xml:space="preserve"> </w:t>
      </w:r>
      <w:r>
        <w:rPr>
          <w:rFonts w:ascii="Arial"/>
          <w:i/>
          <w:color w:val="000000"/>
          <w:sz w:val="24"/>
        </w:rPr>
        <w:t>Cod</w:t>
      </w:r>
      <w:r>
        <w:rPr>
          <w:rFonts w:ascii="Arial"/>
          <w:i/>
          <w:color w:val="000000"/>
          <w:sz w:val="24"/>
        </w:rPr>
        <w:t>l</w:t>
      </w:r>
      <w:r>
        <w:rPr>
          <w:rFonts w:ascii="Arial"/>
          <w:i/>
          <w:color w:val="000000"/>
          <w:sz w:val="24"/>
        </w:rPr>
        <w:t>ea</w:t>
      </w:r>
      <w:r>
        <w:rPr>
          <w:rFonts w:ascii="Arial"/>
          <w:color w:val="000000"/>
          <w:sz w:val="24"/>
        </w:rPr>
        <w:t xml:space="preserve"> </w:t>
      </w:r>
      <w:r>
        <w:rPr>
          <w:rFonts w:ascii="Arial"/>
          <w:color w:val="000000"/>
          <w:sz w:val="24"/>
        </w:rPr>
        <w:t>to support its case. I prefer the Council</w:t>
      </w:r>
      <w:r>
        <w:rPr>
          <w:rFonts w:ascii="Arial"/>
          <w:color w:val="000000"/>
          <w:sz w:val="24"/>
        </w:rPr>
        <w:t>’</w:t>
      </w:r>
      <w:r>
        <w:rPr>
          <w:rFonts w:ascii="Arial"/>
          <w:color w:val="000000"/>
          <w:sz w:val="24"/>
        </w:rPr>
        <w:t xml:space="preserve">s submission in that regard. </w:t>
      </w:r>
    </w:p>
    <w:p>
      <w:pPr>
        <w:pStyle w:val="CaselawNumbered10"/>
        <w:numPr>
          <w:ilvl w:val="0"/>
          <w:numId w:val="60"/>
        </w:numPr>
        <w:spacing w:before="150" w:after="0"/>
        <w:ind w:left="600" w:hanging="600"/>
      </w:pPr>
      <w:r>
        <w:rPr>
          <w:rFonts w:ascii="Arial"/>
          <w:color w:val="000000"/>
          <w:sz w:val="24"/>
        </w:rPr>
        <w:t xml:space="preserve">The decision in </w:t>
      </w:r>
      <w:r>
        <w:rPr>
          <w:rFonts w:ascii="Arial"/>
          <w:i/>
          <w:color w:val="000000"/>
          <w:sz w:val="24"/>
        </w:rPr>
        <w:t>Codlea</w:t>
      </w:r>
      <w:r>
        <w:rPr>
          <w:rFonts w:ascii="Arial"/>
          <w:color w:val="000000"/>
          <w:sz w:val="24"/>
        </w:rPr>
        <w:t xml:space="preserve"> </w:t>
      </w:r>
      <w:r>
        <w:rPr>
          <w:rFonts w:ascii="Arial"/>
          <w:color w:val="000000"/>
          <w:sz w:val="24"/>
        </w:rPr>
        <w:t xml:space="preserve">turned on </w:t>
      </w:r>
      <w:r>
        <w:rPr>
          <w:rFonts w:ascii="Arial"/>
          <w:color w:val="000000"/>
          <w:sz w:val="24"/>
        </w:rPr>
        <w:t xml:space="preserve">a </w:t>
      </w:r>
      <w:r>
        <w:rPr>
          <w:rFonts w:ascii="Arial"/>
          <w:color w:val="000000"/>
          <w:sz w:val="24"/>
        </w:rPr>
        <w:t xml:space="preserve">specific provision in the LEP which identified a </w:t>
      </w:r>
      <w:r>
        <w:rPr>
          <w:rFonts w:ascii="Arial"/>
          <w:color w:val="000000"/>
          <w:sz w:val="24"/>
        </w:rPr>
        <w:t>precon</w:t>
      </w:r>
      <w:r>
        <w:rPr>
          <w:rFonts w:ascii="Arial"/>
          <w:color w:val="000000"/>
          <w:sz w:val="24"/>
        </w:rPr>
        <w:t>d</w:t>
      </w:r>
      <w:r>
        <w:rPr>
          <w:rFonts w:ascii="Arial"/>
          <w:color w:val="000000"/>
          <w:sz w:val="24"/>
        </w:rPr>
        <w:t>ition</w:t>
      </w:r>
      <w:r>
        <w:rPr>
          <w:rFonts w:ascii="Arial"/>
          <w:color w:val="000000"/>
          <w:sz w:val="24"/>
        </w:rPr>
        <w:t xml:space="preserve"> </w:t>
      </w:r>
      <w:r>
        <w:rPr>
          <w:rFonts w:ascii="Arial"/>
          <w:color w:val="000000"/>
          <w:sz w:val="24"/>
        </w:rPr>
        <w:t>of the Council</w:t>
      </w:r>
      <w:r>
        <w:rPr>
          <w:rFonts w:ascii="Arial"/>
          <w:color w:val="000000"/>
          <w:sz w:val="24"/>
        </w:rPr>
        <w:t>’</w:t>
      </w:r>
      <w:r>
        <w:rPr>
          <w:rFonts w:ascii="Arial"/>
          <w:color w:val="000000"/>
          <w:sz w:val="24"/>
        </w:rPr>
        <w:t xml:space="preserve">s consent to the carrying out of development. The decision is summarised in the decision of Talbot J in </w:t>
      </w:r>
      <w:r>
        <w:rPr>
          <w:rFonts w:ascii="Arial"/>
          <w:i/>
          <w:color w:val="000000"/>
          <w:sz w:val="24"/>
        </w:rPr>
        <w:t>Alvanos v Shoalhaven Shire Council</w:t>
      </w:r>
      <w:r>
        <w:rPr>
          <w:rFonts w:ascii="Arial"/>
          <w:color w:val="000000"/>
          <w:sz w:val="24"/>
        </w:rPr>
        <w:t xml:space="preserve"> </w:t>
      </w:r>
      <w:r>
        <w:rPr>
          <w:rFonts w:ascii="Arial"/>
          <w:color w:val="000000"/>
          <w:sz w:val="24"/>
        </w:rPr>
        <w:t>(2002) 119 LGERA 403; [2002] NSWLEC 42 at [28]-[32] as follows:</w:t>
      </w:r>
    </w:p>
    <w:p>
      <w:pPr>
        <w:pStyle w:val="CaselawQuote"/>
        <w:spacing w:before="150" w:after="150"/>
        <w:ind w:left="1350"/>
        <w:jc w:val="left"/>
      </w:pPr>
      <w:r>
        <w:rPr>
          <w:rFonts w:ascii="Arial"/>
          <w:color w:val="000000"/>
          <w:sz w:val="22"/>
        </w:rPr>
        <w:t>“28 Clause 45 of the Byron Local Environmental Plan 1988 (NSW) made it a pre-condition of the council’</w:t>
      </w:r>
      <w:r>
        <w:rPr>
          <w:rFonts w:ascii="Arial"/>
          <w:color w:val="000000"/>
          <w:sz w:val="22"/>
        </w:rPr>
        <w:t xml:space="preserve"> to the carrying out of development, that it be satisfied that prior adequate arrangements have been for the provision of certain services to the land.</w:t>
      </w:r>
    </w:p>
    <w:p>
      <w:pPr>
        <w:pStyle w:val="CaselawQuote"/>
        <w:spacing w:before="150" w:after="150"/>
        <w:ind w:left="1350"/>
        <w:jc w:val="left"/>
      </w:pPr>
      <w:r>
        <w:rPr>
          <w:rFonts w:ascii="Arial"/>
          <w:color w:val="000000"/>
          <w:sz w:val="22"/>
        </w:rPr>
        <w:t>29 Stein JA came to the point succinctly when he identified two elements in the provisions of cl 45. He par 378 [43] as follows:</w:t>
      </w:r>
    </w:p>
    <w:p>
      <w:pPr>
        <w:pStyle w:val="CaselawQuote0"/>
        <w:spacing w:before="150" w:after="150"/>
        <w:ind w:left="2100"/>
        <w:jc w:val="left"/>
      </w:pPr>
      <w:r>
        <w:rPr>
          <w:rFonts w:ascii="Arial"/>
          <w:color w:val="000000"/>
          <w:sz w:val="22"/>
        </w:rPr>
        <w:t>One is the making of the “prior adequate arrangements” by the council and the sec the “satisfaction” with them prior to granting approval.</w:t>
      </w:r>
    </w:p>
    <w:p>
      <w:pPr>
        <w:pStyle w:val="CaselawQuote"/>
        <w:spacing w:before="150" w:after="150"/>
        <w:ind w:left="1350"/>
        <w:jc w:val="left"/>
      </w:pPr>
      <w:r>
        <w:rPr>
          <w:rFonts w:ascii="Arial"/>
          <w:color w:val="000000"/>
          <w:sz w:val="22"/>
        </w:rPr>
        <w:t>30 He went on in that same paragraph to state as follows:</w:t>
      </w:r>
    </w:p>
    <w:p>
      <w:pPr>
        <w:pStyle w:val="CaselawQuote0"/>
        <w:spacing w:before="150" w:after="150"/>
        <w:ind w:left="2100"/>
        <w:jc w:val="left"/>
      </w:pPr>
      <w:r>
        <w:rPr>
          <w:rFonts w:ascii="Arial"/>
          <w:color w:val="000000"/>
          <w:sz w:val="22"/>
        </w:rPr>
        <w:t>The former is not “in respect of the matter the subject of the appeal” and the latter is.</w:t>
      </w:r>
    </w:p>
    <w:p>
      <w:pPr>
        <w:pStyle w:val="CaselawQuote"/>
        <w:spacing w:before="150" w:after="150"/>
        <w:ind w:left="1350"/>
        <w:jc w:val="left"/>
      </w:pPr>
      <w:r>
        <w:rPr>
          <w:rFonts w:ascii="Arial"/>
          <w:color w:val="000000"/>
          <w:sz w:val="22"/>
        </w:rPr>
        <w:t>31 So what his Honour decided in that case was that it was not open for the Court to in some way make prior adequate arrangements for the provision of services to the land as the Commissioner in this Case</w:t>
      </w:r>
      <w:r>
        <w:rPr>
          <w:rFonts w:ascii="Arial"/>
          <w:color w:val="000000"/>
          <w:sz w:val="22"/>
        </w:rPr>
        <w:t xml:space="preserve"> attempted to do at first instance. However, it was within the function of the Court, contemplated by as part of the process of determining the development application to be satisfied that those arrangements had been made.</w:t>
      </w:r>
    </w:p>
    <w:p>
      <w:pPr>
        <w:pStyle w:val="CaselawQuote"/>
        <w:spacing w:before="150" w:after="150"/>
        <w:ind w:left="1350"/>
        <w:jc w:val="left"/>
      </w:pPr>
      <w:r>
        <w:rPr>
          <w:rFonts w:ascii="Arial"/>
          <w:color w:val="000000"/>
          <w:sz w:val="22"/>
        </w:rPr>
        <w:t>32 In other words it was a pre-condition to the granting of consent that the consent authority, in whose shoes the Court stood, should be satisfied about something. But it was not open for the Court to stand in the shoes of the consent authority to do the something about that which it needed to be satisfied.”</w:t>
      </w:r>
    </w:p>
    <w:p>
      <w:pPr>
        <w:pStyle w:val="CaselawNumbered10"/>
        <w:numPr>
          <w:ilvl w:val="0"/>
          <w:numId w:val="61"/>
        </w:numPr>
        <w:spacing w:before="150" w:after="0"/>
        <w:ind w:left="600" w:hanging="600"/>
      </w:pPr>
      <w:r>
        <w:rPr>
          <w:rFonts w:ascii="Arial"/>
          <w:color w:val="000000"/>
          <w:sz w:val="24"/>
        </w:rPr>
        <w:t>In these proceedings</w:t>
      </w:r>
      <w:r>
        <w:rPr>
          <w:rFonts w:ascii="Arial"/>
          <w:color w:val="000000"/>
          <w:sz w:val="24"/>
        </w:rPr>
        <w:t>,</w:t>
      </w:r>
      <w:r>
        <w:rPr>
          <w:rFonts w:ascii="Arial"/>
          <w:color w:val="000000"/>
          <w:sz w:val="24"/>
        </w:rPr>
        <w:t xml:space="preserve"> </w:t>
      </w:r>
      <w:r>
        <w:rPr>
          <w:rFonts w:ascii="Arial"/>
          <w:color w:val="000000"/>
          <w:sz w:val="24"/>
        </w:rPr>
        <w:t xml:space="preserve">I find that the applicant is inviting me to do what the Court in </w:t>
      </w:r>
      <w:r>
        <w:rPr>
          <w:rFonts w:ascii="Arial"/>
          <w:i/>
          <w:color w:val="000000"/>
          <w:sz w:val="24"/>
        </w:rPr>
        <w:t>Codlea</w:t>
      </w:r>
      <w:r>
        <w:rPr>
          <w:rFonts w:ascii="Arial"/>
          <w:color w:val="000000"/>
          <w:sz w:val="24"/>
        </w:rPr>
        <w:t xml:space="preserve"> </w:t>
      </w:r>
      <w:r>
        <w:rPr>
          <w:rFonts w:ascii="Arial"/>
          <w:color w:val="000000"/>
          <w:sz w:val="24"/>
        </w:rPr>
        <w:t xml:space="preserve">made plain I cannot do. That is, </w:t>
      </w:r>
      <w:r>
        <w:rPr>
          <w:rFonts w:ascii="Arial"/>
          <w:color w:val="000000"/>
          <w:sz w:val="24"/>
        </w:rPr>
        <w:t xml:space="preserve">to rely on </w:t>
      </w:r>
      <w:r>
        <w:rPr>
          <w:rFonts w:ascii="Arial"/>
          <w:color w:val="000000"/>
          <w:sz w:val="24"/>
        </w:rPr>
        <w:t>s</w:t>
      </w:r>
      <w:r>
        <w:rPr>
          <w:rFonts w:ascii="Arial"/>
          <w:color w:val="000000"/>
          <w:sz w:val="24"/>
        </w:rPr>
        <w:t xml:space="preserve"> 39(2) to make the adequate arrangements by </w:t>
      </w:r>
      <w:r>
        <w:rPr>
          <w:rFonts w:ascii="Arial"/>
          <w:color w:val="000000"/>
          <w:sz w:val="24"/>
        </w:rPr>
        <w:t xml:space="preserve">importing </w:t>
      </w:r>
      <w:r>
        <w:rPr>
          <w:rFonts w:ascii="Arial"/>
          <w:color w:val="000000"/>
          <w:sz w:val="24"/>
        </w:rPr>
        <w:t>the applicant</w:t>
      </w:r>
      <w:r>
        <w:rPr>
          <w:rFonts w:ascii="Arial"/>
          <w:color w:val="000000"/>
          <w:sz w:val="24"/>
        </w:rPr>
        <w:t>’</w:t>
      </w:r>
      <w:r>
        <w:rPr>
          <w:rFonts w:ascii="Arial"/>
          <w:color w:val="000000"/>
          <w:sz w:val="24"/>
        </w:rPr>
        <w:t>s amended additional material and plans as identified in it</w:t>
      </w:r>
      <w:r>
        <w:rPr>
          <w:rFonts w:ascii="Arial"/>
          <w:color w:val="000000"/>
          <w:sz w:val="24"/>
        </w:rPr>
        <w:t>s</w:t>
      </w:r>
      <w:r>
        <w:rPr>
          <w:rFonts w:ascii="Arial"/>
          <w:color w:val="000000"/>
          <w:sz w:val="24"/>
        </w:rPr>
        <w:t xml:space="preserve"> </w:t>
      </w:r>
      <w:r>
        <w:rPr>
          <w:rFonts w:ascii="Arial"/>
          <w:color w:val="000000"/>
          <w:sz w:val="24"/>
        </w:rPr>
        <w:t xml:space="preserve">Annexure </w:t>
      </w:r>
      <w:r>
        <w:rPr>
          <w:rFonts w:ascii="Arial"/>
          <w:color w:val="000000"/>
          <w:sz w:val="24"/>
        </w:rPr>
        <w:t>B</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C</w:t>
      </w:r>
      <w:r>
        <w:rPr>
          <w:rFonts w:ascii="Arial"/>
          <w:color w:val="000000"/>
          <w:sz w:val="24"/>
        </w:rPr>
        <w:t xml:space="preserve"> </w:t>
      </w:r>
      <w:r>
        <w:rPr>
          <w:rFonts w:ascii="Arial"/>
          <w:color w:val="000000"/>
          <w:sz w:val="24"/>
        </w:rPr>
        <w:t>in its final submissions</w:t>
      </w:r>
      <w:r>
        <w:rPr>
          <w:rFonts w:ascii="Arial"/>
          <w:color w:val="000000"/>
          <w:sz w:val="24"/>
        </w:rPr>
        <w:t xml:space="preserve"> </w:t>
      </w:r>
      <w:r>
        <w:rPr>
          <w:rFonts w:ascii="Arial"/>
          <w:color w:val="000000"/>
          <w:sz w:val="24"/>
        </w:rPr>
        <w:t xml:space="preserve">into the conditions of consent granted by the </w:t>
      </w:r>
      <w:r>
        <w:rPr>
          <w:rFonts w:ascii="Arial"/>
          <w:color w:val="000000"/>
          <w:sz w:val="24"/>
        </w:rPr>
        <w:t xml:space="preserve">Council </w:t>
      </w:r>
      <w:r>
        <w:rPr>
          <w:rFonts w:ascii="Arial"/>
          <w:color w:val="000000"/>
          <w:sz w:val="24"/>
        </w:rPr>
        <w:t>under the EPA Act</w:t>
      </w:r>
      <w:r>
        <w:rPr>
          <w:rFonts w:ascii="Arial"/>
          <w:color w:val="000000"/>
          <w:sz w:val="24"/>
        </w:rPr>
        <w:t>. That is a function outside the subject matter</w:t>
      </w:r>
      <w:r>
        <w:rPr>
          <w:rFonts w:ascii="Arial"/>
          <w:color w:val="000000"/>
          <w:sz w:val="24"/>
        </w:rPr>
        <w:t xml:space="preserve"> </w:t>
      </w:r>
      <w:r>
        <w:rPr>
          <w:rFonts w:ascii="Arial"/>
          <w:color w:val="000000"/>
          <w:sz w:val="24"/>
        </w:rPr>
        <w:t xml:space="preserve">of </w:t>
      </w:r>
      <w:r>
        <w:rPr>
          <w:rFonts w:ascii="Arial"/>
          <w:color w:val="000000"/>
          <w:sz w:val="24"/>
        </w:rPr>
        <w:t xml:space="preserve">the </w:t>
      </w:r>
      <w:r>
        <w:rPr>
          <w:rFonts w:ascii="Arial"/>
          <w:color w:val="000000"/>
          <w:sz w:val="24"/>
        </w:rPr>
        <w:t xml:space="preserve">s68 </w:t>
      </w:r>
      <w:r>
        <w:rPr>
          <w:rFonts w:ascii="Arial"/>
          <w:color w:val="000000"/>
          <w:sz w:val="24"/>
        </w:rPr>
        <w:t>appeal</w:t>
      </w:r>
      <w:r>
        <w:rPr>
          <w:rFonts w:ascii="Arial"/>
          <w:color w:val="000000"/>
          <w:sz w:val="24"/>
        </w:rPr>
        <w:t>s</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needs </w:t>
      </w:r>
      <w:r>
        <w:rPr>
          <w:rFonts w:ascii="Arial"/>
          <w:color w:val="000000"/>
          <w:sz w:val="24"/>
        </w:rPr>
        <w:t>to be dealt with under the terms of the condition</w:t>
      </w:r>
      <w:r>
        <w:rPr>
          <w:rFonts w:ascii="Arial"/>
          <w:color w:val="000000"/>
          <w:sz w:val="24"/>
        </w:rPr>
        <w:t>s</w:t>
      </w:r>
      <w:r>
        <w:rPr>
          <w:rFonts w:ascii="Arial"/>
          <w:color w:val="000000"/>
          <w:sz w:val="24"/>
        </w:rPr>
        <w:t xml:space="preserve"> </w:t>
      </w:r>
      <w:r>
        <w:rPr>
          <w:rFonts w:ascii="Arial"/>
          <w:color w:val="000000"/>
          <w:sz w:val="24"/>
        </w:rPr>
        <w:t xml:space="preserve">to the satisfaction of the Council and prior to the grant of any s68 </w:t>
      </w:r>
      <w:r>
        <w:rPr>
          <w:rFonts w:ascii="Arial"/>
          <w:color w:val="000000"/>
          <w:sz w:val="24"/>
        </w:rPr>
        <w:t>approvals</w:t>
      </w:r>
      <w:r>
        <w:rPr>
          <w:rFonts w:ascii="Arial"/>
          <w:color w:val="000000"/>
          <w:sz w:val="24"/>
        </w:rPr>
        <w:t xml:space="preserve">. The subject matter of this appeal is constrained just as the Court identified in </w:t>
      </w:r>
      <w:r>
        <w:rPr>
          <w:rFonts w:ascii="Arial"/>
          <w:i/>
          <w:color w:val="000000"/>
          <w:sz w:val="24"/>
        </w:rPr>
        <w:t>Codlea</w:t>
      </w:r>
      <w:r>
        <w:rPr>
          <w:rFonts w:ascii="Arial"/>
          <w:color w:val="000000"/>
          <w:sz w:val="24"/>
        </w:rPr>
        <w:t xml:space="preserve"> </w:t>
      </w:r>
      <w:r>
        <w:rPr>
          <w:rFonts w:ascii="Arial"/>
          <w:color w:val="000000"/>
          <w:sz w:val="24"/>
        </w:rPr>
        <w:t>a</w:t>
      </w:r>
      <w:r>
        <w:rPr>
          <w:rFonts w:ascii="Arial"/>
          <w:color w:val="000000"/>
          <w:sz w:val="24"/>
        </w:rPr>
        <w:t>nd discussed</w:t>
      </w:r>
      <w:r>
        <w:rPr>
          <w:rFonts w:ascii="Arial"/>
          <w:color w:val="000000"/>
          <w:sz w:val="24"/>
        </w:rPr>
        <w:t xml:space="preserve"> </w:t>
      </w:r>
      <w:r>
        <w:rPr>
          <w:rFonts w:ascii="Arial"/>
          <w:color w:val="000000"/>
          <w:sz w:val="24"/>
        </w:rPr>
        <w:t xml:space="preserve">by Pain J in </w:t>
      </w:r>
      <w:r>
        <w:rPr>
          <w:rFonts w:ascii="Arial"/>
          <w:i/>
          <w:color w:val="000000"/>
          <w:sz w:val="24"/>
        </w:rPr>
        <w:t>Chehab v City of Canada Bay Council</w:t>
      </w:r>
      <w:r>
        <w:rPr>
          <w:rFonts w:ascii="Arial"/>
          <w:color w:val="000000"/>
          <w:sz w:val="24"/>
        </w:rPr>
        <w:t xml:space="preserve"> </w:t>
      </w:r>
      <w:r>
        <w:rPr>
          <w:rFonts w:ascii="Arial"/>
          <w:color w:val="000000"/>
          <w:sz w:val="24"/>
        </w:rPr>
        <w:t>(2002) 123 LGERA 431; [2002] NSWLEC 220</w:t>
      </w:r>
      <w:r>
        <w:rPr>
          <w:rFonts w:ascii="Arial"/>
          <w:color w:val="000000"/>
          <w:sz w:val="24"/>
        </w:rPr>
        <w:t xml:space="preserve"> </w:t>
      </w:r>
      <w:r>
        <w:rPr>
          <w:rFonts w:ascii="Arial"/>
          <w:color w:val="000000"/>
          <w:sz w:val="24"/>
        </w:rPr>
        <w:t>albeit a different factual context</w:t>
      </w:r>
      <w:r>
        <w:rPr>
          <w:rFonts w:ascii="Arial"/>
          <w:color w:val="000000"/>
          <w:sz w:val="24"/>
        </w:rPr>
        <w:t>.</w:t>
      </w:r>
    </w:p>
    <w:p>
      <w:pPr>
        <w:pStyle w:val="CaselawNumbered10"/>
        <w:numPr>
          <w:ilvl w:val="0"/>
          <w:numId w:val="61"/>
        </w:numPr>
        <w:spacing w:before="150" w:after="0"/>
        <w:ind w:left="600" w:hanging="600"/>
      </w:pPr>
      <w:r>
        <w:rPr>
          <w:rFonts w:ascii="Arial"/>
          <w:color w:val="000000"/>
          <w:sz w:val="24"/>
        </w:rPr>
        <w:t>For the</w:t>
      </w:r>
      <w:r>
        <w:rPr>
          <w:rFonts w:ascii="Arial"/>
          <w:color w:val="000000"/>
          <w:sz w:val="24"/>
        </w:rPr>
        <w:t>se reasons</w:t>
      </w:r>
      <w:r>
        <w:rPr>
          <w:rFonts w:ascii="Arial"/>
          <w:color w:val="000000"/>
          <w:sz w:val="24"/>
        </w:rPr>
        <w:t>, absent the Council</w:t>
      </w:r>
      <w:r>
        <w:rPr>
          <w:rFonts w:ascii="Arial"/>
          <w:color w:val="000000"/>
          <w:sz w:val="24"/>
        </w:rPr>
        <w:t>’</w:t>
      </w:r>
      <w:r>
        <w:rPr>
          <w:rFonts w:ascii="Arial"/>
          <w:color w:val="000000"/>
          <w:sz w:val="24"/>
        </w:rPr>
        <w:t>s prior satisfaction in respect to conditions 58,</w:t>
      </w:r>
      <w:r>
        <w:rPr>
          <w:rFonts w:ascii="Arial"/>
          <w:color w:val="000000"/>
          <w:sz w:val="24"/>
        </w:rPr>
        <w:t xml:space="preserve"> </w:t>
      </w:r>
      <w:r>
        <w:rPr>
          <w:rFonts w:ascii="Arial"/>
          <w:color w:val="000000"/>
          <w:sz w:val="24"/>
        </w:rPr>
        <w:t>60 and 57 for the EPA Act purpose, I find that the s68 applications in the 99</w:t>
      </w:r>
      <w:r>
        <w:rPr>
          <w:rFonts w:ascii="Arial"/>
          <w:color w:val="000000"/>
          <w:sz w:val="24"/>
        </w:rPr>
        <w:t>-</w:t>
      </w:r>
      <w:r>
        <w:rPr>
          <w:rFonts w:ascii="Arial"/>
          <w:color w:val="000000"/>
          <w:sz w:val="24"/>
        </w:rPr>
        <w:t>lot and the 17</w:t>
      </w:r>
      <w:r>
        <w:rPr>
          <w:rFonts w:ascii="Arial"/>
          <w:color w:val="000000"/>
          <w:sz w:val="24"/>
        </w:rPr>
        <w:t>-</w:t>
      </w:r>
      <w:r>
        <w:rPr>
          <w:rFonts w:ascii="Arial"/>
          <w:color w:val="000000"/>
          <w:sz w:val="24"/>
        </w:rPr>
        <w:t>lot proceedings must be refused consent</w:t>
      </w:r>
      <w:r>
        <w:rPr>
          <w:rFonts w:ascii="Arial"/>
          <w:color w:val="000000"/>
          <w:sz w:val="24"/>
        </w:rPr>
        <w:t xml:space="preserve">. </w:t>
      </w:r>
      <w:r>
        <w:rPr>
          <w:rFonts w:ascii="Arial"/>
          <w:color w:val="000000"/>
          <w:sz w:val="24"/>
        </w:rPr>
        <w:t>The applicant</w:t>
      </w:r>
      <w:r>
        <w:rPr>
          <w:rFonts w:ascii="Arial"/>
          <w:color w:val="000000"/>
          <w:sz w:val="24"/>
        </w:rPr>
        <w:t>’</w:t>
      </w:r>
      <w:r>
        <w:rPr>
          <w:rFonts w:ascii="Arial"/>
          <w:color w:val="000000"/>
          <w:sz w:val="24"/>
        </w:rPr>
        <w:t xml:space="preserve">s non-compliance with the </w:t>
      </w:r>
      <w:r>
        <w:rPr>
          <w:rFonts w:ascii="Arial"/>
          <w:color w:val="000000"/>
          <w:sz w:val="24"/>
        </w:rPr>
        <w:t xml:space="preserve">conditions of the development consents </w:t>
      </w:r>
      <w:r>
        <w:rPr>
          <w:rFonts w:ascii="Arial"/>
          <w:color w:val="000000"/>
          <w:sz w:val="24"/>
        </w:rPr>
        <w:t xml:space="preserve">is </w:t>
      </w:r>
      <w:r>
        <w:rPr>
          <w:rFonts w:ascii="Arial"/>
          <w:color w:val="000000"/>
          <w:sz w:val="24"/>
        </w:rPr>
        <w:t xml:space="preserve">relevant to my assessment of the s68 applications </w:t>
      </w:r>
      <w:r>
        <w:rPr>
          <w:rFonts w:ascii="Arial"/>
          <w:color w:val="000000"/>
          <w:sz w:val="24"/>
        </w:rPr>
        <w:t>for the reasons explained and</w:t>
      </w:r>
      <w:r>
        <w:rPr>
          <w:rFonts w:ascii="Arial"/>
          <w:color w:val="000000"/>
          <w:sz w:val="24"/>
        </w:rPr>
        <w:t xml:space="preserve"> </w:t>
      </w:r>
      <w:r>
        <w:rPr>
          <w:rFonts w:ascii="Arial"/>
          <w:color w:val="000000"/>
          <w:sz w:val="24"/>
        </w:rPr>
        <w:t>precludes an approval in each case.</w:t>
      </w:r>
    </w:p>
    <w:p>
      <w:pPr>
        <w:pStyle w:val="CaselawHeading2"/>
        <w:keepNext/>
        <w:spacing w:before="150" w:after="150" w:line="264"/>
        <w:ind w:left="0"/>
        <w:jc w:val="left"/>
      </w:pPr>
      <w:r>
        <w:rPr>
          <w:rFonts w:ascii="Arial"/>
        </w:rPr>
        <w:t>Roads Act</w:t>
      </w:r>
      <w:r>
        <w:rPr>
          <w:rFonts w:ascii="Arial"/>
        </w:rPr>
        <w:t xml:space="preserve"> </w:t>
      </w:r>
    </w:p>
    <w:p>
      <w:pPr>
        <w:pStyle w:val="CaselawNumbered10"/>
        <w:numPr>
          <w:ilvl w:val="0"/>
          <w:numId w:val="62"/>
        </w:numPr>
        <w:spacing w:before="150" w:after="0"/>
        <w:ind w:left="600" w:hanging="600"/>
      </w:pPr>
      <w:r>
        <w:rPr>
          <w:rFonts w:ascii="Arial"/>
          <w:color w:val="000000"/>
          <w:sz w:val="24"/>
        </w:rPr>
        <w:t>In this case</w:t>
      </w:r>
      <w:r>
        <w:rPr>
          <w:rFonts w:ascii="Arial"/>
          <w:color w:val="000000"/>
          <w:sz w:val="24"/>
        </w:rPr>
        <w:t>,</w:t>
      </w:r>
      <w:r>
        <w:rPr>
          <w:rFonts w:ascii="Arial"/>
          <w:color w:val="000000"/>
          <w:sz w:val="24"/>
        </w:rPr>
        <w:t xml:space="preserve"> </w:t>
      </w:r>
      <w:r>
        <w:rPr>
          <w:rFonts w:ascii="Arial"/>
          <w:color w:val="000000"/>
          <w:sz w:val="24"/>
        </w:rPr>
        <w:t xml:space="preserve">the s138 </w:t>
      </w:r>
      <w:r>
        <w:rPr>
          <w:rFonts w:ascii="Arial"/>
          <w:color w:val="000000"/>
          <w:sz w:val="24"/>
        </w:rPr>
        <w:t xml:space="preserve">Roads Act </w:t>
      </w:r>
      <w:r>
        <w:rPr>
          <w:rFonts w:ascii="Arial"/>
          <w:color w:val="000000"/>
          <w:sz w:val="24"/>
        </w:rPr>
        <w:t>application consists of all civil engineering works identified in Annexure A (taken f</w:t>
      </w:r>
      <w:r>
        <w:rPr>
          <w:rFonts w:ascii="Arial"/>
          <w:color w:val="000000"/>
          <w:sz w:val="24"/>
        </w:rPr>
        <w:t>ro</w:t>
      </w:r>
      <w:r>
        <w:rPr>
          <w:rFonts w:ascii="Arial"/>
          <w:color w:val="000000"/>
          <w:sz w:val="24"/>
        </w:rPr>
        <w:t>m the A</w:t>
      </w:r>
      <w:r>
        <w:rPr>
          <w:rFonts w:ascii="Arial"/>
          <w:color w:val="000000"/>
          <w:sz w:val="24"/>
        </w:rPr>
        <w:t>C</w:t>
      </w:r>
      <w:r>
        <w:rPr>
          <w:rFonts w:ascii="Arial"/>
          <w:color w:val="000000"/>
          <w:sz w:val="24"/>
        </w:rPr>
        <w:t>WS dated 1</w:t>
      </w:r>
      <w:r>
        <w:rPr>
          <w:rFonts w:ascii="Arial"/>
          <w:color w:val="000000"/>
          <w:sz w:val="24"/>
        </w:rPr>
        <w:t>1</w:t>
      </w:r>
      <w:r>
        <w:rPr>
          <w:rFonts w:ascii="Arial"/>
          <w:color w:val="000000"/>
          <w:sz w:val="24"/>
        </w:rPr>
        <w:t xml:space="preserve"> </w:t>
      </w:r>
      <w:r>
        <w:rPr>
          <w:rFonts w:ascii="Arial"/>
          <w:color w:val="000000"/>
          <w:sz w:val="24"/>
        </w:rPr>
        <w:t xml:space="preserve">December 2023). </w:t>
      </w:r>
      <w:r>
        <w:rPr>
          <w:rFonts w:ascii="Arial"/>
          <w:color w:val="000000"/>
          <w:sz w:val="24"/>
        </w:rPr>
        <w:t>The works associated with s</w:t>
      </w:r>
      <w:r>
        <w:rPr>
          <w:rFonts w:ascii="Arial"/>
          <w:color w:val="000000"/>
          <w:sz w:val="24"/>
        </w:rPr>
        <w:t xml:space="preserve"> </w:t>
      </w:r>
      <w:r>
        <w:rPr>
          <w:rFonts w:ascii="Arial"/>
          <w:color w:val="000000"/>
          <w:sz w:val="24"/>
        </w:rPr>
        <w:t xml:space="preserve">138 are Road 1, Road 2, Road 3, Road 4, Road 5, Road 6, Road 7 Henderson Lane and North Creek Road. Table 1 in Annexure A describes the works as proposed on each </w:t>
      </w:r>
      <w:r>
        <w:rPr>
          <w:rFonts w:ascii="Arial"/>
          <w:color w:val="000000"/>
          <w:sz w:val="24"/>
        </w:rPr>
        <w:t xml:space="preserve">road </w:t>
      </w:r>
      <w:r>
        <w:rPr>
          <w:rFonts w:ascii="Arial"/>
          <w:color w:val="000000"/>
          <w:sz w:val="24"/>
        </w:rPr>
        <w:t xml:space="preserve">where it has been reflected in the filed civil engineering work drawings. </w:t>
      </w:r>
    </w:p>
    <w:p>
      <w:pPr>
        <w:pStyle w:val="CaselawNumbered10"/>
        <w:numPr>
          <w:ilvl w:val="0"/>
          <w:numId w:val="62"/>
        </w:numPr>
        <w:spacing w:before="150" w:after="0"/>
        <w:ind w:left="600" w:hanging="600"/>
      </w:pPr>
      <w:r>
        <w:rPr>
          <w:rFonts w:ascii="Arial"/>
          <w:color w:val="000000"/>
          <w:sz w:val="24"/>
        </w:rPr>
        <w:t>Section 139 of the Roads Act contains certain provisions about the scope of power to issue a consent:</w:t>
      </w:r>
    </w:p>
    <w:p>
      <w:pPr>
        <w:pStyle w:val="CaselawQuote"/>
        <w:spacing w:before="150" w:after="150"/>
        <w:ind w:left="1350"/>
        <w:jc w:val="left"/>
      </w:pPr>
      <w:r>
        <w:rPr>
          <w:rFonts w:ascii="Arial"/>
          <w:b/>
          <w:color w:val="000000"/>
          <w:sz w:val="22"/>
        </w:rPr>
        <w:t>139 Nature of consent</w:t>
      </w:r>
    </w:p>
    <w:p>
      <w:pPr>
        <w:pStyle w:val="CaselawQuote"/>
        <w:spacing w:before="150" w:after="150"/>
        <w:ind w:left="1350"/>
        <w:jc w:val="left"/>
      </w:pPr>
      <w:r>
        <w:rPr>
          <w:rFonts w:ascii="Arial"/>
          <w:color w:val="000000"/>
          <w:sz w:val="22"/>
        </w:rPr>
        <w:t>(1) A consent under this Division—</w:t>
      </w:r>
    </w:p>
    <w:p>
      <w:pPr>
        <w:pStyle w:val="CaselawQuote0"/>
        <w:spacing w:before="150" w:after="150"/>
        <w:ind w:left="2100"/>
        <w:jc w:val="left"/>
      </w:pPr>
      <w:r>
        <w:rPr>
          <w:rFonts w:ascii="Arial"/>
          <w:color w:val="000000"/>
          <w:sz w:val="22"/>
        </w:rPr>
        <w:t>(a) may be granted on the roads authority’s initiative or on the application of any person, and</w:t>
      </w:r>
    </w:p>
    <w:p>
      <w:pPr>
        <w:pStyle w:val="CaselawQuote0"/>
        <w:spacing w:before="150" w:after="150"/>
        <w:ind w:left="2100"/>
        <w:jc w:val="left"/>
      </w:pPr>
      <w:r>
        <w:rPr>
          <w:rFonts w:ascii="Arial"/>
          <w:color w:val="000000"/>
          <w:sz w:val="22"/>
        </w:rPr>
        <w:t>(b) may be granted generally or for a particular case, and</w:t>
      </w:r>
    </w:p>
    <w:p>
      <w:pPr>
        <w:pStyle w:val="CaselawQuote0"/>
        <w:spacing w:before="150" w:after="150"/>
        <w:ind w:left="2100"/>
        <w:jc w:val="left"/>
      </w:pPr>
      <w:r>
        <w:rPr>
          <w:rFonts w:ascii="Arial"/>
          <w:color w:val="000000"/>
          <w:sz w:val="22"/>
        </w:rPr>
        <w:t>(c) may relate to a specific structure, work or tree or to structures, works or trees of a specified class, and</w:t>
      </w:r>
    </w:p>
    <w:p>
      <w:pPr>
        <w:pStyle w:val="CaselawQuote0"/>
        <w:spacing w:before="150" w:after="150"/>
        <w:ind w:left="2100"/>
        <w:jc w:val="left"/>
      </w:pPr>
      <w:r>
        <w:rPr>
          <w:rFonts w:ascii="Arial"/>
          <w:color w:val="000000"/>
          <w:sz w:val="22"/>
        </w:rPr>
        <w:t xml:space="preserve">(c1) in relation to integrated development within the meaning of section 91 of the </w:t>
      </w:r>
      <w:r>
        <w:rPr>
          <w:rFonts w:ascii="Arial"/>
          <w:i/>
          <w:color w:val="000000"/>
          <w:sz w:val="22"/>
        </w:rPr>
        <w:t>Environmental Planning and Assessment Act 1979</w:t>
      </w:r>
      <w:r>
        <w:rPr>
          <w:rFonts w:ascii="Arial"/>
          <w:color w:val="000000"/>
          <w:sz w:val="22"/>
        </w:rPr>
        <w:t>, is subject to Division 5 of Part 4 of that Act, and</w:t>
      </w:r>
    </w:p>
    <w:p>
      <w:pPr>
        <w:pStyle w:val="CaselawQuote0"/>
        <w:spacing w:before="150" w:after="150"/>
        <w:ind w:left="2100"/>
        <w:jc w:val="left"/>
      </w:pPr>
      <w:r>
        <w:rPr>
          <w:rFonts w:ascii="Arial"/>
          <w:color w:val="000000"/>
          <w:sz w:val="22"/>
        </w:rPr>
        <w:t>(d) may be granted on such conditions as the appropriate roads authority thinks fit.</w:t>
      </w:r>
    </w:p>
    <w:p>
      <w:pPr>
        <w:pStyle w:val="CaselawQuote"/>
        <w:spacing w:before="150" w:after="150"/>
        <w:ind w:left="1350"/>
        <w:jc w:val="left"/>
      </w:pPr>
      <w:r>
        <w:rPr>
          <w:rFonts w:ascii="Arial"/>
          <w:color w:val="000000"/>
          <w:sz w:val="22"/>
        </w:rPr>
        <w:t>(2) In particular, a consent under this Division with respect to the construction of a utility service in, on or over a public road may require the service to be located—</w:t>
      </w:r>
    </w:p>
    <w:p>
      <w:pPr>
        <w:pStyle w:val="CaselawQuote0"/>
        <w:spacing w:before="150" w:after="150"/>
        <w:ind w:left="2100"/>
        <w:jc w:val="left"/>
      </w:pPr>
      <w:r>
        <w:rPr>
          <w:rFonts w:ascii="Arial"/>
          <w:color w:val="000000"/>
          <w:sz w:val="22"/>
        </w:rPr>
        <w:t>(a) in such position as may be indicated in that regard in a plan of subdivision or other plan registered in the office of the Registrar-General with respect to the road, or</w:t>
      </w:r>
    </w:p>
    <w:p>
      <w:pPr>
        <w:pStyle w:val="CaselawQuote0"/>
        <w:spacing w:before="150" w:after="150"/>
        <w:ind w:left="2100"/>
        <w:jc w:val="left"/>
      </w:pPr>
      <w:r>
        <w:rPr>
          <w:rFonts w:ascii="Arial"/>
          <w:color w:val="000000"/>
          <w:sz w:val="22"/>
        </w:rPr>
        <w:t>(b) in such other position as the roads authority may direct.</w:t>
      </w:r>
    </w:p>
    <w:p>
      <w:pPr>
        <w:pStyle w:val="CaselawQuote"/>
        <w:spacing w:before="150" w:after="150"/>
        <w:ind w:left="1350"/>
        <w:jc w:val="left"/>
      </w:pPr>
      <w:r>
        <w:rPr>
          <w:rFonts w:ascii="Arial"/>
          <w:color w:val="000000"/>
          <w:sz w:val="22"/>
        </w:rPr>
        <w:t>(3) In particular, a consent under this Division with respect to the erection of a structure may be granted subject to a condition that permits or prohibits the use of the structure for a specified purpose or purposes.</w:t>
      </w:r>
    </w:p>
    <w:p>
      <w:pPr>
        <w:pStyle w:val="CaselawNumbered10"/>
        <w:numPr>
          <w:ilvl w:val="0"/>
          <w:numId w:val="63"/>
        </w:numPr>
        <w:spacing w:before="150" w:after="0"/>
        <w:ind w:left="600" w:hanging="600"/>
      </w:pPr>
      <w:r>
        <w:rPr>
          <w:rFonts w:ascii="Arial"/>
          <w:color w:val="000000"/>
          <w:sz w:val="24"/>
        </w:rPr>
        <w:t xml:space="preserve">A </w:t>
      </w:r>
      <w:r>
        <w:rPr>
          <w:rFonts w:ascii="Arial"/>
          <w:color w:val="000000"/>
          <w:sz w:val="24"/>
        </w:rPr>
        <w:t>“</w:t>
      </w:r>
      <w:r>
        <w:rPr>
          <w:rFonts w:ascii="Arial"/>
          <w:color w:val="000000"/>
          <w:sz w:val="24"/>
        </w:rPr>
        <w:t>roads authority</w:t>
      </w:r>
      <w:r>
        <w:rPr>
          <w:rFonts w:ascii="Arial"/>
          <w:color w:val="000000"/>
          <w:sz w:val="24"/>
        </w:rPr>
        <w:t xml:space="preserve">” </w:t>
      </w:r>
      <w:r>
        <w:rPr>
          <w:rFonts w:ascii="Arial"/>
          <w:color w:val="000000"/>
          <w:sz w:val="24"/>
        </w:rPr>
        <w:t>is defined by s 4 and the Dictionary to mean:</w:t>
      </w:r>
    </w:p>
    <w:p>
      <w:pPr>
        <w:pStyle w:val="CaselawQuote"/>
        <w:spacing w:before="150" w:after="150"/>
        <w:ind w:left="1350"/>
        <w:jc w:val="left"/>
      </w:pPr>
      <w:r>
        <w:rPr>
          <w:rFonts w:ascii="Arial"/>
          <w:color w:val="000000"/>
          <w:sz w:val="22"/>
        </w:rPr>
        <w:t>a person or body that is, by or under this Act, declared to be a roads authority and, in relation to a particular public road, means the roads authority for that road.</w:t>
      </w:r>
    </w:p>
    <w:p>
      <w:pPr>
        <w:pStyle w:val="CaselawNumbered10"/>
        <w:numPr>
          <w:ilvl w:val="0"/>
          <w:numId w:val="64"/>
        </w:numPr>
        <w:spacing w:before="150" w:after="0"/>
        <w:ind w:left="600" w:hanging="600"/>
      </w:pPr>
      <w:r>
        <w:rPr>
          <w:rFonts w:ascii="Arial"/>
          <w:color w:val="000000"/>
          <w:sz w:val="24"/>
        </w:rPr>
        <w:t xml:space="preserve">Subsection 138(1) of the Roads Act makes it an offence for a person to undertake certain works in, on or over a public road without the consent of the appropriate roads authority. </w:t>
      </w:r>
    </w:p>
    <w:p>
      <w:pPr>
        <w:pStyle w:val="CaselawNumbered10"/>
        <w:numPr>
          <w:ilvl w:val="0"/>
          <w:numId w:val="64"/>
        </w:numPr>
        <w:spacing w:before="150" w:after="0"/>
        <w:ind w:left="600" w:hanging="600"/>
      </w:pPr>
      <w:r>
        <w:rPr>
          <w:rFonts w:ascii="Arial"/>
          <w:color w:val="000000"/>
          <w:sz w:val="24"/>
        </w:rPr>
        <w:t xml:space="preserve">It is accepted that </w:t>
      </w:r>
      <w:r>
        <w:rPr>
          <w:rFonts w:ascii="Arial"/>
          <w:color w:val="000000"/>
          <w:sz w:val="24"/>
        </w:rPr>
        <w:t xml:space="preserve">the Council is the roads authority for all public roads within its local government area, except for freeways, Crown roads or roads for which </w:t>
      </w:r>
      <w:r>
        <w:rPr>
          <w:rFonts w:ascii="Arial"/>
          <w:color w:val="000000"/>
          <w:sz w:val="24"/>
        </w:rPr>
        <w:t>the Regulations declare some other public authority to be the roads authority: Roads Act</w:t>
      </w:r>
      <w:r>
        <w:rPr>
          <w:rFonts w:ascii="Arial"/>
          <w:color w:val="000000"/>
          <w:sz w:val="24"/>
        </w:rPr>
        <w:t>,</w:t>
      </w:r>
      <w:r>
        <w:rPr>
          <w:rFonts w:ascii="Arial"/>
          <w:color w:val="000000"/>
          <w:sz w:val="24"/>
        </w:rPr>
        <w:t xml:space="preserve"> </w:t>
      </w:r>
      <w:r>
        <w:rPr>
          <w:rFonts w:ascii="Arial"/>
          <w:color w:val="000000"/>
          <w:sz w:val="24"/>
        </w:rPr>
        <w:t>s 4(4).</w:t>
      </w:r>
      <w:r>
        <w:rPr>
          <w:rFonts w:ascii="Arial"/>
          <w:color w:val="000000"/>
          <w:sz w:val="24"/>
        </w:rPr>
        <w:t xml:space="preserve"> </w:t>
      </w:r>
    </w:p>
    <w:p>
      <w:pPr>
        <w:pStyle w:val="CaselawNumbered10"/>
        <w:numPr>
          <w:ilvl w:val="0"/>
          <w:numId w:val="64"/>
        </w:numPr>
        <w:spacing w:before="150" w:after="0"/>
        <w:ind w:left="600" w:hanging="600"/>
      </w:pPr>
      <w:r>
        <w:rPr>
          <w:rFonts w:ascii="Arial"/>
          <w:color w:val="000000"/>
          <w:sz w:val="24"/>
        </w:rPr>
        <w:t xml:space="preserve">There </w:t>
      </w:r>
      <w:r>
        <w:rPr>
          <w:rFonts w:ascii="Arial"/>
          <w:color w:val="000000"/>
          <w:sz w:val="24"/>
        </w:rPr>
        <w:t xml:space="preserve">is no statutory merits right of appeal from the refusal of the </w:t>
      </w:r>
      <w:r>
        <w:rPr>
          <w:rFonts w:ascii="Arial"/>
          <w:color w:val="000000"/>
          <w:sz w:val="24"/>
        </w:rPr>
        <w:t>applicant</w:t>
      </w:r>
      <w:r>
        <w:rPr>
          <w:rFonts w:ascii="Arial"/>
          <w:color w:val="000000"/>
          <w:sz w:val="24"/>
        </w:rPr>
        <w:t>’</w:t>
      </w:r>
      <w:r>
        <w:rPr>
          <w:rFonts w:ascii="Arial"/>
          <w:color w:val="000000"/>
          <w:sz w:val="24"/>
        </w:rPr>
        <w:t>s application for a s138 Roads Act</w:t>
      </w:r>
      <w:r>
        <w:rPr>
          <w:rFonts w:ascii="Arial"/>
          <w:color w:val="000000"/>
          <w:sz w:val="24"/>
        </w:rPr>
        <w:t>. T</w:t>
      </w:r>
      <w:r>
        <w:rPr>
          <w:rFonts w:ascii="Arial"/>
          <w:color w:val="000000"/>
          <w:sz w:val="24"/>
        </w:rPr>
        <w:t>he applicant</w:t>
      </w:r>
      <w:r>
        <w:rPr>
          <w:rFonts w:ascii="Arial"/>
          <w:color w:val="000000"/>
          <w:sz w:val="24"/>
        </w:rPr>
        <w:t>’</w:t>
      </w:r>
      <w:r>
        <w:rPr>
          <w:rFonts w:ascii="Arial"/>
          <w:color w:val="000000"/>
          <w:sz w:val="24"/>
        </w:rPr>
        <w:t>s case rests upon that argument that the Court</w:t>
      </w:r>
      <w:r>
        <w:rPr>
          <w:rFonts w:ascii="Arial"/>
          <w:color w:val="000000"/>
          <w:sz w:val="24"/>
        </w:rPr>
        <w:t>’</w:t>
      </w:r>
      <w:r>
        <w:rPr>
          <w:rFonts w:ascii="Arial"/>
          <w:color w:val="000000"/>
          <w:sz w:val="24"/>
        </w:rPr>
        <w:t>s jurisdiction arises by virtue of certain conditions of consent which specify that some other approval be obtained. It asserts in Part A par 20 of its ASOFC that:</w:t>
      </w:r>
    </w:p>
    <w:p>
      <w:pPr>
        <w:pStyle w:val="CaselawQuote"/>
        <w:spacing w:before="150" w:after="150"/>
        <w:ind w:left="1350"/>
        <w:jc w:val="left"/>
      </w:pPr>
      <w:r>
        <w:rPr>
          <w:rFonts w:ascii="Arial"/>
          <w:color w:val="000000"/>
          <w:sz w:val="22"/>
        </w:rPr>
        <w:t xml:space="preserve">“Under section 39(2) of the </w:t>
      </w:r>
      <w:r>
        <w:rPr>
          <w:rFonts w:ascii="Arial"/>
          <w:i/>
          <w:color w:val="000000"/>
          <w:sz w:val="22"/>
        </w:rPr>
        <w:t>Land and Environment Court Act 1979</w:t>
      </w:r>
      <w:r>
        <w:rPr>
          <w:rFonts w:ascii="Arial"/>
          <w:color w:val="000000"/>
          <w:sz w:val="22"/>
        </w:rPr>
        <w:t xml:space="preserve"> (NSW) (LEC Act) the Court has, for the purposes of hearing and disposing of the appeal, all of the functions and discretions which the Council has in respect of the matter the subject of the appeal. This includes determining the Section 138 Application” as part of this appeal [the s68 appeal] </w:t>
      </w:r>
      <w:r>
        <w:rPr>
          <w:rFonts w:ascii="Arial"/>
          <w:color w:val="000000"/>
          <w:sz w:val="22"/>
        </w:rPr>
        <w:t>under section 39(2) of the LEC Act”.</w:t>
      </w:r>
    </w:p>
    <w:p>
      <w:pPr>
        <w:pStyle w:val="CaselawNumbered10"/>
        <w:numPr>
          <w:ilvl w:val="0"/>
          <w:numId w:val="65"/>
        </w:numPr>
        <w:spacing w:before="150" w:after="0"/>
        <w:ind w:left="600" w:hanging="600"/>
      </w:pPr>
      <w:r>
        <w:rPr>
          <w:rFonts w:ascii="Arial"/>
          <w:color w:val="000000"/>
          <w:sz w:val="24"/>
        </w:rPr>
        <w:t xml:space="preserve">The applicant also relies on the observations of Biscoe J at [52] in </w:t>
      </w:r>
      <w:r>
        <w:rPr>
          <w:rFonts w:ascii="Arial"/>
          <w:i/>
          <w:color w:val="000000"/>
          <w:sz w:val="24"/>
        </w:rPr>
        <w:t>Goldberg</w:t>
      </w:r>
      <w:r>
        <w:rPr>
          <w:rFonts w:ascii="Arial"/>
          <w:color w:val="000000"/>
          <w:sz w:val="24"/>
        </w:rPr>
        <w:t xml:space="preserve">, to submit that the matter the subject of an appeal is a wider concept than the decision the subject of the appeal. It contends that the proposed road works in the s138 application are a vital part of the overall proposal and therefore the s138 application can be described as </w:t>
      </w:r>
      <w:r>
        <w:rPr>
          <w:rFonts w:ascii="Arial"/>
          <w:color w:val="000000"/>
          <w:sz w:val="24"/>
        </w:rPr>
        <w:t>“</w:t>
      </w:r>
      <w:r>
        <w:rPr>
          <w:rFonts w:ascii="Arial"/>
          <w:color w:val="000000"/>
          <w:sz w:val="24"/>
        </w:rPr>
        <w:t>inextricably intertwined</w:t>
      </w:r>
      <w:r>
        <w:rPr>
          <w:rFonts w:ascii="Arial"/>
          <w:color w:val="000000"/>
          <w:sz w:val="24"/>
        </w:rPr>
        <w:t xml:space="preserve">” </w:t>
      </w:r>
      <w:r>
        <w:rPr>
          <w:rFonts w:ascii="Arial"/>
          <w:color w:val="000000"/>
          <w:sz w:val="24"/>
        </w:rPr>
        <w:t>such as to constitute the matter contemplated by s 39(2).</w:t>
      </w:r>
    </w:p>
    <w:p>
      <w:pPr>
        <w:pStyle w:val="CaselawNumbered10"/>
        <w:numPr>
          <w:ilvl w:val="0"/>
          <w:numId w:val="65"/>
        </w:numPr>
        <w:spacing w:before="150" w:after="0"/>
        <w:ind w:left="600" w:hanging="600"/>
      </w:pPr>
      <w:r>
        <w:rPr>
          <w:rFonts w:ascii="Arial"/>
          <w:color w:val="000000"/>
          <w:sz w:val="24"/>
        </w:rPr>
        <w:t xml:space="preserve">This close interrelationship and inextricable intertwining of the proposed road work and the works sought to be approved is said to be apparent from the terms of condition 15 of the 99-lot consent which states: </w:t>
      </w:r>
    </w:p>
    <w:p>
      <w:pPr>
        <w:pStyle w:val="CaselawQuote"/>
        <w:spacing w:before="150" w:after="150"/>
        <w:ind w:left="1350"/>
        <w:jc w:val="left"/>
      </w:pPr>
      <w:r>
        <w:rPr>
          <w:rFonts w:ascii="Arial"/>
          <w:color w:val="000000"/>
          <w:sz w:val="22"/>
        </w:rPr>
        <w:t>“Civil works - Prior to the issue of the Subdivision Works Certificate, engineering design drawings … shall be submitted to and approved by Council … The drawings shall also include associated works required under Section 138 of the Roads Act and Section 68 of the Local Government Act”.</w:t>
      </w:r>
    </w:p>
    <w:p>
      <w:pPr>
        <w:pStyle w:val="CaselawNumbered10"/>
        <w:numPr>
          <w:ilvl w:val="0"/>
          <w:numId w:val="66"/>
        </w:numPr>
        <w:spacing w:before="150" w:after="0"/>
        <w:ind w:left="600" w:hanging="600"/>
      </w:pPr>
      <w:r>
        <w:rPr>
          <w:rFonts w:ascii="Arial"/>
          <w:color w:val="000000"/>
          <w:sz w:val="24"/>
        </w:rPr>
        <w:t xml:space="preserve">It is also submitted by the applicant, for the reasons discussed in </w:t>
      </w:r>
      <w:r>
        <w:rPr>
          <w:rFonts w:ascii="Arial"/>
          <w:i/>
          <w:color w:val="000000"/>
          <w:sz w:val="24"/>
        </w:rPr>
        <w:t>Captive Vision Pty Ltd v Ku-ring-gai Council (No</w:t>
      </w:r>
      <w:r>
        <w:rPr>
          <w:rFonts w:ascii="Arial"/>
          <w:i/>
          <w:color w:val="000000"/>
          <w:sz w:val="24"/>
        </w:rPr>
        <w:t xml:space="preserve"> </w:t>
      </w:r>
      <w:r>
        <w:rPr>
          <w:rFonts w:ascii="Arial"/>
          <w:i/>
          <w:color w:val="000000"/>
          <w:sz w:val="24"/>
        </w:rPr>
        <w:t>3)</w:t>
      </w:r>
      <w:r>
        <w:rPr>
          <w:rFonts w:ascii="Arial"/>
          <w:color w:val="000000"/>
          <w:sz w:val="24"/>
        </w:rPr>
        <w:t xml:space="preserve"> </w:t>
      </w:r>
      <w:r>
        <w:rPr>
          <w:rFonts w:ascii="Arial"/>
          <w:color w:val="000000"/>
          <w:sz w:val="24"/>
        </w:rPr>
        <w:t>[2019] NSWLEC 1472</w:t>
      </w:r>
      <w:r>
        <w:rPr>
          <w:rFonts w:ascii="Arial"/>
          <w:color w:val="000000"/>
          <w:sz w:val="24"/>
        </w:rPr>
        <w:t xml:space="preserve"> </w:t>
      </w:r>
      <w:r>
        <w:rPr>
          <w:rFonts w:ascii="Arial"/>
          <w:color w:val="000000"/>
          <w:sz w:val="24"/>
        </w:rPr>
        <w:t>(</w:t>
      </w:r>
      <w:r>
        <w:rPr>
          <w:rFonts w:ascii="Arial"/>
          <w:i/>
          <w:color w:val="000000"/>
          <w:sz w:val="24"/>
        </w:rPr>
        <w:t>Captive Vision</w:t>
      </w:r>
      <w:r>
        <w:rPr>
          <w:rFonts w:ascii="Arial"/>
          <w:color w:val="000000"/>
          <w:sz w:val="24"/>
        </w:rPr>
        <w:t>) at [39] and [78] that the Court has jurisdiction</w:t>
      </w:r>
      <w:r>
        <w:rPr>
          <w:rFonts w:ascii="Arial"/>
          <w:color w:val="000000"/>
          <w:sz w:val="24"/>
        </w:rPr>
        <w:t xml:space="preserve"> </w:t>
      </w:r>
      <w:r>
        <w:rPr>
          <w:rFonts w:ascii="Arial"/>
          <w:color w:val="000000"/>
          <w:sz w:val="24"/>
        </w:rPr>
        <w:t xml:space="preserve">under s 39(2) of the Court Act to grant a s138 Roads Act consent during the appeal in respect of the s68 application. </w:t>
      </w:r>
    </w:p>
    <w:p>
      <w:pPr>
        <w:pStyle w:val="CaselawNumbered10"/>
        <w:numPr>
          <w:ilvl w:val="0"/>
          <w:numId w:val="66"/>
        </w:numPr>
        <w:spacing w:before="150" w:after="0"/>
        <w:ind w:left="600" w:hanging="600"/>
      </w:pPr>
      <w:r>
        <w:rPr>
          <w:rFonts w:ascii="Arial"/>
          <w:color w:val="000000"/>
          <w:sz w:val="24"/>
        </w:rPr>
        <w:t xml:space="preserve">It well </w:t>
      </w:r>
      <w:r>
        <w:rPr>
          <w:rFonts w:ascii="Arial"/>
          <w:color w:val="000000"/>
          <w:sz w:val="24"/>
        </w:rPr>
        <w:t xml:space="preserve">might be argued that the stormwater work </w:t>
      </w:r>
      <w:r>
        <w:rPr>
          <w:rFonts w:ascii="Arial"/>
          <w:color w:val="000000"/>
          <w:sz w:val="24"/>
        </w:rPr>
        <w:t>in the public road</w:t>
      </w:r>
      <w:r>
        <w:rPr>
          <w:rFonts w:ascii="Arial"/>
          <w:color w:val="000000"/>
          <w:sz w:val="24"/>
        </w:rPr>
        <w:t xml:space="preserve"> </w:t>
      </w:r>
      <w:r>
        <w:rPr>
          <w:rFonts w:ascii="Arial"/>
          <w:color w:val="000000"/>
          <w:sz w:val="24"/>
        </w:rPr>
        <w:t>is a vital part of the overall proposal, and therefore th</w:t>
      </w:r>
      <w:r>
        <w:rPr>
          <w:rFonts w:ascii="Arial"/>
          <w:color w:val="000000"/>
          <w:sz w:val="24"/>
        </w:rPr>
        <w:t>at</w:t>
      </w:r>
      <w:r>
        <w:rPr>
          <w:rFonts w:ascii="Arial"/>
          <w:color w:val="000000"/>
          <w:sz w:val="24"/>
        </w:rPr>
        <w:t xml:space="preserve"> </w:t>
      </w:r>
      <w:r>
        <w:rPr>
          <w:rFonts w:ascii="Arial"/>
          <w:color w:val="000000"/>
          <w:sz w:val="24"/>
        </w:rPr>
        <w:t xml:space="preserve">work under the s138 Roads Act application is </w:t>
      </w:r>
      <w:r>
        <w:rPr>
          <w:rFonts w:ascii="Arial"/>
          <w:color w:val="000000"/>
          <w:sz w:val="24"/>
        </w:rPr>
        <w:t>“</w:t>
      </w:r>
      <w:r>
        <w:rPr>
          <w:rFonts w:ascii="Arial"/>
          <w:color w:val="000000"/>
          <w:sz w:val="24"/>
        </w:rPr>
        <w:t xml:space="preserve">inextricably intertwined, </w:t>
      </w:r>
      <w:r>
        <w:rPr>
          <w:rFonts w:ascii="Arial"/>
          <w:color w:val="000000"/>
          <w:sz w:val="24"/>
        </w:rPr>
        <w:t xml:space="preserve">such as to constitute </w:t>
      </w:r>
      <w:r>
        <w:rPr>
          <w:rFonts w:ascii="Arial"/>
          <w:color w:val="000000"/>
          <w:sz w:val="24"/>
        </w:rPr>
        <w:t xml:space="preserve">the matter the subject </w:t>
      </w:r>
      <w:r>
        <w:rPr>
          <w:rFonts w:ascii="Arial"/>
          <w:color w:val="000000"/>
          <w:sz w:val="24"/>
        </w:rPr>
        <w:t>of the s68 appeal</w:t>
      </w:r>
      <w:r>
        <w:rPr>
          <w:rFonts w:ascii="Arial"/>
          <w:color w:val="000000"/>
          <w:sz w:val="24"/>
        </w:rPr>
        <w:t>”</w:t>
      </w:r>
      <w:r>
        <w:rPr>
          <w:rFonts w:ascii="Arial"/>
          <w:color w:val="000000"/>
          <w:sz w:val="24"/>
        </w:rPr>
        <w:t xml:space="preserve">. However, </w:t>
      </w:r>
      <w:r>
        <w:rPr>
          <w:rFonts w:ascii="Arial"/>
          <w:color w:val="000000"/>
          <w:sz w:val="24"/>
        </w:rPr>
        <w:t xml:space="preserve">I do not need to finally decide this </w:t>
      </w:r>
      <w:r>
        <w:rPr>
          <w:rFonts w:ascii="Arial"/>
          <w:color w:val="000000"/>
          <w:sz w:val="24"/>
        </w:rPr>
        <w:t xml:space="preserve">issue </w:t>
      </w:r>
      <w:r>
        <w:rPr>
          <w:rFonts w:ascii="Arial"/>
          <w:color w:val="000000"/>
          <w:sz w:val="24"/>
        </w:rPr>
        <w:t xml:space="preserve">because </w:t>
      </w:r>
      <w:r>
        <w:rPr>
          <w:rFonts w:ascii="Arial"/>
          <w:color w:val="000000"/>
          <w:sz w:val="24"/>
        </w:rPr>
        <w:t xml:space="preserve">the s138 </w:t>
      </w:r>
      <w:r>
        <w:rPr>
          <w:rFonts w:ascii="Arial"/>
          <w:color w:val="000000"/>
          <w:sz w:val="24"/>
        </w:rPr>
        <w:t xml:space="preserve">Roads Act </w:t>
      </w:r>
      <w:r>
        <w:rPr>
          <w:rFonts w:ascii="Arial"/>
          <w:color w:val="000000"/>
          <w:sz w:val="24"/>
        </w:rPr>
        <w:t xml:space="preserve">application </w:t>
      </w:r>
      <w:r>
        <w:rPr>
          <w:rFonts w:ascii="Arial"/>
          <w:color w:val="000000"/>
          <w:sz w:val="24"/>
        </w:rPr>
        <w:t xml:space="preserve">is </w:t>
      </w:r>
      <w:r>
        <w:rPr>
          <w:rFonts w:ascii="Arial"/>
          <w:color w:val="000000"/>
          <w:sz w:val="24"/>
        </w:rPr>
        <w:t>part of th</w:t>
      </w:r>
      <w:r>
        <w:rPr>
          <w:rFonts w:ascii="Arial"/>
          <w:color w:val="000000"/>
          <w:sz w:val="24"/>
        </w:rPr>
        <w:t>e</w:t>
      </w:r>
      <w:r>
        <w:rPr>
          <w:rFonts w:ascii="Arial"/>
          <w:color w:val="000000"/>
          <w:sz w:val="24"/>
        </w:rPr>
        <w:t xml:space="preserve"> </w:t>
      </w:r>
      <w:r>
        <w:rPr>
          <w:rFonts w:ascii="Arial"/>
          <w:color w:val="000000"/>
          <w:sz w:val="24"/>
        </w:rPr>
        <w:t xml:space="preserve">s68 appeal which </w:t>
      </w:r>
      <w:r>
        <w:rPr>
          <w:rFonts w:ascii="Arial"/>
          <w:color w:val="000000"/>
          <w:sz w:val="24"/>
        </w:rPr>
        <w:t xml:space="preserve">I propose to dismiss. </w:t>
      </w:r>
    </w:p>
    <w:p>
      <w:pPr>
        <w:pStyle w:val="CaselawHeading2"/>
        <w:keepNext/>
        <w:spacing w:before="150" w:after="150" w:line="264"/>
        <w:ind w:left="0"/>
        <w:jc w:val="left"/>
      </w:pPr>
      <w:r>
        <w:rPr>
          <w:rFonts w:ascii="Arial"/>
        </w:rPr>
        <w:t xml:space="preserve">In the alternative </w:t>
      </w:r>
      <w:r>
        <w:rPr>
          <w:rFonts w:ascii="Arial"/>
        </w:rPr>
        <w:t xml:space="preserve">– </w:t>
      </w:r>
      <w:r>
        <w:rPr>
          <w:rFonts w:ascii="Arial"/>
        </w:rPr>
        <w:t xml:space="preserve">the </w:t>
      </w:r>
      <w:r>
        <w:rPr>
          <w:rFonts w:ascii="Arial"/>
        </w:rPr>
        <w:t xml:space="preserve">s68 applications </w:t>
      </w:r>
    </w:p>
    <w:p>
      <w:pPr>
        <w:pStyle w:val="CaselawNumbered10"/>
        <w:numPr>
          <w:ilvl w:val="0"/>
          <w:numId w:val="67"/>
        </w:numPr>
        <w:spacing w:before="150" w:after="0"/>
        <w:ind w:left="600" w:hanging="600"/>
      </w:pPr>
      <w:r>
        <w:rPr>
          <w:rFonts w:ascii="Arial"/>
          <w:color w:val="000000"/>
          <w:sz w:val="24"/>
        </w:rPr>
        <w:t>If contrary to my finding</w:t>
      </w:r>
      <w:r>
        <w:rPr>
          <w:rFonts w:ascii="Arial"/>
          <w:color w:val="000000"/>
          <w:sz w:val="24"/>
        </w:rPr>
        <w:t>,</w:t>
      </w:r>
      <w:r>
        <w:rPr>
          <w:rFonts w:ascii="Arial"/>
          <w:color w:val="000000"/>
          <w:sz w:val="24"/>
        </w:rPr>
        <w:t xml:space="preserve"> </w:t>
      </w:r>
      <w:r>
        <w:rPr>
          <w:rFonts w:ascii="Arial"/>
          <w:color w:val="000000"/>
          <w:sz w:val="24"/>
        </w:rPr>
        <w:t xml:space="preserve">I </w:t>
      </w:r>
      <w:r>
        <w:rPr>
          <w:rFonts w:ascii="Arial"/>
          <w:color w:val="000000"/>
          <w:sz w:val="24"/>
        </w:rPr>
        <w:t xml:space="preserve">do have </w:t>
      </w:r>
      <w:r>
        <w:rPr>
          <w:rFonts w:ascii="Arial"/>
          <w:color w:val="000000"/>
          <w:sz w:val="24"/>
        </w:rPr>
        <w:t xml:space="preserve">jurisdiction </w:t>
      </w:r>
      <w:r>
        <w:rPr>
          <w:rFonts w:ascii="Arial"/>
          <w:color w:val="000000"/>
          <w:sz w:val="24"/>
        </w:rPr>
        <w:t xml:space="preserve">and power </w:t>
      </w:r>
      <w:r>
        <w:rPr>
          <w:rFonts w:ascii="Arial"/>
          <w:color w:val="000000"/>
          <w:sz w:val="24"/>
        </w:rPr>
        <w:t>under s</w:t>
      </w:r>
      <w:r>
        <w:rPr>
          <w:rFonts w:ascii="Arial"/>
          <w:color w:val="000000"/>
          <w:sz w:val="24"/>
        </w:rPr>
        <w:t> </w:t>
      </w:r>
      <w:r>
        <w:rPr>
          <w:rFonts w:ascii="Arial"/>
          <w:color w:val="000000"/>
          <w:sz w:val="24"/>
        </w:rPr>
        <w:t xml:space="preserve">39(2) </w:t>
      </w:r>
      <w:r>
        <w:rPr>
          <w:rFonts w:ascii="Arial"/>
          <w:color w:val="000000"/>
          <w:sz w:val="24"/>
        </w:rPr>
        <w:t xml:space="preserve">of the Court Act </w:t>
      </w:r>
      <w:r>
        <w:rPr>
          <w:rFonts w:ascii="Arial"/>
          <w:color w:val="000000"/>
          <w:sz w:val="24"/>
        </w:rPr>
        <w:t>to stand in the shoes of the Council to reach the state of satisfaction required by condition</w:t>
      </w:r>
      <w:r>
        <w:rPr>
          <w:rFonts w:ascii="Arial"/>
          <w:color w:val="000000"/>
          <w:sz w:val="24"/>
        </w:rPr>
        <w:t>s</w:t>
      </w:r>
      <w:r>
        <w:rPr>
          <w:rFonts w:ascii="Arial"/>
          <w:color w:val="000000"/>
          <w:sz w:val="24"/>
        </w:rPr>
        <w:t xml:space="preserve"> </w:t>
      </w:r>
      <w:r>
        <w:rPr>
          <w:rFonts w:ascii="Arial"/>
          <w:color w:val="000000"/>
          <w:sz w:val="24"/>
        </w:rPr>
        <w:t>57,</w:t>
      </w:r>
      <w:r>
        <w:rPr>
          <w:rFonts w:ascii="Arial"/>
          <w:color w:val="000000"/>
          <w:sz w:val="24"/>
        </w:rPr>
        <w:t xml:space="preserve"> </w:t>
      </w:r>
      <w:r>
        <w:rPr>
          <w:rFonts w:ascii="Arial"/>
          <w:color w:val="000000"/>
          <w:sz w:val="24"/>
        </w:rPr>
        <w:t>5</w:t>
      </w:r>
      <w:r>
        <w:rPr>
          <w:rFonts w:ascii="Arial"/>
          <w:color w:val="000000"/>
          <w:sz w:val="24"/>
        </w:rPr>
        <w:t>8</w:t>
      </w:r>
      <w:r>
        <w:rPr>
          <w:rFonts w:ascii="Arial"/>
          <w:color w:val="000000"/>
          <w:sz w:val="24"/>
        </w:rPr>
        <w:t xml:space="preserve"> </w:t>
      </w:r>
      <w:r>
        <w:rPr>
          <w:rFonts w:ascii="Arial"/>
          <w:color w:val="000000"/>
          <w:sz w:val="24"/>
        </w:rPr>
        <w:t xml:space="preserve">and 60 </w:t>
      </w:r>
      <w:r>
        <w:rPr>
          <w:rFonts w:ascii="Arial"/>
          <w:color w:val="000000"/>
          <w:sz w:val="24"/>
        </w:rPr>
        <w:t xml:space="preserve">then I find that </w:t>
      </w:r>
      <w:r>
        <w:rPr>
          <w:rFonts w:ascii="Arial"/>
          <w:color w:val="000000"/>
          <w:sz w:val="24"/>
        </w:rPr>
        <w:t xml:space="preserve">I am not satisfied </w:t>
      </w:r>
      <w:r>
        <w:rPr>
          <w:rFonts w:ascii="Arial"/>
          <w:color w:val="000000"/>
          <w:sz w:val="24"/>
        </w:rPr>
        <w:t>in respect of</w:t>
      </w:r>
      <w:r>
        <w:rPr>
          <w:rFonts w:ascii="Arial"/>
          <w:color w:val="000000"/>
          <w:sz w:val="24"/>
        </w:rPr>
        <w:t xml:space="preserve"> </w:t>
      </w:r>
      <w:r>
        <w:rPr>
          <w:rFonts w:ascii="Arial"/>
          <w:color w:val="000000"/>
          <w:sz w:val="24"/>
        </w:rPr>
        <w:t>the WMAMP, WMP and updated construction plans and reports under conditions 58,</w:t>
      </w:r>
      <w:r>
        <w:rPr>
          <w:rFonts w:ascii="Arial"/>
          <w:color w:val="000000"/>
          <w:sz w:val="24"/>
        </w:rPr>
        <w:t xml:space="preserve"> </w:t>
      </w:r>
      <w:r>
        <w:rPr>
          <w:rFonts w:ascii="Arial"/>
          <w:color w:val="000000"/>
          <w:sz w:val="24"/>
        </w:rPr>
        <w:t xml:space="preserve">60 and </w:t>
      </w:r>
      <w:r>
        <w:rPr>
          <w:rFonts w:ascii="Arial"/>
          <w:color w:val="000000"/>
          <w:sz w:val="24"/>
        </w:rPr>
        <w:t>57 for the reasons submitted by the Council</w:t>
      </w:r>
      <w:r>
        <w:rPr>
          <w:rFonts w:ascii="Arial"/>
          <w:color w:val="000000"/>
          <w:sz w:val="24"/>
        </w:rPr>
        <w:t xml:space="preserve"> </w:t>
      </w:r>
      <w:r>
        <w:rPr>
          <w:rFonts w:ascii="Arial"/>
          <w:color w:val="000000"/>
          <w:sz w:val="24"/>
        </w:rPr>
        <w:t xml:space="preserve">as summarised at </w:t>
      </w:r>
      <w:r>
        <w:rPr>
          <w:rFonts w:ascii="Arial"/>
          <w:color w:val="000000"/>
          <w:sz w:val="24"/>
        </w:rPr>
        <w:t xml:space="preserve">pars </w:t>
      </w:r>
      <w:r>
        <w:rPr>
          <w:rFonts w:ascii="Arial"/>
          <w:color w:val="000000"/>
          <w:sz w:val="24"/>
        </w:rPr>
        <w:t>121-153</w:t>
      </w:r>
      <w:r>
        <w:rPr>
          <w:rFonts w:ascii="Arial"/>
          <w:color w:val="000000"/>
          <w:sz w:val="24"/>
        </w:rPr>
        <w:t xml:space="preserve"> </w:t>
      </w:r>
      <w:r>
        <w:rPr>
          <w:rFonts w:ascii="Arial"/>
          <w:color w:val="000000"/>
          <w:sz w:val="24"/>
        </w:rPr>
        <w:t>in CCWS</w:t>
      </w:r>
      <w:r>
        <w:rPr>
          <w:rFonts w:ascii="Arial"/>
          <w:color w:val="000000"/>
          <w:sz w:val="24"/>
        </w:rPr>
        <w:t xml:space="preserve">. </w:t>
      </w:r>
      <w:r>
        <w:rPr>
          <w:rFonts w:ascii="Arial"/>
          <w:color w:val="000000"/>
          <w:sz w:val="24"/>
        </w:rPr>
        <w:t>I</w:t>
      </w:r>
      <w:r>
        <w:rPr>
          <w:rFonts w:ascii="Arial"/>
          <w:color w:val="000000"/>
          <w:sz w:val="24"/>
        </w:rPr>
        <w:t xml:space="preserve">n </w:t>
      </w:r>
      <w:r>
        <w:rPr>
          <w:rFonts w:ascii="Arial"/>
          <w:color w:val="000000"/>
          <w:sz w:val="24"/>
        </w:rPr>
        <w:t>the absence of the Court</w:t>
      </w:r>
      <w:r>
        <w:rPr>
          <w:rFonts w:ascii="Arial"/>
          <w:color w:val="000000"/>
          <w:sz w:val="24"/>
        </w:rPr>
        <w:t>’</w:t>
      </w:r>
      <w:r>
        <w:rPr>
          <w:rFonts w:ascii="Arial"/>
          <w:color w:val="000000"/>
          <w:sz w:val="24"/>
        </w:rPr>
        <w:t xml:space="preserve">s </w:t>
      </w:r>
      <w:r>
        <w:rPr>
          <w:rFonts w:ascii="Arial"/>
          <w:color w:val="000000"/>
          <w:sz w:val="24"/>
        </w:rPr>
        <w:t>satisfaction under those conditions</w:t>
      </w:r>
      <w:r>
        <w:rPr>
          <w:rFonts w:ascii="Arial"/>
          <w:color w:val="000000"/>
          <w:sz w:val="24"/>
        </w:rPr>
        <w:t>,</w:t>
      </w:r>
      <w:r>
        <w:rPr>
          <w:rFonts w:ascii="Arial"/>
          <w:color w:val="000000"/>
          <w:sz w:val="24"/>
        </w:rPr>
        <w:t xml:space="preserve"> </w:t>
      </w:r>
      <w:r>
        <w:rPr>
          <w:rFonts w:ascii="Arial"/>
          <w:color w:val="000000"/>
          <w:sz w:val="24"/>
        </w:rPr>
        <w:t xml:space="preserve">it follows that </w:t>
      </w:r>
      <w:r>
        <w:rPr>
          <w:rFonts w:ascii="Arial"/>
          <w:color w:val="000000"/>
          <w:sz w:val="24"/>
        </w:rPr>
        <w:t xml:space="preserve">the proposed stormwater drainage </w:t>
      </w:r>
      <w:r>
        <w:rPr>
          <w:rFonts w:ascii="Arial"/>
          <w:color w:val="000000"/>
          <w:sz w:val="24"/>
        </w:rPr>
        <w:t xml:space="preserve">works </w:t>
      </w:r>
      <w:r>
        <w:rPr>
          <w:rFonts w:ascii="Arial"/>
          <w:color w:val="000000"/>
          <w:sz w:val="24"/>
        </w:rPr>
        <w:t xml:space="preserve">do </w:t>
      </w:r>
      <w:r>
        <w:rPr>
          <w:rFonts w:ascii="Arial"/>
          <w:color w:val="000000"/>
          <w:sz w:val="24"/>
        </w:rPr>
        <w:t xml:space="preserve">not comply with the requirements in conditions 58, 60 and </w:t>
      </w:r>
      <w:r>
        <w:rPr>
          <w:rFonts w:ascii="Arial"/>
          <w:color w:val="000000"/>
          <w:sz w:val="24"/>
        </w:rPr>
        <w:t>57.</w:t>
      </w:r>
      <w:r>
        <w:rPr>
          <w:rFonts w:ascii="Arial"/>
          <w:color w:val="000000"/>
          <w:sz w:val="24"/>
        </w:rPr>
        <w:t xml:space="preserve"> </w:t>
      </w:r>
      <w:r>
        <w:rPr>
          <w:rFonts w:ascii="Arial"/>
          <w:color w:val="000000"/>
          <w:sz w:val="24"/>
        </w:rPr>
        <w:t xml:space="preserve">Furthermore, </w:t>
      </w:r>
      <w:r>
        <w:rPr>
          <w:rFonts w:ascii="Arial"/>
          <w:color w:val="000000"/>
          <w:sz w:val="24"/>
        </w:rPr>
        <w:t>I am not satisfied</w:t>
      </w:r>
      <w:r>
        <w:rPr>
          <w:rFonts w:ascii="Arial"/>
          <w:color w:val="000000"/>
          <w:sz w:val="24"/>
        </w:rPr>
        <w:t xml:space="preserve"> </w:t>
      </w:r>
      <w:r>
        <w:rPr>
          <w:rFonts w:ascii="Arial"/>
          <w:color w:val="000000"/>
          <w:sz w:val="24"/>
        </w:rPr>
        <w:t>on the merits</w:t>
      </w:r>
      <w:r>
        <w:rPr>
          <w:rFonts w:ascii="Arial"/>
          <w:color w:val="000000"/>
          <w:sz w:val="24"/>
        </w:rPr>
        <w:t xml:space="preserve"> </w:t>
      </w:r>
      <w:r>
        <w:rPr>
          <w:rFonts w:ascii="Arial"/>
          <w:color w:val="000000"/>
          <w:sz w:val="24"/>
        </w:rPr>
        <w:t>that the proposed stormwater drainage works will comply with the objective requirements in condition 59</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Wetland Hydrological Monitoring and Management Plan (</w:t>
      </w:r>
      <w:r>
        <w:rPr>
          <w:rFonts w:ascii="Arial"/>
          <w:b/>
          <w:color w:val="000000"/>
          <w:sz w:val="24"/>
        </w:rPr>
        <w:t>WHMMP</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and that the engineering drawings achieve the standards to be observed for stormwater management systems required by conditions 13,</w:t>
      </w:r>
      <w:r>
        <w:rPr>
          <w:rFonts w:ascii="Arial"/>
          <w:color w:val="000000"/>
          <w:sz w:val="24"/>
        </w:rPr>
        <w:t xml:space="preserve"> </w:t>
      </w:r>
      <w:r>
        <w:rPr>
          <w:rFonts w:ascii="Arial"/>
          <w:color w:val="000000"/>
          <w:sz w:val="24"/>
        </w:rPr>
        <w:t xml:space="preserve">15 and 21 </w:t>
      </w:r>
      <w:r>
        <w:rPr>
          <w:rFonts w:ascii="Arial"/>
          <w:color w:val="000000"/>
          <w:sz w:val="24"/>
        </w:rPr>
        <w:t xml:space="preserve">of the consent </w:t>
      </w:r>
      <w:r>
        <w:rPr>
          <w:rFonts w:ascii="Arial"/>
          <w:color w:val="000000"/>
          <w:sz w:val="24"/>
        </w:rPr>
        <w:t>(</w:t>
      </w:r>
      <w:r>
        <w:rPr>
          <w:rFonts w:ascii="Arial"/>
          <w:color w:val="000000"/>
          <w:sz w:val="24"/>
        </w:rPr>
        <w:t>DA 2018/51</w:t>
      </w:r>
      <w:r>
        <w:rPr>
          <w:rFonts w:ascii="Arial"/>
          <w:color w:val="000000"/>
          <w:sz w:val="24"/>
        </w:rPr>
        <w:t>)</w:t>
      </w:r>
      <w:r>
        <w:rPr>
          <w:rFonts w:ascii="Arial"/>
          <w:color w:val="000000"/>
          <w:sz w:val="24"/>
        </w:rPr>
        <w:t xml:space="preserve">, again for the reasons </w:t>
      </w:r>
      <w:r>
        <w:rPr>
          <w:rFonts w:ascii="Arial"/>
          <w:color w:val="000000"/>
          <w:sz w:val="24"/>
        </w:rPr>
        <w:t xml:space="preserve">as finally </w:t>
      </w:r>
      <w:r>
        <w:rPr>
          <w:rFonts w:ascii="Arial"/>
          <w:color w:val="000000"/>
          <w:sz w:val="24"/>
        </w:rPr>
        <w:t>submitted by the Council</w:t>
      </w:r>
      <w:r>
        <w:rPr>
          <w:rFonts w:ascii="Arial"/>
          <w:color w:val="000000"/>
          <w:sz w:val="24"/>
        </w:rPr>
        <w:t xml:space="preserve"> </w:t>
      </w:r>
      <w:r>
        <w:rPr>
          <w:rFonts w:ascii="Arial"/>
          <w:color w:val="000000"/>
          <w:sz w:val="24"/>
        </w:rPr>
        <w:t>in it</w:t>
      </w:r>
      <w:r>
        <w:rPr>
          <w:rFonts w:ascii="Arial"/>
          <w:color w:val="000000"/>
          <w:sz w:val="24"/>
        </w:rPr>
        <w:t>s</w:t>
      </w:r>
      <w:r>
        <w:rPr>
          <w:rFonts w:ascii="Arial"/>
          <w:color w:val="000000"/>
          <w:sz w:val="24"/>
        </w:rPr>
        <w:t xml:space="preserve"> </w:t>
      </w:r>
      <w:r>
        <w:rPr>
          <w:rFonts w:ascii="Arial"/>
          <w:color w:val="000000"/>
          <w:sz w:val="24"/>
        </w:rPr>
        <w:t>CCWS</w:t>
      </w:r>
      <w:r>
        <w:rPr>
          <w:rFonts w:ascii="Arial"/>
          <w:color w:val="000000"/>
          <w:sz w:val="24"/>
        </w:rPr>
        <w:t xml:space="preserve">. </w:t>
      </w:r>
    </w:p>
    <w:p>
      <w:pPr>
        <w:pStyle w:val="CaselawNumbered10"/>
        <w:numPr>
          <w:ilvl w:val="0"/>
          <w:numId w:val="67"/>
        </w:numPr>
        <w:spacing w:before="150" w:after="0"/>
        <w:ind w:left="600" w:hanging="600"/>
      </w:pPr>
      <w:r>
        <w:rPr>
          <w:rFonts w:ascii="Arial"/>
          <w:color w:val="000000"/>
          <w:sz w:val="24"/>
        </w:rPr>
        <w:t>Accordingly</w:t>
      </w:r>
      <w:r>
        <w:rPr>
          <w:rFonts w:ascii="Arial"/>
          <w:color w:val="000000"/>
          <w:sz w:val="24"/>
        </w:rPr>
        <w:t>, a</w:t>
      </w:r>
      <w:r>
        <w:rPr>
          <w:rFonts w:ascii="Arial"/>
          <w:color w:val="000000"/>
          <w:sz w:val="24"/>
        </w:rPr>
        <w:t xml:space="preserve">s </w:t>
      </w:r>
      <w:r>
        <w:rPr>
          <w:rFonts w:ascii="Arial"/>
          <w:color w:val="000000"/>
          <w:sz w:val="24"/>
        </w:rPr>
        <w:t xml:space="preserve">the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 xml:space="preserve"> </w:t>
      </w:r>
      <w:r>
        <w:rPr>
          <w:rFonts w:ascii="Arial"/>
          <w:color w:val="000000"/>
          <w:sz w:val="24"/>
        </w:rPr>
        <w:t>the subject of the application</w:t>
      </w:r>
      <w:r>
        <w:rPr>
          <w:rFonts w:ascii="Arial"/>
          <w:color w:val="000000"/>
          <w:sz w:val="24"/>
        </w:rPr>
        <w:t>s</w:t>
      </w:r>
      <w:r>
        <w:rPr>
          <w:rFonts w:ascii="Arial"/>
          <w:color w:val="000000"/>
          <w:sz w:val="24"/>
        </w:rPr>
        <w:t xml:space="preserve"> </w:t>
      </w:r>
      <w:r>
        <w:rPr>
          <w:rFonts w:ascii="Arial"/>
          <w:color w:val="000000"/>
          <w:sz w:val="24"/>
        </w:rPr>
        <w:t>do</w:t>
      </w:r>
      <w:r>
        <w:rPr>
          <w:rFonts w:ascii="Arial"/>
          <w:color w:val="000000"/>
          <w:sz w:val="24"/>
        </w:rPr>
        <w:t xml:space="preserve"> </w:t>
      </w:r>
      <w:r>
        <w:rPr>
          <w:rFonts w:ascii="Arial"/>
          <w:color w:val="000000"/>
          <w:sz w:val="24"/>
        </w:rPr>
        <w:t>not comply with the conditions of development consent</w:t>
      </w:r>
      <w:r>
        <w:rPr>
          <w:rFonts w:ascii="Arial"/>
          <w:color w:val="000000"/>
          <w:sz w:val="24"/>
        </w:rPr>
        <w:t>s</w:t>
      </w:r>
      <w:r>
        <w:rPr>
          <w:rFonts w:ascii="Arial"/>
          <w:color w:val="000000"/>
          <w:sz w:val="24"/>
        </w:rPr>
        <w:t xml:space="preserve"> </w:t>
      </w:r>
      <w:r>
        <w:rPr>
          <w:rFonts w:ascii="Arial"/>
          <w:color w:val="000000"/>
          <w:sz w:val="24"/>
        </w:rPr>
        <w:t>DA 2018/51 and DA 2020/284</w:t>
      </w:r>
      <w:r>
        <w:rPr>
          <w:rFonts w:ascii="Arial"/>
          <w:color w:val="000000"/>
          <w:sz w:val="24"/>
        </w:rPr>
        <w:t>,</w:t>
      </w:r>
      <w:r>
        <w:rPr>
          <w:rFonts w:ascii="Arial"/>
          <w:color w:val="000000"/>
          <w:sz w:val="24"/>
        </w:rPr>
        <w:t xml:space="preserve"> </w:t>
      </w:r>
      <w:r>
        <w:rPr>
          <w:rFonts w:ascii="Arial"/>
          <w:color w:val="000000"/>
          <w:sz w:val="24"/>
        </w:rPr>
        <w:t xml:space="preserve">the Court cannot approve the s68 applications allowing </w:t>
      </w:r>
      <w:r>
        <w:rPr>
          <w:rFonts w:ascii="Arial"/>
          <w:color w:val="000000"/>
          <w:sz w:val="24"/>
        </w:rPr>
        <w:t xml:space="preserve">the proposed </w:t>
      </w:r>
      <w:r>
        <w:rPr>
          <w:rFonts w:ascii="Arial"/>
          <w:color w:val="000000"/>
          <w:sz w:val="24"/>
        </w:rPr>
        <w:t xml:space="preserve">stormwater drainage </w:t>
      </w:r>
      <w:r>
        <w:rPr>
          <w:rFonts w:ascii="Arial"/>
          <w:color w:val="000000"/>
          <w:sz w:val="24"/>
        </w:rPr>
        <w:t xml:space="preserve">work. </w:t>
      </w:r>
    </w:p>
    <w:p>
      <w:pPr>
        <w:pStyle w:val="CaselawNumbered10"/>
        <w:numPr>
          <w:ilvl w:val="0"/>
          <w:numId w:val="67"/>
        </w:numPr>
        <w:spacing w:before="150" w:after="0"/>
        <w:ind w:left="600" w:hanging="600"/>
      </w:pPr>
      <w:r>
        <w:rPr>
          <w:rFonts w:ascii="Arial"/>
          <w:color w:val="000000"/>
          <w:sz w:val="24"/>
        </w:rPr>
        <w:t xml:space="preserve">In forming this </w:t>
      </w:r>
      <w:r>
        <w:rPr>
          <w:rFonts w:ascii="Arial"/>
          <w:color w:val="000000"/>
          <w:sz w:val="24"/>
        </w:rPr>
        <w:t>view,</w:t>
      </w:r>
      <w:r>
        <w:rPr>
          <w:rFonts w:ascii="Arial"/>
          <w:color w:val="000000"/>
          <w:sz w:val="24"/>
        </w:rPr>
        <w:t xml:space="preserve"> </w:t>
      </w:r>
      <w:r>
        <w:rPr>
          <w:rFonts w:ascii="Arial"/>
          <w:color w:val="000000"/>
          <w:sz w:val="24"/>
        </w:rPr>
        <w:t xml:space="preserve">I have </w:t>
      </w:r>
      <w:r>
        <w:rPr>
          <w:rFonts w:ascii="Arial"/>
          <w:color w:val="000000"/>
          <w:sz w:val="24"/>
        </w:rPr>
        <w:t xml:space="preserve">carefully considered </w:t>
      </w:r>
      <w:r>
        <w:rPr>
          <w:rFonts w:ascii="Arial"/>
          <w:color w:val="000000"/>
          <w:sz w:val="24"/>
        </w:rPr>
        <w:t xml:space="preserve">the evidence and </w:t>
      </w:r>
      <w:r>
        <w:rPr>
          <w:rFonts w:ascii="Arial"/>
          <w:color w:val="000000"/>
          <w:sz w:val="24"/>
        </w:rPr>
        <w:t>parties</w:t>
      </w:r>
      <w:r>
        <w:rPr>
          <w:rFonts w:ascii="Arial"/>
          <w:color w:val="000000"/>
          <w:sz w:val="24"/>
        </w:rPr>
        <w:t>’</w:t>
      </w:r>
      <w:r>
        <w:rPr>
          <w:rFonts w:ascii="Arial"/>
          <w:color w:val="000000"/>
          <w:sz w:val="24"/>
        </w:rPr>
        <w:t xml:space="preserve"> </w:t>
      </w:r>
      <w:r>
        <w:rPr>
          <w:rFonts w:ascii="Arial"/>
          <w:color w:val="000000"/>
          <w:sz w:val="24"/>
        </w:rPr>
        <w:t xml:space="preserve">oral and </w:t>
      </w:r>
      <w:r>
        <w:rPr>
          <w:rFonts w:ascii="Arial"/>
          <w:color w:val="000000"/>
          <w:sz w:val="24"/>
        </w:rPr>
        <w:t>written submissions</w:t>
      </w:r>
      <w:r>
        <w:rPr>
          <w:rFonts w:ascii="Arial"/>
          <w:color w:val="000000"/>
          <w:sz w:val="24"/>
        </w:rPr>
        <w:t xml:space="preserve"> </w:t>
      </w:r>
      <w:r>
        <w:rPr>
          <w:rFonts w:ascii="Arial"/>
          <w:color w:val="000000"/>
          <w:sz w:val="24"/>
        </w:rPr>
        <w:t xml:space="preserve">which include </w:t>
      </w:r>
      <w:r>
        <w:rPr>
          <w:rFonts w:ascii="Arial"/>
          <w:color w:val="000000"/>
          <w:sz w:val="24"/>
        </w:rPr>
        <w:t>the applicant</w:t>
      </w:r>
      <w:r>
        <w:rPr>
          <w:rFonts w:ascii="Arial"/>
          <w:color w:val="000000"/>
          <w:sz w:val="24"/>
        </w:rPr>
        <w:t>’</w:t>
      </w:r>
      <w:r>
        <w:rPr>
          <w:rFonts w:ascii="Arial"/>
          <w:color w:val="000000"/>
          <w:sz w:val="24"/>
        </w:rPr>
        <w:t xml:space="preserve">s amended plans at Annexures </w:t>
      </w:r>
      <w:r>
        <w:rPr>
          <w:rFonts w:ascii="Arial"/>
          <w:color w:val="000000"/>
          <w:sz w:val="24"/>
        </w:rPr>
        <w:t>B</w:t>
      </w:r>
      <w:r>
        <w:rPr>
          <w:rFonts w:ascii="Arial"/>
          <w:color w:val="000000"/>
          <w:sz w:val="24"/>
        </w:rPr>
        <w:t xml:space="preserve"> </w:t>
      </w:r>
      <w:r>
        <w:rPr>
          <w:rFonts w:ascii="Arial"/>
          <w:color w:val="000000"/>
          <w:sz w:val="24"/>
        </w:rPr>
        <w:t xml:space="preserve">and </w:t>
      </w:r>
      <w:r>
        <w:rPr>
          <w:rFonts w:ascii="Arial"/>
          <w:color w:val="000000"/>
          <w:sz w:val="24"/>
        </w:rPr>
        <w:t>C</w:t>
      </w:r>
      <w:r>
        <w:rPr>
          <w:rFonts w:ascii="Arial"/>
          <w:color w:val="000000"/>
          <w:sz w:val="24"/>
        </w:rPr>
        <w:t xml:space="preserve">, </w:t>
      </w:r>
      <w:r>
        <w:rPr>
          <w:rFonts w:ascii="Arial"/>
          <w:color w:val="000000"/>
          <w:sz w:val="24"/>
        </w:rPr>
        <w:t xml:space="preserve">the </w:t>
      </w:r>
      <w:r>
        <w:rPr>
          <w:rFonts w:ascii="Arial"/>
          <w:color w:val="000000"/>
          <w:sz w:val="24"/>
        </w:rPr>
        <w:t>a</w:t>
      </w:r>
      <w:r>
        <w:rPr>
          <w:rFonts w:ascii="Arial"/>
          <w:color w:val="000000"/>
          <w:sz w:val="24"/>
        </w:rPr>
        <w:t>pplicant</w:t>
      </w:r>
      <w:r>
        <w:rPr>
          <w:rFonts w:ascii="Arial"/>
          <w:color w:val="000000"/>
          <w:sz w:val="24"/>
        </w:rPr>
        <w:t>’</w:t>
      </w:r>
      <w:r>
        <w:rPr>
          <w:rFonts w:ascii="Arial"/>
          <w:color w:val="000000"/>
          <w:sz w:val="24"/>
        </w:rPr>
        <w:t xml:space="preserve">s </w:t>
      </w:r>
      <w:r>
        <w:rPr>
          <w:rFonts w:ascii="Arial"/>
          <w:color w:val="000000"/>
          <w:sz w:val="24"/>
        </w:rPr>
        <w:t>T</w:t>
      </w:r>
      <w:r>
        <w:rPr>
          <w:rFonts w:ascii="Arial"/>
          <w:color w:val="000000"/>
          <w:sz w:val="24"/>
        </w:rPr>
        <w:t xml:space="preserve">able </w:t>
      </w:r>
      <w:r>
        <w:rPr>
          <w:rFonts w:ascii="Arial"/>
          <w:color w:val="000000"/>
          <w:sz w:val="24"/>
        </w:rPr>
        <w:t xml:space="preserve">addressing the </w:t>
      </w:r>
      <w:r>
        <w:rPr>
          <w:rFonts w:ascii="Arial"/>
          <w:color w:val="000000"/>
          <w:sz w:val="24"/>
        </w:rPr>
        <w:t xml:space="preserve">LG Act </w:t>
      </w:r>
      <w:r>
        <w:rPr>
          <w:rFonts w:ascii="Arial"/>
          <w:color w:val="000000"/>
          <w:sz w:val="24"/>
        </w:rPr>
        <w:t>and Regulations with cross-references to the evidence and the Council</w:t>
      </w:r>
      <w:r>
        <w:rPr>
          <w:rFonts w:ascii="Arial"/>
          <w:color w:val="000000"/>
          <w:sz w:val="24"/>
        </w:rPr>
        <w:t>’</w:t>
      </w:r>
      <w:r>
        <w:rPr>
          <w:rFonts w:ascii="Arial"/>
          <w:color w:val="000000"/>
          <w:sz w:val="24"/>
        </w:rPr>
        <w:t>s response in its table addressing contention 1 with cross-references to the evidence.</w:t>
      </w:r>
      <w:r>
        <w:rPr>
          <w:rFonts w:ascii="Arial"/>
          <w:color w:val="000000"/>
          <w:sz w:val="24"/>
        </w:rPr>
        <w:t xml:space="preserve"> </w:t>
      </w:r>
      <w:r>
        <w:rPr>
          <w:rFonts w:ascii="Arial"/>
          <w:color w:val="000000"/>
          <w:sz w:val="24"/>
        </w:rPr>
        <w:t xml:space="preserve">I </w:t>
      </w:r>
      <w:r>
        <w:rPr>
          <w:rFonts w:ascii="Arial"/>
          <w:color w:val="000000"/>
          <w:sz w:val="24"/>
        </w:rPr>
        <w:t xml:space="preserve">have also read </w:t>
      </w:r>
      <w:r>
        <w:rPr>
          <w:rFonts w:ascii="Arial"/>
          <w:color w:val="000000"/>
          <w:sz w:val="24"/>
        </w:rPr>
        <w:t xml:space="preserve">and considered </w:t>
      </w:r>
      <w:r>
        <w:rPr>
          <w:rFonts w:ascii="Arial"/>
          <w:color w:val="000000"/>
          <w:sz w:val="24"/>
        </w:rPr>
        <w:t>the transcript of the hearing</w:t>
      </w:r>
      <w:r>
        <w:rPr>
          <w:rFonts w:ascii="Arial"/>
          <w:color w:val="000000"/>
          <w:sz w:val="24"/>
        </w:rPr>
        <w:t xml:space="preserve"> </w:t>
      </w:r>
      <w:r>
        <w:rPr>
          <w:rFonts w:ascii="Arial"/>
          <w:color w:val="000000"/>
          <w:sz w:val="24"/>
        </w:rPr>
        <w:t>together with the particular transcript references in the submissions</w:t>
      </w:r>
      <w:r>
        <w:rPr>
          <w:rFonts w:ascii="Arial"/>
          <w:color w:val="000000"/>
          <w:sz w:val="24"/>
        </w:rPr>
        <w:t>.</w:t>
      </w:r>
    </w:p>
    <w:p>
      <w:pPr>
        <w:pStyle w:val="CaselawNumbered10"/>
        <w:numPr>
          <w:ilvl w:val="0"/>
          <w:numId w:val="67"/>
        </w:numPr>
        <w:spacing w:before="150" w:after="0"/>
        <w:ind w:left="600" w:hanging="600"/>
      </w:pPr>
      <w:r>
        <w:rPr>
          <w:rFonts w:ascii="Arial"/>
          <w:color w:val="000000"/>
          <w:sz w:val="24"/>
        </w:rPr>
        <w:t xml:space="preserve">During the course of cross-examination, there were occasions where the </w:t>
      </w:r>
      <w:r>
        <w:rPr>
          <w:rFonts w:ascii="Arial"/>
          <w:color w:val="000000"/>
          <w:sz w:val="24"/>
        </w:rPr>
        <w:t>a</w:t>
      </w:r>
      <w:r>
        <w:rPr>
          <w:rFonts w:ascii="Arial"/>
          <w:color w:val="000000"/>
          <w:sz w:val="24"/>
        </w:rPr>
        <w:t>pplicant</w:t>
      </w:r>
      <w:r>
        <w:rPr>
          <w:rFonts w:ascii="Arial"/>
          <w:color w:val="000000"/>
          <w:sz w:val="24"/>
        </w:rPr>
        <w:t>’</w:t>
      </w:r>
      <w:r>
        <w:rPr>
          <w:rFonts w:ascii="Arial"/>
          <w:color w:val="000000"/>
          <w:sz w:val="24"/>
        </w:rPr>
        <w:t>s consultants suggested there was information that was not set out in relevant application documents, amendments that it might be desirable to make, amendments that ought be made to the documentation, or matters that might require clarification</w:t>
      </w:r>
      <w:r>
        <w:rPr>
          <w:rFonts w:ascii="Arial"/>
          <w:color w:val="000000"/>
          <w:sz w:val="24"/>
        </w:rPr>
        <w:t xml:space="preserve">. </w:t>
      </w:r>
      <w:r>
        <w:rPr>
          <w:rFonts w:ascii="Arial"/>
          <w:color w:val="000000"/>
          <w:sz w:val="24"/>
        </w:rPr>
        <w:t>The Council summar</w:t>
      </w:r>
      <w:r>
        <w:rPr>
          <w:rFonts w:ascii="Arial"/>
          <w:color w:val="000000"/>
          <w:sz w:val="24"/>
        </w:rPr>
        <w:t>i</w:t>
      </w:r>
      <w:r>
        <w:rPr>
          <w:rFonts w:ascii="Arial"/>
          <w:color w:val="000000"/>
          <w:sz w:val="24"/>
        </w:rPr>
        <w:t>se</w:t>
      </w:r>
      <w:r>
        <w:rPr>
          <w:rFonts w:ascii="Arial"/>
          <w:color w:val="000000"/>
          <w:sz w:val="24"/>
        </w:rPr>
        <w:t>d</w:t>
      </w:r>
      <w:r>
        <w:rPr>
          <w:rFonts w:ascii="Arial"/>
          <w:color w:val="000000"/>
          <w:sz w:val="24"/>
        </w:rPr>
        <w:t xml:space="preserve"> </w:t>
      </w:r>
      <w:r>
        <w:rPr>
          <w:rFonts w:ascii="Arial"/>
          <w:color w:val="000000"/>
          <w:sz w:val="24"/>
        </w:rPr>
        <w:t xml:space="preserve">these matters in the Table at </w:t>
      </w:r>
      <w:r>
        <w:rPr>
          <w:rFonts w:ascii="Arial"/>
          <w:color w:val="000000"/>
          <w:sz w:val="24"/>
        </w:rPr>
        <w:t xml:space="preserve">par 121 </w:t>
      </w:r>
      <w:r>
        <w:rPr>
          <w:rFonts w:ascii="Arial"/>
          <w:color w:val="000000"/>
          <w:sz w:val="24"/>
        </w:rPr>
        <w:t xml:space="preserve">of the CWS. On any view, </w:t>
      </w:r>
      <w:r>
        <w:rPr>
          <w:rFonts w:ascii="Arial"/>
          <w:color w:val="000000"/>
          <w:sz w:val="24"/>
        </w:rPr>
        <w:t xml:space="preserve">the </w:t>
      </w:r>
      <w:r>
        <w:rPr>
          <w:rFonts w:ascii="Arial"/>
          <w:color w:val="000000"/>
          <w:sz w:val="24"/>
        </w:rPr>
        <w:t>T</w:t>
      </w:r>
      <w:r>
        <w:rPr>
          <w:rFonts w:ascii="Arial"/>
          <w:color w:val="000000"/>
          <w:sz w:val="24"/>
        </w:rPr>
        <w:t xml:space="preserve">able </w:t>
      </w:r>
      <w:r>
        <w:rPr>
          <w:rFonts w:ascii="Arial"/>
          <w:color w:val="000000"/>
          <w:sz w:val="24"/>
        </w:rPr>
        <w:t>contain</w:t>
      </w:r>
      <w:r>
        <w:rPr>
          <w:rFonts w:ascii="Arial"/>
          <w:color w:val="000000"/>
          <w:sz w:val="24"/>
        </w:rPr>
        <w:t xml:space="preserve">s </w:t>
      </w:r>
      <w:r>
        <w:rPr>
          <w:rFonts w:ascii="Arial"/>
          <w:color w:val="000000"/>
          <w:sz w:val="24"/>
        </w:rPr>
        <w:t xml:space="preserve">a </w:t>
      </w:r>
      <w:r>
        <w:rPr>
          <w:rFonts w:ascii="Arial"/>
          <w:color w:val="000000"/>
          <w:sz w:val="24"/>
        </w:rPr>
        <w:t>considerable number of occasions where the applicant</w:t>
      </w:r>
      <w:r>
        <w:rPr>
          <w:rFonts w:ascii="Arial"/>
          <w:color w:val="000000"/>
          <w:sz w:val="24"/>
        </w:rPr>
        <w:t>’</w:t>
      </w:r>
      <w:r>
        <w:rPr>
          <w:rFonts w:ascii="Arial"/>
          <w:color w:val="000000"/>
          <w:sz w:val="24"/>
        </w:rPr>
        <w:t>s experts propose that the reports or plans should be modified or detailed in design</w:t>
      </w:r>
      <w:r>
        <w:rPr>
          <w:rFonts w:ascii="Arial"/>
          <w:color w:val="000000"/>
          <w:sz w:val="24"/>
        </w:rPr>
        <w:t>.</w:t>
      </w:r>
      <w:r>
        <w:rPr>
          <w:rFonts w:ascii="Arial"/>
          <w:color w:val="000000"/>
          <w:sz w:val="24"/>
        </w:rPr>
        <w:t xml:space="preserve"> </w:t>
      </w:r>
      <w:r>
        <w:rPr>
          <w:rFonts w:ascii="Arial"/>
          <w:color w:val="000000"/>
          <w:sz w:val="24"/>
        </w:rPr>
        <w:t>S</w:t>
      </w:r>
      <w:r>
        <w:rPr>
          <w:rFonts w:ascii="Arial"/>
          <w:color w:val="000000"/>
          <w:sz w:val="24"/>
        </w:rPr>
        <w:t xml:space="preserve">ome of these matters have been addressed by the amendments allowed on the </w:t>
      </w:r>
      <w:r>
        <w:rPr>
          <w:rFonts w:ascii="Arial"/>
          <w:color w:val="000000"/>
          <w:sz w:val="24"/>
        </w:rPr>
        <w:t>second</w:t>
      </w:r>
      <w:r>
        <w:rPr>
          <w:rFonts w:ascii="Arial"/>
          <w:color w:val="000000"/>
          <w:sz w:val="24"/>
        </w:rPr>
        <w:t xml:space="preserve"> </w:t>
      </w:r>
      <w:r>
        <w:rPr>
          <w:rFonts w:ascii="Arial"/>
          <w:color w:val="000000"/>
          <w:sz w:val="24"/>
        </w:rPr>
        <w:t xml:space="preserve">day of the hearing but not all of them. </w:t>
      </w:r>
    </w:p>
    <w:p>
      <w:pPr>
        <w:pStyle w:val="CaselawNumbered10"/>
        <w:numPr>
          <w:ilvl w:val="0"/>
          <w:numId w:val="67"/>
        </w:numPr>
        <w:spacing w:before="150" w:after="0"/>
        <w:ind w:left="600" w:hanging="600"/>
      </w:pPr>
      <w:r>
        <w:rPr>
          <w:rFonts w:ascii="Arial"/>
          <w:color w:val="000000"/>
          <w:sz w:val="24"/>
        </w:rPr>
        <w:t xml:space="preserve">The applicant contends that the latest versions of the WMAMP (Annexure </w:t>
      </w:r>
      <w:r>
        <w:rPr>
          <w:rFonts w:ascii="Arial"/>
          <w:color w:val="000000"/>
          <w:sz w:val="24"/>
        </w:rPr>
        <w:t>C</w:t>
      </w:r>
      <w:r>
        <w:rPr>
          <w:rFonts w:ascii="Arial"/>
          <w:color w:val="000000"/>
          <w:sz w:val="24"/>
        </w:rPr>
        <w:t xml:space="preserve">) and WMP (Annexure </w:t>
      </w:r>
      <w:r>
        <w:rPr>
          <w:rFonts w:ascii="Arial"/>
          <w:color w:val="000000"/>
          <w:sz w:val="24"/>
        </w:rPr>
        <w:t>B</w:t>
      </w:r>
      <w:r>
        <w:rPr>
          <w:rFonts w:ascii="Arial"/>
          <w:color w:val="000000"/>
          <w:sz w:val="24"/>
        </w:rPr>
        <w:t>) attached to it</w:t>
      </w:r>
      <w:r>
        <w:rPr>
          <w:rFonts w:ascii="Arial"/>
          <w:color w:val="000000"/>
          <w:sz w:val="24"/>
        </w:rPr>
        <w:t>s</w:t>
      </w:r>
      <w:r>
        <w:rPr>
          <w:rFonts w:ascii="Arial"/>
          <w:color w:val="000000"/>
          <w:sz w:val="24"/>
        </w:rPr>
        <w:t xml:space="preserve"> </w:t>
      </w:r>
      <w:r>
        <w:rPr>
          <w:rFonts w:ascii="Arial"/>
          <w:color w:val="000000"/>
          <w:sz w:val="24"/>
        </w:rPr>
        <w:t xml:space="preserve">final submissions address all relevant matters raised by the evidence, subject to some further minor amendments. However, I remain concerned </w:t>
      </w:r>
      <w:r>
        <w:rPr>
          <w:rFonts w:ascii="Arial"/>
          <w:color w:val="000000"/>
          <w:sz w:val="24"/>
        </w:rPr>
        <w:t xml:space="preserve">about the </w:t>
      </w:r>
      <w:r>
        <w:rPr>
          <w:rFonts w:ascii="Arial"/>
          <w:color w:val="000000"/>
          <w:sz w:val="24"/>
        </w:rPr>
        <w:t>adequacy</w:t>
      </w:r>
      <w:r>
        <w:rPr>
          <w:rFonts w:ascii="Arial"/>
          <w:color w:val="000000"/>
          <w:sz w:val="24"/>
        </w:rPr>
        <w:t xml:space="preserve"> </w:t>
      </w:r>
      <w:r>
        <w:rPr>
          <w:rFonts w:ascii="Arial"/>
          <w:color w:val="000000"/>
          <w:sz w:val="24"/>
        </w:rPr>
        <w:t xml:space="preserve">of the WMAMP under condition 58 particularly for the reasons submitted by the Council </w:t>
      </w:r>
      <w:r>
        <w:rPr>
          <w:rFonts w:ascii="Arial"/>
          <w:color w:val="000000"/>
          <w:sz w:val="24"/>
        </w:rPr>
        <w:t xml:space="preserve">after having regard to </w:t>
      </w:r>
      <w:r>
        <w:rPr>
          <w:rFonts w:ascii="Arial"/>
          <w:color w:val="000000"/>
          <w:sz w:val="24"/>
        </w:rPr>
        <w:t>Mr McCann</w:t>
      </w:r>
      <w:r>
        <w:rPr>
          <w:rFonts w:ascii="Arial"/>
          <w:color w:val="000000"/>
          <w:sz w:val="24"/>
        </w:rPr>
        <w:t>’</w:t>
      </w:r>
      <w:r>
        <w:rPr>
          <w:rFonts w:ascii="Arial"/>
          <w:color w:val="000000"/>
          <w:sz w:val="24"/>
        </w:rPr>
        <w:t>s candid oral evidence about the deficiencies in the applicant</w:t>
      </w:r>
      <w:r>
        <w:rPr>
          <w:rFonts w:ascii="Arial"/>
          <w:color w:val="000000"/>
          <w:sz w:val="24"/>
        </w:rPr>
        <w:t>’</w:t>
      </w:r>
      <w:r>
        <w:rPr>
          <w:rFonts w:ascii="Arial"/>
          <w:color w:val="000000"/>
          <w:sz w:val="24"/>
        </w:rPr>
        <w:t>s WMAMP</w:t>
      </w:r>
      <w:r>
        <w:rPr>
          <w:rFonts w:ascii="Arial"/>
          <w:color w:val="000000"/>
          <w:sz w:val="24"/>
        </w:rPr>
        <w:t xml:space="preserve"> </w:t>
      </w:r>
      <w:r>
        <w:rPr>
          <w:rFonts w:ascii="Arial"/>
          <w:color w:val="000000"/>
          <w:sz w:val="24"/>
        </w:rPr>
        <w:t>namely</w:t>
      </w:r>
      <w:r>
        <w:rPr>
          <w:rFonts w:ascii="Arial"/>
          <w:color w:val="000000"/>
          <w:sz w:val="24"/>
        </w:rPr>
        <w:t xml:space="preserve">: </w:t>
      </w:r>
    </w:p>
    <w:p>
      <w:pPr>
        <w:pStyle w:val="CaselawQuote"/>
        <w:spacing w:before="150" w:after="150"/>
        <w:ind w:left="1350"/>
        <w:jc w:val="left"/>
      </w:pPr>
      <w:r>
        <w:rPr>
          <w:rFonts w:ascii="Arial"/>
          <w:color w:val="000000"/>
          <w:sz w:val="22"/>
        </w:rPr>
        <w:t>“123.</w:t>
      </w:r>
      <w:r>
        <w:rPr>
          <w:rFonts w:ascii="Arial"/>
          <w:color w:val="000000"/>
          <w:sz w:val="22"/>
        </w:rPr>
        <w:t>   </w:t>
      </w:r>
      <w:r>
        <w:rPr>
          <w:rFonts w:ascii="Arial"/>
          <w:color w:val="000000"/>
          <w:sz w:val="22"/>
        </w:rPr>
        <w:t>…</w:t>
      </w:r>
      <w:r>
        <w:rPr>
          <w:rFonts w:ascii="Arial"/>
          <w:color w:val="000000"/>
          <w:sz w:val="22"/>
        </w:rPr>
        <w:t xml:space="preserve"> </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 xml:space="preserve">Mr McCann referred to a range of acceptable composition for the freshwater wetland EEC, but accepted that it was not set out in the WMAMP: Transcript 6/12/23 p 181 T[25]-[43]; </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Mr McCann said for completeness the WMAMP could refer to the requirement to notify Council of incidents within 48 hours: Transcript 6/12/23 p 189 T[1]-[15];</w:t>
      </w:r>
    </w:p>
    <w:p>
      <w:pPr>
        <w:pStyle w:val="CaselawQuote0"/>
        <w:spacing w:before="150" w:after="150"/>
        <w:ind w:left="2100"/>
        <w:jc w:val="left"/>
      </w:pPr>
      <w:r>
        <w:rPr>
          <w:rFonts w:ascii="Arial"/>
          <w:color w:val="000000"/>
          <w:sz w:val="22"/>
        </w:rPr>
        <w:t>(c)</w:t>
      </w:r>
      <w:r>
        <w:rPr>
          <w:rFonts w:ascii="Arial"/>
          <w:color w:val="000000"/>
          <w:sz w:val="22"/>
        </w:rPr>
        <w:t>   </w:t>
      </w:r>
      <w:r>
        <w:rPr>
          <w:rFonts w:ascii="Arial"/>
          <w:color w:val="000000"/>
          <w:sz w:val="22"/>
        </w:rPr>
        <w:t xml:space="preserve">Mr McCann indicated he would be happy to change the wording in connection with the options for remedial action in his WMAMP if it would make it clearer (after he had been taken to differences in wording between the availability of other options in the WHMMP and the WMAMP): Transcript 6/12/23 p 190 T[46] </w:t>
      </w:r>
      <w:r>
        <w:rPr>
          <w:rFonts w:ascii="Arial"/>
          <w:color w:val="000000"/>
          <w:sz w:val="22"/>
        </w:rPr>
        <w:t>to p</w:t>
      </w:r>
      <w:r>
        <w:rPr>
          <w:rFonts w:ascii="Arial"/>
          <w:color w:val="000000"/>
          <w:sz w:val="22"/>
        </w:rPr>
        <w:t xml:space="preserve"> 193 T[24]; </w:t>
      </w:r>
    </w:p>
    <w:p>
      <w:pPr>
        <w:pStyle w:val="CaselawQuote0"/>
        <w:spacing w:before="150" w:after="150"/>
        <w:ind w:left="2100"/>
        <w:jc w:val="left"/>
      </w:pPr>
      <w:r>
        <w:rPr>
          <w:rFonts w:ascii="Arial"/>
          <w:color w:val="000000"/>
          <w:sz w:val="22"/>
        </w:rPr>
        <w:t>(d)</w:t>
      </w:r>
      <w:r>
        <w:rPr>
          <w:rFonts w:ascii="Arial"/>
          <w:color w:val="000000"/>
          <w:sz w:val="22"/>
        </w:rPr>
        <w:t>   </w:t>
      </w:r>
      <w:r>
        <w:rPr>
          <w:rFonts w:ascii="Arial"/>
          <w:color w:val="000000"/>
          <w:sz w:val="22"/>
        </w:rPr>
        <w:t xml:space="preserve">Mr McCann acknowledged that he forgot to insert the baseline plot locations in the WMAMP and that now was the time to fix this: Transcript 6/12/23 p 193 T[33] </w:t>
      </w:r>
      <w:r>
        <w:rPr>
          <w:rFonts w:ascii="Arial"/>
          <w:color w:val="000000"/>
          <w:sz w:val="22"/>
        </w:rPr>
        <w:t>to p</w:t>
      </w:r>
      <w:r>
        <w:rPr>
          <w:rFonts w:ascii="Arial"/>
          <w:color w:val="000000"/>
          <w:sz w:val="22"/>
        </w:rPr>
        <w:t xml:space="preserve"> 194 T[3]; </w:t>
      </w:r>
    </w:p>
    <w:p>
      <w:pPr>
        <w:pStyle w:val="CaselawQuote0"/>
        <w:spacing w:before="150" w:after="150"/>
        <w:ind w:left="2100"/>
        <w:jc w:val="left"/>
      </w:pPr>
      <w:r>
        <w:rPr>
          <w:rFonts w:ascii="Arial"/>
          <w:color w:val="000000"/>
          <w:sz w:val="22"/>
        </w:rPr>
        <w:t>(e)</w:t>
      </w:r>
      <w:r>
        <w:rPr>
          <w:rFonts w:ascii="Arial"/>
          <w:color w:val="000000"/>
          <w:sz w:val="22"/>
        </w:rPr>
        <w:t>   </w:t>
      </w:r>
      <w:r>
        <w:rPr>
          <w:rFonts w:ascii="Arial"/>
          <w:color w:val="000000"/>
          <w:sz w:val="22"/>
        </w:rPr>
        <w:t xml:space="preserve">Mr McCann accepted that the reference in the “on maintenance” phase component of the WMAMP was intended to be to Table 3-4 rather than </w:t>
      </w:r>
    </w:p>
    <w:p>
      <w:pPr>
        <w:pStyle w:val="CaselawQuote0"/>
        <w:spacing w:before="150" w:after="150"/>
        <w:ind w:left="2100"/>
        <w:jc w:val="left"/>
      </w:pPr>
      <w:r>
        <w:rPr>
          <w:rFonts w:ascii="Arial"/>
          <w:color w:val="000000"/>
          <w:sz w:val="22"/>
        </w:rPr>
        <w:t xml:space="preserve">Table 3-3, which deals which construction phase remedial measures, and that he would fix this “as soon as possible”: Transcript 6/12/23 p 198 T[25]-[45]; </w:t>
      </w:r>
    </w:p>
    <w:p>
      <w:pPr>
        <w:pStyle w:val="CaselawQuote0"/>
        <w:spacing w:before="150" w:after="150"/>
        <w:ind w:left="2100"/>
        <w:jc w:val="left"/>
      </w:pPr>
      <w:r>
        <w:rPr>
          <w:rFonts w:ascii="Arial"/>
          <w:color w:val="000000"/>
          <w:sz w:val="22"/>
        </w:rPr>
        <w:t>(f)</w:t>
      </w:r>
      <w:r>
        <w:rPr>
          <w:rFonts w:ascii="Arial"/>
          <w:color w:val="000000"/>
          <w:sz w:val="22"/>
        </w:rPr>
        <w:t>   </w:t>
      </w:r>
      <w:r>
        <w:rPr>
          <w:rFonts w:ascii="Arial"/>
          <w:color w:val="000000"/>
          <w:sz w:val="22"/>
        </w:rPr>
        <w:t>Mr McCann accepted, in respect of the trigger for the implementation of the corrective actions in the WMAMP, that the “</w:t>
      </w:r>
      <w:r>
        <w:rPr>
          <w:rFonts w:ascii="Arial"/>
          <w:i/>
          <w:color w:val="000000"/>
          <w:sz w:val="22"/>
        </w:rPr>
        <w:t>trigger, for a critical one, is rather difficult to read, given the formatting at the absence of commas</w:t>
      </w:r>
      <w:r>
        <w:rPr>
          <w:rFonts w:ascii="Arial"/>
          <w:color w:val="000000"/>
          <w:sz w:val="22"/>
        </w:rPr>
        <w:t xml:space="preserve">”: Transcript 6/12/23 p 214 T[16]-[45]; </w:t>
      </w:r>
    </w:p>
    <w:p>
      <w:pPr>
        <w:pStyle w:val="CaselawQuote0"/>
        <w:spacing w:before="150" w:after="150"/>
        <w:ind w:left="2100"/>
        <w:jc w:val="left"/>
      </w:pPr>
      <w:r>
        <w:rPr>
          <w:rFonts w:ascii="Arial"/>
          <w:color w:val="000000"/>
          <w:sz w:val="22"/>
        </w:rPr>
        <w:t>(g)</w:t>
      </w:r>
      <w:r>
        <w:rPr>
          <w:rFonts w:ascii="Arial"/>
          <w:color w:val="000000"/>
          <w:sz w:val="22"/>
        </w:rPr>
        <w:t>   </w:t>
      </w:r>
      <w:r>
        <w:rPr>
          <w:rFonts w:ascii="Arial"/>
          <w:color w:val="000000"/>
          <w:sz w:val="22"/>
        </w:rPr>
        <w:t xml:space="preserve">Mr McCann accepted that the WMAMP (Exhibit E f 252) in respect of surface water for the on maintenance period refers to 12 weeks in the trigger for an investigation rather than 4 weeks: Transcript 6/12/23 p 222 from T[35]; </w:t>
      </w:r>
    </w:p>
    <w:p>
      <w:pPr>
        <w:pStyle w:val="CaselawQuote0"/>
        <w:spacing w:before="150" w:after="150"/>
        <w:ind w:left="2100"/>
        <w:jc w:val="left"/>
      </w:pPr>
      <w:r>
        <w:rPr>
          <w:rFonts w:ascii="Arial"/>
          <w:color w:val="000000"/>
          <w:sz w:val="22"/>
        </w:rPr>
        <w:t>(h)</w:t>
      </w:r>
      <w:r>
        <w:rPr>
          <w:rFonts w:ascii="Arial"/>
          <w:color w:val="000000"/>
          <w:sz w:val="22"/>
        </w:rPr>
        <w:t>   </w:t>
      </w:r>
      <w:r>
        <w:rPr>
          <w:rFonts w:ascii="Arial"/>
          <w:color w:val="000000"/>
          <w:sz w:val="22"/>
        </w:rPr>
        <w:t xml:space="preserve">in respect of errors in the WMAMP generally, Mr McCann gave the following evidence (Transcript 6/12/23 p 222 from T[47]: </w:t>
      </w:r>
    </w:p>
    <w:p>
      <w:pPr>
        <w:pStyle w:val="CaselawQuote1"/>
        <w:spacing w:before="150" w:after="150"/>
        <w:ind w:left="2850"/>
        <w:jc w:val="left"/>
      </w:pPr>
      <w:r>
        <w:rPr>
          <w:rFonts w:ascii="Arial"/>
          <w:i/>
          <w:color w:val="000000"/>
          <w:sz w:val="22"/>
        </w:rPr>
        <w:t>STAFFORD: There's an awful lot of errors in this plan, isn't there, Mr McCann, for something that's about to be approved to protect the wetland?</w:t>
      </w:r>
    </w:p>
    <w:p>
      <w:pPr>
        <w:pStyle w:val="CaselawQuote1"/>
        <w:spacing w:before="150" w:after="150"/>
        <w:ind w:left="2850"/>
        <w:jc w:val="left"/>
      </w:pPr>
      <w:r>
        <w:rPr>
          <w:rFonts w:ascii="Arial"/>
          <w:i/>
          <w:color w:val="000000"/>
          <w:sz w:val="22"/>
        </w:rPr>
        <w:t>WITNESS MCCANN: There are errors. It was pulled together quite quickly, given the time we had available. I mistakenly had thought that we would once we had a clear picture of all the changes that were needed, we would then adjust this plan. I didn't appreciate I needed to get this done ahead of the hearing today. I thought we'd rely on the previous plan and acknowledge the changes that were coming, and then work with both those, rather than trying to rush a document through in the short time that we had. So in effect, rely on revision H with commitments to create a new revision with the agreed changes.</w:t>
      </w:r>
    </w:p>
    <w:p>
      <w:pPr>
        <w:pStyle w:val="CaselawQuote0"/>
        <w:spacing w:before="150" w:after="150"/>
        <w:ind w:left="2100"/>
        <w:jc w:val="left"/>
      </w:pPr>
      <w:r>
        <w:rPr>
          <w:rFonts w:ascii="Arial"/>
          <w:color w:val="000000"/>
          <w:sz w:val="22"/>
        </w:rPr>
        <w:t>(i)</w:t>
      </w:r>
      <w:r>
        <w:rPr>
          <w:rFonts w:ascii="Arial"/>
          <w:color w:val="000000"/>
          <w:sz w:val="22"/>
        </w:rPr>
        <w:t>   </w:t>
      </w:r>
      <w:r>
        <w:rPr>
          <w:rFonts w:ascii="Arial"/>
          <w:color w:val="000000"/>
          <w:sz w:val="22"/>
        </w:rPr>
        <w:t xml:space="preserve">Mr McCann said that he would be happy to change the word “detrimental” where it appears in the corrective actions in the WMAMP and that the use of the word “detrimental” was inconsistent with the wording in the development consent conditions: Transcript 6/12/23 p 231 T[45] </w:t>
      </w:r>
      <w:r>
        <w:rPr>
          <w:rFonts w:ascii="Arial"/>
          <w:color w:val="000000"/>
          <w:sz w:val="22"/>
        </w:rPr>
        <w:t>to p</w:t>
      </w:r>
      <w:r>
        <w:rPr>
          <w:rFonts w:ascii="Arial"/>
          <w:color w:val="000000"/>
          <w:sz w:val="22"/>
        </w:rPr>
        <w:t xml:space="preserve"> 232 T[20]; </w:t>
      </w:r>
    </w:p>
    <w:p>
      <w:pPr>
        <w:pStyle w:val="CaselawQuote0"/>
        <w:spacing w:before="150" w:after="150"/>
        <w:ind w:left="2100"/>
        <w:jc w:val="left"/>
      </w:pPr>
      <w:r>
        <w:rPr>
          <w:rFonts w:ascii="Arial"/>
          <w:color w:val="000000"/>
          <w:sz w:val="22"/>
        </w:rPr>
        <w:t>(j)</w:t>
      </w:r>
      <w:r>
        <w:rPr>
          <w:rFonts w:ascii="Arial"/>
          <w:color w:val="000000"/>
          <w:sz w:val="22"/>
        </w:rPr>
        <w:t>   </w:t>
      </w:r>
      <w:r>
        <w:rPr>
          <w:rFonts w:ascii="Arial"/>
          <w:color w:val="000000"/>
          <w:sz w:val="22"/>
        </w:rPr>
        <w:t xml:space="preserve">Mr McCann accepted that the WMAMP refers at one point to the August 2023 WHMMP rather than the November 2023 one: Transcript 6/12/23 p 233 T[8]; </w:t>
      </w:r>
    </w:p>
    <w:p>
      <w:pPr>
        <w:pStyle w:val="CaselawQuote0"/>
        <w:spacing w:before="150" w:after="150"/>
        <w:ind w:left="2100"/>
        <w:jc w:val="left"/>
      </w:pPr>
      <w:r>
        <w:rPr>
          <w:rFonts w:ascii="Arial"/>
          <w:color w:val="000000"/>
          <w:sz w:val="22"/>
        </w:rPr>
        <w:t>(k)</w:t>
      </w:r>
      <w:r>
        <w:rPr>
          <w:rFonts w:ascii="Arial"/>
          <w:color w:val="000000"/>
          <w:sz w:val="22"/>
        </w:rPr>
        <w:t>   </w:t>
      </w:r>
      <w:r>
        <w:rPr>
          <w:rFonts w:ascii="Arial"/>
          <w:color w:val="000000"/>
          <w:sz w:val="22"/>
        </w:rPr>
        <w:t xml:space="preserve">Mr McCann accepted that instead of referring to location no 3 on drawing 201 in the WHMMP, it instead should be referring to the culvert near that location: Transcript 6/12/23 p 233 T[42]-[47] and again at p 238 T[17]-[21]; </w:t>
      </w:r>
    </w:p>
    <w:p>
      <w:pPr>
        <w:pStyle w:val="CaselawQuote0"/>
        <w:spacing w:before="150" w:after="150"/>
        <w:ind w:left="2100"/>
        <w:jc w:val="left"/>
      </w:pPr>
      <w:r>
        <w:rPr>
          <w:rFonts w:ascii="Arial"/>
          <w:color w:val="000000"/>
          <w:sz w:val="22"/>
        </w:rPr>
        <w:t>(l)</w:t>
      </w:r>
      <w:r>
        <w:rPr>
          <w:rFonts w:ascii="Arial"/>
          <w:color w:val="000000"/>
          <w:sz w:val="22"/>
        </w:rPr>
        <w:t>   </w:t>
      </w:r>
      <w:r>
        <w:rPr>
          <w:rFonts w:ascii="Arial"/>
          <w:color w:val="000000"/>
          <w:sz w:val="22"/>
        </w:rPr>
        <w:t>Mr McCann said, in the context of pumping water from sediment basins directly into the wetland to supplement surface water, that “</w:t>
      </w:r>
      <w:r>
        <w:rPr>
          <w:rFonts w:ascii="Arial"/>
          <w:i/>
          <w:color w:val="000000"/>
          <w:sz w:val="22"/>
        </w:rPr>
        <w:t xml:space="preserve">for completeness, we could mention the water quality again, but it's implicit </w:t>
      </w:r>
      <w:r>
        <w:rPr>
          <w:rFonts w:ascii="Arial"/>
          <w:i/>
          <w:color w:val="000000"/>
          <w:sz w:val="22"/>
        </w:rPr>
        <w:t>that water quality criteria need to be achieved</w:t>
      </w:r>
      <w:r>
        <w:rPr>
          <w:rFonts w:ascii="Arial"/>
          <w:color w:val="000000"/>
          <w:sz w:val="22"/>
        </w:rPr>
        <w:t xml:space="preserve">”: Transcript 6/12/23 p 238 T[4]-[6]; </w:t>
      </w:r>
    </w:p>
    <w:p>
      <w:pPr>
        <w:pStyle w:val="CaselawQuote0"/>
        <w:spacing w:before="150" w:after="150"/>
        <w:ind w:left="2100"/>
        <w:jc w:val="left"/>
      </w:pPr>
      <w:r>
        <w:rPr>
          <w:rFonts w:ascii="Arial"/>
          <w:color w:val="000000"/>
          <w:sz w:val="22"/>
        </w:rPr>
        <w:t>(m)</w:t>
      </w:r>
      <w:r>
        <w:rPr>
          <w:rFonts w:ascii="Arial"/>
          <w:color w:val="000000"/>
          <w:sz w:val="22"/>
        </w:rPr>
        <w:t>   </w:t>
      </w:r>
      <w:r>
        <w:rPr>
          <w:rFonts w:ascii="Arial"/>
          <w:color w:val="000000"/>
          <w:sz w:val="22"/>
        </w:rPr>
        <w:t xml:space="preserve">Ms Holton has agreed with the proposal to have the bypass swale control device further south and further uphill (Transcript 7/12/23 p 294 T[25]-[26]), where proposed in Mr Soo’s sketch, but this does not yet appear in the plans before the Court; </w:t>
      </w:r>
    </w:p>
    <w:p>
      <w:pPr>
        <w:pStyle w:val="CaselawQuote0"/>
        <w:spacing w:before="150" w:after="150"/>
        <w:ind w:left="2100"/>
        <w:jc w:val="left"/>
      </w:pPr>
      <w:r>
        <w:rPr>
          <w:rFonts w:ascii="Arial"/>
          <w:color w:val="000000"/>
          <w:sz w:val="22"/>
        </w:rPr>
        <w:t>(n)</w:t>
      </w:r>
      <w:r>
        <w:rPr>
          <w:rFonts w:ascii="Arial"/>
          <w:color w:val="000000"/>
          <w:sz w:val="22"/>
        </w:rPr>
        <w:t>   </w:t>
      </w:r>
      <w:r>
        <w:rPr>
          <w:rFonts w:ascii="Arial"/>
          <w:color w:val="000000"/>
          <w:sz w:val="22"/>
        </w:rPr>
        <w:t>on drawing CC-8041, Mr Soo refers to a discrepancy: “</w:t>
      </w:r>
      <w:r>
        <w:rPr>
          <w:rFonts w:ascii="Arial"/>
          <w:i/>
          <w:color w:val="000000"/>
          <w:sz w:val="22"/>
        </w:rPr>
        <w:t>For instance, the dimension that goes east</w:t>
      </w:r>
      <w:r>
        <w:rPr>
          <w:rFonts w:ascii="Arial"/>
          <w:i/>
          <w:color w:val="000000"/>
          <w:sz w:val="22"/>
        </w:rPr>
        <w:t xml:space="preserve"/>
      </w:r>
      <w:r>
        <w:rPr>
          <w:rFonts w:ascii="Arial"/>
          <w:i/>
          <w:color w:val="000000"/>
          <w:sz w:val="22"/>
        </w:rPr>
        <w:noBreakHyphen/>
      </w:r>
      <w:r>
        <w:rPr>
          <w:rFonts w:ascii="Arial"/>
          <w:i/>
          <w:color w:val="000000"/>
          <w:sz w:val="22"/>
        </w:rPr>
        <w:t xml:space="preserve">west shown as 4.7 meters. Actually, that dimension is slightly off. It's actually meant to move slightly towards the west. So that's what I'm referring the discrepancy is. But in </w:t>
      </w:r>
      <w:r>
        <w:rPr>
          <w:rFonts w:ascii="Arial"/>
          <w:i/>
          <w:color w:val="000000"/>
          <w:sz w:val="22"/>
        </w:rPr>
        <w:t xml:space="preserve"/>
      </w:r>
      <w:r>
        <w:rPr>
          <w:rFonts w:ascii="Arial"/>
          <w:i/>
          <w:color w:val="000000"/>
          <w:sz w:val="22"/>
        </w:rPr>
        <w:noBreakHyphen/>
      </w:r>
      <w:r>
        <w:rPr>
          <w:rFonts w:ascii="Arial"/>
          <w:i/>
          <w:color w:val="000000"/>
          <w:sz w:val="22"/>
        </w:rPr>
        <w:t xml:space="preserve"> apart from that, the plan has shown the actual dimension of the structure</w:t>
      </w:r>
      <w:r>
        <w:rPr>
          <w:rFonts w:ascii="Arial"/>
          <w:color w:val="000000"/>
          <w:sz w:val="22"/>
        </w:rPr>
        <w:t>”: Transcript 7/12/23 p 296 T[3]-[14];</w:t>
      </w:r>
    </w:p>
    <w:p>
      <w:pPr>
        <w:pStyle w:val="CaselawQuote0"/>
        <w:spacing w:before="150" w:after="150"/>
        <w:ind w:left="2100"/>
        <w:jc w:val="left"/>
      </w:pPr>
      <w:r>
        <w:rPr>
          <w:rFonts w:ascii="Arial"/>
          <w:color w:val="000000"/>
          <w:sz w:val="22"/>
        </w:rPr>
        <w:t>(o)</w:t>
      </w:r>
      <w:r>
        <w:rPr>
          <w:rFonts w:ascii="Arial"/>
          <w:color w:val="000000"/>
          <w:sz w:val="22"/>
        </w:rPr>
        <w:t>   </w:t>
      </w:r>
      <w:r>
        <w:rPr>
          <w:rFonts w:ascii="Arial"/>
          <w:color w:val="000000"/>
          <w:sz w:val="22"/>
        </w:rPr>
        <w:t xml:space="preserve">when asked over a series of questions how a builder is supposed to know that section 6 on drawing CC-4053 provides a cross-section for the bypass swale, given that the plan for which it is a cross-section is noted to not be part of the application, Mr Soo ultimately gave the following evidence (Transcript 7/12/23 p 302 T[31]-[46]: </w:t>
      </w:r>
    </w:p>
    <w:p>
      <w:pPr>
        <w:pStyle w:val="CaselawQuote1"/>
        <w:spacing w:before="150" w:after="150"/>
        <w:ind w:left="2850"/>
        <w:jc w:val="left"/>
      </w:pPr>
      <w:r>
        <w:rPr>
          <w:rFonts w:ascii="Arial"/>
          <w:i/>
          <w:color w:val="000000"/>
          <w:sz w:val="22"/>
        </w:rPr>
        <w:t>STAFFORD: An experienced contractor is going to look at the note in the bottom right hand corner of the page that says the wetland outlet control pit is in contingency measure, mitigation measure. This mitigation measure does not form part of the section 68, and they're going to ignore the whole right hand side of the page, aren't they?</w:t>
      </w:r>
    </w:p>
    <w:p>
      <w:pPr>
        <w:pStyle w:val="CaselawQuote1"/>
        <w:spacing w:before="150" w:after="150"/>
        <w:ind w:left="2850"/>
        <w:jc w:val="left"/>
      </w:pPr>
      <w:r>
        <w:rPr>
          <w:rFonts w:ascii="Arial"/>
          <w:i/>
          <w:color w:val="000000"/>
          <w:sz w:val="22"/>
        </w:rPr>
        <w:t xml:space="preserve">WITNESS SOO: No, I think they will find the association that what need to be built, and if they don't, they always can seek clarification during construction to determine what's the detail that they have to build it to, regardless of that </w:t>
      </w:r>
    </w:p>
    <w:p>
      <w:pPr>
        <w:pStyle w:val="CaselawQuote1"/>
        <w:spacing w:before="150" w:after="150"/>
        <w:ind w:left="2850"/>
        <w:jc w:val="left"/>
      </w:pPr>
      <w:r>
        <w:rPr>
          <w:rFonts w:ascii="Arial"/>
          <w:i/>
          <w:color w:val="000000"/>
          <w:sz w:val="22"/>
        </w:rPr>
        <w:t>STAFFORD: This is the detail construction stage, Mr Soo. This is it. You don't get another crack.</w:t>
      </w:r>
    </w:p>
    <w:p>
      <w:pPr>
        <w:pStyle w:val="CaselawQuote1"/>
        <w:spacing w:before="150" w:after="150"/>
        <w:ind w:left="2850"/>
        <w:jc w:val="left"/>
      </w:pPr>
      <w:r>
        <w:rPr>
          <w:rFonts w:ascii="Arial"/>
          <w:i/>
          <w:color w:val="000000"/>
          <w:sz w:val="22"/>
        </w:rPr>
        <w:t>WITNESS SOO: In the typical construction period, there's always clarification for contractor to raise questions or, in terms of request for information, to assist them with the construction.</w:t>
      </w:r>
    </w:p>
    <w:p>
      <w:pPr>
        <w:pStyle w:val="CaselawQuote0"/>
        <w:spacing w:before="150" w:after="150"/>
        <w:ind w:left="2100"/>
        <w:jc w:val="left"/>
      </w:pPr>
      <w:r>
        <w:rPr>
          <w:rFonts w:ascii="Arial"/>
          <w:color w:val="000000"/>
          <w:sz w:val="22"/>
        </w:rPr>
        <w:t>(p)</w:t>
      </w:r>
      <w:r>
        <w:rPr>
          <w:rFonts w:ascii="Arial"/>
          <w:color w:val="000000"/>
          <w:sz w:val="22"/>
        </w:rPr>
        <w:t>   </w:t>
      </w:r>
      <w:r>
        <w:rPr>
          <w:rFonts w:ascii="Arial"/>
          <w:color w:val="000000"/>
          <w:sz w:val="22"/>
        </w:rPr>
        <w:t xml:space="preserve">Ms Holton acknowledged that the WHMMP at s 5.1.1, when referring to the “associated management plan”, refers to the August 2023 version of the WHAMP rather than the November 2023 WHAMP: Transcript 7/12/23 p 324 T[1]-[28]. </w:t>
      </w:r>
    </w:p>
    <w:p>
      <w:pPr>
        <w:pStyle w:val="CaselawQuote"/>
        <w:spacing w:before="150" w:after="150"/>
        <w:ind w:left="1350"/>
        <w:jc w:val="left"/>
      </w:pPr>
      <w:r>
        <w:rPr>
          <w:rFonts w:ascii="Arial"/>
          <w:color w:val="000000"/>
          <w:sz w:val="22"/>
        </w:rPr>
        <w:t xml:space="preserve">(CCWS at par 123; </w:t>
      </w:r>
      <w:r>
        <w:rPr>
          <w:rFonts w:ascii="Arial"/>
          <w:color w:val="000000"/>
          <w:sz w:val="22"/>
        </w:rPr>
        <w:t>Tcpt 6</w:t>
      </w:r>
      <w:r>
        <w:rPr>
          <w:rFonts w:ascii="Arial"/>
          <w:color w:val="000000"/>
          <w:sz w:val="22"/>
        </w:rPr>
        <w:t xml:space="preserve"> December 20</w:t>
      </w:r>
      <w:r>
        <w:rPr>
          <w:rFonts w:ascii="Arial"/>
          <w:color w:val="000000"/>
          <w:sz w:val="22"/>
        </w:rPr>
        <w:t>23,</w:t>
      </w:r>
      <w:r>
        <w:rPr>
          <w:rFonts w:ascii="Arial"/>
          <w:color w:val="000000"/>
          <w:sz w:val="22"/>
        </w:rPr>
        <w:t xml:space="preserve"> p 222</w:t>
      </w:r>
      <w:r>
        <w:rPr>
          <w:rFonts w:ascii="Arial"/>
          <w:color w:val="000000"/>
          <w:sz w:val="22"/>
        </w:rPr>
        <w:t>(47))</w:t>
      </w:r>
    </w:p>
    <w:p>
      <w:pPr>
        <w:pStyle w:val="CaselawNumbered10"/>
        <w:numPr>
          <w:ilvl w:val="0"/>
          <w:numId w:val="68"/>
        </w:numPr>
        <w:spacing w:before="150" w:after="0"/>
        <w:ind w:left="600" w:hanging="600"/>
      </w:pPr>
      <w:r>
        <w:rPr>
          <w:rFonts w:ascii="Arial"/>
          <w:color w:val="000000"/>
          <w:sz w:val="24"/>
        </w:rPr>
        <w:t xml:space="preserve">The Council submits that these inadequacies </w:t>
      </w:r>
      <w:r>
        <w:rPr>
          <w:rFonts w:ascii="Arial"/>
          <w:color w:val="000000"/>
          <w:sz w:val="24"/>
        </w:rPr>
        <w:t>are</w:t>
      </w:r>
      <w:r>
        <w:rPr>
          <w:rFonts w:ascii="Arial"/>
          <w:color w:val="000000"/>
          <w:sz w:val="24"/>
        </w:rPr>
        <w:t xml:space="preserve"> </w:t>
      </w:r>
      <w:r>
        <w:rPr>
          <w:rFonts w:ascii="Arial"/>
          <w:color w:val="000000"/>
          <w:sz w:val="24"/>
        </w:rPr>
        <w:t xml:space="preserve">problematic in the current context because this is the detailed design stage. This is not a development application where the detail can be developed at a later stage as the Council states this is time for the detailed design to be sorted and without that detail the Court cannot be satisfied with an approval of these s68 applications that the development will avoid an impropriate impact on the freshwater wetland EEC. </w:t>
      </w:r>
    </w:p>
    <w:p>
      <w:pPr>
        <w:pStyle w:val="CaselawNumbered10"/>
        <w:numPr>
          <w:ilvl w:val="0"/>
          <w:numId w:val="68"/>
        </w:numPr>
        <w:spacing w:before="150" w:after="0"/>
        <w:ind w:left="600" w:hanging="600"/>
      </w:pPr>
      <w:r>
        <w:rPr>
          <w:rFonts w:ascii="Arial"/>
          <w:color w:val="000000"/>
          <w:sz w:val="24"/>
        </w:rPr>
        <w:t>The Council submits that the engineering experts</w:t>
      </w:r>
      <w:r>
        <w:rPr>
          <w:rFonts w:ascii="Arial"/>
          <w:color w:val="000000"/>
          <w:sz w:val="24"/>
        </w:rPr>
        <w:t xml:space="preserve">’ </w:t>
      </w:r>
      <w:r>
        <w:rPr>
          <w:rFonts w:ascii="Arial"/>
          <w:color w:val="000000"/>
          <w:sz w:val="24"/>
        </w:rPr>
        <w:t xml:space="preserve">agreed evidence is that: </w:t>
      </w:r>
    </w:p>
    <w:p>
      <w:pPr>
        <w:pStyle w:val="CaselawQuote"/>
        <w:spacing w:before="150" w:after="150"/>
        <w:ind w:left="1350"/>
        <w:jc w:val="left"/>
      </w:pPr>
      <w:r>
        <w:rPr>
          <w:rFonts w:ascii="Arial"/>
          <w:color w:val="000000"/>
          <w:sz w:val="22"/>
        </w:rPr>
        <w:t xml:space="preserve">“the requirements </w:t>
      </w:r>
      <w:r>
        <w:rPr>
          <w:rFonts w:ascii="Arial"/>
          <w:color w:val="000000"/>
          <w:sz w:val="22"/>
        </w:rPr>
        <w:t>of Development Consent DA1018/51 and Development Consent DA2020/284 identified in Council’s contention 1 of the 99 Lot Proceedings and the 17 Lot Proceedings ought be resolved prior to issuing any s 68 approval: Civil Engineering JER p 7 [2.1] and [2.2].”</w:t>
      </w:r>
    </w:p>
    <w:p>
      <w:pPr>
        <w:pStyle w:val="CaselawQuote"/>
        <w:spacing w:before="150" w:after="150"/>
        <w:ind w:left="1350"/>
        <w:jc w:val="left"/>
      </w:pPr>
      <w:r>
        <w:rPr>
          <w:rFonts w:ascii="Arial"/>
          <w:color w:val="000000"/>
          <w:sz w:val="22"/>
        </w:rPr>
        <w:t>(CCWS at par 126)</w:t>
      </w:r>
    </w:p>
    <w:p>
      <w:pPr>
        <w:pStyle w:val="CaselawNumbered10"/>
        <w:numPr>
          <w:ilvl w:val="0"/>
          <w:numId w:val="69"/>
        </w:numPr>
        <w:spacing w:before="150" w:after="0"/>
        <w:ind w:left="600" w:hanging="600"/>
      </w:pPr>
      <w:r>
        <w:rPr>
          <w:rFonts w:ascii="Arial"/>
          <w:color w:val="000000"/>
          <w:sz w:val="24"/>
        </w:rPr>
        <w:t xml:space="preserve">It is also submitted that the deficiencies in the stormwater drainage design identified by Mr Gaskell and Mr Thomas cannot be ignored. As the Council puts it: </w:t>
      </w:r>
    </w:p>
    <w:p>
      <w:pPr>
        <w:pStyle w:val="CaselawQuote"/>
        <w:spacing w:before="150" w:after="150"/>
        <w:ind w:left="1350"/>
        <w:jc w:val="left"/>
      </w:pPr>
      <w:r>
        <w:rPr>
          <w:rFonts w:ascii="Arial"/>
          <w:color w:val="000000"/>
          <w:sz w:val="22"/>
        </w:rPr>
        <w:t>“Too much is left up to be considered or designed later, and there are too many questions around whether the mitigations measures proposed will maintain the surface and groundwater hydrology of the wetland. The s 68 applications ought be refused.”</w:t>
      </w:r>
    </w:p>
    <w:p>
      <w:pPr>
        <w:pStyle w:val="CaselawQuote"/>
        <w:spacing w:before="150" w:after="150"/>
        <w:ind w:left="1350"/>
        <w:jc w:val="left"/>
      </w:pPr>
      <w:r>
        <w:rPr>
          <w:rFonts w:ascii="Arial"/>
          <w:color w:val="000000"/>
          <w:sz w:val="22"/>
        </w:rPr>
        <w:t>(CCWS at par 128)</w:t>
      </w:r>
    </w:p>
    <w:p>
      <w:pPr>
        <w:pStyle w:val="CaselawNumbered10"/>
        <w:numPr>
          <w:ilvl w:val="0"/>
          <w:numId w:val="70"/>
        </w:numPr>
        <w:spacing w:before="150" w:after="0"/>
        <w:ind w:left="600" w:hanging="600"/>
      </w:pPr>
      <w:r>
        <w:rPr>
          <w:rFonts w:ascii="Arial"/>
          <w:color w:val="000000"/>
          <w:sz w:val="24"/>
        </w:rPr>
        <w:t>Th</w:t>
      </w:r>
      <w:r>
        <w:rPr>
          <w:rFonts w:ascii="Arial"/>
          <w:color w:val="000000"/>
          <w:sz w:val="24"/>
        </w:rPr>
        <w:t xml:space="preserve">e </w:t>
      </w:r>
      <w:r>
        <w:rPr>
          <w:rFonts w:ascii="Arial"/>
          <w:color w:val="000000"/>
          <w:sz w:val="24"/>
        </w:rPr>
        <w:t>applicant</w:t>
      </w:r>
      <w:r>
        <w:rPr>
          <w:rFonts w:ascii="Arial"/>
          <w:color w:val="000000"/>
          <w:sz w:val="24"/>
        </w:rPr>
        <w:t xml:space="preserve"> </w:t>
      </w:r>
      <w:r>
        <w:rPr>
          <w:rFonts w:ascii="Arial"/>
          <w:color w:val="000000"/>
          <w:sz w:val="24"/>
        </w:rPr>
        <w:t>submits</w:t>
      </w:r>
      <w:r>
        <w:rPr>
          <w:rFonts w:ascii="Arial"/>
          <w:color w:val="000000"/>
          <w:sz w:val="24"/>
        </w:rPr>
        <w:t xml:space="preserve"> </w:t>
      </w:r>
      <w:r>
        <w:rPr>
          <w:rFonts w:ascii="Arial"/>
          <w:color w:val="000000"/>
          <w:sz w:val="24"/>
        </w:rPr>
        <w:t xml:space="preserve">that </w:t>
      </w:r>
      <w:r>
        <w:rPr>
          <w:rFonts w:ascii="Arial"/>
          <w:color w:val="000000"/>
          <w:sz w:val="24"/>
        </w:rPr>
        <w:t xml:space="preserve">the approach taken by </w:t>
      </w:r>
      <w:r>
        <w:rPr>
          <w:rFonts w:ascii="Arial"/>
          <w:color w:val="000000"/>
          <w:sz w:val="24"/>
        </w:rPr>
        <w:t xml:space="preserve">the </w:t>
      </w:r>
      <w:r>
        <w:rPr>
          <w:rFonts w:ascii="Arial"/>
          <w:color w:val="000000"/>
          <w:sz w:val="24"/>
        </w:rPr>
        <w:t>C</w:t>
      </w:r>
      <w:r>
        <w:rPr>
          <w:rFonts w:ascii="Arial"/>
          <w:color w:val="000000"/>
          <w:sz w:val="24"/>
        </w:rPr>
        <w:t xml:space="preserve">ouncil and Mr </w:t>
      </w:r>
      <w:r>
        <w:rPr>
          <w:rFonts w:ascii="Arial"/>
          <w:color w:val="000000"/>
          <w:sz w:val="24"/>
        </w:rPr>
        <w:t xml:space="preserve">Ian </w:t>
      </w:r>
      <w:r>
        <w:rPr>
          <w:rFonts w:ascii="Arial"/>
          <w:color w:val="000000"/>
          <w:sz w:val="24"/>
        </w:rPr>
        <w:t>Gaskell</w:t>
      </w:r>
      <w:r>
        <w:rPr>
          <w:rFonts w:ascii="Arial"/>
          <w:color w:val="000000"/>
          <w:sz w:val="24"/>
        </w:rPr>
        <w:t>, the Council</w:t>
      </w:r>
      <w:r>
        <w:rPr>
          <w:rFonts w:ascii="Arial"/>
          <w:color w:val="000000"/>
          <w:sz w:val="24"/>
        </w:rPr>
        <w:t>’</w:t>
      </w:r>
      <w:r>
        <w:rPr>
          <w:rFonts w:ascii="Arial"/>
          <w:color w:val="000000"/>
          <w:sz w:val="24"/>
        </w:rPr>
        <w:t>s ecologist,</w:t>
      </w:r>
      <w:r>
        <w:rPr>
          <w:rFonts w:ascii="Arial"/>
          <w:color w:val="000000"/>
          <w:sz w:val="24"/>
        </w:rPr>
        <w:t xml:space="preserve"> </w:t>
      </w:r>
      <w:r>
        <w:rPr>
          <w:rFonts w:ascii="Arial"/>
          <w:color w:val="000000"/>
          <w:sz w:val="24"/>
        </w:rPr>
        <w:t xml:space="preserve">in relation to the question of whether the conditions of consent </w:t>
      </w:r>
      <w:r>
        <w:rPr>
          <w:rFonts w:ascii="Arial"/>
          <w:color w:val="000000"/>
          <w:sz w:val="24"/>
        </w:rPr>
        <w:t>(</w:t>
      </w:r>
      <w:r>
        <w:rPr>
          <w:rFonts w:ascii="Arial"/>
          <w:color w:val="000000"/>
          <w:sz w:val="24"/>
        </w:rPr>
        <w:t>57, 58 and 60</w:t>
      </w:r>
      <w:r>
        <w:rPr>
          <w:rFonts w:ascii="Arial"/>
          <w:color w:val="000000"/>
          <w:sz w:val="24"/>
        </w:rPr>
        <w:t>)</w:t>
      </w:r>
      <w:r>
        <w:rPr>
          <w:rFonts w:ascii="Arial"/>
          <w:color w:val="000000"/>
          <w:sz w:val="24"/>
        </w:rPr>
        <w:t xml:space="preserve"> </w:t>
      </w:r>
      <w:r>
        <w:rPr>
          <w:rFonts w:ascii="Arial"/>
          <w:color w:val="000000"/>
          <w:sz w:val="24"/>
        </w:rPr>
        <w:t xml:space="preserve">are met or not, </w:t>
      </w:r>
      <w:r>
        <w:rPr>
          <w:rFonts w:ascii="Arial"/>
          <w:color w:val="000000"/>
          <w:sz w:val="24"/>
        </w:rPr>
        <w:t xml:space="preserve">lacks a proper consideration of the </w:t>
      </w:r>
      <w:r>
        <w:rPr>
          <w:rFonts w:ascii="Arial"/>
          <w:color w:val="000000"/>
          <w:sz w:val="24"/>
        </w:rPr>
        <w:t>context in which conditions 57, 58</w:t>
      </w:r>
      <w:r>
        <w:rPr>
          <w:rFonts w:ascii="Arial"/>
          <w:color w:val="000000"/>
          <w:sz w:val="24"/>
        </w:rPr>
        <w:t xml:space="preserve">, </w:t>
      </w:r>
      <w:r>
        <w:rPr>
          <w:rFonts w:ascii="Arial"/>
          <w:color w:val="000000"/>
          <w:sz w:val="24"/>
        </w:rPr>
        <w:t>60 and in 59 interact</w:t>
      </w:r>
      <w:r>
        <w:rPr>
          <w:rFonts w:ascii="Arial"/>
          <w:color w:val="000000"/>
          <w:sz w:val="24"/>
        </w:rPr>
        <w:t xml:space="preserve"> </w:t>
      </w:r>
      <w:r>
        <w:rPr>
          <w:rFonts w:ascii="Arial"/>
          <w:color w:val="000000"/>
          <w:sz w:val="24"/>
        </w:rPr>
        <w:t xml:space="preserve">with condition 61, the bond, and </w:t>
      </w:r>
      <w:r>
        <w:rPr>
          <w:rFonts w:ascii="Arial"/>
          <w:color w:val="000000"/>
          <w:sz w:val="24"/>
        </w:rPr>
        <w:t xml:space="preserve">condition </w:t>
      </w:r>
      <w:r>
        <w:rPr>
          <w:rFonts w:ascii="Arial"/>
          <w:color w:val="000000"/>
          <w:sz w:val="24"/>
        </w:rPr>
        <w:t xml:space="preserve">62 </w:t>
      </w:r>
      <w:r>
        <w:rPr>
          <w:rFonts w:ascii="Arial"/>
          <w:color w:val="000000"/>
          <w:sz w:val="24"/>
        </w:rPr>
        <w:t xml:space="preserve">etc </w:t>
      </w:r>
      <w:r>
        <w:rPr>
          <w:rFonts w:ascii="Arial"/>
          <w:color w:val="000000"/>
          <w:sz w:val="24"/>
        </w:rPr>
        <w:t>the offset</w:t>
      </w:r>
      <w:r>
        <w:rPr>
          <w:rFonts w:ascii="Arial"/>
          <w:color w:val="000000"/>
          <w:sz w:val="24"/>
        </w:rPr>
        <w:t xml:space="preserve"> </w:t>
      </w:r>
      <w:r>
        <w:rPr>
          <w:rFonts w:ascii="Arial"/>
          <w:color w:val="000000"/>
          <w:sz w:val="24"/>
        </w:rPr>
        <w:t>conditions</w:t>
      </w:r>
      <w:r>
        <w:rPr>
          <w:rFonts w:ascii="Arial"/>
          <w:color w:val="000000"/>
          <w:sz w:val="24"/>
        </w:rPr>
        <w:t xml:space="preserve"> </w:t>
      </w:r>
      <w:r>
        <w:rPr>
          <w:rFonts w:ascii="Arial"/>
          <w:color w:val="000000"/>
          <w:sz w:val="24"/>
        </w:rPr>
        <w:t>(T</w:t>
      </w:r>
      <w:r>
        <w:rPr>
          <w:rFonts w:ascii="Arial"/>
          <w:color w:val="000000"/>
          <w:sz w:val="24"/>
        </w:rPr>
        <w:t>cpt,</w:t>
      </w:r>
      <w:r>
        <w:rPr>
          <w:rFonts w:ascii="Arial"/>
          <w:color w:val="000000"/>
          <w:sz w:val="24"/>
        </w:rPr>
        <w:t xml:space="preserve"> </w:t>
      </w:r>
      <w:r>
        <w:rPr>
          <w:rFonts w:ascii="Arial"/>
          <w:color w:val="000000"/>
          <w:sz w:val="24"/>
        </w:rPr>
        <w:t>11</w:t>
      </w:r>
      <w:r>
        <w:rPr>
          <w:rFonts w:ascii="Arial"/>
          <w:color w:val="000000"/>
          <w:sz w:val="24"/>
        </w:rPr>
        <w:t xml:space="preserve"> </w:t>
      </w:r>
      <w:r>
        <w:rPr>
          <w:rFonts w:ascii="Arial"/>
          <w:color w:val="000000"/>
          <w:sz w:val="24"/>
        </w:rPr>
        <w:t>December 20</w:t>
      </w:r>
      <w:r>
        <w:rPr>
          <w:rFonts w:ascii="Arial"/>
          <w:color w:val="000000"/>
          <w:sz w:val="24"/>
        </w:rPr>
        <w:t>23 p</w:t>
      </w:r>
      <w:r>
        <w:rPr>
          <w:rFonts w:ascii="Arial"/>
          <w:color w:val="000000"/>
          <w:sz w:val="24"/>
        </w:rPr>
        <w:t xml:space="preserve"> </w:t>
      </w:r>
      <w:r>
        <w:rPr>
          <w:rFonts w:ascii="Arial"/>
          <w:color w:val="000000"/>
          <w:sz w:val="24"/>
        </w:rPr>
        <w:t>353</w:t>
      </w:r>
      <w:r>
        <w:rPr>
          <w:rFonts w:ascii="Arial"/>
          <w:color w:val="000000"/>
          <w:sz w:val="24"/>
        </w:rPr>
        <w:t>(</w:t>
      </w:r>
      <w:r>
        <w:rPr>
          <w:rFonts w:ascii="Arial"/>
          <w:color w:val="000000"/>
          <w:sz w:val="24"/>
        </w:rPr>
        <w:t>45</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color w:val="000000"/>
          <w:sz w:val="24"/>
        </w:rPr>
        <w:t>fact,</w:t>
      </w:r>
      <w:r>
        <w:rPr>
          <w:rFonts w:ascii="Arial"/>
          <w:color w:val="000000"/>
          <w:sz w:val="24"/>
        </w:rPr>
        <w:t xml:space="preserve"> </w:t>
      </w:r>
      <w:r>
        <w:rPr>
          <w:rFonts w:ascii="Arial"/>
          <w:color w:val="000000"/>
          <w:sz w:val="24"/>
        </w:rPr>
        <w:t xml:space="preserve">the </w:t>
      </w:r>
      <w:r>
        <w:rPr>
          <w:rFonts w:ascii="Arial"/>
          <w:color w:val="000000"/>
          <w:sz w:val="24"/>
        </w:rPr>
        <w:t xml:space="preserve">applicant goes as far as to submit </w:t>
      </w:r>
      <w:r>
        <w:rPr>
          <w:rFonts w:ascii="Arial"/>
          <w:color w:val="000000"/>
          <w:sz w:val="24"/>
        </w:rPr>
        <w:t xml:space="preserve">that: </w:t>
      </w:r>
    </w:p>
    <w:p>
      <w:pPr>
        <w:pStyle w:val="CaselawQuote"/>
        <w:spacing w:before="150" w:after="150"/>
        <w:ind w:left="1350"/>
        <w:jc w:val="left"/>
      </w:pPr>
      <w:r>
        <w:rPr>
          <w:rFonts w:ascii="Arial"/>
          <w:color w:val="000000"/>
          <w:sz w:val="22"/>
        </w:rPr>
        <w:t xml:space="preserve">“…little or no attention has been given by Council and Mr Gaskell to the sophisticated and nuanced suite of </w:t>
      </w:r>
      <w:r>
        <w:rPr>
          <w:rFonts w:ascii="Arial"/>
          <w:color w:val="000000"/>
          <w:sz w:val="22"/>
        </w:rPr>
        <w:t>ecology conditions</w:t>
      </w:r>
      <w:r>
        <w:rPr>
          <w:rFonts w:ascii="Arial"/>
          <w:color w:val="000000"/>
          <w:sz w:val="22"/>
        </w:rPr>
        <w:t xml:space="preserve"> operating as an interlocking suite of ecology conditions 57 to 63 forming part of the determination 99 lot consent which matter highly relevant to the context in which the s68 approval to be considered”. </w:t>
      </w:r>
    </w:p>
    <w:p>
      <w:pPr>
        <w:pStyle w:val="CaselawQuote"/>
        <w:spacing w:before="150" w:after="150"/>
        <w:ind w:left="1350"/>
        <w:jc w:val="left"/>
      </w:pPr>
      <w:r>
        <w:rPr>
          <w:rFonts w:ascii="Arial"/>
          <w:color w:val="000000"/>
          <w:sz w:val="22"/>
        </w:rPr>
        <w:t>(ACWS at par 51).</w:t>
      </w:r>
    </w:p>
    <w:p>
      <w:pPr>
        <w:pStyle w:val="CaselawNumbered10"/>
        <w:numPr>
          <w:ilvl w:val="0"/>
          <w:numId w:val="71"/>
        </w:numPr>
        <w:spacing w:before="150" w:after="0"/>
        <w:ind w:left="600" w:hanging="600"/>
      </w:pPr>
      <w:r>
        <w:rPr>
          <w:rFonts w:ascii="Arial"/>
          <w:color w:val="000000"/>
          <w:sz w:val="24"/>
        </w:rPr>
        <w:t xml:space="preserve">It submits that </w:t>
      </w:r>
      <w:r>
        <w:rPr>
          <w:rFonts w:ascii="Arial"/>
          <w:color w:val="000000"/>
          <w:sz w:val="24"/>
        </w:rPr>
        <w:t xml:space="preserve">the </w:t>
      </w:r>
      <w:r>
        <w:rPr>
          <w:rFonts w:ascii="Arial"/>
          <w:color w:val="000000"/>
          <w:sz w:val="24"/>
        </w:rPr>
        <w:t>Council and Mr Gaskell</w:t>
      </w:r>
      <w:r>
        <w:rPr>
          <w:rFonts w:ascii="Arial"/>
          <w:color w:val="000000"/>
          <w:sz w:val="24"/>
        </w:rPr>
        <w:t>’</w:t>
      </w:r>
      <w:r>
        <w:rPr>
          <w:rFonts w:ascii="Arial"/>
          <w:color w:val="000000"/>
          <w:sz w:val="24"/>
        </w:rPr>
        <w:t>s approach is more consistent with a de novo appeal rather than a s68 approval appeal where the elected Council has determined a development application and had formulated condition</w:t>
      </w:r>
      <w:r>
        <w:rPr>
          <w:rFonts w:ascii="Arial"/>
          <w:color w:val="000000"/>
          <w:sz w:val="24"/>
        </w:rPr>
        <w:t>s</w:t>
      </w:r>
      <w:r>
        <w:rPr>
          <w:rFonts w:ascii="Arial"/>
          <w:color w:val="000000"/>
          <w:sz w:val="24"/>
        </w:rPr>
        <w:t xml:space="preserve"> </w:t>
      </w:r>
      <w:r>
        <w:rPr>
          <w:rFonts w:ascii="Arial"/>
          <w:color w:val="000000"/>
          <w:sz w:val="24"/>
        </w:rPr>
        <w:t xml:space="preserve">in the context of that determination. </w:t>
      </w:r>
      <w:r>
        <w:rPr>
          <w:rFonts w:ascii="Arial"/>
          <w:color w:val="000000"/>
          <w:sz w:val="24"/>
        </w:rPr>
        <w:t>T</w:t>
      </w:r>
      <w:r>
        <w:rPr>
          <w:rFonts w:ascii="Arial"/>
          <w:color w:val="000000"/>
          <w:sz w:val="24"/>
        </w:rPr>
        <w:t>hi</w:t>
      </w:r>
      <w:r>
        <w:rPr>
          <w:rFonts w:ascii="Arial"/>
          <w:color w:val="000000"/>
          <w:sz w:val="24"/>
        </w:rPr>
        <w:t xml:space="preserve">s error in approach is </w:t>
      </w:r>
      <w:r>
        <w:rPr>
          <w:rFonts w:ascii="Arial"/>
          <w:color w:val="000000"/>
          <w:sz w:val="24"/>
        </w:rPr>
        <w:t xml:space="preserve">said to be </w:t>
      </w:r>
      <w:r>
        <w:rPr>
          <w:rFonts w:ascii="Arial"/>
          <w:color w:val="000000"/>
          <w:sz w:val="24"/>
        </w:rPr>
        <w:t>apparent in the first contention for the 99-</w:t>
      </w:r>
      <w:r>
        <w:rPr>
          <w:rFonts w:ascii="Arial"/>
          <w:color w:val="000000"/>
          <w:sz w:val="24"/>
        </w:rPr>
        <w:t>l</w:t>
      </w:r>
      <w:r>
        <w:rPr>
          <w:rFonts w:ascii="Arial"/>
          <w:color w:val="000000"/>
          <w:sz w:val="24"/>
        </w:rPr>
        <w:t xml:space="preserve">ot appeal which provides: </w:t>
      </w:r>
      <w:r>
        <w:rPr>
          <w:rFonts w:ascii="Arial"/>
          <w:color w:val="000000"/>
          <w:sz w:val="24"/>
        </w:rPr>
        <w:t>“</w:t>
      </w:r>
      <w:r>
        <w:rPr>
          <w:rFonts w:ascii="Arial"/>
          <w:i/>
          <w:color w:val="000000"/>
          <w:sz w:val="24"/>
        </w:rPr>
        <w:t xml:space="preserve">A section 68 approval ought not be granted because the activities the subject of the application do not </w:t>
      </w:r>
      <w:r>
        <w:rPr>
          <w:rFonts w:ascii="Arial"/>
          <w:i/>
          <w:color w:val="000000"/>
          <w:sz w:val="24"/>
        </w:rPr>
        <w:t>ensure that there will be an inappropriate impact on the Freshwater Wetland EEC …</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71"/>
        </w:numPr>
        <w:spacing w:before="150" w:after="0"/>
        <w:ind w:left="600" w:hanging="600"/>
      </w:pPr>
      <w:r>
        <w:rPr>
          <w:rFonts w:ascii="Arial"/>
          <w:color w:val="000000"/>
          <w:sz w:val="24"/>
        </w:rPr>
        <w:t xml:space="preserve">The vice, </w:t>
      </w:r>
      <w:r>
        <w:rPr>
          <w:rFonts w:ascii="Arial"/>
          <w:color w:val="000000"/>
          <w:sz w:val="24"/>
        </w:rPr>
        <w:t>the applicant submits</w:t>
      </w:r>
      <w:r>
        <w:rPr>
          <w:rFonts w:ascii="Arial"/>
          <w:color w:val="000000"/>
          <w:sz w:val="24"/>
        </w:rPr>
        <w:t>,</w:t>
      </w:r>
      <w:r>
        <w:rPr>
          <w:rFonts w:ascii="Arial"/>
          <w:color w:val="000000"/>
          <w:sz w:val="24"/>
        </w:rPr>
        <w:t xml:space="preserve"> </w:t>
      </w:r>
      <w:r>
        <w:rPr>
          <w:rFonts w:ascii="Arial"/>
          <w:color w:val="000000"/>
          <w:sz w:val="24"/>
        </w:rPr>
        <w:t>is the failure in the contention to acknowledge expressly the relationship between the s68 appeal</w:t>
      </w:r>
      <w:r>
        <w:rPr>
          <w:rFonts w:ascii="Arial"/>
          <w:color w:val="000000"/>
          <w:sz w:val="24"/>
        </w:rPr>
        <w:t>s</w:t>
      </w:r>
      <w:r>
        <w:rPr>
          <w:rFonts w:ascii="Arial"/>
          <w:color w:val="000000"/>
          <w:sz w:val="24"/>
        </w:rPr>
        <w:t xml:space="preserve"> </w:t>
      </w:r>
      <w:r>
        <w:rPr>
          <w:rFonts w:ascii="Arial"/>
          <w:color w:val="000000"/>
          <w:sz w:val="24"/>
        </w:rPr>
        <w:t xml:space="preserve">and the fact that </w:t>
      </w:r>
      <w:r>
        <w:rPr>
          <w:rFonts w:ascii="Arial"/>
          <w:color w:val="000000"/>
          <w:sz w:val="24"/>
        </w:rPr>
        <w:t xml:space="preserve">the </w:t>
      </w:r>
      <w:r>
        <w:rPr>
          <w:rFonts w:ascii="Arial"/>
          <w:color w:val="000000"/>
          <w:sz w:val="24"/>
        </w:rPr>
        <w:t xml:space="preserve">Council has taken the principles of </w:t>
      </w:r>
      <w:r>
        <w:rPr>
          <w:rFonts w:ascii="Arial"/>
          <w:color w:val="000000"/>
          <w:sz w:val="24"/>
        </w:rPr>
        <w:t>ESD</w:t>
      </w:r>
      <w:r>
        <w:rPr>
          <w:rFonts w:ascii="Arial"/>
          <w:color w:val="000000"/>
          <w:sz w:val="24"/>
        </w:rPr>
        <w:t xml:space="preserve"> </w:t>
      </w:r>
      <w:r>
        <w:rPr>
          <w:rFonts w:ascii="Arial"/>
          <w:color w:val="000000"/>
          <w:sz w:val="24"/>
        </w:rPr>
        <w:t>into account when considering the 99</w:t>
      </w:r>
      <w:r>
        <w:rPr>
          <w:rFonts w:ascii="Arial"/>
          <w:color w:val="000000"/>
          <w:sz w:val="24"/>
        </w:rPr>
        <w:t>-</w:t>
      </w:r>
      <w:r>
        <w:rPr>
          <w:rFonts w:ascii="Arial"/>
          <w:color w:val="000000"/>
          <w:sz w:val="24"/>
        </w:rPr>
        <w:t>lot and 17</w:t>
      </w:r>
      <w:r>
        <w:rPr>
          <w:rFonts w:ascii="Arial"/>
          <w:color w:val="000000"/>
          <w:sz w:val="24"/>
        </w:rPr>
        <w:t>-</w:t>
      </w:r>
      <w:r>
        <w:rPr>
          <w:rFonts w:ascii="Arial"/>
          <w:color w:val="000000"/>
          <w:sz w:val="24"/>
        </w:rPr>
        <w:t xml:space="preserve">lot consent. </w:t>
      </w:r>
      <w:r>
        <w:rPr>
          <w:rFonts w:ascii="Arial"/>
          <w:color w:val="000000"/>
          <w:sz w:val="24"/>
        </w:rPr>
        <w:t xml:space="preserve">While </w:t>
      </w:r>
      <w:r>
        <w:rPr>
          <w:rFonts w:ascii="Arial"/>
          <w:color w:val="000000"/>
          <w:sz w:val="24"/>
        </w:rPr>
        <w:t xml:space="preserve">the applicant </w:t>
      </w:r>
      <w:r>
        <w:rPr>
          <w:rFonts w:ascii="Arial"/>
          <w:color w:val="000000"/>
          <w:sz w:val="24"/>
        </w:rPr>
        <w:t>accept</w:t>
      </w:r>
      <w:r>
        <w:rPr>
          <w:rFonts w:ascii="Arial"/>
          <w:color w:val="000000"/>
          <w:sz w:val="24"/>
        </w:rPr>
        <w:t xml:space="preserve">s </w:t>
      </w:r>
      <w:r>
        <w:rPr>
          <w:rFonts w:ascii="Arial"/>
          <w:color w:val="000000"/>
          <w:sz w:val="24"/>
        </w:rPr>
        <w:t xml:space="preserve">that </w:t>
      </w:r>
      <w:r>
        <w:rPr>
          <w:rFonts w:ascii="Arial"/>
          <w:color w:val="000000"/>
          <w:sz w:val="24"/>
        </w:rPr>
        <w:t xml:space="preserve">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prior determination of those consents is not determin</w:t>
      </w:r>
      <w:r>
        <w:rPr>
          <w:rFonts w:ascii="Arial"/>
          <w:color w:val="000000"/>
          <w:sz w:val="24"/>
        </w:rPr>
        <w:t xml:space="preserve">ative </w:t>
      </w:r>
      <w:r>
        <w:rPr>
          <w:rFonts w:ascii="Arial"/>
          <w:color w:val="000000"/>
          <w:sz w:val="24"/>
        </w:rPr>
        <w:t>of the s</w:t>
      </w:r>
      <w:r>
        <w:rPr>
          <w:rFonts w:ascii="Arial"/>
          <w:color w:val="000000"/>
          <w:sz w:val="24"/>
        </w:rPr>
        <w:t xml:space="preserve">68 </w:t>
      </w:r>
      <w:r>
        <w:rPr>
          <w:rFonts w:ascii="Arial"/>
          <w:color w:val="000000"/>
          <w:sz w:val="24"/>
        </w:rPr>
        <w:t>approval</w:t>
      </w:r>
      <w:r>
        <w:rPr>
          <w:rFonts w:ascii="Arial"/>
          <w:color w:val="000000"/>
          <w:sz w:val="24"/>
        </w:rPr>
        <w:t>s</w:t>
      </w:r>
      <w:r>
        <w:rPr>
          <w:rFonts w:ascii="Arial"/>
          <w:color w:val="000000"/>
          <w:sz w:val="24"/>
        </w:rPr>
        <w:t xml:space="preserve"> </w:t>
      </w:r>
      <w:r>
        <w:rPr>
          <w:rFonts w:ascii="Arial"/>
          <w:color w:val="000000"/>
          <w:sz w:val="24"/>
        </w:rPr>
        <w:t xml:space="preserve">in favour of the </w:t>
      </w:r>
      <w:r>
        <w:rPr>
          <w:rFonts w:ascii="Arial"/>
          <w:color w:val="000000"/>
          <w:sz w:val="24"/>
        </w:rPr>
        <w:t>a</w:t>
      </w:r>
      <w:r>
        <w:rPr>
          <w:rFonts w:ascii="Arial"/>
          <w:color w:val="000000"/>
          <w:sz w:val="24"/>
        </w:rPr>
        <w:t>pplica</w:t>
      </w:r>
      <w:r>
        <w:rPr>
          <w:rFonts w:ascii="Arial"/>
          <w:color w:val="000000"/>
          <w:sz w:val="24"/>
        </w:rPr>
        <w:t xml:space="preserve">nt, </w:t>
      </w:r>
      <w:r>
        <w:rPr>
          <w:rFonts w:ascii="Arial"/>
          <w:color w:val="000000"/>
          <w:sz w:val="24"/>
        </w:rPr>
        <w:t xml:space="preserve">it submits that </w:t>
      </w:r>
      <w:r>
        <w:rPr>
          <w:rFonts w:ascii="Arial"/>
          <w:color w:val="000000"/>
          <w:sz w:val="24"/>
        </w:rPr>
        <w:t>the f</w:t>
      </w:r>
      <w:r>
        <w:rPr>
          <w:rFonts w:ascii="Arial"/>
          <w:color w:val="000000"/>
          <w:sz w:val="24"/>
        </w:rPr>
        <w:t>ailure</w:t>
      </w:r>
      <w:r>
        <w:rPr>
          <w:rFonts w:ascii="Arial"/>
          <w:color w:val="000000"/>
          <w:sz w:val="24"/>
        </w:rPr>
        <w:t xml:space="preserve"> </w:t>
      </w:r>
      <w:r>
        <w:rPr>
          <w:rFonts w:ascii="Arial"/>
          <w:color w:val="000000"/>
          <w:sz w:val="24"/>
        </w:rPr>
        <w:t xml:space="preserve">by </w:t>
      </w:r>
      <w:r>
        <w:rPr>
          <w:rFonts w:ascii="Arial"/>
          <w:color w:val="000000"/>
          <w:sz w:val="24"/>
        </w:rPr>
        <w:t>the C</w:t>
      </w:r>
      <w:r>
        <w:rPr>
          <w:rFonts w:ascii="Arial"/>
          <w:color w:val="000000"/>
          <w:sz w:val="24"/>
        </w:rPr>
        <w:t xml:space="preserve">ouncil to acknowledge expressly the relevance of the underlying </w:t>
      </w:r>
      <w:r>
        <w:rPr>
          <w:rFonts w:ascii="Arial"/>
          <w:color w:val="000000"/>
          <w:sz w:val="24"/>
        </w:rPr>
        <w:t>E</w:t>
      </w:r>
      <w:r>
        <w:rPr>
          <w:rFonts w:ascii="Arial"/>
          <w:color w:val="000000"/>
          <w:sz w:val="24"/>
        </w:rPr>
        <w:t xml:space="preserve">SD considerations demonstrates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approach is not fully correct in that regard</w:t>
      </w:r>
      <w:r>
        <w:rPr>
          <w:rFonts w:ascii="Arial"/>
          <w:color w:val="000000"/>
          <w:sz w:val="24"/>
        </w:rPr>
        <w:t xml:space="preserve">. </w:t>
      </w:r>
      <w:r>
        <w:rPr>
          <w:rFonts w:ascii="Arial"/>
          <w:color w:val="000000"/>
          <w:sz w:val="24"/>
        </w:rPr>
        <w:t>T</w:t>
      </w:r>
      <w:r>
        <w:rPr>
          <w:rFonts w:ascii="Arial"/>
          <w:color w:val="000000"/>
          <w:sz w:val="24"/>
        </w:rPr>
        <w:t xml:space="preserve">he applicant </w:t>
      </w:r>
      <w:r>
        <w:rPr>
          <w:rFonts w:ascii="Arial"/>
          <w:color w:val="000000"/>
          <w:sz w:val="24"/>
        </w:rPr>
        <w:t>submi</w:t>
      </w:r>
      <w:r>
        <w:rPr>
          <w:rFonts w:ascii="Arial"/>
          <w:color w:val="000000"/>
          <w:sz w:val="24"/>
        </w:rPr>
        <w:t>ssions include the following:</w:t>
      </w:r>
    </w:p>
    <w:p>
      <w:pPr>
        <w:pStyle w:val="CaselawQuote"/>
        <w:spacing w:before="150" w:after="150"/>
        <w:ind w:left="1350"/>
        <w:jc w:val="left"/>
      </w:pPr>
      <w:r>
        <w:rPr>
          <w:rFonts w:ascii="Arial"/>
          <w:color w:val="000000"/>
          <w:sz w:val="22"/>
        </w:rPr>
        <w:t>“52. … The development consent conditions demonstrate how the Freshwater Wetland EEC has been the subject of rigorous consideration by Council, and how Council has considered it can be protected by the suite of interlinked ecology conditions 57 to 63 including (i) expressly identified mitigation measures in condition 57, (ii) the use of a Monitoring and Adaptive Management Plan in condition 58 which includes "a range of remedial actions to address the ecological decline of the wetland resulting from the development in the event such decline occurs", (iii) a Hydrological Monitoring and Management Plan in condition 59 which requires a specialist wetland ecologist to review the monitoring results, the performance indicators and deviations outside trigger levels, (iv) the submitted Wetland Management Plan to be amended in specific ways set out in points (a) to (y) in condition 60; (v) Condition 61 (which is part of the suite of Freshwater Wetland conditions 57, 58, 59, 60) requires the applicant to lodge a surety bond with Council for the amount calculated by using the Biodiversity Offsets Payment Calculator based on the area of retained wetland as a score of 100% against its benchmark condition for PCT (782). The costings of the bond are to be based on a 100% loss of retained Freshwater Wetland. The bond has to be paid to Council in the amount of 150% of the agreed calculated Biodiversity Offsets Payment Calculator results. If there is a lack of success in achieving a change of less than 10%, Council will use the full amount of the bond to restore other vegetation communities under Council's care and control. That the bond has been calculated in accordance with the Biodiversity Offsets Payment Calculator in condition 61 at $1.327,691.63 (inc. GST). See Exhibit F, tab 6, folio 270.</w:t>
      </w:r>
    </w:p>
    <w:p>
      <w:pPr>
        <w:pStyle w:val="CaselawQuote"/>
        <w:spacing w:before="150" w:after="150"/>
        <w:ind w:left="1350"/>
        <w:jc w:val="left"/>
      </w:pPr>
      <w:r>
        <w:rPr>
          <w:rFonts w:ascii="Arial"/>
          <w:color w:val="000000"/>
          <w:sz w:val="22"/>
        </w:rPr>
        <w:t>53.</w:t>
      </w:r>
      <w:r>
        <w:rPr>
          <w:rFonts w:ascii="Arial"/>
          <w:color w:val="000000"/>
          <w:sz w:val="22"/>
        </w:rPr>
        <w:t>   </w:t>
      </w:r>
      <w:r>
        <w:rPr>
          <w:rFonts w:ascii="Arial"/>
          <w:color w:val="000000"/>
          <w:sz w:val="22"/>
        </w:rPr>
        <w:t>It is immediately apparent from the terms of condition 61 that condition 61 is a highly sophisticated condition, imposed so as "To ensure the ecological values of the retained wetland … are protected in perpetuity" using the language from condition 61 itself. …</w:t>
      </w:r>
    </w:p>
    <w:p>
      <w:pPr>
        <w:pStyle w:val="CaselawQuote"/>
        <w:spacing w:before="150" w:after="150"/>
        <w:ind w:left="1350"/>
        <w:jc w:val="left"/>
      </w:pPr>
      <w:r>
        <w:rPr>
          <w:rFonts w:ascii="Arial"/>
          <w:color w:val="000000"/>
          <w:sz w:val="22"/>
        </w:rPr>
        <w:t>54.</w:t>
      </w:r>
      <w:r>
        <w:rPr>
          <w:rFonts w:ascii="Arial"/>
          <w:color w:val="000000"/>
          <w:sz w:val="22"/>
        </w:rPr>
        <w:t>   </w:t>
      </w:r>
      <w:r>
        <w:rPr>
          <w:rFonts w:ascii="Arial"/>
          <w:color w:val="000000"/>
          <w:sz w:val="22"/>
        </w:rPr>
        <w:t xml:space="preserve">The Freshwater Wetland suite of conditions continue with conditions 62 and 63 which are Offset Site Conditions. The ecological sophistication of the EEC Offset Site condition is immediately apparent from a reading of condition 62. The express interrelationship between condition 62 and condition 57 is also </w:t>
      </w:r>
      <w:r>
        <w:rPr>
          <w:rFonts w:ascii="Arial"/>
          <w:color w:val="000000"/>
          <w:sz w:val="22"/>
        </w:rPr>
        <w:t>apparent from the terms of condition 62. The area of the offset is required to be 4.84ha. The offset site must be located within five kilometres of the development site. In addition, all areas of Littoral Rainforest EEC and Hairy Joint Grass habitat outside of the Freshwater Wetland EEC that may be indirectly impacted by the development are to be offset on a like for like basis in the ratio of 5:1 i.e. 5m2 of offset is required for 1m2 of indirect or direct impact. Consequently, as stated expressly in condition 62 this equates to a Littoral Rainforest EEC offset of 0.4ha and a Hairy Joint Grass offset area of 2.65ha, making a total threatened species and EEC offset area of 7.89ha.”</w:t>
      </w:r>
    </w:p>
    <w:p>
      <w:pPr>
        <w:pStyle w:val="CaselawNumbered10"/>
        <w:numPr>
          <w:ilvl w:val="0"/>
          <w:numId w:val="72"/>
        </w:numPr>
        <w:spacing w:before="150" w:after="0"/>
        <w:ind w:left="600" w:hanging="600"/>
      </w:pPr>
      <w:r>
        <w:rPr>
          <w:rFonts w:ascii="Arial"/>
          <w:color w:val="000000"/>
          <w:sz w:val="24"/>
        </w:rPr>
        <w:t xml:space="preserve">Ultimately, the applicant contends on </w:t>
      </w:r>
      <w:r>
        <w:rPr>
          <w:rFonts w:ascii="Arial"/>
          <w:color w:val="000000"/>
          <w:sz w:val="24"/>
        </w:rPr>
        <w:t xml:space="preserve">the evidence of </w:t>
      </w:r>
      <w:r>
        <w:rPr>
          <w:rFonts w:ascii="Arial"/>
          <w:color w:val="000000"/>
          <w:sz w:val="24"/>
        </w:rPr>
        <w:t xml:space="preserve">Mr </w:t>
      </w:r>
      <w:r>
        <w:rPr>
          <w:rFonts w:ascii="Arial"/>
          <w:color w:val="000000"/>
          <w:sz w:val="24"/>
        </w:rPr>
        <w:t>McCann</w:t>
      </w:r>
      <w:r>
        <w:rPr>
          <w:rFonts w:ascii="Arial"/>
          <w:color w:val="000000"/>
          <w:sz w:val="24"/>
        </w:rPr>
        <w:t>,</w:t>
      </w:r>
      <w:r>
        <w:rPr>
          <w:rFonts w:ascii="Arial"/>
          <w:color w:val="000000"/>
          <w:sz w:val="24"/>
        </w:rPr>
        <w:t xml:space="preserve"> </w:t>
      </w:r>
      <w:r>
        <w:rPr>
          <w:rFonts w:ascii="Arial"/>
          <w:color w:val="000000"/>
          <w:sz w:val="24"/>
        </w:rPr>
        <w:t xml:space="preserve">Ms </w:t>
      </w:r>
      <w:r>
        <w:rPr>
          <w:rFonts w:ascii="Arial"/>
          <w:color w:val="000000"/>
          <w:sz w:val="24"/>
        </w:rPr>
        <w:t xml:space="preserve">Erin </w:t>
      </w:r>
      <w:r>
        <w:rPr>
          <w:rFonts w:ascii="Arial"/>
          <w:color w:val="000000"/>
          <w:sz w:val="24"/>
        </w:rPr>
        <w:t>Holton</w:t>
      </w:r>
      <w:r>
        <w:rPr>
          <w:rFonts w:ascii="Arial"/>
          <w:color w:val="000000"/>
          <w:sz w:val="24"/>
        </w:rPr>
        <w:t xml:space="preserve"> </w:t>
      </w:r>
      <w:r>
        <w:rPr>
          <w:rFonts w:ascii="Arial"/>
          <w:color w:val="000000"/>
          <w:sz w:val="24"/>
        </w:rPr>
        <w:t xml:space="preserve">and Dr </w:t>
      </w:r>
      <w:r>
        <w:rPr>
          <w:rFonts w:ascii="Arial"/>
          <w:color w:val="000000"/>
          <w:sz w:val="24"/>
        </w:rPr>
        <w:t xml:space="preserve">Daniel </w:t>
      </w:r>
      <w:r>
        <w:rPr>
          <w:rFonts w:ascii="Arial"/>
          <w:color w:val="000000"/>
          <w:sz w:val="24"/>
        </w:rPr>
        <w:t>Martens</w:t>
      </w:r>
      <w:r>
        <w:rPr>
          <w:rFonts w:ascii="Arial"/>
          <w:color w:val="000000"/>
          <w:sz w:val="24"/>
        </w:rPr>
        <w:t xml:space="preserve"> </w:t>
      </w:r>
      <w:r>
        <w:rPr>
          <w:rFonts w:ascii="Arial"/>
          <w:color w:val="000000"/>
          <w:sz w:val="24"/>
        </w:rPr>
        <w:t>(the applicant</w:t>
      </w:r>
      <w:r>
        <w:rPr>
          <w:rFonts w:ascii="Arial"/>
          <w:color w:val="000000"/>
          <w:sz w:val="24"/>
        </w:rPr>
        <w:t>’</w:t>
      </w:r>
      <w:r>
        <w:rPr>
          <w:rFonts w:ascii="Arial"/>
          <w:color w:val="000000"/>
          <w:sz w:val="24"/>
        </w:rPr>
        <w:t>s hydrologists)</w:t>
      </w:r>
      <w:r>
        <w:rPr>
          <w:rFonts w:ascii="Arial"/>
          <w:color w:val="000000"/>
          <w:sz w:val="24"/>
        </w:rPr>
        <w:t xml:space="preserve"> </w:t>
      </w:r>
      <w:r>
        <w:rPr>
          <w:rFonts w:ascii="Arial"/>
          <w:color w:val="000000"/>
          <w:sz w:val="24"/>
        </w:rPr>
        <w:t xml:space="preserve">that the principles of </w:t>
      </w:r>
      <w:r>
        <w:rPr>
          <w:rFonts w:ascii="Arial"/>
          <w:color w:val="000000"/>
          <w:sz w:val="24"/>
        </w:rPr>
        <w:t>ESD</w:t>
      </w:r>
      <w:r>
        <w:rPr>
          <w:rFonts w:ascii="Arial"/>
          <w:color w:val="000000"/>
          <w:sz w:val="24"/>
        </w:rPr>
        <w:t xml:space="preserve"> </w:t>
      </w:r>
      <w:r>
        <w:rPr>
          <w:rFonts w:ascii="Arial"/>
          <w:color w:val="000000"/>
          <w:sz w:val="24"/>
        </w:rPr>
        <w:t>have informed the s68 application</w:t>
      </w:r>
      <w:r>
        <w:rPr>
          <w:rFonts w:ascii="Arial"/>
          <w:color w:val="000000"/>
          <w:sz w:val="24"/>
        </w:rPr>
        <w:t>s</w:t>
      </w:r>
      <w:r>
        <w:rPr>
          <w:rFonts w:ascii="Arial"/>
          <w:color w:val="000000"/>
          <w:sz w:val="24"/>
        </w:rPr>
        <w:t xml:space="preserve">. </w:t>
      </w:r>
      <w:r>
        <w:rPr>
          <w:rFonts w:ascii="Arial"/>
          <w:color w:val="000000"/>
          <w:sz w:val="24"/>
        </w:rPr>
        <w:t xml:space="preserve">In </w:t>
      </w:r>
      <w:r>
        <w:rPr>
          <w:rFonts w:ascii="Arial"/>
          <w:color w:val="000000"/>
          <w:sz w:val="24"/>
        </w:rPr>
        <w:t xml:space="preserve">the same way that Preston </w:t>
      </w:r>
      <w:r>
        <w:rPr>
          <w:rFonts w:ascii="Arial"/>
          <w:color w:val="000000"/>
          <w:sz w:val="24"/>
        </w:rPr>
        <w:t>C</w:t>
      </w:r>
      <w:r>
        <w:rPr>
          <w:rFonts w:ascii="Arial"/>
          <w:color w:val="000000"/>
          <w:sz w:val="24"/>
        </w:rPr>
        <w:t xml:space="preserve">J found in </w:t>
      </w:r>
      <w:r>
        <w:rPr>
          <w:rFonts w:ascii="Arial"/>
          <w:i/>
          <w:color w:val="000000"/>
          <w:sz w:val="24"/>
        </w:rPr>
        <w:t>Telstra Corporation Limited v Hornsby Shire Council</w:t>
      </w:r>
      <w:r>
        <w:rPr>
          <w:rFonts w:ascii="Arial"/>
          <w:color w:val="000000"/>
          <w:sz w:val="24"/>
        </w:rPr>
        <w:t xml:space="preserve"> </w:t>
      </w:r>
      <w:r>
        <w:rPr>
          <w:rFonts w:ascii="Arial"/>
          <w:color w:val="000000"/>
          <w:sz w:val="24"/>
        </w:rPr>
        <w:t>(2006) 146 LGERA 10; (2006) 67 NSWLR 256</w:t>
      </w:r>
      <w:r>
        <w:rPr>
          <w:rFonts w:ascii="Arial"/>
          <w:color w:val="000000"/>
          <w:sz w:val="24"/>
        </w:rPr>
        <w:t>;</w:t>
      </w:r>
      <w:r>
        <w:rPr>
          <w:rFonts w:ascii="Arial"/>
          <w:color w:val="000000"/>
          <w:sz w:val="24"/>
        </w:rPr>
        <w:t xml:space="preserve"> </w:t>
      </w:r>
      <w:r>
        <w:rPr>
          <w:rFonts w:ascii="Arial"/>
          <w:color w:val="000000"/>
          <w:sz w:val="24"/>
        </w:rPr>
        <w:t xml:space="preserve">[2006] NSWLEC 133 </w:t>
      </w:r>
      <w:r>
        <w:rPr>
          <w:rFonts w:ascii="Arial"/>
          <w:color w:val="000000"/>
          <w:sz w:val="24"/>
        </w:rPr>
        <w:t>(</w:t>
      </w:r>
      <w:r>
        <w:rPr>
          <w:rFonts w:ascii="Arial"/>
          <w:b/>
          <w:i/>
          <w:color w:val="000000"/>
          <w:sz w:val="24"/>
        </w:rPr>
        <w:t>Telstra</w:t>
      </w:r>
      <w:r>
        <w:rPr>
          <w:rFonts w:ascii="Arial"/>
          <w:color w:val="000000"/>
          <w:sz w:val="24"/>
        </w:rPr>
        <w:t>)</w:t>
      </w:r>
      <w:r>
        <w:rPr>
          <w:rFonts w:ascii="Arial"/>
          <w:i/>
          <w:color w:val="000000"/>
          <w:sz w:val="24"/>
        </w:rPr>
        <w:t xml:space="preserve"> </w:t>
      </w:r>
      <w:r>
        <w:rPr>
          <w:rFonts w:ascii="Arial"/>
          <w:color w:val="000000"/>
          <w:sz w:val="24"/>
        </w:rPr>
        <w:t xml:space="preserve">that the ESD principles were taken into account, the </w:t>
      </w:r>
      <w:r>
        <w:rPr>
          <w:rFonts w:ascii="Arial"/>
          <w:color w:val="000000"/>
          <w:sz w:val="24"/>
        </w:rPr>
        <w:t xml:space="preserve">applicant submits that the </w:t>
      </w:r>
      <w:r>
        <w:rPr>
          <w:rFonts w:ascii="Arial"/>
          <w:color w:val="000000"/>
          <w:sz w:val="24"/>
        </w:rPr>
        <w:t xml:space="preserve">conditions imposed by the </w:t>
      </w:r>
      <w:r>
        <w:rPr>
          <w:rFonts w:ascii="Arial"/>
          <w:color w:val="000000"/>
          <w:sz w:val="24"/>
        </w:rPr>
        <w:t>C</w:t>
      </w:r>
      <w:r>
        <w:rPr>
          <w:rFonts w:ascii="Arial"/>
          <w:color w:val="000000"/>
          <w:sz w:val="24"/>
        </w:rPr>
        <w:t>ouncil to the extent that they address matters that are relevant to an assessment to an ESD would be something that the Court would take into account as being measures which would accord with the requirements under s</w:t>
      </w:r>
      <w:r>
        <w:rPr>
          <w:rFonts w:ascii="Arial"/>
          <w:color w:val="000000"/>
          <w:sz w:val="24"/>
        </w:rPr>
        <w:t> </w:t>
      </w:r>
      <w:r>
        <w:rPr>
          <w:rFonts w:ascii="Arial"/>
          <w:color w:val="000000"/>
          <w:sz w:val="24"/>
        </w:rPr>
        <w:t xml:space="preserve">68. </w:t>
      </w:r>
      <w:r>
        <w:rPr>
          <w:rFonts w:ascii="Arial"/>
          <w:color w:val="000000"/>
          <w:sz w:val="24"/>
        </w:rPr>
        <w:t xml:space="preserve">And, </w:t>
      </w:r>
      <w:r>
        <w:rPr>
          <w:rFonts w:ascii="Arial"/>
          <w:color w:val="000000"/>
          <w:sz w:val="24"/>
        </w:rPr>
        <w:t>to the extent that the public interest has been taken into account</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applicant submits that the </w:t>
      </w:r>
      <w:r>
        <w:rPr>
          <w:rFonts w:ascii="Arial"/>
          <w:color w:val="000000"/>
          <w:sz w:val="24"/>
        </w:rPr>
        <w:t xml:space="preserve">Court can satisfied that the principles of ESD have been taken into account by </w:t>
      </w:r>
      <w:r>
        <w:rPr>
          <w:rFonts w:ascii="Arial"/>
          <w:color w:val="000000"/>
          <w:sz w:val="24"/>
        </w:rPr>
        <w:t xml:space="preserve">the </w:t>
      </w:r>
      <w:r>
        <w:rPr>
          <w:rFonts w:ascii="Arial"/>
          <w:color w:val="000000"/>
          <w:sz w:val="24"/>
        </w:rPr>
        <w:t>C</w:t>
      </w:r>
      <w:r>
        <w:rPr>
          <w:rFonts w:ascii="Arial"/>
          <w:color w:val="000000"/>
          <w:sz w:val="24"/>
        </w:rPr>
        <w:t>ouncil and reflected in the conditions</w:t>
      </w:r>
      <w:r>
        <w:rPr>
          <w:rFonts w:ascii="Arial"/>
          <w:color w:val="000000"/>
          <w:sz w:val="24"/>
        </w:rPr>
        <w:t>:</w:t>
      </w:r>
      <w:r>
        <w:rPr>
          <w:rFonts w:ascii="Arial"/>
          <w:i/>
          <w:color w:val="000000"/>
          <w:sz w:val="24"/>
        </w:rPr>
        <w:t xml:space="preserve"> Telstra</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 xml:space="preserve">[121]-[124]; </w:t>
      </w:r>
      <w:r>
        <w:rPr>
          <w:rFonts w:ascii="Arial"/>
          <w:i/>
          <w:color w:val="000000"/>
          <w:sz w:val="24"/>
        </w:rPr>
        <w:t>BGP Properties Pty Ltd v Lake Macquarie City Council</w:t>
      </w:r>
      <w:r>
        <w:rPr>
          <w:rFonts w:ascii="Arial"/>
          <w:color w:val="000000"/>
          <w:sz w:val="24"/>
        </w:rPr>
        <w:t xml:space="preserve"> </w:t>
      </w:r>
      <w:r>
        <w:rPr>
          <w:rFonts w:ascii="Arial"/>
          <w:color w:val="000000"/>
          <w:sz w:val="24"/>
        </w:rPr>
        <w:t xml:space="preserve">(2004) 138 LGERA 237; [2004] NSWLEC 399 </w:t>
      </w:r>
      <w:r>
        <w:rPr>
          <w:rFonts w:ascii="Arial"/>
          <w:color w:val="000000"/>
          <w:sz w:val="24"/>
        </w:rPr>
        <w:t xml:space="preserve">at [113] (ACWS at </w:t>
      </w:r>
      <w:r>
        <w:rPr>
          <w:rFonts w:ascii="Arial"/>
          <w:color w:val="000000"/>
          <w:sz w:val="24"/>
        </w:rPr>
        <w:t xml:space="preserve">par </w:t>
      </w:r>
      <w:r>
        <w:rPr>
          <w:rFonts w:ascii="Arial"/>
          <w:color w:val="000000"/>
          <w:sz w:val="24"/>
        </w:rPr>
        <w:t>88).</w:t>
      </w:r>
      <w:r>
        <w:rPr>
          <w:rFonts w:ascii="Arial"/>
          <w:color w:val="000000"/>
          <w:sz w:val="24"/>
        </w:rPr>
        <w:t xml:space="preserve"> </w:t>
      </w:r>
      <w:r>
        <w:rPr>
          <w:rFonts w:ascii="Arial"/>
          <w:color w:val="000000"/>
          <w:sz w:val="24"/>
        </w:rPr>
        <w:t xml:space="preserve">However, the freshwater wetland conditions </w:t>
      </w:r>
      <w:r>
        <w:rPr>
          <w:rFonts w:ascii="Arial"/>
          <w:color w:val="000000"/>
          <w:sz w:val="24"/>
        </w:rPr>
        <w:t>are said</w:t>
      </w:r>
      <w:r>
        <w:rPr>
          <w:rFonts w:ascii="Arial"/>
          <w:color w:val="000000"/>
          <w:sz w:val="24"/>
        </w:rPr>
        <w:t xml:space="preserve"> </w:t>
      </w:r>
      <w:r>
        <w:rPr>
          <w:rFonts w:ascii="Arial"/>
          <w:color w:val="000000"/>
          <w:sz w:val="24"/>
        </w:rPr>
        <w:t>to form one aspect and one aspect only of Council</w:t>
      </w:r>
      <w:r>
        <w:rPr>
          <w:rFonts w:ascii="Arial"/>
          <w:color w:val="000000"/>
          <w:sz w:val="24"/>
        </w:rPr>
        <w:t>’</w:t>
      </w:r>
      <w:r>
        <w:rPr>
          <w:rFonts w:ascii="Arial"/>
          <w:color w:val="000000"/>
          <w:sz w:val="24"/>
        </w:rPr>
        <w:t>s determination. Other aspects referred to expressly in the Statement of Reasons</w:t>
      </w:r>
      <w:r>
        <w:rPr>
          <w:rFonts w:ascii="Arial"/>
          <w:color w:val="000000"/>
          <w:sz w:val="24"/>
        </w:rPr>
        <w:t>,</w:t>
      </w:r>
      <w:r>
        <w:rPr>
          <w:rFonts w:ascii="Arial"/>
          <w:color w:val="000000"/>
          <w:sz w:val="24"/>
        </w:rPr>
        <w:t xml:space="preserve"> </w:t>
      </w:r>
      <w:r>
        <w:rPr>
          <w:rFonts w:ascii="Arial"/>
          <w:color w:val="000000"/>
          <w:sz w:val="24"/>
        </w:rPr>
        <w:t xml:space="preserve">including ensuring compliance with the objectives of the Ballina Local Environmental Plan 2012 for the R3 zoned land as part of the assessment are also </w:t>
      </w:r>
      <w:r>
        <w:rPr>
          <w:rFonts w:ascii="Arial"/>
          <w:color w:val="000000"/>
          <w:sz w:val="24"/>
        </w:rPr>
        <w:t xml:space="preserve">relevant. </w:t>
      </w:r>
    </w:p>
    <w:p>
      <w:pPr>
        <w:pStyle w:val="CaselawNumbered10"/>
        <w:numPr>
          <w:ilvl w:val="0"/>
          <w:numId w:val="72"/>
        </w:numPr>
        <w:spacing w:before="150" w:after="0"/>
        <w:ind w:left="600" w:hanging="600"/>
      </w:pPr>
      <w:r>
        <w:rPr>
          <w:rFonts w:ascii="Arial"/>
          <w:color w:val="000000"/>
          <w:sz w:val="24"/>
        </w:rPr>
        <w:t>That said, the applicant submits the requirement in cl</w:t>
      </w:r>
      <w:r>
        <w:rPr>
          <w:rFonts w:ascii="Arial"/>
          <w:color w:val="000000"/>
          <w:sz w:val="24"/>
        </w:rPr>
        <w:t xml:space="preserve"> </w:t>
      </w:r>
      <w:r>
        <w:rPr>
          <w:rFonts w:ascii="Arial"/>
          <w:color w:val="000000"/>
          <w:sz w:val="24"/>
        </w:rPr>
        <w:t xml:space="preserve">15(2)(b) of the </w:t>
      </w:r>
      <w:r>
        <w:rPr>
          <w:rFonts w:ascii="Arial"/>
          <w:color w:val="000000"/>
          <w:sz w:val="24"/>
        </w:rPr>
        <w:t xml:space="preserve">LG </w:t>
      </w:r>
      <w:r>
        <w:rPr>
          <w:rFonts w:ascii="Arial"/>
          <w:color w:val="000000"/>
          <w:sz w:val="24"/>
        </w:rPr>
        <w:t xml:space="preserve">Reg to have regard to the protection of the environment </w:t>
      </w:r>
      <w:r>
        <w:rPr>
          <w:rFonts w:ascii="Arial"/>
          <w:color w:val="000000"/>
          <w:sz w:val="24"/>
        </w:rPr>
        <w:t>does not thereby create a de facto de novo appeal of the 99-lot consent</w:t>
      </w:r>
      <w:r>
        <w:rPr>
          <w:rFonts w:ascii="Arial"/>
          <w:color w:val="000000"/>
          <w:sz w:val="24"/>
        </w:rPr>
        <w:t>.</w:t>
      </w:r>
      <w:r>
        <w:rPr>
          <w:rFonts w:ascii="Arial"/>
          <w:color w:val="000000"/>
          <w:sz w:val="24"/>
        </w:rPr>
        <w:t xml:space="preserve"> </w:t>
      </w:r>
      <w:r>
        <w:rPr>
          <w:rFonts w:ascii="Arial"/>
          <w:color w:val="000000"/>
          <w:sz w:val="24"/>
        </w:rPr>
        <w:t xml:space="preserve">In particular, the </w:t>
      </w:r>
      <w:r>
        <w:rPr>
          <w:rFonts w:ascii="Arial"/>
          <w:color w:val="000000"/>
          <w:sz w:val="24"/>
        </w:rPr>
        <w:t xml:space="preserve">applicant </w:t>
      </w:r>
      <w:r>
        <w:rPr>
          <w:rFonts w:ascii="Arial"/>
          <w:color w:val="000000"/>
          <w:sz w:val="24"/>
        </w:rPr>
        <w:t xml:space="preserve">takes issue with </w:t>
      </w:r>
      <w:r>
        <w:rPr>
          <w:rFonts w:ascii="Arial"/>
          <w:color w:val="000000"/>
          <w:sz w:val="24"/>
        </w:rPr>
        <w:t>Mr Gaskell</w:t>
      </w:r>
      <w:r>
        <w:rPr>
          <w:rFonts w:ascii="Arial"/>
          <w:color w:val="000000"/>
          <w:sz w:val="24"/>
        </w:rPr>
        <w:t>’</w:t>
      </w:r>
      <w:r>
        <w:rPr>
          <w:rFonts w:ascii="Arial"/>
          <w:color w:val="000000"/>
          <w:sz w:val="24"/>
        </w:rPr>
        <w:t xml:space="preserve">s criticisms in the joint report of the works proposed to address conditions </w:t>
      </w:r>
      <w:r>
        <w:rPr>
          <w:rFonts w:ascii="Arial"/>
          <w:color w:val="000000"/>
          <w:sz w:val="24"/>
        </w:rPr>
        <w:t>which do</w:t>
      </w:r>
      <w:r>
        <w:rPr>
          <w:rFonts w:ascii="Arial"/>
          <w:color w:val="000000"/>
          <w:sz w:val="24"/>
        </w:rPr>
        <w:t xml:space="preserve"> </w:t>
      </w:r>
      <w:r>
        <w:rPr>
          <w:rFonts w:ascii="Arial"/>
          <w:color w:val="000000"/>
          <w:sz w:val="24"/>
        </w:rPr>
        <w:t xml:space="preserve">not contain the words </w:t>
      </w:r>
      <w:r>
        <w:rPr>
          <w:rFonts w:ascii="Arial"/>
          <w:color w:val="000000"/>
          <w:sz w:val="24"/>
        </w:rPr>
        <w:t>“</w:t>
      </w:r>
      <w:r>
        <w:rPr>
          <w:rFonts w:ascii="Arial"/>
          <w:color w:val="000000"/>
          <w:sz w:val="24"/>
        </w:rPr>
        <w:t xml:space="preserve">to the satisfaction of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 </w:t>
      </w:r>
      <w:r>
        <w:rPr>
          <w:rFonts w:ascii="Arial"/>
          <w:color w:val="000000"/>
          <w:sz w:val="24"/>
        </w:rPr>
        <w:t>such as condition 5</w:t>
      </w:r>
      <w:r>
        <w:rPr>
          <w:rFonts w:ascii="Arial"/>
          <w:color w:val="000000"/>
          <w:sz w:val="24"/>
        </w:rPr>
        <w:t>9</w:t>
      </w:r>
      <w:r>
        <w:rPr>
          <w:rFonts w:ascii="Arial"/>
          <w:color w:val="000000"/>
          <w:sz w:val="24"/>
        </w:rPr>
        <w:t xml:space="preserve"> </w:t>
      </w:r>
      <w:r>
        <w:rPr>
          <w:rFonts w:ascii="Arial"/>
          <w:color w:val="000000"/>
          <w:sz w:val="24"/>
        </w:rPr>
        <w:t xml:space="preserve">in the </w:t>
      </w:r>
      <w:r>
        <w:rPr>
          <w:rFonts w:ascii="Arial"/>
          <w:color w:val="000000"/>
          <w:sz w:val="24"/>
        </w:rPr>
        <w:t>99-lot</w:t>
      </w:r>
      <w:r>
        <w:rPr>
          <w:rFonts w:ascii="Arial"/>
          <w:color w:val="000000"/>
          <w:sz w:val="24"/>
        </w:rPr>
        <w:t xml:space="preserve"> </w:t>
      </w:r>
      <w:r>
        <w:rPr>
          <w:rFonts w:ascii="Arial"/>
          <w:color w:val="000000"/>
          <w:sz w:val="24"/>
        </w:rPr>
        <w:t xml:space="preserve">consent. It submits that </w:t>
      </w:r>
      <w:r>
        <w:rPr>
          <w:rFonts w:ascii="Arial"/>
          <w:color w:val="000000"/>
          <w:sz w:val="24"/>
        </w:rPr>
        <w:t xml:space="preserve">his </w:t>
      </w:r>
      <w:r>
        <w:rPr>
          <w:rFonts w:ascii="Arial"/>
          <w:color w:val="000000"/>
          <w:sz w:val="24"/>
        </w:rPr>
        <w:t>evidence</w:t>
      </w:r>
      <w:r>
        <w:rPr>
          <w:rFonts w:ascii="Arial"/>
          <w:color w:val="000000"/>
          <w:sz w:val="24"/>
        </w:rPr>
        <w:t xml:space="preserve"> </w:t>
      </w:r>
      <w:r>
        <w:rPr>
          <w:rFonts w:ascii="Arial"/>
          <w:color w:val="000000"/>
          <w:sz w:val="24"/>
        </w:rPr>
        <w:t xml:space="preserve">ought </w:t>
      </w:r>
      <w:r>
        <w:rPr>
          <w:rFonts w:ascii="Arial"/>
          <w:color w:val="000000"/>
          <w:sz w:val="24"/>
        </w:rPr>
        <w:t>to be</w:t>
      </w:r>
      <w:r>
        <w:rPr>
          <w:rFonts w:ascii="Arial"/>
          <w:color w:val="000000"/>
          <w:sz w:val="24"/>
        </w:rPr>
        <w:t xml:space="preserve"> </w:t>
      </w:r>
      <w:r>
        <w:rPr>
          <w:rFonts w:ascii="Arial"/>
          <w:color w:val="000000"/>
          <w:sz w:val="24"/>
        </w:rPr>
        <w:t>rejected as condition 5</w:t>
      </w:r>
      <w:r>
        <w:rPr>
          <w:rFonts w:ascii="Arial"/>
          <w:color w:val="000000"/>
          <w:sz w:val="24"/>
        </w:rPr>
        <w:t>9</w:t>
      </w:r>
      <w:r>
        <w:rPr>
          <w:rFonts w:ascii="Arial"/>
          <w:color w:val="000000"/>
          <w:sz w:val="24"/>
        </w:rPr>
        <w:t xml:space="preserve"> </w:t>
      </w:r>
      <w:r>
        <w:rPr>
          <w:rFonts w:ascii="Arial"/>
          <w:color w:val="000000"/>
          <w:sz w:val="24"/>
        </w:rPr>
        <w:t>merely requires an existing WM</w:t>
      </w:r>
      <w:r>
        <w:rPr>
          <w:rFonts w:ascii="Arial"/>
          <w:color w:val="000000"/>
          <w:sz w:val="24"/>
        </w:rPr>
        <w:t>A</w:t>
      </w:r>
      <w:r>
        <w:rPr>
          <w:rFonts w:ascii="Arial"/>
          <w:color w:val="000000"/>
          <w:sz w:val="24"/>
        </w:rPr>
        <w:t xml:space="preserve">MP to be </w:t>
      </w:r>
      <w:r>
        <w:rPr>
          <w:rFonts w:ascii="Arial"/>
          <w:color w:val="000000"/>
          <w:sz w:val="24"/>
        </w:rPr>
        <w:t xml:space="preserve">modified in a specific manner outlined in the </w:t>
      </w:r>
      <w:r>
        <w:rPr>
          <w:rFonts w:ascii="Arial"/>
          <w:color w:val="000000"/>
          <w:sz w:val="24"/>
        </w:rPr>
        <w:t>seven</w:t>
      </w:r>
      <w:r>
        <w:rPr>
          <w:rFonts w:ascii="Arial"/>
          <w:color w:val="000000"/>
          <w:sz w:val="24"/>
        </w:rPr>
        <w:t xml:space="preserve"> </w:t>
      </w:r>
      <w:r>
        <w:rPr>
          <w:rFonts w:ascii="Arial"/>
          <w:color w:val="000000"/>
          <w:sz w:val="24"/>
        </w:rPr>
        <w:t xml:space="preserve">dot points </w:t>
      </w:r>
      <w:r>
        <w:rPr>
          <w:rFonts w:ascii="Arial"/>
          <w:color w:val="000000"/>
          <w:sz w:val="24"/>
        </w:rPr>
        <w:t>rather than to Mr Gaskell</w:t>
      </w:r>
      <w:r>
        <w:rPr>
          <w:rFonts w:ascii="Arial"/>
          <w:color w:val="000000"/>
          <w:sz w:val="24"/>
        </w:rPr>
        <w:t>’</w:t>
      </w:r>
      <w:r>
        <w:rPr>
          <w:rFonts w:ascii="Arial"/>
          <w:color w:val="000000"/>
          <w:sz w:val="24"/>
        </w:rPr>
        <w:t>s satisfaction</w:t>
      </w:r>
      <w:r>
        <w:rPr>
          <w:rFonts w:ascii="Arial"/>
          <w:color w:val="000000"/>
          <w:sz w:val="24"/>
        </w:rPr>
        <w:t xml:space="preserve">. </w:t>
      </w:r>
      <w:r>
        <w:rPr>
          <w:rFonts w:ascii="Arial"/>
          <w:color w:val="000000"/>
          <w:sz w:val="24"/>
        </w:rPr>
        <w:t>At par</w:t>
      </w:r>
      <w:r>
        <w:rPr>
          <w:rFonts w:ascii="Arial"/>
          <w:color w:val="000000"/>
          <w:sz w:val="24"/>
        </w:rPr>
        <w:t>s</w:t>
      </w:r>
      <w:r>
        <w:rPr>
          <w:rFonts w:ascii="Arial"/>
          <w:color w:val="000000"/>
          <w:sz w:val="24"/>
        </w:rPr>
        <w:t xml:space="preserve"> </w:t>
      </w:r>
      <w:r>
        <w:rPr>
          <w:rFonts w:ascii="Arial"/>
          <w:color w:val="000000"/>
          <w:sz w:val="24"/>
        </w:rPr>
        <w:t>55-63</w:t>
      </w:r>
      <w:r>
        <w:rPr>
          <w:rFonts w:ascii="Arial"/>
          <w:color w:val="000000"/>
          <w:sz w:val="24"/>
        </w:rPr>
        <w:t xml:space="preserve"> </w:t>
      </w:r>
      <w:r>
        <w:rPr>
          <w:rFonts w:ascii="Arial"/>
          <w:color w:val="000000"/>
          <w:sz w:val="24"/>
        </w:rPr>
        <w:t>of its CWS,</w:t>
      </w:r>
      <w:r>
        <w:rPr>
          <w:rFonts w:ascii="Arial"/>
          <w:color w:val="000000"/>
          <w:sz w:val="24"/>
        </w:rPr>
        <w:t xml:space="preserve"> </w:t>
      </w:r>
      <w:r>
        <w:rPr>
          <w:rFonts w:ascii="Arial"/>
          <w:color w:val="000000"/>
          <w:sz w:val="24"/>
        </w:rPr>
        <w:t xml:space="preserve">the applicant sets out </w:t>
      </w:r>
      <w:r>
        <w:rPr>
          <w:rFonts w:ascii="Arial"/>
          <w:color w:val="000000"/>
          <w:sz w:val="24"/>
        </w:rPr>
        <w:t xml:space="preserve">the </w:t>
      </w:r>
      <w:r>
        <w:rPr>
          <w:rFonts w:ascii="Arial"/>
          <w:color w:val="000000"/>
          <w:sz w:val="24"/>
        </w:rPr>
        <w:t xml:space="preserve">various attempts by Mr Gaskell to revisit the merit </w:t>
      </w:r>
      <w:r>
        <w:rPr>
          <w:rFonts w:ascii="Arial"/>
          <w:color w:val="000000"/>
          <w:sz w:val="24"/>
        </w:rPr>
        <w:t>determination</w:t>
      </w:r>
      <w:r>
        <w:rPr>
          <w:rFonts w:ascii="Arial"/>
          <w:color w:val="000000"/>
          <w:sz w:val="24"/>
        </w:rPr>
        <w:t xml:space="preserve"> </w:t>
      </w:r>
      <w:r>
        <w:rPr>
          <w:rFonts w:ascii="Arial"/>
          <w:color w:val="000000"/>
          <w:sz w:val="24"/>
        </w:rPr>
        <w:t>made by the Council and record</w:t>
      </w:r>
      <w:r>
        <w:rPr>
          <w:rFonts w:ascii="Arial"/>
          <w:color w:val="000000"/>
          <w:sz w:val="24"/>
        </w:rPr>
        <w:t>ed</w:t>
      </w:r>
      <w:r>
        <w:rPr>
          <w:rFonts w:ascii="Arial"/>
          <w:color w:val="000000"/>
          <w:sz w:val="24"/>
        </w:rPr>
        <w:t xml:space="preserve"> </w:t>
      </w:r>
      <w:r>
        <w:rPr>
          <w:rFonts w:ascii="Arial"/>
          <w:color w:val="000000"/>
          <w:sz w:val="24"/>
        </w:rPr>
        <w:t>in the suite of conditions.</w:t>
      </w:r>
      <w:r>
        <w:rPr>
          <w:rFonts w:ascii="Arial"/>
          <w:color w:val="000000"/>
          <w:sz w:val="24"/>
        </w:rPr>
        <w:t xml:space="preserve"> </w:t>
      </w:r>
      <w:r>
        <w:rPr>
          <w:rFonts w:ascii="Arial"/>
          <w:color w:val="000000"/>
          <w:sz w:val="24"/>
        </w:rPr>
        <w:t>The applicant relies on the compliance table a</w:t>
      </w:r>
      <w:r>
        <w:rPr>
          <w:rFonts w:ascii="Arial"/>
          <w:color w:val="000000"/>
          <w:sz w:val="24"/>
        </w:rPr>
        <w:t xml:space="preserve">t par 104 of the ACWS </w:t>
      </w:r>
      <w:r>
        <w:rPr>
          <w:rFonts w:ascii="Arial"/>
          <w:color w:val="000000"/>
          <w:sz w:val="24"/>
        </w:rPr>
        <w:t xml:space="preserve">to demonstrate how </w:t>
      </w:r>
      <w:r>
        <w:rPr>
          <w:rFonts w:ascii="Arial"/>
          <w:color w:val="000000"/>
          <w:sz w:val="24"/>
        </w:rPr>
        <w:t>each of the requirements of condition 59 has been achieved, and by reference to the relevant section in the WHMMP.</w:t>
      </w:r>
      <w:r>
        <w:rPr>
          <w:rFonts w:ascii="Arial"/>
          <w:color w:val="000000"/>
          <w:sz w:val="24"/>
        </w:rPr>
        <w:t xml:space="preserve"> </w:t>
      </w:r>
      <w:r>
        <w:rPr>
          <w:rFonts w:ascii="Arial"/>
          <w:color w:val="000000"/>
          <w:sz w:val="24"/>
        </w:rPr>
        <w:t>The applicant emphasises that the WHMMP prepared by Gilbert and Sutherland dated April 2020</w:t>
      </w:r>
      <w:r>
        <w:rPr>
          <w:rFonts w:ascii="Arial"/>
          <w:color w:val="000000"/>
          <w:sz w:val="24"/>
        </w:rPr>
        <w:t xml:space="preserve"> </w:t>
      </w:r>
      <w:r>
        <w:rPr>
          <w:rFonts w:ascii="Arial"/>
          <w:color w:val="000000"/>
          <w:sz w:val="24"/>
        </w:rPr>
        <w:t xml:space="preserve">does not require the </w:t>
      </w:r>
      <w:r>
        <w:rPr>
          <w:rFonts w:ascii="Arial"/>
          <w:color w:val="000000"/>
          <w:sz w:val="24"/>
        </w:rPr>
        <w:t>C</w:t>
      </w:r>
      <w:r>
        <w:rPr>
          <w:rFonts w:ascii="Arial"/>
          <w:color w:val="000000"/>
          <w:sz w:val="24"/>
        </w:rPr>
        <w:t>ouncil to be satisfied about the edits to the WHMMP</w:t>
      </w:r>
      <w:r>
        <w:rPr>
          <w:rFonts w:ascii="Arial"/>
          <w:color w:val="000000"/>
          <w:sz w:val="24"/>
        </w:rPr>
        <w:t xml:space="preserve"> </w:t>
      </w:r>
      <w:r>
        <w:rPr>
          <w:rFonts w:ascii="Arial"/>
          <w:color w:val="000000"/>
          <w:sz w:val="24"/>
        </w:rPr>
        <w:t xml:space="preserve">as </w:t>
      </w:r>
      <w:r>
        <w:rPr>
          <w:rFonts w:ascii="Arial"/>
          <w:color w:val="000000"/>
          <w:sz w:val="24"/>
        </w:rPr>
        <w:t>required under the condition</w:t>
      </w:r>
      <w:r>
        <w:rPr>
          <w:rFonts w:ascii="Arial"/>
          <w:color w:val="000000"/>
          <w:sz w:val="24"/>
        </w:rPr>
        <w:t xml:space="preserve">. Noting that the applicant also asks for an opportunity to make some </w:t>
      </w:r>
      <w:r>
        <w:rPr>
          <w:rFonts w:ascii="Arial"/>
          <w:color w:val="000000"/>
          <w:sz w:val="24"/>
        </w:rPr>
        <w:t xml:space="preserve">further minor edits to address </w:t>
      </w:r>
      <w:r>
        <w:rPr>
          <w:rFonts w:ascii="Arial"/>
          <w:color w:val="000000"/>
          <w:sz w:val="24"/>
        </w:rPr>
        <w:t xml:space="preserve">what it describes as </w:t>
      </w:r>
      <w:r>
        <w:rPr>
          <w:rFonts w:ascii="Arial"/>
          <w:color w:val="000000"/>
          <w:sz w:val="24"/>
        </w:rPr>
        <w:t>Ms Holton</w:t>
      </w:r>
      <w:r>
        <w:rPr>
          <w:rFonts w:ascii="Arial"/>
          <w:color w:val="000000"/>
          <w:sz w:val="24"/>
        </w:rPr>
        <w:t>’</w:t>
      </w:r>
      <w:r>
        <w:rPr>
          <w:rFonts w:ascii="Arial"/>
          <w:color w:val="000000"/>
          <w:sz w:val="24"/>
        </w:rPr>
        <w:t>s frank concessions in cross</w:t>
      </w:r>
      <w:r>
        <w:rPr>
          <w:rFonts w:ascii="Arial"/>
          <w:color w:val="000000"/>
          <w:sz w:val="24"/>
        </w:rPr>
        <w:t>-</w:t>
      </w:r>
      <w:r>
        <w:rPr>
          <w:rFonts w:ascii="Arial"/>
          <w:color w:val="000000"/>
          <w:sz w:val="24"/>
        </w:rPr>
        <w:t>examination</w:t>
      </w:r>
      <w:r>
        <w:rPr>
          <w:rFonts w:ascii="Arial"/>
          <w:color w:val="000000"/>
          <w:sz w:val="24"/>
        </w:rPr>
        <w:t xml:space="preserve"> </w:t>
      </w:r>
      <w:r>
        <w:rPr>
          <w:rFonts w:ascii="Arial"/>
          <w:color w:val="000000"/>
          <w:sz w:val="24"/>
        </w:rPr>
        <w:t>(</w:t>
      </w:r>
      <w:r>
        <w:rPr>
          <w:rFonts w:ascii="Arial"/>
          <w:color w:val="000000"/>
          <w:sz w:val="24"/>
        </w:rPr>
        <w:t xml:space="preserve">ACWS at </w:t>
      </w:r>
      <w:r>
        <w:rPr>
          <w:rFonts w:ascii="Arial"/>
          <w:color w:val="000000"/>
          <w:sz w:val="24"/>
        </w:rPr>
        <w:t xml:space="preserve">par </w:t>
      </w:r>
      <w:r>
        <w:rPr>
          <w:rFonts w:ascii="Arial"/>
          <w:color w:val="000000"/>
          <w:sz w:val="24"/>
        </w:rPr>
        <w:t>108</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72"/>
        </w:numPr>
        <w:spacing w:before="150" w:after="0"/>
        <w:ind w:left="600" w:hanging="600"/>
      </w:pPr>
      <w:r>
        <w:rPr>
          <w:rFonts w:ascii="Arial"/>
          <w:color w:val="000000"/>
          <w:sz w:val="24"/>
        </w:rPr>
        <w:t xml:space="preserve">Mr Gaskell is </w:t>
      </w:r>
      <w:r>
        <w:rPr>
          <w:rFonts w:ascii="Arial"/>
          <w:color w:val="000000"/>
          <w:sz w:val="24"/>
        </w:rPr>
        <w:t xml:space="preserve">also criticised for </w:t>
      </w:r>
      <w:r>
        <w:rPr>
          <w:rFonts w:ascii="Arial"/>
          <w:color w:val="000000"/>
          <w:sz w:val="24"/>
        </w:rPr>
        <w:t xml:space="preserve">giving evidence as to the intent of condition 57 </w:t>
      </w:r>
      <w:r>
        <w:rPr>
          <w:rFonts w:ascii="Arial"/>
          <w:color w:val="000000"/>
          <w:sz w:val="24"/>
        </w:rPr>
        <w:t>(</w:t>
      </w:r>
      <w:r>
        <w:rPr>
          <w:rFonts w:ascii="Arial"/>
          <w:color w:val="000000"/>
          <w:sz w:val="24"/>
        </w:rPr>
        <w:t xml:space="preserve">at </w:t>
      </w:r>
      <w:r>
        <w:rPr>
          <w:rFonts w:ascii="Arial"/>
          <w:color w:val="000000"/>
          <w:sz w:val="24"/>
        </w:rPr>
        <w:t xml:space="preserve">par </w:t>
      </w:r>
      <w:r>
        <w:rPr>
          <w:rFonts w:ascii="Arial"/>
          <w:color w:val="000000"/>
          <w:sz w:val="24"/>
        </w:rPr>
        <w:t>58</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rebuffed for seeking amendments to the Mott McDonald plans for the purpose of condition 57 to avoid encroachment into the SW1 </w:t>
      </w:r>
      <w:r>
        <w:rPr>
          <w:rFonts w:ascii="Arial"/>
          <w:color w:val="000000"/>
          <w:sz w:val="24"/>
        </w:rPr>
        <w:t xml:space="preserve">area </w:t>
      </w:r>
      <w:r>
        <w:rPr>
          <w:rFonts w:ascii="Arial"/>
          <w:color w:val="000000"/>
          <w:sz w:val="24"/>
        </w:rPr>
        <w:t xml:space="preserve">as </w:t>
      </w:r>
      <w:r>
        <w:rPr>
          <w:rFonts w:ascii="Arial"/>
          <w:color w:val="000000"/>
          <w:sz w:val="24"/>
        </w:rPr>
        <w:t xml:space="preserve">it is submitted that </w:t>
      </w:r>
      <w:r>
        <w:rPr>
          <w:rFonts w:ascii="Arial"/>
          <w:color w:val="000000"/>
          <w:sz w:val="24"/>
        </w:rPr>
        <w:t xml:space="preserve">condition 57(b) does not require that </w:t>
      </w:r>
      <w:r>
        <w:rPr>
          <w:rFonts w:ascii="Arial"/>
          <w:color w:val="000000"/>
          <w:sz w:val="24"/>
        </w:rPr>
        <w:t xml:space="preserve">but </w:t>
      </w:r>
      <w:r>
        <w:rPr>
          <w:rFonts w:ascii="Arial"/>
          <w:color w:val="000000"/>
          <w:sz w:val="24"/>
        </w:rPr>
        <w:t>envisage</w:t>
      </w:r>
      <w:r>
        <w:rPr>
          <w:rFonts w:ascii="Arial"/>
          <w:color w:val="000000"/>
          <w:sz w:val="24"/>
        </w:rPr>
        <w:t>s</w:t>
      </w:r>
      <w:r>
        <w:rPr>
          <w:rFonts w:ascii="Arial"/>
          <w:color w:val="000000"/>
          <w:sz w:val="24"/>
        </w:rPr>
        <w:t xml:space="preserve"> </w:t>
      </w:r>
      <w:r>
        <w:rPr>
          <w:rFonts w:ascii="Arial"/>
          <w:color w:val="000000"/>
          <w:sz w:val="24"/>
        </w:rPr>
        <w:t>that works may be carried out in the SW1 area (ACWS at</w:t>
      </w:r>
      <w:r>
        <w:rPr>
          <w:rFonts w:ascii="Arial"/>
          <w:color w:val="000000"/>
          <w:sz w:val="24"/>
        </w:rPr>
        <w:t xml:space="preserve"> </w:t>
      </w:r>
      <w:r>
        <w:rPr>
          <w:rFonts w:ascii="Arial"/>
          <w:color w:val="000000"/>
          <w:sz w:val="24"/>
        </w:rPr>
        <w:t>par</w:t>
      </w:r>
      <w:r>
        <w:rPr>
          <w:rFonts w:ascii="Arial"/>
          <w:color w:val="000000"/>
          <w:sz w:val="24"/>
        </w:rPr>
        <w:t xml:space="preserve"> </w:t>
      </w:r>
      <w:r>
        <w:rPr>
          <w:rFonts w:ascii="Arial"/>
          <w:color w:val="000000"/>
          <w:sz w:val="24"/>
        </w:rPr>
        <w:t>59</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 applicant </w:t>
      </w:r>
      <w:r>
        <w:rPr>
          <w:rFonts w:ascii="Arial"/>
          <w:color w:val="000000"/>
          <w:sz w:val="24"/>
        </w:rPr>
        <w:t xml:space="preserve">cautions the Court not to allow </w:t>
      </w:r>
      <w:r>
        <w:rPr>
          <w:rFonts w:ascii="Arial"/>
          <w:color w:val="000000"/>
          <w:sz w:val="24"/>
        </w:rPr>
        <w:t>Mr Gaskell to re-write the condition or to seek to discuss generally the topic of implementing the actions of the WMAMP.</w:t>
      </w:r>
      <w:r>
        <w:rPr>
          <w:rFonts w:ascii="Arial"/>
          <w:color w:val="000000"/>
          <w:sz w:val="24"/>
        </w:rPr>
        <w:t xml:space="preserve"> </w:t>
      </w:r>
      <w:r>
        <w:rPr>
          <w:rFonts w:ascii="Arial"/>
          <w:color w:val="000000"/>
          <w:sz w:val="24"/>
        </w:rPr>
        <w:t xml:space="preserve">The applicant </w:t>
      </w:r>
      <w:r>
        <w:rPr>
          <w:rFonts w:ascii="Arial"/>
          <w:color w:val="000000"/>
          <w:sz w:val="24"/>
        </w:rPr>
        <w:t xml:space="preserve">relies on </w:t>
      </w:r>
      <w:r>
        <w:rPr>
          <w:rFonts w:ascii="Arial"/>
          <w:color w:val="000000"/>
          <w:sz w:val="24"/>
        </w:rPr>
        <w:t>the revised construction plan prepared by Mott Mc</w:t>
      </w:r>
      <w:r>
        <w:rPr>
          <w:rFonts w:ascii="Arial"/>
          <w:color w:val="000000"/>
          <w:sz w:val="24"/>
        </w:rPr>
        <w:t>D</w:t>
      </w:r>
      <w:r>
        <w:rPr>
          <w:rFonts w:ascii="Arial"/>
          <w:color w:val="000000"/>
          <w:sz w:val="24"/>
        </w:rPr>
        <w:t xml:space="preserve">onald and the joint hydrology expert report </w:t>
      </w:r>
      <w:r>
        <w:rPr>
          <w:rFonts w:ascii="Arial"/>
          <w:color w:val="000000"/>
          <w:sz w:val="24"/>
        </w:rPr>
        <w:t xml:space="preserve">filed on 20 November 2023 </w:t>
      </w:r>
      <w:r>
        <w:rPr>
          <w:rFonts w:ascii="Arial"/>
          <w:color w:val="000000"/>
          <w:sz w:val="24"/>
        </w:rPr>
        <w:t xml:space="preserve">to </w:t>
      </w:r>
      <w:r>
        <w:rPr>
          <w:rFonts w:ascii="Arial"/>
          <w:color w:val="000000"/>
          <w:sz w:val="24"/>
        </w:rPr>
        <w:t xml:space="preserve">demonstrate full compliance with the requirements of condition 57 and </w:t>
      </w:r>
      <w:r>
        <w:rPr>
          <w:rFonts w:ascii="Arial"/>
          <w:color w:val="000000"/>
          <w:sz w:val="24"/>
        </w:rPr>
        <w:t xml:space="preserve">invites </w:t>
      </w:r>
      <w:r>
        <w:rPr>
          <w:rFonts w:ascii="Arial"/>
          <w:color w:val="000000"/>
          <w:sz w:val="24"/>
        </w:rPr>
        <w:t xml:space="preserve">the Court </w:t>
      </w:r>
      <w:r>
        <w:rPr>
          <w:rFonts w:ascii="Arial"/>
          <w:color w:val="000000"/>
          <w:sz w:val="24"/>
        </w:rPr>
        <w:t xml:space="preserve">on that basis </w:t>
      </w:r>
      <w:r>
        <w:rPr>
          <w:rFonts w:ascii="Arial"/>
          <w:color w:val="000000"/>
          <w:sz w:val="24"/>
        </w:rPr>
        <w:t xml:space="preserve">to reach the </w:t>
      </w:r>
      <w:r>
        <w:rPr>
          <w:rFonts w:ascii="Arial"/>
          <w:color w:val="000000"/>
          <w:sz w:val="24"/>
        </w:rPr>
        <w:t>requisite</w:t>
      </w:r>
      <w:r>
        <w:rPr>
          <w:rFonts w:ascii="Arial"/>
          <w:color w:val="000000"/>
          <w:sz w:val="24"/>
        </w:rPr>
        <w:t xml:space="preserve"> </w:t>
      </w:r>
      <w:r>
        <w:rPr>
          <w:rFonts w:ascii="Arial"/>
          <w:color w:val="000000"/>
          <w:sz w:val="24"/>
        </w:rPr>
        <w:t>state</w:t>
      </w:r>
      <w:r>
        <w:rPr>
          <w:rFonts w:ascii="Arial"/>
          <w:color w:val="000000"/>
          <w:sz w:val="24"/>
        </w:rPr>
        <w:t xml:space="preserve"> </w:t>
      </w:r>
      <w:r>
        <w:rPr>
          <w:rFonts w:ascii="Arial"/>
          <w:color w:val="000000"/>
          <w:sz w:val="24"/>
        </w:rPr>
        <w:t xml:space="preserve">of satisfaction called for by the condition. </w:t>
      </w:r>
    </w:p>
    <w:p>
      <w:pPr>
        <w:pStyle w:val="CaselawNumbered10"/>
        <w:numPr>
          <w:ilvl w:val="0"/>
          <w:numId w:val="72"/>
        </w:numPr>
        <w:spacing w:before="150" w:after="0"/>
        <w:ind w:left="600" w:hanging="600"/>
      </w:pPr>
      <w:r>
        <w:rPr>
          <w:rFonts w:ascii="Arial"/>
          <w:color w:val="000000"/>
          <w:sz w:val="24"/>
        </w:rPr>
        <w:t>In respect</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condition 58</w:t>
      </w:r>
      <w:r>
        <w:rPr>
          <w:rFonts w:ascii="Arial"/>
          <w:color w:val="000000"/>
          <w:sz w:val="24"/>
        </w:rPr>
        <w:t>,</w:t>
      </w:r>
      <w:r>
        <w:rPr>
          <w:rFonts w:ascii="Arial"/>
          <w:color w:val="000000"/>
          <w:sz w:val="24"/>
        </w:rPr>
        <w:t xml:space="preserve"> </w:t>
      </w:r>
      <w:r>
        <w:rPr>
          <w:rFonts w:ascii="Arial"/>
          <w:color w:val="000000"/>
          <w:sz w:val="24"/>
        </w:rPr>
        <w:t xml:space="preserve">the applicant refers me to </w:t>
      </w:r>
      <w:r>
        <w:rPr>
          <w:rFonts w:ascii="Arial"/>
          <w:color w:val="000000"/>
          <w:sz w:val="24"/>
        </w:rPr>
        <w:t xml:space="preserve">the revised </w:t>
      </w:r>
      <w:r>
        <w:rPr>
          <w:rFonts w:ascii="Arial"/>
          <w:color w:val="000000"/>
          <w:sz w:val="24"/>
        </w:rPr>
        <w:t xml:space="preserve">WMAMP </w:t>
      </w:r>
      <w:r>
        <w:rPr>
          <w:rFonts w:ascii="Arial"/>
          <w:color w:val="000000"/>
          <w:sz w:val="24"/>
        </w:rPr>
        <w:t xml:space="preserve">prepared by Mr McCann </w:t>
      </w:r>
      <w:r>
        <w:rPr>
          <w:rFonts w:ascii="Arial"/>
          <w:color w:val="000000"/>
          <w:sz w:val="24"/>
        </w:rPr>
        <w:t xml:space="preserve">who is also the appointed ecologist for the purposes of condition 59 dot points 1 and 3. The applicant submits </w:t>
      </w:r>
      <w:r>
        <w:rPr>
          <w:rFonts w:ascii="Arial"/>
          <w:color w:val="000000"/>
          <w:sz w:val="24"/>
        </w:rPr>
        <w:t>that this</w:t>
      </w:r>
      <w:r>
        <w:rPr>
          <w:rFonts w:ascii="Arial"/>
          <w:color w:val="000000"/>
          <w:sz w:val="24"/>
        </w:rPr>
        <w:t xml:space="preserve"> </w:t>
      </w:r>
      <w:r>
        <w:rPr>
          <w:rFonts w:ascii="Arial"/>
          <w:color w:val="000000"/>
          <w:sz w:val="24"/>
        </w:rPr>
        <w:t xml:space="preserve">latest version of the </w:t>
      </w:r>
      <w:r>
        <w:rPr>
          <w:rFonts w:ascii="Arial"/>
          <w:color w:val="000000"/>
          <w:sz w:val="24"/>
        </w:rPr>
        <w:t xml:space="preserve">WMAMP is in a form sufficient for the Court to reach the requisite state of satisfaction called for by the condition whilst acknowledging </w:t>
      </w:r>
      <w:r>
        <w:rPr>
          <w:rFonts w:ascii="Arial"/>
          <w:color w:val="000000"/>
          <w:sz w:val="24"/>
        </w:rPr>
        <w:t>“…</w:t>
      </w:r>
      <w:r>
        <w:rPr>
          <w:rFonts w:ascii="Arial"/>
          <w:color w:val="000000"/>
          <w:sz w:val="24"/>
        </w:rPr>
        <w:t>that some relatively minor editing may be required in order to record the frank concessions made by Mr McCann in cross</w:t>
      </w:r>
      <w:r>
        <w:rPr>
          <w:rFonts w:ascii="Arial"/>
          <w:color w:val="000000"/>
          <w:sz w:val="24"/>
        </w:rPr>
        <w:t>-</w:t>
      </w:r>
      <w:r>
        <w:rPr>
          <w:rFonts w:ascii="Arial"/>
          <w:color w:val="000000"/>
          <w:sz w:val="24"/>
        </w:rPr>
        <w:t>examination</w:t>
      </w:r>
      <w:r>
        <w:rPr>
          <w:rFonts w:ascii="Arial"/>
          <w:color w:val="000000"/>
          <w:sz w:val="24"/>
        </w:rPr>
        <w:t xml:space="preserve">” </w:t>
      </w:r>
      <w:r>
        <w:rPr>
          <w:rFonts w:ascii="Arial"/>
          <w:color w:val="000000"/>
          <w:sz w:val="24"/>
        </w:rPr>
        <w:t xml:space="preserve">(ACWS at </w:t>
      </w:r>
      <w:r>
        <w:rPr>
          <w:rFonts w:ascii="Arial"/>
          <w:color w:val="000000"/>
          <w:sz w:val="24"/>
        </w:rPr>
        <w:t xml:space="preserve">par </w:t>
      </w:r>
      <w:r>
        <w:rPr>
          <w:rFonts w:ascii="Arial"/>
          <w:color w:val="000000"/>
          <w:sz w:val="24"/>
        </w:rPr>
        <w:t xml:space="preserve">101). </w:t>
      </w:r>
    </w:p>
    <w:p>
      <w:pPr>
        <w:pStyle w:val="CaselawNumbered10"/>
        <w:numPr>
          <w:ilvl w:val="0"/>
          <w:numId w:val="72"/>
        </w:numPr>
        <w:spacing w:before="150" w:after="0"/>
        <w:ind w:left="600" w:hanging="600"/>
      </w:pPr>
      <w:r>
        <w:rPr>
          <w:rFonts w:ascii="Arial"/>
          <w:color w:val="000000"/>
          <w:sz w:val="24"/>
        </w:rPr>
        <w:t xml:space="preserve">Compliance with </w:t>
      </w:r>
      <w:r>
        <w:rPr>
          <w:rFonts w:ascii="Arial"/>
          <w:color w:val="000000"/>
          <w:sz w:val="24"/>
        </w:rPr>
        <w:t xml:space="preserve">condition </w:t>
      </w:r>
      <w:r>
        <w:rPr>
          <w:rFonts w:ascii="Arial"/>
          <w:color w:val="000000"/>
          <w:sz w:val="24"/>
        </w:rPr>
        <w:t>60 is also addressed by the applicant in a ta</w:t>
      </w:r>
      <w:r>
        <w:rPr>
          <w:rFonts w:ascii="Arial"/>
          <w:color w:val="000000"/>
          <w:sz w:val="24"/>
        </w:rPr>
        <w:t>b</w:t>
      </w:r>
      <w:r>
        <w:rPr>
          <w:rFonts w:ascii="Arial"/>
          <w:color w:val="000000"/>
          <w:sz w:val="24"/>
        </w:rPr>
        <w:t xml:space="preserve">le of compliance </w:t>
      </w:r>
      <w:r>
        <w:rPr>
          <w:rFonts w:ascii="Arial"/>
          <w:color w:val="000000"/>
          <w:sz w:val="24"/>
        </w:rPr>
        <w:t>(</w:t>
      </w:r>
      <w:r>
        <w:rPr>
          <w:rFonts w:ascii="Arial"/>
          <w:color w:val="000000"/>
          <w:sz w:val="24"/>
        </w:rPr>
        <w:t xml:space="preserve">ACWS at </w:t>
      </w:r>
      <w:r>
        <w:rPr>
          <w:rFonts w:ascii="Arial"/>
          <w:color w:val="000000"/>
          <w:sz w:val="24"/>
        </w:rPr>
        <w:t xml:space="preserve">par </w:t>
      </w:r>
      <w:r>
        <w:rPr>
          <w:rFonts w:ascii="Arial"/>
          <w:color w:val="000000"/>
          <w:sz w:val="24"/>
        </w:rPr>
        <w:t>114</w:t>
      </w:r>
      <w:r>
        <w:rPr>
          <w:rFonts w:ascii="Arial"/>
          <w:color w:val="000000"/>
          <w:sz w:val="24"/>
        </w:rPr>
        <w:t>)</w:t>
      </w:r>
      <w:r>
        <w:rPr>
          <w:rFonts w:ascii="Arial"/>
          <w:color w:val="000000"/>
          <w:sz w:val="24"/>
        </w:rPr>
        <w:t xml:space="preserve">. Again, the applicant </w:t>
      </w:r>
      <w:r>
        <w:rPr>
          <w:rFonts w:ascii="Arial"/>
          <w:color w:val="000000"/>
          <w:sz w:val="24"/>
        </w:rPr>
        <w:t xml:space="preserve">submits </w:t>
      </w:r>
      <w:r>
        <w:rPr>
          <w:rFonts w:ascii="Arial"/>
          <w:color w:val="000000"/>
          <w:sz w:val="24"/>
        </w:rPr>
        <w:t xml:space="preserve">that the Court will be satisfied that the revised </w:t>
      </w:r>
      <w:r>
        <w:rPr>
          <w:rFonts w:ascii="Arial"/>
          <w:color w:val="000000"/>
          <w:sz w:val="24"/>
        </w:rPr>
        <w:t>WMP</w:t>
      </w:r>
      <w:r>
        <w:rPr>
          <w:rFonts w:ascii="Arial"/>
          <w:color w:val="000000"/>
          <w:sz w:val="24"/>
        </w:rPr>
        <w:t xml:space="preserve"> </w:t>
      </w:r>
      <w:r>
        <w:rPr>
          <w:rFonts w:ascii="Arial"/>
          <w:color w:val="000000"/>
          <w:sz w:val="24"/>
        </w:rPr>
        <w:t>prepared by GHD dated August 2023 (Annexure B) complies with the requirements of this condition having picked up the changes to the WMP required by the experts and confirmed by Mr McCann in cross</w:t>
      </w:r>
      <w:r>
        <w:rPr>
          <w:rFonts w:ascii="Arial"/>
          <w:color w:val="000000"/>
          <w:sz w:val="24"/>
        </w:rPr>
        <w:t>-</w:t>
      </w:r>
      <w:r>
        <w:rPr>
          <w:rFonts w:ascii="Arial"/>
          <w:color w:val="000000"/>
          <w:sz w:val="24"/>
        </w:rPr>
        <w:t>examination (</w:t>
      </w:r>
      <w:r>
        <w:rPr>
          <w:rFonts w:ascii="Arial"/>
          <w:color w:val="000000"/>
          <w:sz w:val="24"/>
        </w:rPr>
        <w:t>T</w:t>
      </w:r>
      <w:r>
        <w:rPr>
          <w:rFonts w:ascii="Arial"/>
          <w:color w:val="000000"/>
          <w:sz w:val="24"/>
        </w:rPr>
        <w:t>cpt, 6 December 2023, p</w:t>
      </w:r>
      <w:r>
        <w:rPr>
          <w:rFonts w:ascii="Arial"/>
          <w:color w:val="000000"/>
          <w:sz w:val="24"/>
        </w:rPr>
        <w:t xml:space="preserve"> </w:t>
      </w:r>
      <w:r>
        <w:rPr>
          <w:rFonts w:ascii="Arial"/>
          <w:color w:val="000000"/>
          <w:sz w:val="24"/>
        </w:rPr>
        <w:t>185</w:t>
      </w:r>
      <w:r>
        <w:rPr>
          <w:rFonts w:ascii="Arial"/>
          <w:color w:val="000000"/>
          <w:sz w:val="24"/>
        </w:rPr>
        <w:t>(</w:t>
      </w:r>
      <w:r>
        <w:rPr>
          <w:rFonts w:ascii="Arial"/>
          <w:color w:val="000000"/>
          <w:sz w:val="24"/>
        </w:rPr>
        <w:t>38-40</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72"/>
        </w:numPr>
        <w:spacing w:before="150" w:after="0"/>
        <w:ind w:left="600" w:hanging="600"/>
      </w:pPr>
      <w:r>
        <w:rPr>
          <w:rFonts w:ascii="Arial"/>
          <w:color w:val="000000"/>
          <w:sz w:val="24"/>
        </w:rPr>
        <w:t xml:space="preserve">While the applicant submits that the </w:t>
      </w:r>
      <w:r>
        <w:rPr>
          <w:rFonts w:ascii="Arial"/>
          <w:color w:val="000000"/>
          <w:sz w:val="24"/>
        </w:rPr>
        <w:t xml:space="preserve">latest raft of </w:t>
      </w:r>
      <w:r>
        <w:rPr>
          <w:rFonts w:ascii="Arial"/>
          <w:color w:val="000000"/>
          <w:sz w:val="24"/>
        </w:rPr>
        <w:t>amendment</w:t>
      </w:r>
      <w:r>
        <w:rPr>
          <w:rFonts w:ascii="Arial"/>
          <w:color w:val="000000"/>
          <w:sz w:val="24"/>
        </w:rPr>
        <w:t>s</w:t>
      </w:r>
      <w:r>
        <w:rPr>
          <w:rFonts w:ascii="Arial"/>
          <w:color w:val="000000"/>
          <w:sz w:val="24"/>
        </w:rPr>
        <w:t xml:space="preserve"> </w:t>
      </w:r>
      <w:r>
        <w:rPr>
          <w:rFonts w:ascii="Arial"/>
          <w:color w:val="000000"/>
          <w:sz w:val="24"/>
        </w:rPr>
        <w:t xml:space="preserve">to the documentation </w:t>
      </w:r>
      <w:r>
        <w:rPr>
          <w:rFonts w:ascii="Arial"/>
          <w:color w:val="000000"/>
          <w:sz w:val="24"/>
        </w:rPr>
        <w:t xml:space="preserve">are sufficient to grant approval to the applications because the measures outlined will protect the </w:t>
      </w:r>
      <w:r>
        <w:rPr>
          <w:rFonts w:ascii="Arial"/>
          <w:color w:val="000000"/>
          <w:sz w:val="24"/>
        </w:rPr>
        <w:t>f</w:t>
      </w:r>
      <w:r>
        <w:rPr>
          <w:rFonts w:ascii="Arial"/>
          <w:color w:val="000000"/>
          <w:sz w:val="24"/>
        </w:rPr>
        <w:t>reshwater wetland EEC</w:t>
      </w:r>
      <w:r>
        <w:rPr>
          <w:rFonts w:ascii="Arial"/>
          <w:color w:val="000000"/>
          <w:sz w:val="24"/>
        </w:rPr>
        <w:t>,</w:t>
      </w:r>
      <w:r>
        <w:rPr>
          <w:rFonts w:ascii="Arial"/>
          <w:color w:val="000000"/>
          <w:sz w:val="24"/>
        </w:rPr>
        <w:t xml:space="preserve"> </w:t>
      </w:r>
      <w:r>
        <w:rPr>
          <w:rFonts w:ascii="Arial"/>
          <w:color w:val="000000"/>
          <w:sz w:val="24"/>
        </w:rPr>
        <w:t>I am not as confident.</w:t>
      </w:r>
      <w:r>
        <w:rPr>
          <w:rFonts w:ascii="Arial"/>
          <w:color w:val="000000"/>
          <w:sz w:val="24"/>
        </w:rPr>
        <w:t xml:space="preserve"> </w:t>
      </w:r>
      <w:r>
        <w:rPr>
          <w:rFonts w:ascii="Arial"/>
          <w:color w:val="000000"/>
          <w:sz w:val="24"/>
        </w:rPr>
        <w:t>The applicant</w:t>
      </w:r>
      <w:r>
        <w:rPr>
          <w:rFonts w:ascii="Arial"/>
          <w:color w:val="000000"/>
          <w:sz w:val="24"/>
        </w:rPr>
        <w:t>’</w:t>
      </w:r>
      <w:r>
        <w:rPr>
          <w:rFonts w:ascii="Arial"/>
          <w:color w:val="000000"/>
          <w:sz w:val="24"/>
        </w:rPr>
        <w:t xml:space="preserve">s attempt </w:t>
      </w:r>
      <w:r>
        <w:rPr>
          <w:rFonts w:ascii="Arial"/>
          <w:color w:val="000000"/>
          <w:sz w:val="24"/>
        </w:rPr>
        <w:t xml:space="preserve">to retrofit the WMAMP and WMP at the end of the hearing is an unsatisfactory approach to ensure the protection of the environment. </w:t>
      </w:r>
    </w:p>
    <w:p>
      <w:pPr>
        <w:pStyle w:val="CaselawNumbered10"/>
        <w:numPr>
          <w:ilvl w:val="0"/>
          <w:numId w:val="72"/>
        </w:numPr>
        <w:spacing w:before="150" w:after="0"/>
        <w:ind w:left="600" w:hanging="600"/>
      </w:pPr>
      <w:r>
        <w:rPr>
          <w:rFonts w:ascii="Arial"/>
          <w:color w:val="000000"/>
          <w:sz w:val="24"/>
        </w:rPr>
        <w:t>Clause</w:t>
      </w:r>
      <w:r>
        <w:rPr>
          <w:rFonts w:ascii="Arial"/>
          <w:color w:val="000000"/>
          <w:sz w:val="24"/>
        </w:rPr>
        <w:t xml:space="preserve"> </w:t>
      </w:r>
      <w:r>
        <w:rPr>
          <w:rFonts w:ascii="Arial"/>
          <w:color w:val="000000"/>
          <w:sz w:val="24"/>
        </w:rPr>
        <w:t xml:space="preserve">15(2)(b) </w:t>
      </w:r>
      <w:r>
        <w:rPr>
          <w:rFonts w:ascii="Arial"/>
          <w:color w:val="000000"/>
          <w:sz w:val="24"/>
        </w:rPr>
        <w:t>is a key provision of the LG Reg</w:t>
      </w:r>
      <w:r>
        <w:rPr>
          <w:rFonts w:ascii="Arial"/>
          <w:color w:val="000000"/>
          <w:sz w:val="24"/>
        </w:rPr>
        <w:t xml:space="preserve"> </w:t>
      </w:r>
      <w:r>
        <w:rPr>
          <w:rFonts w:ascii="Arial"/>
          <w:color w:val="000000"/>
          <w:sz w:val="24"/>
        </w:rPr>
        <w:t xml:space="preserve">– </w:t>
      </w:r>
      <w:r>
        <w:rPr>
          <w:rFonts w:ascii="Arial"/>
          <w:color w:val="000000"/>
          <w:sz w:val="24"/>
        </w:rPr>
        <w:t xml:space="preserve">the protection of the environment </w:t>
      </w:r>
      <w:r>
        <w:rPr>
          <w:rFonts w:ascii="Arial"/>
          <w:color w:val="000000"/>
          <w:sz w:val="24"/>
        </w:rPr>
        <w:t>(T</w:t>
      </w:r>
      <w:r>
        <w:rPr>
          <w:rFonts w:ascii="Arial"/>
          <w:color w:val="000000"/>
          <w:sz w:val="24"/>
        </w:rPr>
        <w:t>cpt, 11 December 2023, p 373(</w:t>
      </w:r>
      <w:r>
        <w:rPr>
          <w:rFonts w:ascii="Arial"/>
          <w:color w:val="000000"/>
          <w:sz w:val="24"/>
        </w:rPr>
        <w:t>3-10</w:t>
      </w:r>
      <w:r>
        <w:rPr>
          <w:rFonts w:ascii="Arial"/>
          <w:color w:val="000000"/>
          <w:sz w:val="24"/>
        </w:rPr>
        <w: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Understandably, </w:t>
      </w:r>
      <w:r>
        <w:rPr>
          <w:rFonts w:ascii="Arial"/>
          <w:color w:val="000000"/>
          <w:sz w:val="24"/>
        </w:rPr>
        <w:t>t</w:t>
      </w:r>
      <w:r>
        <w:rPr>
          <w:rFonts w:ascii="Arial"/>
          <w:color w:val="000000"/>
          <w:sz w:val="24"/>
        </w:rPr>
        <w:t xml:space="preserve">he Council </w:t>
      </w:r>
      <w:r>
        <w:rPr>
          <w:rFonts w:ascii="Arial"/>
          <w:color w:val="000000"/>
          <w:sz w:val="24"/>
        </w:rPr>
        <w:t xml:space="preserve">is concerned </w:t>
      </w:r>
      <w:r>
        <w:rPr>
          <w:rFonts w:ascii="Arial"/>
          <w:color w:val="000000"/>
          <w:sz w:val="24"/>
        </w:rPr>
        <w:t xml:space="preserve">that the </w:t>
      </w:r>
      <w:r>
        <w:rPr>
          <w:rFonts w:ascii="Arial"/>
          <w:color w:val="000000"/>
          <w:sz w:val="24"/>
        </w:rPr>
        <w:t xml:space="preserve">measures proposed </w:t>
      </w:r>
      <w:r>
        <w:rPr>
          <w:rFonts w:ascii="Arial"/>
          <w:color w:val="000000"/>
          <w:sz w:val="24"/>
        </w:rPr>
        <w:t xml:space="preserve">by the applicant </w:t>
      </w:r>
      <w:r>
        <w:rPr>
          <w:rFonts w:ascii="Arial"/>
          <w:color w:val="000000"/>
          <w:sz w:val="24"/>
        </w:rPr>
        <w:t xml:space="preserve">need to work and need to have a design that is capable of being implemented to protect the </w:t>
      </w:r>
      <w:r>
        <w:rPr>
          <w:rFonts w:ascii="Arial"/>
          <w:color w:val="000000"/>
          <w:sz w:val="24"/>
        </w:rPr>
        <w:t xml:space="preserve">freshwater </w:t>
      </w:r>
      <w:r>
        <w:rPr>
          <w:rFonts w:ascii="Arial"/>
          <w:color w:val="000000"/>
          <w:sz w:val="24"/>
        </w:rPr>
        <w:t xml:space="preserve">wetland. </w:t>
      </w:r>
      <w:r>
        <w:rPr>
          <w:rFonts w:ascii="Arial"/>
          <w:color w:val="000000"/>
          <w:sz w:val="24"/>
        </w:rPr>
        <w:t xml:space="preserve">The Council </w:t>
      </w:r>
      <w:r>
        <w:rPr>
          <w:rFonts w:ascii="Arial"/>
          <w:color w:val="000000"/>
          <w:sz w:val="24"/>
        </w:rPr>
        <w:t>submits</w:t>
      </w:r>
      <w:r>
        <w:rPr>
          <w:rFonts w:ascii="Arial"/>
          <w:color w:val="000000"/>
          <w:sz w:val="24"/>
        </w:rPr>
        <w:t xml:space="preserve"> </w:t>
      </w:r>
      <w:r>
        <w:rPr>
          <w:rFonts w:ascii="Arial"/>
          <w:color w:val="000000"/>
          <w:sz w:val="24"/>
        </w:rPr>
        <w:t xml:space="preserve">that the </w:t>
      </w:r>
      <w:r>
        <w:rPr>
          <w:rFonts w:ascii="Arial"/>
          <w:color w:val="000000"/>
          <w:sz w:val="24"/>
        </w:rPr>
        <w:t xml:space="preserve">amended </w:t>
      </w:r>
      <w:r>
        <w:rPr>
          <w:rFonts w:ascii="Arial"/>
          <w:color w:val="000000"/>
          <w:sz w:val="24"/>
        </w:rPr>
        <w:t>WMAMP, WHMMP an</w:t>
      </w:r>
      <w:r>
        <w:rPr>
          <w:rFonts w:ascii="Arial"/>
          <w:color w:val="000000"/>
          <w:sz w:val="24"/>
        </w:rPr>
        <w:t>d</w:t>
      </w:r>
      <w:r>
        <w:rPr>
          <w:rFonts w:ascii="Arial"/>
          <w:color w:val="000000"/>
          <w:sz w:val="24"/>
        </w:rPr>
        <w:t xml:space="preserve"> </w:t>
      </w:r>
      <w:r>
        <w:rPr>
          <w:rFonts w:ascii="Arial"/>
          <w:color w:val="000000"/>
          <w:sz w:val="24"/>
        </w:rPr>
        <w:t>WMP which primarily arise from the joint reports prepared by the ecology and hydrology experts and their oral evidence at the hearing</w:t>
      </w:r>
      <w:r>
        <w:rPr>
          <w:rFonts w:ascii="Arial"/>
          <w:color w:val="000000"/>
          <w:sz w:val="24"/>
        </w:rPr>
        <w:t xml:space="preserve"> </w:t>
      </w:r>
      <w:r>
        <w:rPr>
          <w:rFonts w:ascii="Arial"/>
          <w:color w:val="000000"/>
          <w:sz w:val="24"/>
        </w:rPr>
        <w:t>remain un</w:t>
      </w:r>
      <w:r>
        <w:rPr>
          <w:rFonts w:ascii="Arial"/>
          <w:color w:val="000000"/>
          <w:sz w:val="24"/>
        </w:rPr>
        <w:t>satisfactory</w:t>
      </w:r>
      <w:r>
        <w:rPr>
          <w:rFonts w:ascii="Arial"/>
          <w:color w:val="000000"/>
          <w:sz w:val="24"/>
        </w:rPr>
        <w:t>.</w:t>
      </w:r>
      <w:r>
        <w:rPr>
          <w:rFonts w:ascii="Arial"/>
          <w:color w:val="000000"/>
          <w:sz w:val="24"/>
        </w:rPr>
        <w:t xml:space="preserve"> </w:t>
      </w:r>
      <w:r>
        <w:rPr>
          <w:rFonts w:ascii="Arial"/>
          <w:color w:val="000000"/>
          <w:sz w:val="24"/>
        </w:rPr>
        <w:t xml:space="preserve">I accept that submission </w:t>
      </w:r>
      <w:r>
        <w:rPr>
          <w:rFonts w:ascii="Arial"/>
          <w:color w:val="000000"/>
          <w:sz w:val="24"/>
        </w:rPr>
        <w:t xml:space="preserve">based </w:t>
      </w:r>
      <w:r>
        <w:rPr>
          <w:rFonts w:ascii="Arial"/>
          <w:color w:val="000000"/>
          <w:sz w:val="24"/>
        </w:rPr>
        <w:t>on my understanding of the evidenc</w:t>
      </w:r>
      <w:r>
        <w:rPr>
          <w:rFonts w:ascii="Arial"/>
          <w:color w:val="000000"/>
          <w:sz w:val="24"/>
        </w:rPr>
        <w:t>e including that of Mr McCann</w:t>
      </w:r>
      <w:r>
        <w:rPr>
          <w:rFonts w:ascii="Arial"/>
          <w:color w:val="000000"/>
          <w:sz w:val="24"/>
        </w:rPr>
        <w:t>’</w:t>
      </w:r>
      <w:r>
        <w:rPr>
          <w:rFonts w:ascii="Arial"/>
          <w:color w:val="000000"/>
          <w:sz w:val="24"/>
        </w:rPr>
        <w:t>s as outlined earlier and for the following reasons</w:t>
      </w:r>
      <w:r>
        <w:rPr>
          <w:rFonts w:ascii="Arial"/>
          <w:color w:val="000000"/>
          <w:sz w:val="24"/>
        </w:rPr>
        <w:t xml:space="preserve">. </w:t>
      </w:r>
    </w:p>
    <w:p>
      <w:pPr>
        <w:pStyle w:val="CaselawNumbered10"/>
        <w:numPr>
          <w:ilvl w:val="0"/>
          <w:numId w:val="72"/>
        </w:numPr>
        <w:spacing w:before="150" w:after="0"/>
        <w:ind w:left="600" w:hanging="600"/>
      </w:pPr>
      <w:r>
        <w:rPr>
          <w:rFonts w:ascii="Arial"/>
          <w:color w:val="000000"/>
          <w:sz w:val="24"/>
        </w:rPr>
        <w:t>The Council submits and I accept t</w:t>
      </w:r>
      <w:r>
        <w:rPr>
          <w:rFonts w:ascii="Arial"/>
          <w:color w:val="000000"/>
          <w:sz w:val="24"/>
        </w:rPr>
        <w:t>he hydrology and ecology expert</w:t>
      </w:r>
      <w:r>
        <w:rPr>
          <w:rFonts w:ascii="Arial"/>
          <w:color w:val="000000"/>
          <w:sz w:val="24"/>
        </w:rPr>
        <w:t xml:space="preserve"> </w:t>
      </w:r>
      <w:r>
        <w:rPr>
          <w:rFonts w:ascii="Arial"/>
          <w:color w:val="000000"/>
          <w:sz w:val="24"/>
        </w:rPr>
        <w:t>report</w:t>
      </w:r>
      <w:r>
        <w:rPr>
          <w:rFonts w:ascii="Arial"/>
          <w:color w:val="000000"/>
          <w:sz w:val="24"/>
        </w:rPr>
        <w:t xml:space="preserve">s </w:t>
      </w:r>
      <w:r>
        <w:rPr>
          <w:rFonts w:ascii="Arial"/>
          <w:color w:val="000000"/>
          <w:sz w:val="24"/>
        </w:rPr>
        <w:t>i</w:t>
      </w:r>
      <w:r>
        <w:rPr>
          <w:rFonts w:ascii="Arial"/>
          <w:color w:val="000000"/>
          <w:sz w:val="24"/>
        </w:rPr>
        <w:t xml:space="preserve">n </w:t>
      </w:r>
      <w:r>
        <w:rPr>
          <w:rFonts w:ascii="Arial"/>
          <w:color w:val="000000"/>
          <w:sz w:val="24"/>
        </w:rPr>
        <w:t xml:space="preserve">Ex </w:t>
      </w:r>
      <w:r>
        <w:rPr>
          <w:rFonts w:ascii="Arial"/>
          <w:color w:val="000000"/>
          <w:sz w:val="24"/>
        </w:rPr>
        <w:t xml:space="preserve">4 and </w:t>
      </w:r>
      <w:r>
        <w:rPr>
          <w:rFonts w:ascii="Arial"/>
          <w:color w:val="000000"/>
          <w:sz w:val="24"/>
        </w:rPr>
        <w:t xml:space="preserve">Ex </w:t>
      </w:r>
      <w:r>
        <w:rPr>
          <w:rFonts w:ascii="Arial"/>
          <w:color w:val="000000"/>
          <w:sz w:val="24"/>
        </w:rPr>
        <w:t>5</w:t>
      </w:r>
      <w:r>
        <w:rPr>
          <w:rFonts w:ascii="Arial"/>
          <w:color w:val="000000"/>
          <w:sz w:val="24"/>
        </w:rPr>
        <w:t xml:space="preserve">, prepared by Mr McCann </w:t>
      </w:r>
      <w:r>
        <w:rPr>
          <w:rFonts w:ascii="Arial"/>
          <w:color w:val="000000"/>
          <w:sz w:val="24"/>
        </w:rPr>
        <w:t xml:space="preserve"> </w:t>
      </w:r>
      <w:r>
        <w:rPr>
          <w:rFonts w:ascii="Arial"/>
          <w:color w:val="000000"/>
          <w:sz w:val="24"/>
        </w:rPr>
        <w:t xml:space="preserve">and Mr Gaskell </w:t>
      </w:r>
      <w:r>
        <w:rPr>
          <w:rFonts w:ascii="Arial"/>
          <w:color w:val="000000"/>
          <w:sz w:val="24"/>
        </w:rPr>
        <w:t>(</w:t>
      </w:r>
      <w:r>
        <w:rPr>
          <w:rFonts w:ascii="Arial"/>
          <w:b/>
          <w:color w:val="000000"/>
          <w:sz w:val="24"/>
        </w:rPr>
        <w:t>Ecology JER</w:t>
      </w:r>
      <w:r>
        <w:rPr>
          <w:rFonts w:ascii="Arial"/>
          <w:color w:val="000000"/>
          <w:sz w:val="24"/>
        </w:rPr>
        <w:t xml:space="preserve">) and </w:t>
      </w:r>
      <w:r>
        <w:rPr>
          <w:rFonts w:ascii="Arial"/>
          <w:color w:val="000000"/>
          <w:sz w:val="24"/>
        </w:rPr>
        <w:t xml:space="preserve">Ex </w:t>
      </w:r>
      <w:r>
        <w:rPr>
          <w:rFonts w:ascii="Arial"/>
          <w:color w:val="000000"/>
          <w:sz w:val="24"/>
        </w:rPr>
        <w:t>1</w:t>
      </w:r>
      <w:r>
        <w:rPr>
          <w:rFonts w:ascii="Arial"/>
          <w:color w:val="000000"/>
          <w:sz w:val="24"/>
        </w:rPr>
        <w:t xml:space="preserve"> </w:t>
      </w:r>
      <w:r>
        <w:rPr>
          <w:rFonts w:ascii="Arial"/>
          <w:color w:val="000000"/>
          <w:sz w:val="24"/>
        </w:rPr>
        <w:t xml:space="preserve">and 2 </w:t>
      </w:r>
      <w:r>
        <w:rPr>
          <w:rFonts w:ascii="Arial"/>
          <w:color w:val="000000"/>
          <w:sz w:val="24"/>
        </w:rPr>
        <w:t>prepared by Dr Martens and Ms Holton and Mr Chris Thomas (the Council</w:t>
      </w:r>
      <w:r>
        <w:rPr>
          <w:rFonts w:ascii="Arial"/>
          <w:color w:val="000000"/>
          <w:sz w:val="24"/>
        </w:rPr>
        <w:t>’</w:t>
      </w:r>
      <w:r>
        <w:rPr>
          <w:rFonts w:ascii="Arial"/>
          <w:color w:val="000000"/>
          <w:sz w:val="24"/>
        </w:rPr>
        <w:t xml:space="preserve">s hydrologist) </w:t>
      </w:r>
      <w:r>
        <w:rPr>
          <w:rFonts w:ascii="Arial"/>
          <w:color w:val="000000"/>
          <w:sz w:val="24"/>
        </w:rPr>
        <w:t>(</w:t>
      </w:r>
      <w:r>
        <w:rPr>
          <w:rFonts w:ascii="Arial"/>
          <w:b/>
          <w:color w:val="000000"/>
          <w:sz w:val="24"/>
        </w:rPr>
        <w:t>Hydrology JER</w:t>
      </w:r>
      <w:r>
        <w:rPr>
          <w:rFonts w:ascii="Arial"/>
          <w:color w:val="000000"/>
          <w:sz w:val="24"/>
        </w:rPr>
        <w:t xml:space="preserve">) </w:t>
      </w:r>
      <w:r>
        <w:rPr>
          <w:rFonts w:ascii="Arial"/>
          <w:color w:val="000000"/>
          <w:sz w:val="24"/>
        </w:rPr>
        <w:t>“…</w:t>
      </w:r>
      <w:r>
        <w:rPr>
          <w:rFonts w:ascii="Arial"/>
          <w:color w:val="000000"/>
          <w:sz w:val="24"/>
        </w:rPr>
        <w:t>take a very granular approach to some of the particulars in the contentions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the s68 applications do not yet ensure that </w:t>
      </w:r>
      <w:r>
        <w:rPr>
          <w:rFonts w:ascii="Arial"/>
          <w:color w:val="000000"/>
          <w:sz w:val="24"/>
        </w:rPr>
        <w:t>t</w:t>
      </w:r>
      <w:r>
        <w:rPr>
          <w:rFonts w:ascii="Arial"/>
          <w:color w:val="000000"/>
          <w:sz w:val="24"/>
        </w:rPr>
        <w:t xml:space="preserve">here will not be inappropriate impact on the </w:t>
      </w:r>
      <w:r>
        <w:rPr>
          <w:rFonts w:ascii="Arial"/>
          <w:color w:val="000000"/>
          <w:sz w:val="24"/>
        </w:rPr>
        <w:t>freshwater w</w:t>
      </w:r>
      <w:r>
        <w:rPr>
          <w:rFonts w:ascii="Arial"/>
          <w:color w:val="000000"/>
          <w:sz w:val="24"/>
        </w:rPr>
        <w:t xml:space="preserve">etland EEC. </w:t>
      </w:r>
      <w:r>
        <w:rPr>
          <w:rFonts w:ascii="Arial"/>
          <w:color w:val="000000"/>
          <w:sz w:val="24"/>
        </w:rPr>
        <w:t xml:space="preserve">To some extent, cross-examination allowed for interrogation of these contentions. However, formulating the detail of plans intended to address an </w:t>
      </w:r>
      <w:r>
        <w:rPr>
          <w:rFonts w:ascii="Arial"/>
          <w:color w:val="000000"/>
          <w:sz w:val="24"/>
        </w:rPr>
        <w:t xml:space="preserve">EEC </w:t>
      </w:r>
      <w:r>
        <w:rPr>
          <w:rFonts w:ascii="Arial"/>
          <w:color w:val="000000"/>
          <w:sz w:val="24"/>
        </w:rPr>
        <w:t>“</w:t>
      </w:r>
      <w:r>
        <w:rPr>
          <w:rFonts w:ascii="Arial"/>
          <w:color w:val="000000"/>
          <w:sz w:val="24"/>
        </w:rPr>
        <w:t>on the run</w:t>
      </w:r>
      <w:r>
        <w:rPr>
          <w:rFonts w:ascii="Arial"/>
          <w:color w:val="000000"/>
          <w:sz w:val="24"/>
        </w:rPr>
        <w:t xml:space="preserve">” </w:t>
      </w:r>
      <w:r>
        <w:rPr>
          <w:rFonts w:ascii="Arial"/>
          <w:color w:val="000000"/>
          <w:sz w:val="24"/>
        </w:rPr>
        <w:t xml:space="preserve">through cross-examination is clearly less than ideal and runs the risk of important detail slipping through the cracks. </w:t>
      </w:r>
    </w:p>
    <w:p>
      <w:pPr>
        <w:pStyle w:val="CaselawNumbered10"/>
        <w:numPr>
          <w:ilvl w:val="0"/>
          <w:numId w:val="72"/>
        </w:numPr>
        <w:spacing w:before="150" w:after="0"/>
        <w:ind w:left="600" w:hanging="600"/>
      </w:pPr>
      <w:r>
        <w:rPr>
          <w:rFonts w:ascii="Arial"/>
          <w:color w:val="000000"/>
          <w:sz w:val="24"/>
        </w:rPr>
        <w:t>T</w:t>
      </w:r>
      <w:r>
        <w:rPr>
          <w:rFonts w:ascii="Arial"/>
          <w:color w:val="000000"/>
          <w:sz w:val="24"/>
        </w:rPr>
        <w:t xml:space="preserve">he protection of the </w:t>
      </w:r>
      <w:r>
        <w:rPr>
          <w:rFonts w:ascii="Arial"/>
          <w:color w:val="000000"/>
          <w:sz w:val="24"/>
        </w:rPr>
        <w:t xml:space="preserve">freshwater wetland </w:t>
      </w:r>
      <w:r>
        <w:rPr>
          <w:rFonts w:ascii="Arial"/>
          <w:color w:val="000000"/>
          <w:sz w:val="24"/>
        </w:rPr>
        <w:t xml:space="preserve">EEC arises in connection with the following proposition in the </w:t>
      </w:r>
      <w:r>
        <w:rPr>
          <w:rFonts w:ascii="Arial"/>
          <w:color w:val="000000"/>
          <w:sz w:val="24"/>
        </w:rPr>
        <w:t xml:space="preserve">Ecology </w:t>
      </w:r>
      <w:r>
        <w:rPr>
          <w:rFonts w:ascii="Arial"/>
          <w:color w:val="000000"/>
          <w:sz w:val="24"/>
        </w:rPr>
        <w:t>JER</w:t>
      </w:r>
      <w:r>
        <w:rPr>
          <w:rFonts w:ascii="Arial"/>
          <w:color w:val="000000"/>
          <w:sz w:val="24"/>
        </w:rPr>
        <w:t xml:space="preserve"> </w:t>
      </w:r>
      <w:r>
        <w:rPr>
          <w:rFonts w:ascii="Arial"/>
          <w:color w:val="000000"/>
          <w:sz w:val="24"/>
        </w:rPr>
        <w:t>for the 99-lot proceedings</w:t>
      </w:r>
      <w:r>
        <w:rPr>
          <w:rFonts w:ascii="Arial"/>
          <w:color w:val="000000"/>
          <w:sz w:val="24"/>
        </w:rPr>
        <w:t xml:space="preserve"> </w:t>
      </w:r>
      <w:r>
        <w:rPr>
          <w:rFonts w:ascii="Arial"/>
          <w:color w:val="000000"/>
          <w:sz w:val="24"/>
        </w:rPr>
        <w:t>(taken</w:t>
      </w:r>
      <w:r>
        <w:rPr>
          <w:rFonts w:ascii="Arial"/>
          <w:color w:val="000000"/>
          <w:sz w:val="24"/>
        </w:rPr>
        <w:t xml:space="preserve"> </w:t>
      </w:r>
      <w:r>
        <w:rPr>
          <w:rFonts w:ascii="Arial"/>
          <w:color w:val="000000"/>
          <w:sz w:val="24"/>
        </w:rPr>
        <w:t>from p</w:t>
      </w:r>
      <w:r>
        <w:rPr>
          <w:rFonts w:ascii="Arial"/>
          <w:color w:val="000000"/>
          <w:sz w:val="24"/>
        </w:rPr>
        <w:t xml:space="preserve"> </w:t>
      </w:r>
      <w:r>
        <w:rPr>
          <w:rFonts w:ascii="Arial"/>
          <w:color w:val="000000"/>
          <w:sz w:val="24"/>
        </w:rPr>
        <w:t>2 of the WMAMP (Ex 1 p 9)</w:t>
      </w:r>
      <w:r>
        <w:rPr>
          <w:rFonts w:ascii="Arial"/>
          <w:color w:val="000000"/>
          <w:sz w:val="24"/>
        </w:rPr>
        <w:t>)</w:t>
      </w:r>
      <w:r>
        <w:rPr>
          <w:rFonts w:ascii="Arial"/>
          <w:color w:val="000000"/>
          <w:sz w:val="24"/>
        </w:rPr>
        <w:t xml:space="preserve">: </w:t>
      </w:r>
    </w:p>
    <w:p>
      <w:pPr>
        <w:pStyle w:val="CaselawBullet"/>
        <w:numPr>
          <w:ilvl w:val="0"/>
          <w:numId w:val="73"/>
        </w:numPr>
        <w:spacing w:before="150" w:after="0"/>
        <w:ind w:left="600" w:hanging="250"/>
      </w:pPr>
      <w:r>
        <w:rPr>
          <w:rFonts w:ascii="Arial"/>
          <w:color w:val="000000"/>
          <w:sz w:val="24"/>
        </w:rPr>
        <w:t xml:space="preserve">This wetland type is typically lightly </w:t>
      </w:r>
      <w:r>
        <w:rPr>
          <w:rFonts w:ascii="Arial"/>
          <w:color w:val="000000"/>
          <w:sz w:val="24"/>
        </w:rPr>
        <w:t>tr</w:t>
      </w:r>
      <w:r>
        <w:rPr>
          <w:rFonts w:ascii="Arial"/>
          <w:color w:val="000000"/>
          <w:sz w:val="24"/>
        </w:rPr>
        <w:t>eed,</w:t>
      </w:r>
      <w:r>
        <w:rPr>
          <w:rFonts w:ascii="Arial"/>
          <w:color w:val="000000"/>
          <w:sz w:val="24"/>
        </w:rPr>
        <w:t xml:space="preserve"> </w:t>
      </w:r>
      <w:r>
        <w:rPr>
          <w:rFonts w:ascii="Arial"/>
          <w:color w:val="000000"/>
          <w:sz w:val="24"/>
        </w:rPr>
        <w:t>and the vegetation composition will vary in response to the prevailing hydrology</w:t>
      </w:r>
      <w:r>
        <w:rPr>
          <w:rFonts w:ascii="Arial"/>
          <w:color w:val="000000"/>
          <w:sz w:val="24"/>
        </w:rPr>
        <w:t xml:space="preserve"> </w:t>
      </w:r>
      <w:r>
        <w:rPr>
          <w:rFonts w:ascii="Arial"/>
          <w:color w:val="000000"/>
          <w:sz w:val="24"/>
        </w:rPr>
        <w:t xml:space="preserve">- </w:t>
      </w:r>
      <w:r>
        <w:rPr>
          <w:rFonts w:ascii="Arial"/>
          <w:color w:val="000000"/>
          <w:sz w:val="24"/>
        </w:rPr>
        <w:t>namely the depth an duration of inundation</w:t>
      </w:r>
      <w:r>
        <w:rPr>
          <w:rFonts w:ascii="Arial"/>
          <w:color w:val="000000"/>
          <w:sz w:val="24"/>
        </w:rPr>
        <w:t>.</w:t>
      </w:r>
    </w:p>
    <w:p>
      <w:pPr>
        <w:pStyle w:val="CaselawBullet"/>
        <w:numPr>
          <w:ilvl w:val="0"/>
          <w:numId w:val="73"/>
        </w:numPr>
        <w:spacing w:before="150" w:after="0"/>
        <w:ind w:left="600" w:hanging="250"/>
      </w:pPr>
      <w:r>
        <w:rPr>
          <w:rFonts w:ascii="Arial"/>
          <w:color w:val="000000"/>
          <w:sz w:val="24"/>
        </w:rPr>
        <w:t>The composition of wetland vegetation is strongly controlled by inundation depth and duration</w:t>
      </w:r>
      <w:r>
        <w:rPr>
          <w:rFonts w:ascii="Arial"/>
          <w:color w:val="000000"/>
          <w:sz w:val="24"/>
        </w:rPr>
        <w:t>.</w:t>
      </w:r>
    </w:p>
    <w:p>
      <w:pPr>
        <w:pStyle w:val="CaselawNumbered10"/>
        <w:numPr>
          <w:ilvl w:val="0"/>
          <w:numId w:val="74"/>
        </w:numPr>
        <w:spacing w:before="150" w:after="0"/>
        <w:ind w:left="600" w:hanging="600"/>
      </w:pPr>
      <w:r>
        <w:rPr>
          <w:rFonts w:ascii="Arial"/>
          <w:color w:val="000000"/>
          <w:sz w:val="24"/>
        </w:rPr>
        <w:t xml:space="preserve">Therefore, to protect the freshwater </w:t>
      </w:r>
      <w:r>
        <w:rPr>
          <w:rFonts w:ascii="Arial"/>
          <w:color w:val="000000"/>
          <w:sz w:val="24"/>
        </w:rPr>
        <w:t xml:space="preserve">wetland </w:t>
      </w:r>
      <w:r>
        <w:rPr>
          <w:rFonts w:ascii="Arial"/>
          <w:color w:val="000000"/>
          <w:sz w:val="24"/>
        </w:rPr>
        <w:t xml:space="preserve">EEC the stormwater drainage works need to maintain the prevailing hydrology of the </w:t>
      </w:r>
      <w:r>
        <w:rPr>
          <w:rFonts w:ascii="Arial"/>
          <w:color w:val="000000"/>
          <w:sz w:val="24"/>
        </w:rPr>
        <w:t xml:space="preserve">freshwater </w:t>
      </w:r>
      <w:r>
        <w:rPr>
          <w:rFonts w:ascii="Arial"/>
          <w:color w:val="000000"/>
          <w:sz w:val="24"/>
        </w:rPr>
        <w:t xml:space="preserve">wetland, including as to depth and duration of inundation. In circumstances where the </w:t>
      </w:r>
      <w:r>
        <w:rPr>
          <w:rFonts w:ascii="Arial"/>
          <w:color w:val="000000"/>
          <w:sz w:val="24"/>
        </w:rPr>
        <w:t>C</w:t>
      </w:r>
      <w:r>
        <w:rPr>
          <w:rFonts w:ascii="Arial"/>
          <w:color w:val="000000"/>
          <w:sz w:val="24"/>
        </w:rPr>
        <w:t xml:space="preserve">ourt cannot be satisfied </w:t>
      </w:r>
      <w:r>
        <w:rPr>
          <w:rFonts w:ascii="Arial"/>
          <w:color w:val="000000"/>
          <w:sz w:val="24"/>
        </w:rPr>
        <w:t xml:space="preserve">that </w:t>
      </w:r>
      <w:r>
        <w:rPr>
          <w:rFonts w:ascii="Arial"/>
          <w:color w:val="000000"/>
          <w:sz w:val="24"/>
        </w:rPr>
        <w:t xml:space="preserve">the stormwater drainage works maintain the hydrology of the freshwater </w:t>
      </w:r>
      <w:r>
        <w:rPr>
          <w:rFonts w:ascii="Arial"/>
          <w:color w:val="000000"/>
          <w:sz w:val="24"/>
        </w:rPr>
        <w:t xml:space="preserve">wetland </w:t>
      </w:r>
      <w:r>
        <w:rPr>
          <w:rFonts w:ascii="Arial"/>
          <w:color w:val="000000"/>
          <w:sz w:val="24"/>
        </w:rPr>
        <w:t>ECC</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C</w:t>
      </w:r>
      <w:r>
        <w:rPr>
          <w:rFonts w:ascii="Arial"/>
          <w:color w:val="000000"/>
          <w:sz w:val="24"/>
        </w:rPr>
        <w:t>ouncil contends that the s68 applications should be refused</w:t>
      </w:r>
      <w:r>
        <w:rPr>
          <w:rFonts w:ascii="Arial"/>
          <w:color w:val="000000"/>
          <w:sz w:val="24"/>
        </w:rPr>
        <w:t xml:space="preserve"> </w:t>
      </w:r>
      <w:r>
        <w:rPr>
          <w:rFonts w:ascii="Arial"/>
          <w:color w:val="000000"/>
          <w:sz w:val="24"/>
        </w:rPr>
        <w:t>and I accept that submission</w:t>
      </w:r>
      <w:r>
        <w:rPr>
          <w:rFonts w:ascii="Arial"/>
          <w:color w:val="000000"/>
          <w:sz w:val="24"/>
        </w:rPr>
        <w:t xml:space="preserve">. </w:t>
      </w:r>
    </w:p>
    <w:p>
      <w:pPr>
        <w:pStyle w:val="CaselawNumbered10"/>
        <w:numPr>
          <w:ilvl w:val="0"/>
          <w:numId w:val="74"/>
        </w:numPr>
        <w:spacing w:before="150" w:after="0"/>
        <w:ind w:left="600" w:hanging="600"/>
      </w:pPr>
      <w:r>
        <w:rPr>
          <w:rFonts w:ascii="Arial"/>
          <w:color w:val="000000"/>
          <w:sz w:val="24"/>
        </w:rPr>
        <w:t xml:space="preserve">The </w:t>
      </w:r>
      <w:r>
        <w:rPr>
          <w:rFonts w:ascii="Arial"/>
          <w:color w:val="000000"/>
          <w:sz w:val="24"/>
        </w:rPr>
        <w:t>C</w:t>
      </w:r>
      <w:r>
        <w:rPr>
          <w:rFonts w:ascii="Arial"/>
          <w:color w:val="000000"/>
          <w:sz w:val="24"/>
        </w:rPr>
        <w:t xml:space="preserve">ouncil submits that the expectation that the hydrology of the </w:t>
      </w:r>
      <w:r>
        <w:rPr>
          <w:rFonts w:ascii="Arial"/>
          <w:color w:val="000000"/>
          <w:sz w:val="24"/>
        </w:rPr>
        <w:t xml:space="preserve">freshwater </w:t>
      </w:r>
      <w:r>
        <w:rPr>
          <w:rFonts w:ascii="Arial"/>
          <w:color w:val="000000"/>
          <w:sz w:val="24"/>
        </w:rPr>
        <w:t xml:space="preserve">wetland would remain the same, subject to a 10% range greater or less in the baseline surface and groundwater levels was reflected in condition 59 of the consent </w:t>
      </w:r>
      <w:r>
        <w:rPr>
          <w:rFonts w:ascii="Arial"/>
          <w:color w:val="000000"/>
          <w:sz w:val="24"/>
        </w:rPr>
        <w:t xml:space="preserve">(DA </w:t>
      </w:r>
      <w:r>
        <w:rPr>
          <w:rFonts w:ascii="Arial"/>
          <w:color w:val="000000"/>
          <w:sz w:val="24"/>
        </w:rPr>
        <w:t>2018/51</w:t>
      </w:r>
      <w:r>
        <w:rPr>
          <w:rFonts w:ascii="Arial"/>
          <w:color w:val="000000"/>
          <w:sz w:val="24"/>
        </w:rPr>
        <w:t>)</w:t>
      </w:r>
      <w:r>
        <w:rPr>
          <w:rFonts w:ascii="Arial"/>
          <w:color w:val="000000"/>
          <w:sz w:val="24"/>
        </w:rPr>
        <w:t xml:space="preserve"> </w:t>
      </w:r>
      <w:r>
        <w:rPr>
          <w:rFonts w:ascii="Arial"/>
          <w:color w:val="000000"/>
          <w:sz w:val="24"/>
        </w:rPr>
        <w:t>bullet points 5 and 7 (Ex 7).</w:t>
      </w:r>
    </w:p>
    <w:p>
      <w:pPr>
        <w:pStyle w:val="CaselawQuote"/>
        <w:spacing w:before="150" w:after="150"/>
        <w:ind w:left="1350"/>
        <w:jc w:val="left"/>
      </w:pPr>
      <w:r>
        <w:rPr>
          <w:rFonts w:ascii="Arial"/>
          <w:color w:val="000000"/>
          <w:sz w:val="22"/>
        </w:rPr>
        <w:t>“</w:t>
      </w:r>
      <w:r>
        <w:rPr>
          <w:rFonts w:ascii="Arial"/>
          <w:b/>
          <w:color w:val="000000"/>
          <w:sz w:val="22"/>
        </w:rPr>
        <w:t>59. Wetland Hydrological Monitoring and Management Plan (WHMMP)</w:t>
      </w:r>
    </w:p>
    <w:p>
      <w:pPr>
        <w:pStyle w:val="CaselawQuote"/>
        <w:spacing w:before="150" w:after="150"/>
        <w:ind w:left="1350"/>
        <w:jc w:val="left"/>
      </w:pPr>
      <w:r>
        <w:rPr>
          <w:rFonts w:ascii="Arial"/>
          <w:color w:val="000000"/>
          <w:sz w:val="22"/>
        </w:rPr>
        <w:t>Prior to the issue of an approval under Section 68 of the Local Government Act 1993 for the proposed drainage work, the submitted WHMMP prepared by Gilbert and Sutherland and dated April 2020 is to be modified to address:</w:t>
      </w:r>
    </w:p>
    <w:p>
      <w:pPr>
        <w:pStyle w:val="CaselawQuote0"/>
        <w:spacing w:before="150" w:after="150"/>
        <w:ind w:left="2100"/>
        <w:jc w:val="left"/>
      </w:pPr>
      <w:r>
        <w:rPr>
          <w:rFonts w:ascii="Arial"/>
          <w:color w:val="000000"/>
          <w:sz w:val="22"/>
        </w:rPr>
        <w:t>…</w:t>
      </w:r>
    </w:p>
    <w:p>
      <w:pPr>
        <w:pStyle w:val="CaselawQuote0"/>
        <w:spacing w:before="150" w:after="150"/>
        <w:ind w:left="2100"/>
        <w:jc w:val="left"/>
      </w:pPr>
      <w:r>
        <w:rPr>
          <w:rFonts w:ascii="Arial"/>
          <w:color w:val="000000"/>
          <w:sz w:val="22"/>
        </w:rPr>
        <w:t>•</w:t>
      </w:r>
      <w:r>
        <w:rPr>
          <w:rFonts w:ascii="Arial"/>
          <w:color w:val="000000"/>
          <w:sz w:val="22"/>
        </w:rPr>
        <w:t>   </w:t>
      </w:r>
      <w:r>
        <w:rPr>
          <w:rFonts w:ascii="Arial"/>
          <w:color w:val="000000"/>
          <w:sz w:val="22"/>
        </w:rPr>
        <w:t xml:space="preserve">Outside of any major climatic event confirmation that if the monitoring confirms there is a 10% or greater change to surface and/or groundwater levels when compared to the baseline water levels for all rainfall events the corrective actions detailed in the WMAMP and the WHMMP will be activated. In addition, if the WMAMP confirms a 10% or greater decline in VIS scores when compared to the baseline and/or 10% or greater when compared to the previous 12month monitoring period the corrective actions detailed in the WMAMP and the WHMMP will be activated. </w:t>
      </w:r>
    </w:p>
    <w:p>
      <w:pPr>
        <w:pStyle w:val="CaselawQuote0"/>
        <w:spacing w:before="150" w:after="150"/>
        <w:ind w:left="2100"/>
        <w:jc w:val="left"/>
      </w:pPr>
      <w:r>
        <w:rPr>
          <w:rFonts w:ascii="Arial"/>
          <w:color w:val="000000"/>
          <w:sz w:val="22"/>
        </w:rPr>
        <w:t>…</w:t>
      </w:r>
    </w:p>
    <w:p>
      <w:pPr>
        <w:pStyle w:val="CaselawQuote0"/>
        <w:spacing w:before="150" w:after="150"/>
        <w:ind w:left="2100"/>
        <w:jc w:val="left"/>
      </w:pPr>
      <w:r>
        <w:rPr>
          <w:rFonts w:ascii="Arial"/>
          <w:color w:val="000000"/>
          <w:sz w:val="22"/>
        </w:rPr>
        <w:t>•</w:t>
      </w:r>
      <w:r>
        <w:rPr>
          <w:rFonts w:ascii="Arial"/>
          <w:color w:val="000000"/>
          <w:sz w:val="22"/>
        </w:rPr>
        <w:t>   </w:t>
      </w:r>
      <w:r>
        <w:rPr>
          <w:rFonts w:ascii="Arial"/>
          <w:b/>
          <w:color w:val="000000"/>
          <w:sz w:val="22"/>
        </w:rPr>
        <w:t>Measurable criteria for establishing stabilised results post construction/on maintenance phase</w:t>
      </w:r>
      <w:r>
        <w:rPr>
          <w:rFonts w:ascii="Arial"/>
          <w:color w:val="000000"/>
          <w:sz w:val="22"/>
        </w:rPr>
        <w:t xml:space="preserve">. In this regard Council will require </w:t>
      </w:r>
      <w:r>
        <w:rPr>
          <w:rFonts w:ascii="Arial"/>
          <w:b/>
          <w:color w:val="000000"/>
          <w:sz w:val="22"/>
        </w:rPr>
        <w:t>at least a year of stabilised results</w:t>
      </w:r>
      <w:r>
        <w:rPr>
          <w:rFonts w:ascii="Arial"/>
          <w:color w:val="000000"/>
          <w:sz w:val="22"/>
        </w:rPr>
        <w:t xml:space="preserve"> (where the total catchment in relation to the development site is at least 90% developed with dwellings constructed) </w:t>
      </w:r>
      <w:r>
        <w:rPr>
          <w:rFonts w:ascii="Arial"/>
          <w:b/>
          <w:color w:val="000000"/>
          <w:sz w:val="22"/>
        </w:rPr>
        <w:t>which reflects the pre- construction baseline levels without intervention or adjustment to the management devices</w:t>
      </w:r>
      <w:r>
        <w:rPr>
          <w:rFonts w:ascii="Arial"/>
          <w:color w:val="000000"/>
          <w:sz w:val="22"/>
        </w:rPr>
        <w:t>. The allowed deviation from baseline results should be identified (i.e. what deviation is no longer considered acceptable/stabilised). The criteria is to determine whether or not stabilised conditions have been achieved, including specific timeframes and measures to address deviations outside of trigger levels.”</w:t>
      </w:r>
    </w:p>
    <w:p>
      <w:pPr>
        <w:pStyle w:val="CaselawNumbered10"/>
        <w:numPr>
          <w:ilvl w:val="0"/>
          <w:numId w:val="75"/>
        </w:numPr>
        <w:spacing w:before="150" w:after="0"/>
        <w:ind w:left="600" w:hanging="600"/>
      </w:pPr>
      <w:r>
        <w:rPr>
          <w:rFonts w:ascii="Arial"/>
          <w:color w:val="000000"/>
          <w:sz w:val="24"/>
        </w:rPr>
        <w:t xml:space="preserve">Condition 6 of development consent </w:t>
      </w:r>
      <w:r>
        <w:rPr>
          <w:rFonts w:ascii="Arial"/>
          <w:color w:val="000000"/>
          <w:sz w:val="24"/>
        </w:rPr>
        <w:t>DA 2020</w:t>
      </w:r>
      <w:r>
        <w:rPr>
          <w:rFonts w:ascii="Arial"/>
          <w:color w:val="000000"/>
          <w:sz w:val="24"/>
        </w:rPr>
        <w:t xml:space="preserve">/284 </w:t>
      </w:r>
      <w:r>
        <w:rPr>
          <w:rFonts w:ascii="Arial"/>
          <w:color w:val="000000"/>
          <w:sz w:val="24"/>
        </w:rPr>
        <w:t xml:space="preserve">also </w:t>
      </w:r>
      <w:r>
        <w:rPr>
          <w:rFonts w:ascii="Arial"/>
          <w:color w:val="000000"/>
          <w:sz w:val="24"/>
        </w:rPr>
        <w:t xml:space="preserve">adopted this condition as a requirement of that consent in addition to relevantly conditions 57, 58 and 60 (Ex G). </w:t>
      </w:r>
    </w:p>
    <w:p>
      <w:pPr>
        <w:pStyle w:val="CaselawNumbered10"/>
        <w:numPr>
          <w:ilvl w:val="0"/>
          <w:numId w:val="75"/>
        </w:numPr>
        <w:spacing w:before="150" w:after="0"/>
        <w:ind w:left="600" w:hanging="600"/>
      </w:pPr>
      <w:r>
        <w:rPr>
          <w:rFonts w:ascii="Arial"/>
          <w:color w:val="000000"/>
          <w:sz w:val="24"/>
        </w:rPr>
        <w:t xml:space="preserve">To be clear, </w:t>
      </w:r>
      <w:r>
        <w:rPr>
          <w:rFonts w:ascii="Arial"/>
          <w:color w:val="000000"/>
          <w:sz w:val="24"/>
        </w:rPr>
        <w:t>“</w:t>
      </w:r>
      <w:r>
        <w:rPr>
          <w:rFonts w:ascii="Arial"/>
          <w:color w:val="000000"/>
          <w:sz w:val="24"/>
        </w:rPr>
        <w:t>the measurable criteria for establishing stabilised results</w:t>
      </w:r>
      <w:r>
        <w:rPr>
          <w:rFonts w:ascii="Arial"/>
          <w:color w:val="000000"/>
          <w:sz w:val="24"/>
        </w:rPr>
        <w:t>”</w:t>
      </w:r>
      <w:r>
        <w:rPr>
          <w:rFonts w:ascii="Arial"/>
          <w:color w:val="000000"/>
          <w:sz w:val="24"/>
        </w:rPr>
        <w:t xml:space="preserve">, </w:t>
      </w:r>
      <w:r>
        <w:rPr>
          <w:rFonts w:ascii="Arial"/>
          <w:color w:val="000000"/>
          <w:sz w:val="24"/>
        </w:rPr>
        <w:t xml:space="preserve">after </w:t>
      </w:r>
      <w:r>
        <w:rPr>
          <w:rFonts w:ascii="Arial"/>
          <w:color w:val="000000"/>
          <w:sz w:val="24"/>
        </w:rPr>
        <w:t xml:space="preserve">the </w:t>
      </w:r>
      <w:r>
        <w:rPr>
          <w:rFonts w:ascii="Arial"/>
          <w:color w:val="000000"/>
          <w:sz w:val="24"/>
        </w:rPr>
        <w:t>“</w:t>
      </w:r>
      <w:r>
        <w:rPr>
          <w:rFonts w:ascii="Arial"/>
          <w:color w:val="000000"/>
          <w:sz w:val="24"/>
        </w:rPr>
        <w:t>on-maintenance phase</w:t>
      </w:r>
      <w:r>
        <w:rPr>
          <w:rFonts w:ascii="Arial"/>
          <w:color w:val="000000"/>
          <w:sz w:val="24"/>
        </w:rPr>
        <w:t>”</w:t>
      </w:r>
      <w:r>
        <w:rPr>
          <w:rFonts w:ascii="Arial"/>
          <w:color w:val="000000"/>
          <w:sz w:val="24"/>
        </w:rPr>
        <w:t xml:space="preserve"> </w:t>
      </w:r>
      <w:r>
        <w:rPr>
          <w:rFonts w:ascii="Arial"/>
          <w:color w:val="000000"/>
          <w:sz w:val="24"/>
        </w:rPr>
        <w:t>w</w:t>
      </w:r>
      <w:r>
        <w:rPr>
          <w:rFonts w:ascii="Arial"/>
          <w:color w:val="000000"/>
          <w:sz w:val="24"/>
        </w:rPr>
        <w:t>ere</w:t>
      </w:r>
      <w:r>
        <w:rPr>
          <w:rFonts w:ascii="Arial"/>
          <w:color w:val="000000"/>
          <w:sz w:val="24"/>
        </w:rPr>
        <w:t xml:space="preserve"> </w:t>
      </w:r>
      <w:r>
        <w:rPr>
          <w:rFonts w:ascii="Arial"/>
          <w:color w:val="000000"/>
          <w:sz w:val="24"/>
        </w:rPr>
        <w:t xml:space="preserve">subject to the constraint that they </w:t>
      </w:r>
      <w:r>
        <w:rPr>
          <w:rFonts w:ascii="Arial"/>
          <w:color w:val="000000"/>
          <w:sz w:val="24"/>
        </w:rPr>
        <w:t xml:space="preserve">were to </w:t>
      </w:r>
      <w:r>
        <w:rPr>
          <w:rFonts w:ascii="Arial"/>
          <w:color w:val="000000"/>
          <w:sz w:val="24"/>
        </w:rPr>
        <w:t xml:space="preserve">involve at least a year of stabilised results that </w:t>
      </w:r>
      <w:r>
        <w:rPr>
          <w:rFonts w:ascii="Arial"/>
          <w:color w:val="000000"/>
          <w:sz w:val="24"/>
        </w:rPr>
        <w:t xml:space="preserve">were to </w:t>
      </w:r>
      <w:r>
        <w:rPr>
          <w:rFonts w:ascii="Arial"/>
          <w:color w:val="000000"/>
          <w:sz w:val="24"/>
        </w:rPr>
        <w:t xml:space="preserve">reflect the pre-construction baseline levels without intervention or adjustment to the management devices. </w:t>
      </w:r>
    </w:p>
    <w:p>
      <w:pPr>
        <w:pStyle w:val="CaselawNumbered10"/>
        <w:numPr>
          <w:ilvl w:val="0"/>
          <w:numId w:val="75"/>
        </w:numPr>
        <w:spacing w:before="150" w:after="0"/>
        <w:ind w:left="600" w:hanging="600"/>
      </w:pPr>
      <w:r>
        <w:rPr>
          <w:rFonts w:ascii="Arial"/>
          <w:color w:val="000000"/>
          <w:sz w:val="24"/>
        </w:rPr>
        <w:t xml:space="preserve">Despite </w:t>
      </w:r>
      <w:r>
        <w:rPr>
          <w:rFonts w:ascii="Arial"/>
          <w:color w:val="000000"/>
          <w:sz w:val="24"/>
        </w:rPr>
        <w:t xml:space="preserve">Ms </w:t>
      </w:r>
      <w:r>
        <w:rPr>
          <w:rFonts w:ascii="Arial"/>
          <w:color w:val="000000"/>
          <w:sz w:val="24"/>
        </w:rPr>
        <w:t>Holton</w:t>
      </w:r>
      <w:r>
        <w:rPr>
          <w:rFonts w:ascii="Arial"/>
          <w:color w:val="000000"/>
          <w:sz w:val="24"/>
        </w:rPr>
        <w:t>’</w:t>
      </w:r>
      <w:r>
        <w:rPr>
          <w:rFonts w:ascii="Arial"/>
          <w:color w:val="000000"/>
          <w:sz w:val="24"/>
        </w:rPr>
        <w:t>s evidence that th</w:t>
      </w:r>
      <w:r>
        <w:rPr>
          <w:rFonts w:ascii="Arial"/>
          <w:color w:val="000000"/>
          <w:sz w:val="24"/>
        </w:rPr>
        <w:t xml:space="preserve">e </w:t>
      </w:r>
      <w:r>
        <w:rPr>
          <w:rFonts w:ascii="Arial"/>
          <w:color w:val="000000"/>
          <w:sz w:val="24"/>
        </w:rPr>
        <w:t xml:space="preserve">stabilisation prerequisite to the </w:t>
      </w:r>
      <w:r>
        <w:rPr>
          <w:rFonts w:ascii="Arial"/>
          <w:color w:val="000000"/>
          <w:sz w:val="24"/>
        </w:rPr>
        <w:t>“</w:t>
      </w:r>
      <w:r>
        <w:rPr>
          <w:rFonts w:ascii="Arial"/>
          <w:color w:val="000000"/>
          <w:sz w:val="24"/>
        </w:rPr>
        <w:t>on-</w:t>
      </w:r>
      <w:r>
        <w:rPr>
          <w:rFonts w:ascii="Arial"/>
          <w:color w:val="000000"/>
          <w:sz w:val="24"/>
        </w:rPr>
        <w:t>maintenance phase</w:t>
      </w:r>
      <w:r>
        <w:rPr>
          <w:rFonts w:ascii="Arial"/>
          <w:color w:val="000000"/>
          <w:sz w:val="24"/>
        </w:rPr>
        <w:t>”</w:t>
      </w:r>
      <w:r>
        <w:rPr>
          <w:rFonts w:ascii="Arial"/>
          <w:color w:val="000000"/>
          <w:sz w:val="24"/>
        </w:rPr>
        <w:t xml:space="preserve"> </w:t>
      </w:r>
      <w:r>
        <w:rPr>
          <w:rFonts w:ascii="Arial"/>
          <w:color w:val="000000"/>
          <w:sz w:val="24"/>
        </w:rPr>
        <w:t>(before</w:t>
      </w:r>
      <w:r>
        <w:rPr>
          <w:rFonts w:ascii="Arial"/>
          <w:color w:val="000000"/>
          <w:sz w:val="24"/>
        </w:rPr>
        <w:t xml:space="preserve"> </w:t>
      </w:r>
      <w:r>
        <w:rPr>
          <w:rFonts w:ascii="Arial"/>
          <w:color w:val="000000"/>
          <w:sz w:val="24"/>
        </w:rPr>
        <w:t xml:space="preserve">the </w:t>
      </w:r>
      <w:r>
        <w:rPr>
          <w:rFonts w:ascii="Arial"/>
          <w:color w:val="000000"/>
          <w:sz w:val="24"/>
        </w:rPr>
        <w:t>Council tak</w:t>
      </w:r>
      <w:r>
        <w:rPr>
          <w:rFonts w:ascii="Arial"/>
          <w:color w:val="000000"/>
          <w:sz w:val="24"/>
        </w:rPr>
        <w:t>es</w:t>
      </w:r>
      <w:r>
        <w:rPr>
          <w:rFonts w:ascii="Arial"/>
          <w:color w:val="000000"/>
          <w:sz w:val="24"/>
        </w:rPr>
        <w:t xml:space="preserve"> </w:t>
      </w:r>
      <w:r>
        <w:rPr>
          <w:rFonts w:ascii="Arial"/>
          <w:color w:val="000000"/>
          <w:sz w:val="24"/>
        </w:rPr>
        <w:t xml:space="preserve">over responsibility for the stormwater works in connection with the </w:t>
      </w:r>
      <w:r>
        <w:rPr>
          <w:rFonts w:ascii="Arial"/>
          <w:color w:val="000000"/>
          <w:sz w:val="24"/>
        </w:rPr>
        <w:t xml:space="preserve">freshwater </w:t>
      </w:r>
      <w:r>
        <w:rPr>
          <w:rFonts w:ascii="Arial"/>
          <w:color w:val="000000"/>
          <w:sz w:val="24"/>
        </w:rPr>
        <w:t>wetland</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is</w:t>
      </w:r>
      <w:r>
        <w:rPr>
          <w:rFonts w:ascii="Arial"/>
          <w:color w:val="000000"/>
          <w:sz w:val="24"/>
        </w:rPr>
        <w:t xml:space="preserve"> </w:t>
      </w:r>
      <w:r>
        <w:rPr>
          <w:rFonts w:ascii="Arial"/>
          <w:color w:val="000000"/>
          <w:sz w:val="24"/>
        </w:rPr>
        <w:t>a real incentive for the applicant to pursue appropriate contingency measures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cpt, 7 December 2023, p </w:t>
      </w:r>
      <w:r>
        <w:rPr>
          <w:rFonts w:ascii="Arial"/>
          <w:color w:val="000000"/>
          <w:sz w:val="24"/>
        </w:rPr>
        <w:t>317</w:t>
      </w:r>
      <w:r>
        <w:rPr>
          <w:rFonts w:ascii="Arial"/>
          <w:color w:val="000000"/>
          <w:sz w:val="24"/>
        </w:rPr>
        <w:t>(8)</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th</w:t>
      </w:r>
      <w:r>
        <w:rPr>
          <w:rFonts w:ascii="Arial"/>
          <w:color w:val="000000"/>
          <w:sz w:val="24"/>
        </w:rPr>
        <w:t>is</w:t>
      </w:r>
      <w:r>
        <w:rPr>
          <w:rFonts w:ascii="Arial"/>
          <w:color w:val="000000"/>
          <w:sz w:val="24"/>
        </w:rPr>
        <w:t xml:space="preserve"> </w:t>
      </w:r>
      <w:r>
        <w:rPr>
          <w:rFonts w:ascii="Arial"/>
          <w:color w:val="000000"/>
          <w:sz w:val="24"/>
        </w:rPr>
        <w:t xml:space="preserve">requirement </w:t>
      </w:r>
      <w:r>
        <w:rPr>
          <w:rFonts w:ascii="Arial"/>
          <w:color w:val="000000"/>
          <w:sz w:val="24"/>
        </w:rPr>
        <w:t xml:space="preserve">has </w:t>
      </w:r>
      <w:r>
        <w:rPr>
          <w:rFonts w:ascii="Arial"/>
          <w:color w:val="000000"/>
          <w:sz w:val="24"/>
        </w:rPr>
        <w:t xml:space="preserve">now </w:t>
      </w:r>
      <w:r>
        <w:rPr>
          <w:rFonts w:ascii="Arial"/>
          <w:color w:val="000000"/>
          <w:sz w:val="24"/>
        </w:rPr>
        <w:t>been displaced by the amendment to the criteria in the WHMMP on 5 December 2023 (day 2 of the hearing)</w:t>
      </w:r>
      <w:r>
        <w:rPr>
          <w:rFonts w:ascii="Arial"/>
          <w:color w:val="000000"/>
          <w:sz w:val="24"/>
        </w:rPr>
        <w:t>.</w:t>
      </w:r>
      <w:r>
        <w:rPr>
          <w:rFonts w:ascii="Arial"/>
          <w:color w:val="000000"/>
          <w:sz w:val="24"/>
        </w:rPr>
        <w:t xml:space="preserve"> </w:t>
      </w:r>
      <w:r>
        <w:rPr>
          <w:rFonts w:ascii="Arial"/>
          <w:color w:val="000000"/>
          <w:sz w:val="24"/>
        </w:rPr>
        <w:t xml:space="preserve">The Council submits </w:t>
      </w:r>
      <w:r>
        <w:rPr>
          <w:rFonts w:ascii="Arial"/>
          <w:color w:val="000000"/>
          <w:sz w:val="24"/>
        </w:rPr>
        <w:t>th</w:t>
      </w:r>
      <w:r>
        <w:rPr>
          <w:rFonts w:ascii="Arial"/>
          <w:color w:val="000000"/>
          <w:sz w:val="24"/>
        </w:rPr>
        <w:t xml:space="preserve">is change </w:t>
      </w:r>
      <w:r>
        <w:rPr>
          <w:rFonts w:ascii="Arial"/>
          <w:color w:val="000000"/>
          <w:sz w:val="24"/>
        </w:rPr>
        <w:t xml:space="preserve">means that the WHMMP </w:t>
      </w:r>
      <w:r>
        <w:rPr>
          <w:rFonts w:ascii="Arial"/>
          <w:color w:val="000000"/>
          <w:sz w:val="24"/>
        </w:rPr>
        <w:t xml:space="preserve">is </w:t>
      </w:r>
      <w:r>
        <w:rPr>
          <w:rFonts w:ascii="Arial"/>
          <w:color w:val="000000"/>
          <w:sz w:val="24"/>
        </w:rPr>
        <w:t xml:space="preserve">now </w:t>
      </w:r>
      <w:r>
        <w:rPr>
          <w:rFonts w:ascii="Arial"/>
          <w:color w:val="000000"/>
          <w:sz w:val="24"/>
        </w:rPr>
        <w:t xml:space="preserve">inconsistent with </w:t>
      </w:r>
      <w:r>
        <w:rPr>
          <w:rFonts w:ascii="Arial"/>
          <w:color w:val="000000"/>
          <w:sz w:val="24"/>
        </w:rPr>
        <w:t>condition 59 bullet point 7 a</w:t>
      </w:r>
      <w:r>
        <w:rPr>
          <w:rFonts w:ascii="Arial"/>
          <w:color w:val="000000"/>
          <w:sz w:val="24"/>
        </w:rPr>
        <w:t xml:space="preserve">nd leaves </w:t>
      </w:r>
      <w:r>
        <w:rPr>
          <w:rFonts w:ascii="Arial"/>
          <w:color w:val="000000"/>
          <w:sz w:val="24"/>
        </w:rPr>
        <w:t xml:space="preserve">the Council at risk of inheriting stormwater works and </w:t>
      </w:r>
      <w:r>
        <w:rPr>
          <w:rFonts w:ascii="Arial"/>
          <w:color w:val="000000"/>
          <w:sz w:val="24"/>
        </w:rPr>
        <w:t xml:space="preserve">freshwater </w:t>
      </w:r>
      <w:r>
        <w:rPr>
          <w:rFonts w:ascii="Arial"/>
          <w:color w:val="000000"/>
          <w:sz w:val="24"/>
        </w:rPr>
        <w:t>wetland that requires ongoing intervention to keep the hydrology the same</w:t>
      </w:r>
      <w:r>
        <w:rPr>
          <w:rFonts w:ascii="Arial"/>
          <w:color w:val="000000"/>
          <w:sz w:val="24"/>
        </w:rPr>
        <w:t xml:space="preserve"> </w:t>
      </w:r>
      <w:r>
        <w:rPr>
          <w:rFonts w:ascii="Arial"/>
          <w:color w:val="000000"/>
          <w:sz w:val="24"/>
        </w:rPr>
        <w:t>(CCWS</w:t>
      </w:r>
      <w:r>
        <w:rPr>
          <w:rFonts w:ascii="Arial"/>
          <w:color w:val="000000"/>
          <w:sz w:val="24"/>
        </w:rPr>
        <w:t xml:space="preserve"> </w:t>
      </w:r>
      <w:r>
        <w:rPr>
          <w:rFonts w:ascii="Arial"/>
          <w:color w:val="000000"/>
          <w:sz w:val="24"/>
        </w:rPr>
        <w:t xml:space="preserve">at </w:t>
      </w:r>
      <w:r>
        <w:rPr>
          <w:rFonts w:ascii="Arial"/>
          <w:color w:val="000000"/>
          <w:sz w:val="24"/>
        </w:rPr>
        <w:t xml:space="preserve">pars </w:t>
      </w:r>
      <w:r>
        <w:rPr>
          <w:rFonts w:ascii="Arial"/>
          <w:color w:val="000000"/>
          <w:sz w:val="24"/>
        </w:rPr>
        <w:t>79-83</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75"/>
        </w:numPr>
        <w:spacing w:before="150" w:after="0"/>
        <w:ind w:left="600" w:hanging="600"/>
      </w:pPr>
      <w:r>
        <w:rPr>
          <w:rFonts w:ascii="Arial"/>
          <w:color w:val="000000"/>
          <w:sz w:val="24"/>
        </w:rPr>
        <w:t xml:space="preserve">The Council submits that the effect of the second bullet point </w:t>
      </w:r>
      <w:r>
        <w:rPr>
          <w:rFonts w:ascii="Arial"/>
          <w:color w:val="000000"/>
          <w:sz w:val="24"/>
        </w:rPr>
        <w:t xml:space="preserve">in condition 59 </w:t>
      </w:r>
      <w:r>
        <w:rPr>
          <w:rFonts w:ascii="Arial"/>
          <w:color w:val="000000"/>
          <w:sz w:val="24"/>
        </w:rPr>
        <w:t xml:space="preserve">is that the </w:t>
      </w:r>
      <w:r>
        <w:rPr>
          <w:rFonts w:ascii="Arial"/>
          <w:color w:val="000000"/>
          <w:sz w:val="24"/>
        </w:rPr>
        <w:t>a</w:t>
      </w:r>
      <w:r>
        <w:rPr>
          <w:rFonts w:ascii="Arial"/>
          <w:color w:val="000000"/>
          <w:sz w:val="24"/>
        </w:rPr>
        <w:t xml:space="preserve">pplicant can progress to the </w:t>
      </w:r>
      <w:r>
        <w:rPr>
          <w:rFonts w:ascii="Arial"/>
          <w:color w:val="000000"/>
          <w:sz w:val="24"/>
        </w:rPr>
        <w:t>“</w:t>
      </w:r>
      <w:r>
        <w:rPr>
          <w:rFonts w:ascii="Arial"/>
          <w:color w:val="000000"/>
          <w:sz w:val="24"/>
        </w:rPr>
        <w:t>operation phase</w:t>
      </w:r>
      <w:r>
        <w:rPr>
          <w:rFonts w:ascii="Arial"/>
          <w:color w:val="000000"/>
          <w:sz w:val="24"/>
        </w:rPr>
        <w:t xml:space="preserve">” </w:t>
      </w:r>
      <w:r>
        <w:rPr>
          <w:rFonts w:ascii="Arial"/>
          <w:color w:val="000000"/>
          <w:sz w:val="24"/>
        </w:rPr>
        <w:t xml:space="preserve">where the Council is supposed to take control </w:t>
      </w:r>
      <w:r>
        <w:rPr>
          <w:rFonts w:ascii="Arial"/>
          <w:color w:val="000000"/>
          <w:sz w:val="24"/>
        </w:rPr>
        <w:t xml:space="preserve">of </w:t>
      </w:r>
      <w:r>
        <w:rPr>
          <w:rFonts w:ascii="Arial"/>
          <w:color w:val="000000"/>
          <w:sz w:val="24"/>
        </w:rPr>
        <w:t xml:space="preserve">the stormwater works, when during a 12-month period the water levels are outside of trigger values up to 20% of the time. </w:t>
      </w:r>
      <w:r>
        <w:rPr>
          <w:rFonts w:ascii="Arial"/>
          <w:color w:val="000000"/>
          <w:sz w:val="24"/>
        </w:rPr>
        <w:t>Again,</w:t>
      </w:r>
      <w:r>
        <w:rPr>
          <w:rFonts w:ascii="Arial"/>
          <w:color w:val="000000"/>
          <w:sz w:val="24"/>
        </w:rPr>
        <w:t xml:space="preserve"> </w:t>
      </w:r>
      <w:r>
        <w:rPr>
          <w:rFonts w:ascii="Arial"/>
          <w:color w:val="000000"/>
          <w:sz w:val="24"/>
        </w:rPr>
        <w:t>t</w:t>
      </w:r>
      <w:r>
        <w:rPr>
          <w:rFonts w:ascii="Arial"/>
          <w:color w:val="000000"/>
          <w:sz w:val="24"/>
        </w:rPr>
        <w:t xml:space="preserve">his is </w:t>
      </w:r>
      <w:r>
        <w:rPr>
          <w:rFonts w:ascii="Arial"/>
          <w:color w:val="000000"/>
          <w:sz w:val="24"/>
        </w:rPr>
        <w:t xml:space="preserve">said to be </w:t>
      </w:r>
      <w:r>
        <w:rPr>
          <w:rFonts w:ascii="Arial"/>
          <w:color w:val="000000"/>
          <w:sz w:val="24"/>
        </w:rPr>
        <w:t xml:space="preserve">inconsistent with condition 59 because by bullet point 5, corrective actions are </w:t>
      </w:r>
      <w:r>
        <w:rPr>
          <w:rFonts w:ascii="Arial"/>
          <w:color w:val="000000"/>
          <w:sz w:val="24"/>
        </w:rPr>
        <w:t xml:space="preserve">to be </w:t>
      </w:r>
      <w:r>
        <w:rPr>
          <w:rFonts w:ascii="Arial"/>
          <w:color w:val="000000"/>
          <w:sz w:val="24"/>
        </w:rPr>
        <w:t xml:space="preserve">triggered when the hydrology is outside of trigger values </w:t>
      </w:r>
      <w:r>
        <w:rPr>
          <w:rFonts w:ascii="Arial"/>
          <w:color w:val="000000"/>
          <w:sz w:val="24"/>
        </w:rPr>
        <w:t xml:space="preserve">however, </w:t>
      </w:r>
      <w:r>
        <w:rPr>
          <w:rFonts w:ascii="Arial"/>
          <w:color w:val="000000"/>
          <w:sz w:val="24"/>
        </w:rPr>
        <w:t xml:space="preserve">bullet point 7 </w:t>
      </w:r>
      <w:r>
        <w:rPr>
          <w:rFonts w:ascii="Arial"/>
          <w:color w:val="000000"/>
          <w:sz w:val="24"/>
        </w:rPr>
        <w:t>requires</w:t>
      </w:r>
      <w:r>
        <w:rPr>
          <w:rFonts w:ascii="Arial"/>
          <w:color w:val="000000"/>
          <w:sz w:val="24"/>
        </w:rPr>
        <w:t xml:space="preserve"> </w:t>
      </w:r>
      <w:r>
        <w:rPr>
          <w:rFonts w:ascii="Arial"/>
          <w:color w:val="000000"/>
          <w:sz w:val="24"/>
        </w:rPr>
        <w:t>“</w:t>
      </w:r>
      <w:r>
        <w:rPr>
          <w:rFonts w:ascii="Arial"/>
          <w:color w:val="000000"/>
          <w:sz w:val="24"/>
        </w:rPr>
        <w:t>stabilised</w:t>
      </w:r>
      <w:r>
        <w:rPr>
          <w:rFonts w:ascii="Arial"/>
          <w:color w:val="000000"/>
          <w:sz w:val="24"/>
        </w:rPr>
        <w:t xml:space="preserve"> </w:t>
      </w:r>
      <w:r>
        <w:rPr>
          <w:rFonts w:ascii="Arial"/>
          <w:color w:val="000000"/>
          <w:sz w:val="24"/>
        </w:rPr>
        <w:t>results</w:t>
      </w:r>
      <w:r>
        <w:rPr>
          <w:rFonts w:ascii="Arial"/>
          <w:color w:val="000000"/>
          <w:sz w:val="24"/>
        </w:rPr>
        <w:t>”</w:t>
      </w:r>
      <w:r>
        <w:rPr>
          <w:rFonts w:ascii="Arial"/>
          <w:color w:val="000000"/>
          <w:sz w:val="24"/>
        </w:rPr>
        <w:t xml:space="preserve"> </w:t>
      </w:r>
      <w:r>
        <w:rPr>
          <w:rFonts w:ascii="Arial"/>
          <w:color w:val="000000"/>
          <w:sz w:val="24"/>
        </w:rPr>
        <w:t xml:space="preserve">to </w:t>
      </w:r>
      <w:r>
        <w:rPr>
          <w:rFonts w:ascii="Arial"/>
          <w:color w:val="000000"/>
          <w:sz w:val="24"/>
        </w:rPr>
        <w:t>reflect</w:t>
      </w:r>
      <w:r>
        <w:rPr>
          <w:rFonts w:ascii="Arial"/>
          <w:color w:val="000000"/>
          <w:sz w:val="24"/>
        </w:rPr>
        <w:t xml:space="preserve"> </w:t>
      </w:r>
      <w:r>
        <w:rPr>
          <w:rFonts w:ascii="Arial"/>
          <w:color w:val="000000"/>
          <w:sz w:val="24"/>
        </w:rPr>
        <w:t xml:space="preserve">12 months of </w:t>
      </w:r>
      <w:r>
        <w:rPr>
          <w:rFonts w:ascii="Arial"/>
          <w:color w:val="000000"/>
          <w:sz w:val="24"/>
        </w:rPr>
        <w:t>pre-construction</w:t>
      </w:r>
      <w:r>
        <w:rPr>
          <w:rFonts w:ascii="Arial"/>
          <w:color w:val="000000"/>
          <w:sz w:val="24"/>
        </w:rPr>
        <w:t xml:space="preserve"> </w:t>
      </w:r>
      <w:r>
        <w:rPr>
          <w:rFonts w:ascii="Arial"/>
          <w:color w:val="000000"/>
          <w:sz w:val="24"/>
        </w:rPr>
        <w:t xml:space="preserve">baseline </w:t>
      </w:r>
      <w:r>
        <w:rPr>
          <w:rFonts w:ascii="Arial"/>
          <w:color w:val="000000"/>
          <w:sz w:val="24"/>
        </w:rPr>
        <w:t xml:space="preserve">levels </w:t>
      </w:r>
      <w:r>
        <w:rPr>
          <w:rFonts w:ascii="Arial"/>
          <w:color w:val="000000"/>
          <w:sz w:val="24"/>
        </w:rPr>
        <w:t>without</w:t>
      </w:r>
      <w:r>
        <w:rPr>
          <w:rFonts w:ascii="Arial"/>
          <w:color w:val="000000"/>
          <w:sz w:val="24"/>
        </w:rPr>
        <w:t xml:space="preserve"> </w:t>
      </w:r>
      <w:r>
        <w:rPr>
          <w:rFonts w:ascii="Arial"/>
          <w:color w:val="000000"/>
          <w:sz w:val="24"/>
        </w:rPr>
        <w:t xml:space="preserve">intervention or adjustment to the </w:t>
      </w:r>
      <w:r>
        <w:rPr>
          <w:rFonts w:ascii="Arial"/>
          <w:color w:val="000000"/>
          <w:sz w:val="24"/>
        </w:rPr>
        <w:t>management</w:t>
      </w:r>
      <w:r>
        <w:rPr>
          <w:rFonts w:ascii="Arial"/>
          <w:color w:val="000000"/>
          <w:sz w:val="24"/>
        </w:rPr>
        <w:t xml:space="preserve"> </w:t>
      </w:r>
      <w:r>
        <w:rPr>
          <w:rFonts w:ascii="Arial"/>
          <w:color w:val="000000"/>
          <w:sz w:val="24"/>
        </w:rPr>
        <w:t>devices</w:t>
      </w:r>
      <w:r>
        <w:rPr>
          <w:rFonts w:ascii="Arial"/>
          <w:color w:val="000000"/>
          <w:sz w:val="24"/>
        </w:rPr>
        <w:t>. The Council submits that the Court should not approve the s68 application</w:t>
      </w:r>
      <w:r>
        <w:rPr>
          <w:rFonts w:ascii="Arial"/>
          <w:color w:val="000000"/>
          <w:sz w:val="24"/>
        </w:rPr>
        <w:t>s</w:t>
      </w:r>
      <w:r>
        <w:rPr>
          <w:rFonts w:ascii="Arial"/>
          <w:color w:val="000000"/>
          <w:sz w:val="24"/>
        </w:rPr>
        <w:t xml:space="preserve"> </w:t>
      </w:r>
      <w:r>
        <w:rPr>
          <w:rFonts w:ascii="Arial"/>
          <w:color w:val="000000"/>
          <w:sz w:val="24"/>
        </w:rPr>
        <w:t>and leave the Council responsible for the stormwater works prematurely</w:t>
      </w:r>
      <w:r>
        <w:rPr>
          <w:rFonts w:ascii="Arial"/>
          <w:color w:val="000000"/>
          <w:sz w:val="24"/>
        </w:rPr>
        <w:t>,</w:t>
      </w:r>
      <w:r>
        <w:rPr>
          <w:rFonts w:ascii="Arial"/>
          <w:color w:val="000000"/>
          <w:sz w:val="24"/>
        </w:rPr>
        <w:t xml:space="preserve"> </w:t>
      </w:r>
      <w:r>
        <w:rPr>
          <w:rFonts w:ascii="Arial"/>
          <w:color w:val="000000"/>
          <w:sz w:val="24"/>
        </w:rPr>
        <w:t xml:space="preserve">and be required to intervene or adjust the management devices on an ongoing basis because the water levels are considered stabilised even if they are outside of the trigger levels up to 20% of the </w:t>
      </w:r>
      <w:r>
        <w:rPr>
          <w:rFonts w:ascii="Arial"/>
          <w:color w:val="000000"/>
          <w:sz w:val="24"/>
        </w:rPr>
        <w:t>time.</w:t>
      </w:r>
      <w:r>
        <w:rPr>
          <w:rFonts w:ascii="Arial"/>
          <w:color w:val="000000"/>
          <w:sz w:val="24"/>
        </w:rPr>
        <w:t xml:space="preserve"> </w:t>
      </w:r>
      <w:r>
        <w:rPr>
          <w:rFonts w:ascii="Arial"/>
          <w:color w:val="000000"/>
          <w:sz w:val="24"/>
        </w:rPr>
        <w:t xml:space="preserve">The impost on the </w:t>
      </w:r>
      <w:r>
        <w:rPr>
          <w:rFonts w:ascii="Arial"/>
          <w:color w:val="000000"/>
          <w:sz w:val="24"/>
        </w:rPr>
        <w:t>C</w:t>
      </w:r>
      <w:r>
        <w:rPr>
          <w:rFonts w:ascii="Arial"/>
          <w:color w:val="000000"/>
          <w:sz w:val="24"/>
        </w:rPr>
        <w:t xml:space="preserve">ouncil would be considerable if it is required to adjust the splitter pipes in the basins to dial up/dial down exfiltration from the basins, move logs in the bypass swale control device or in any outlet, or install and adjust a removable orifice plate. </w:t>
      </w:r>
    </w:p>
    <w:p>
      <w:pPr>
        <w:pStyle w:val="CaselawNumbered10"/>
        <w:numPr>
          <w:ilvl w:val="0"/>
          <w:numId w:val="75"/>
        </w:numPr>
        <w:spacing w:before="150" w:after="0"/>
        <w:ind w:left="600" w:hanging="600"/>
      </w:pPr>
      <w:r>
        <w:rPr>
          <w:rFonts w:ascii="Arial"/>
          <w:color w:val="000000"/>
          <w:sz w:val="24"/>
        </w:rPr>
        <w:t xml:space="preserve">It is submitted that the situation would be even more dire were the Council </w:t>
      </w:r>
      <w:r>
        <w:rPr>
          <w:rFonts w:ascii="Arial"/>
          <w:color w:val="000000"/>
          <w:sz w:val="24"/>
        </w:rPr>
        <w:t xml:space="preserve">to </w:t>
      </w:r>
      <w:r>
        <w:rPr>
          <w:rFonts w:ascii="Arial"/>
          <w:color w:val="000000"/>
          <w:sz w:val="24"/>
        </w:rPr>
        <w:t xml:space="preserve">be required to carry out further </w:t>
      </w:r>
      <w:r>
        <w:rPr>
          <w:rFonts w:ascii="Arial"/>
          <w:color w:val="000000"/>
          <w:sz w:val="24"/>
        </w:rPr>
        <w:t>“</w:t>
      </w:r>
      <w:r>
        <w:rPr>
          <w:rFonts w:ascii="Arial"/>
          <w:color w:val="000000"/>
          <w:sz w:val="24"/>
        </w:rPr>
        <w:t>contingency measures</w:t>
      </w:r>
      <w:r>
        <w:rPr>
          <w:rFonts w:ascii="Arial"/>
          <w:color w:val="000000"/>
          <w:sz w:val="24"/>
        </w:rPr>
        <w:t xml:space="preserve">” </w:t>
      </w:r>
      <w:r>
        <w:rPr>
          <w:rFonts w:ascii="Arial"/>
          <w:color w:val="000000"/>
          <w:sz w:val="24"/>
        </w:rPr>
        <w:t xml:space="preserve">involving measures on public land or measures involving physical works such as excavation or </w:t>
      </w:r>
      <w:r>
        <w:rPr>
          <w:rFonts w:ascii="Arial"/>
          <w:color w:val="000000"/>
          <w:sz w:val="24"/>
        </w:rPr>
        <w:t>construction</w:t>
      </w:r>
      <w:r>
        <w:rPr>
          <w:rFonts w:ascii="Arial"/>
          <w:color w:val="000000"/>
          <w:sz w:val="24"/>
        </w:rPr>
        <w:t xml:space="preserve"> </w:t>
      </w:r>
      <w:r>
        <w:rPr>
          <w:rFonts w:ascii="Arial"/>
          <w:color w:val="000000"/>
          <w:sz w:val="24"/>
        </w:rPr>
        <w:t>to adjust the mitigation measure</w:t>
      </w:r>
      <w:r>
        <w:rPr>
          <w:rFonts w:ascii="Arial"/>
          <w:color w:val="000000"/>
          <w:sz w:val="24"/>
        </w:rPr>
        <w:t>.</w:t>
      </w:r>
      <w:r>
        <w:rPr>
          <w:rFonts w:ascii="Arial"/>
          <w:color w:val="000000"/>
          <w:sz w:val="24"/>
        </w:rPr>
        <w:t xml:space="preserve"> </w:t>
      </w:r>
      <w:r>
        <w:rPr>
          <w:rFonts w:ascii="Arial"/>
          <w:color w:val="000000"/>
          <w:sz w:val="24"/>
        </w:rPr>
        <w:t xml:space="preserve">Further contingency measures which Ms Holton conceded involved </w:t>
      </w:r>
      <w:r>
        <w:rPr>
          <w:rFonts w:ascii="Arial"/>
          <w:color w:val="000000"/>
          <w:sz w:val="24"/>
        </w:rPr>
        <w:t xml:space="preserve">the above </w:t>
      </w:r>
      <w:r>
        <w:rPr>
          <w:rFonts w:ascii="Arial"/>
          <w:color w:val="000000"/>
          <w:sz w:val="24"/>
        </w:rPr>
        <w:t>works (T</w:t>
      </w:r>
      <w:r>
        <w:rPr>
          <w:rFonts w:ascii="Arial"/>
          <w:color w:val="000000"/>
          <w:sz w:val="24"/>
        </w:rPr>
        <w:t>cpt, 7 December 2023,</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319</w:t>
      </w:r>
      <w:r>
        <w:rPr>
          <w:rFonts w:ascii="Arial"/>
          <w:color w:val="000000"/>
          <w:sz w:val="24"/>
        </w:rPr>
        <w:t>(</w:t>
      </w:r>
      <w:r>
        <w:rPr>
          <w:rFonts w:ascii="Arial"/>
          <w:color w:val="000000"/>
          <w:sz w:val="24"/>
        </w:rPr>
        <w:t>5-46</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Council submits </w:t>
      </w:r>
      <w:r>
        <w:rPr>
          <w:rFonts w:ascii="Arial"/>
          <w:color w:val="000000"/>
          <w:sz w:val="24"/>
        </w:rPr>
        <w:t xml:space="preserve">this issue alone </w:t>
      </w:r>
      <w:r>
        <w:rPr>
          <w:rFonts w:ascii="Arial"/>
          <w:color w:val="000000"/>
          <w:sz w:val="24"/>
        </w:rPr>
        <w:t>is sufficient to justify the refusal of the s68 applications. A</w:t>
      </w:r>
      <w:r>
        <w:rPr>
          <w:rFonts w:ascii="Arial"/>
          <w:color w:val="000000"/>
          <w:sz w:val="24"/>
        </w:rPr>
        <w:t>s an</w:t>
      </w:r>
      <w:r>
        <w:rPr>
          <w:rFonts w:ascii="Arial"/>
          <w:color w:val="000000"/>
          <w:sz w:val="24"/>
        </w:rPr>
        <w:t xml:space="preserve"> </w:t>
      </w:r>
      <w:r>
        <w:rPr>
          <w:rFonts w:ascii="Arial"/>
          <w:color w:val="000000"/>
          <w:sz w:val="24"/>
        </w:rPr>
        <w:t xml:space="preserve">approval of the s68 applications </w:t>
      </w:r>
      <w:r>
        <w:rPr>
          <w:rFonts w:ascii="Arial"/>
          <w:color w:val="000000"/>
          <w:sz w:val="24"/>
        </w:rPr>
        <w:t xml:space="preserve">on this basis </w:t>
      </w:r>
      <w:r>
        <w:rPr>
          <w:rFonts w:ascii="Arial"/>
          <w:color w:val="000000"/>
          <w:sz w:val="24"/>
        </w:rPr>
        <w:t xml:space="preserve">is </w:t>
      </w:r>
      <w:r>
        <w:rPr>
          <w:rFonts w:ascii="Arial"/>
          <w:color w:val="000000"/>
          <w:sz w:val="24"/>
        </w:rPr>
        <w:t xml:space="preserve">untenable not only because </w:t>
      </w:r>
      <w:r>
        <w:rPr>
          <w:rFonts w:ascii="Arial"/>
          <w:color w:val="000000"/>
          <w:sz w:val="24"/>
        </w:rPr>
        <w:t xml:space="preserve">of the inconsistency of the stabilisation with dot point 7 of condition 59 but also </w:t>
      </w:r>
      <w:r>
        <w:rPr>
          <w:rFonts w:ascii="Arial"/>
          <w:color w:val="000000"/>
          <w:sz w:val="24"/>
        </w:rPr>
        <w:t xml:space="preserve">as a matter of merit, </w:t>
      </w:r>
      <w:r>
        <w:rPr>
          <w:rFonts w:ascii="Arial"/>
          <w:color w:val="000000"/>
          <w:sz w:val="24"/>
        </w:rPr>
        <w:t xml:space="preserve">as it </w:t>
      </w:r>
      <w:r>
        <w:rPr>
          <w:rFonts w:ascii="Arial"/>
          <w:color w:val="000000"/>
          <w:sz w:val="24"/>
        </w:rPr>
        <w:t>would leave</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Council with an asset where intervention could be required up to 20 % of the time through</w:t>
      </w:r>
      <w:r>
        <w:rPr>
          <w:rFonts w:ascii="Arial"/>
          <w:color w:val="000000"/>
          <w:sz w:val="24"/>
        </w:rPr>
        <w:t>out</w:t>
      </w:r>
      <w:r>
        <w:rPr>
          <w:rFonts w:ascii="Arial"/>
          <w:color w:val="000000"/>
          <w:sz w:val="24"/>
        </w:rPr>
        <w:t xml:space="preserve"> </w:t>
      </w:r>
      <w:r>
        <w:rPr>
          <w:rFonts w:ascii="Arial"/>
          <w:color w:val="000000"/>
          <w:sz w:val="24"/>
        </w:rPr>
        <w:t xml:space="preserve">the year. </w:t>
      </w:r>
    </w:p>
    <w:p>
      <w:pPr>
        <w:pStyle w:val="CaselawNumbered10"/>
        <w:numPr>
          <w:ilvl w:val="0"/>
          <w:numId w:val="75"/>
        </w:numPr>
        <w:spacing w:before="150" w:after="0"/>
        <w:ind w:left="600" w:hanging="600"/>
      </w:pPr>
      <w:r>
        <w:rPr>
          <w:rFonts w:ascii="Arial"/>
          <w:color w:val="000000"/>
          <w:sz w:val="24"/>
        </w:rPr>
        <w:t xml:space="preserve">The Council relies on the evidence of Mr Gaskell who addressed the issue of stabilisation criteria in the context of the definition of the </w:t>
      </w:r>
      <w:r>
        <w:rPr>
          <w:rFonts w:ascii="Arial"/>
          <w:color w:val="000000"/>
          <w:sz w:val="24"/>
        </w:rPr>
        <w:t>“</w:t>
      </w:r>
      <w:r>
        <w:rPr>
          <w:rFonts w:ascii="Arial"/>
          <w:color w:val="000000"/>
          <w:sz w:val="24"/>
        </w:rPr>
        <w:t>on-maintenance period</w:t>
      </w:r>
      <w:r>
        <w:rPr>
          <w:rFonts w:ascii="Arial"/>
          <w:color w:val="000000"/>
          <w:sz w:val="24"/>
        </w:rPr>
        <w:t>”</w:t>
      </w:r>
      <w:r>
        <w:rPr>
          <w:rFonts w:ascii="Arial"/>
          <w:color w:val="000000"/>
          <w:sz w:val="24"/>
        </w:rPr>
        <w:t xml:space="preserve"> </w:t>
      </w:r>
      <w:r>
        <w:rPr>
          <w:rFonts w:ascii="Arial"/>
          <w:color w:val="000000"/>
          <w:sz w:val="24"/>
        </w:rPr>
        <w:t>in connection with particular (g)(iii) of contention 1 (Ex 4 p</w:t>
      </w:r>
      <w:r>
        <w:rPr>
          <w:rFonts w:ascii="Arial"/>
          <w:color w:val="000000"/>
          <w:sz w:val="24"/>
        </w:rPr>
        <w:t xml:space="preserve"> </w:t>
      </w:r>
      <w:r>
        <w:rPr>
          <w:rFonts w:ascii="Arial"/>
          <w:color w:val="000000"/>
          <w:sz w:val="24"/>
        </w:rPr>
        <w:t xml:space="preserve">2) </w:t>
      </w:r>
      <w:r>
        <w:rPr>
          <w:rFonts w:ascii="Arial"/>
          <w:color w:val="000000"/>
          <w:sz w:val="24"/>
        </w:rPr>
        <w:t xml:space="preserve">and </w:t>
      </w:r>
      <w:r>
        <w:rPr>
          <w:rFonts w:ascii="Arial"/>
          <w:color w:val="000000"/>
          <w:sz w:val="24"/>
        </w:rPr>
        <w:t xml:space="preserve">before </w:t>
      </w:r>
      <w:r>
        <w:rPr>
          <w:rFonts w:ascii="Arial"/>
          <w:color w:val="000000"/>
          <w:sz w:val="24"/>
        </w:rPr>
        <w:t xml:space="preserve">the </w:t>
      </w:r>
      <w:r>
        <w:rPr>
          <w:rFonts w:ascii="Arial"/>
          <w:color w:val="000000"/>
          <w:sz w:val="24"/>
        </w:rPr>
        <w:t>applicant</w:t>
      </w:r>
      <w:r>
        <w:rPr>
          <w:rFonts w:ascii="Arial"/>
          <w:color w:val="000000"/>
          <w:sz w:val="24"/>
        </w:rPr>
        <w:t>’</w:t>
      </w:r>
      <w:r>
        <w:rPr>
          <w:rFonts w:ascii="Arial"/>
          <w:color w:val="000000"/>
          <w:sz w:val="24"/>
        </w:rPr>
        <w:t xml:space="preserve">s </w:t>
      </w:r>
      <w:r>
        <w:rPr>
          <w:rFonts w:ascii="Arial"/>
          <w:color w:val="000000"/>
          <w:sz w:val="24"/>
        </w:rPr>
        <w:t xml:space="preserve">amendment on the second day of the hearing. In that regard, Mr Gaskell gave evidence that 80% is too low in the stabilisation </w:t>
      </w:r>
      <w:r>
        <w:rPr>
          <w:rFonts w:ascii="Arial"/>
          <w:color w:val="000000"/>
          <w:sz w:val="24"/>
        </w:rPr>
        <w:t>criteria.</w:t>
      </w:r>
      <w:r>
        <w:rPr>
          <w:rFonts w:ascii="Arial"/>
          <w:color w:val="000000"/>
          <w:sz w:val="24"/>
        </w:rPr>
        <w:t xml:space="preserve"> </w:t>
      </w:r>
    </w:p>
    <w:p>
      <w:pPr>
        <w:pStyle w:val="CaselawNumbered10"/>
        <w:numPr>
          <w:ilvl w:val="0"/>
          <w:numId w:val="75"/>
        </w:numPr>
        <w:spacing w:before="150" w:after="0"/>
        <w:ind w:left="600" w:hanging="600"/>
      </w:pPr>
      <w:r>
        <w:rPr>
          <w:rFonts w:ascii="Arial"/>
          <w:color w:val="000000"/>
          <w:sz w:val="24"/>
        </w:rPr>
        <w:t xml:space="preserve">The Council submits that the main means of maintaining the health of the </w:t>
      </w:r>
      <w:r>
        <w:rPr>
          <w:rFonts w:ascii="Arial"/>
          <w:color w:val="000000"/>
          <w:sz w:val="24"/>
        </w:rPr>
        <w:t xml:space="preserve">freshwater </w:t>
      </w:r>
      <w:r>
        <w:rPr>
          <w:rFonts w:ascii="Arial"/>
          <w:color w:val="000000"/>
          <w:sz w:val="24"/>
        </w:rPr>
        <w:t xml:space="preserve">wetland is through the mitigation measures </w:t>
      </w:r>
      <w:r>
        <w:rPr>
          <w:rFonts w:ascii="Arial"/>
          <w:color w:val="000000"/>
          <w:sz w:val="24"/>
        </w:rPr>
        <w:t>because</w:t>
      </w:r>
      <w:r>
        <w:rPr>
          <w:rFonts w:ascii="Arial"/>
          <w:color w:val="000000"/>
          <w:sz w:val="24"/>
        </w:rPr>
        <w:t>,</w:t>
      </w:r>
      <w:r>
        <w:rPr>
          <w:rFonts w:ascii="Arial"/>
          <w:color w:val="000000"/>
          <w:sz w:val="24"/>
        </w:rPr>
        <w:t xml:space="preserve"> </w:t>
      </w:r>
      <w:r>
        <w:rPr>
          <w:rFonts w:ascii="Arial"/>
          <w:color w:val="000000"/>
          <w:sz w:val="24"/>
        </w:rPr>
        <w:t>as Mr McCann conceded in Court</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planting is a waste of time</w:t>
      </w:r>
      <w:r>
        <w:rPr>
          <w:rFonts w:ascii="Arial"/>
          <w:color w:val="000000"/>
          <w:sz w:val="24"/>
        </w:rPr>
        <w:t>”</w:t>
      </w:r>
      <w:r>
        <w:rPr>
          <w:rFonts w:ascii="Arial"/>
          <w:color w:val="000000"/>
          <w:sz w:val="24"/>
        </w:rPr>
        <w:t xml:space="preserve">. The </w:t>
      </w:r>
      <w:r>
        <w:rPr>
          <w:rFonts w:ascii="Arial"/>
          <w:color w:val="000000"/>
          <w:sz w:val="24"/>
        </w:rPr>
        <w:t xml:space="preserve">Council </w:t>
      </w:r>
      <w:r>
        <w:rPr>
          <w:rFonts w:ascii="Arial"/>
          <w:color w:val="000000"/>
          <w:sz w:val="24"/>
        </w:rPr>
        <w:t xml:space="preserve">submits </w:t>
      </w:r>
      <w:r>
        <w:rPr>
          <w:rFonts w:ascii="Arial"/>
          <w:color w:val="000000"/>
          <w:sz w:val="24"/>
        </w:rPr>
        <w:t xml:space="preserve">that the mitigation measures identified on drawing 201 in Ex E to control surface or groundwater </w:t>
      </w:r>
      <w:r>
        <w:rPr>
          <w:rFonts w:ascii="Arial"/>
          <w:color w:val="000000"/>
          <w:sz w:val="24"/>
        </w:rPr>
        <w:t>in</w:t>
      </w:r>
      <w:r>
        <w:rPr>
          <w:rFonts w:ascii="Arial"/>
          <w:color w:val="000000"/>
          <w:sz w:val="24"/>
        </w:rPr>
        <w:t xml:space="preserve"> </w:t>
      </w:r>
      <w:r>
        <w:rPr>
          <w:rFonts w:ascii="Arial"/>
          <w:color w:val="000000"/>
          <w:sz w:val="24"/>
        </w:rPr>
        <w:t>attempt</w:t>
      </w:r>
      <w:r>
        <w:rPr>
          <w:rFonts w:ascii="Arial"/>
          <w:color w:val="000000"/>
          <w:sz w:val="24"/>
        </w:rPr>
        <w:t>ing</w:t>
      </w:r>
      <w:r>
        <w:rPr>
          <w:rFonts w:ascii="Arial"/>
          <w:color w:val="000000"/>
          <w:sz w:val="24"/>
        </w:rPr>
        <w:t xml:space="preserve"> </w:t>
      </w:r>
      <w:r>
        <w:rPr>
          <w:rFonts w:ascii="Arial"/>
          <w:color w:val="000000"/>
          <w:sz w:val="24"/>
        </w:rPr>
        <w:t xml:space="preserve">to maintain hydrological conditions within the </w:t>
      </w:r>
      <w:r>
        <w:rPr>
          <w:rFonts w:ascii="Arial"/>
          <w:color w:val="000000"/>
          <w:sz w:val="24"/>
        </w:rPr>
        <w:t xml:space="preserve">freshwater wetland </w:t>
      </w:r>
      <w:r>
        <w:rPr>
          <w:rFonts w:ascii="Arial"/>
          <w:color w:val="000000"/>
          <w:sz w:val="24"/>
        </w:rPr>
        <w:t xml:space="preserve">EEC are </w:t>
      </w:r>
      <w:r>
        <w:rPr>
          <w:rFonts w:ascii="Arial"/>
          <w:color w:val="000000"/>
          <w:sz w:val="24"/>
        </w:rPr>
        <w:t xml:space="preserve">simply </w:t>
      </w:r>
      <w:r>
        <w:rPr>
          <w:rFonts w:ascii="Arial"/>
          <w:color w:val="000000"/>
          <w:sz w:val="24"/>
        </w:rPr>
        <w:t xml:space="preserve">inadequate. </w:t>
      </w:r>
      <w:r>
        <w:rPr>
          <w:rFonts w:ascii="Arial"/>
          <w:color w:val="000000"/>
          <w:sz w:val="24"/>
        </w:rPr>
        <w:t xml:space="preserve">This includes </w:t>
      </w:r>
      <w:r>
        <w:rPr>
          <w:rFonts w:ascii="Arial"/>
          <w:color w:val="000000"/>
          <w:sz w:val="24"/>
        </w:rPr>
        <w:t xml:space="preserve">the dialling up or down capacity of the infiltration systems </w:t>
      </w:r>
      <w:r>
        <w:rPr>
          <w:rFonts w:ascii="Arial"/>
          <w:color w:val="000000"/>
          <w:sz w:val="24"/>
        </w:rPr>
        <w:t xml:space="preserve">– </w:t>
      </w:r>
      <w:r>
        <w:rPr>
          <w:rFonts w:ascii="Arial"/>
          <w:color w:val="000000"/>
          <w:sz w:val="24"/>
        </w:rPr>
        <w:t>allowing infiltration flows to be increased or decreased by 20</w:t>
      </w:r>
      <w:r>
        <w:rPr>
          <w:rFonts w:ascii="Arial"/>
          <w:color w:val="000000"/>
          <w:sz w:val="24"/>
        </w:rPr>
        <w:t>% albeit</w:t>
      </w:r>
      <w:r>
        <w:rPr>
          <w:rFonts w:ascii="Arial"/>
          <w:color w:val="000000"/>
          <w:sz w:val="24"/>
        </w:rPr>
        <w:t xml:space="preserve"> </w:t>
      </w:r>
      <w:r>
        <w:rPr>
          <w:rFonts w:ascii="Arial"/>
          <w:color w:val="000000"/>
          <w:sz w:val="24"/>
        </w:rPr>
        <w:t xml:space="preserve">it </w:t>
      </w:r>
      <w:r>
        <w:rPr>
          <w:rFonts w:ascii="Arial"/>
          <w:color w:val="000000"/>
          <w:sz w:val="24"/>
        </w:rPr>
        <w:t>only serve</w:t>
      </w:r>
      <w:r>
        <w:rPr>
          <w:rFonts w:ascii="Arial"/>
          <w:color w:val="000000"/>
          <w:sz w:val="24"/>
        </w:rPr>
        <w:t xml:space="preserve">s </w:t>
      </w:r>
      <w:r>
        <w:rPr>
          <w:rFonts w:ascii="Arial"/>
          <w:color w:val="000000"/>
          <w:sz w:val="24"/>
        </w:rPr>
        <w:t xml:space="preserve">85% of the </w:t>
      </w:r>
      <w:r>
        <w:rPr>
          <w:rFonts w:ascii="Arial"/>
          <w:color w:val="000000"/>
          <w:sz w:val="24"/>
        </w:rPr>
        <w:t xml:space="preserve">freshwater </w:t>
      </w:r>
      <w:r>
        <w:rPr>
          <w:rFonts w:ascii="Arial"/>
          <w:color w:val="000000"/>
          <w:sz w:val="24"/>
        </w:rPr>
        <w:t xml:space="preserve">wetland </w:t>
      </w:r>
      <w:r>
        <w:rPr>
          <w:rFonts w:ascii="Arial"/>
          <w:color w:val="000000"/>
          <w:sz w:val="24"/>
        </w:rPr>
        <w:t>(Ex</w:t>
      </w:r>
      <w:r>
        <w:rPr>
          <w:rFonts w:ascii="Arial"/>
          <w:color w:val="000000"/>
          <w:sz w:val="24"/>
        </w:rPr>
        <w:t xml:space="preserve"> </w:t>
      </w:r>
      <w:r>
        <w:rPr>
          <w:rFonts w:ascii="Arial"/>
          <w:color w:val="000000"/>
          <w:sz w:val="24"/>
        </w:rPr>
        <w:t>1 at p</w:t>
      </w:r>
      <w:r>
        <w:rPr>
          <w:rFonts w:ascii="Arial"/>
          <w:color w:val="000000"/>
          <w:sz w:val="24"/>
        </w:rPr>
        <w:t xml:space="preserve"> </w:t>
      </w:r>
      <w:r>
        <w:rPr>
          <w:rFonts w:ascii="Arial"/>
          <w:color w:val="000000"/>
          <w:sz w:val="24"/>
        </w:rPr>
        <w:t xml:space="preserve">7 </w:t>
      </w:r>
      <w:r>
        <w:rPr>
          <w:rFonts w:ascii="Arial"/>
          <w:color w:val="000000"/>
          <w:sz w:val="24"/>
        </w:rPr>
        <w:t xml:space="preserve">(Ms </w:t>
      </w:r>
      <w:r>
        <w:rPr>
          <w:rFonts w:ascii="Arial"/>
          <w:color w:val="000000"/>
          <w:sz w:val="24"/>
        </w:rPr>
        <w:t>Holton</w:t>
      </w:r>
      <w:r>
        <w:rPr>
          <w:rFonts w:ascii="Arial"/>
          <w:color w:val="000000"/>
          <w:sz w:val="24"/>
        </w:rPr>
        <w:t>)</w:t>
      </w:r>
      <w:r>
        <w:rPr>
          <w:rFonts w:ascii="Arial"/>
          <w:color w:val="000000"/>
          <w:sz w:val="24"/>
        </w:rPr>
        <w:t xml:space="preserve">). </w:t>
      </w:r>
      <w:r>
        <w:rPr>
          <w:rFonts w:ascii="Arial"/>
          <w:color w:val="000000"/>
          <w:sz w:val="24"/>
        </w:rPr>
        <w:t xml:space="preserve">The infiltration trench along the northeast perimeter of the </w:t>
      </w:r>
      <w:r>
        <w:rPr>
          <w:rFonts w:ascii="Arial"/>
          <w:color w:val="000000"/>
          <w:sz w:val="24"/>
        </w:rPr>
        <w:t xml:space="preserve">freshwater </w:t>
      </w:r>
      <w:r>
        <w:rPr>
          <w:rFonts w:ascii="Arial"/>
          <w:color w:val="000000"/>
          <w:sz w:val="24"/>
        </w:rPr>
        <w:t>wetland,</w:t>
      </w:r>
      <w:r>
        <w:rPr>
          <w:rFonts w:ascii="Arial"/>
          <w:color w:val="000000"/>
          <w:sz w:val="24"/>
        </w:rPr>
        <w:t xml:space="preserve"> </w:t>
      </w:r>
      <w:r>
        <w:rPr>
          <w:rFonts w:ascii="Arial"/>
          <w:color w:val="000000"/>
          <w:sz w:val="24"/>
        </w:rPr>
        <w:t xml:space="preserve">intended to serve areas higher in elevation than the exfiltration systems </w:t>
      </w:r>
      <w:r>
        <w:rPr>
          <w:rFonts w:ascii="Arial"/>
          <w:color w:val="000000"/>
          <w:sz w:val="24"/>
        </w:rPr>
        <w:t>(E</w:t>
      </w:r>
      <w:r>
        <w:rPr>
          <w:rFonts w:ascii="Arial"/>
          <w:color w:val="000000"/>
          <w:sz w:val="24"/>
        </w:rPr>
        <w:t>x</w:t>
      </w:r>
      <w:r>
        <w:rPr>
          <w:rFonts w:ascii="Arial"/>
          <w:color w:val="000000"/>
          <w:sz w:val="24"/>
        </w:rPr>
        <w:t xml:space="preserve"> </w:t>
      </w:r>
      <w:r>
        <w:rPr>
          <w:rFonts w:ascii="Arial"/>
          <w:color w:val="000000"/>
          <w:sz w:val="24"/>
        </w:rPr>
        <w:t>1 p</w:t>
      </w:r>
      <w:r>
        <w:rPr>
          <w:rFonts w:ascii="Arial"/>
          <w:color w:val="000000"/>
          <w:sz w:val="24"/>
        </w:rPr>
        <w:t xml:space="preserve"> </w:t>
      </w:r>
      <w:r>
        <w:rPr>
          <w:rFonts w:ascii="Arial"/>
          <w:color w:val="000000"/>
          <w:sz w:val="24"/>
        </w:rPr>
        <w:t xml:space="preserve">7 </w:t>
      </w:r>
      <w:r>
        <w:rPr>
          <w:rFonts w:ascii="Arial"/>
          <w:color w:val="000000"/>
          <w:sz w:val="24"/>
        </w:rPr>
        <w:t>(</w:t>
      </w:r>
      <w:r>
        <w:rPr>
          <w:rFonts w:ascii="Arial"/>
          <w:color w:val="000000"/>
          <w:sz w:val="24"/>
        </w:rPr>
        <w:t>Ms Holton</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the bypass swale control device at the northern end of the swale </w:t>
      </w:r>
      <w:r>
        <w:rPr>
          <w:rFonts w:ascii="Arial"/>
          <w:color w:val="000000"/>
          <w:sz w:val="24"/>
        </w:rPr>
        <w:t>(</w:t>
      </w:r>
      <w:r>
        <w:rPr>
          <w:rFonts w:ascii="Arial"/>
          <w:color w:val="000000"/>
          <w:sz w:val="24"/>
        </w:rPr>
        <w:t xml:space="preserve">if moved to the location identified </w:t>
      </w:r>
      <w:r>
        <w:rPr>
          <w:rFonts w:ascii="Arial"/>
          <w:color w:val="000000"/>
          <w:sz w:val="24"/>
        </w:rPr>
        <w:t>by the applicant</w:t>
      </w:r>
      <w:r>
        <w:rPr>
          <w:rFonts w:ascii="Arial"/>
          <w:color w:val="000000"/>
          <w:sz w:val="24"/>
        </w:rPr>
        <w:t>’</w:t>
      </w:r>
      <w:r>
        <w:rPr>
          <w:rFonts w:ascii="Arial"/>
          <w:color w:val="000000"/>
          <w:sz w:val="24"/>
        </w:rPr>
        <w:t>s civil engineer,</w:t>
      </w:r>
      <w:r>
        <w:rPr>
          <w:rFonts w:ascii="Arial"/>
          <w:color w:val="000000"/>
          <w:sz w:val="24"/>
        </w:rPr>
        <w:t xml:space="preserve"> </w:t>
      </w:r>
      <w:r>
        <w:rPr>
          <w:rFonts w:ascii="Arial"/>
          <w:color w:val="000000"/>
          <w:sz w:val="24"/>
        </w:rPr>
        <w:t xml:space="preserve">Mr </w:t>
      </w:r>
      <w:r>
        <w:rPr>
          <w:rFonts w:ascii="Arial"/>
          <w:color w:val="000000"/>
          <w:sz w:val="24"/>
        </w:rPr>
        <w:t xml:space="preserve">Boon </w:t>
      </w:r>
      <w:r>
        <w:rPr>
          <w:rFonts w:ascii="Arial"/>
          <w:color w:val="000000"/>
          <w:sz w:val="24"/>
        </w:rPr>
        <w:t>Soo</w:t>
      </w:r>
      <w:r>
        <w:rPr>
          <w:rFonts w:ascii="Arial"/>
          <w:color w:val="000000"/>
          <w:sz w:val="24"/>
        </w:rPr>
        <w:t>, in hi</w:t>
      </w:r>
      <w:r>
        <w:rPr>
          <w:rFonts w:ascii="Arial"/>
          <w:color w:val="000000"/>
          <w:sz w:val="24"/>
        </w:rPr>
        <w:t>s sketch (Ex 1)</w:t>
      </w:r>
      <w:r>
        <w:rPr>
          <w:rFonts w:ascii="Arial"/>
          <w:color w:val="000000"/>
          <w:sz w:val="24"/>
        </w:rPr>
        <w:t>)</w:t>
      </w:r>
      <w:r>
        <w:rPr>
          <w:rFonts w:ascii="Arial"/>
          <w:color w:val="000000"/>
          <w:sz w:val="24"/>
        </w:rPr>
        <w:t xml:space="preserve">– </w:t>
      </w:r>
      <w:r>
        <w:rPr>
          <w:rFonts w:ascii="Arial"/>
          <w:color w:val="000000"/>
          <w:sz w:val="24"/>
        </w:rPr>
        <w:t xml:space="preserve">which Mr Thomas said could be used to rehydrate the lower/western 40% of the </w:t>
      </w:r>
      <w:r>
        <w:rPr>
          <w:rFonts w:ascii="Arial"/>
          <w:color w:val="000000"/>
          <w:sz w:val="24"/>
        </w:rPr>
        <w:t xml:space="preserve">freshwater </w:t>
      </w:r>
      <w:r>
        <w:rPr>
          <w:rFonts w:ascii="Arial"/>
          <w:color w:val="000000"/>
          <w:sz w:val="24"/>
        </w:rPr>
        <w:t>wetland (Ex 1 p</w:t>
      </w:r>
      <w:r>
        <w:rPr>
          <w:rFonts w:ascii="Arial"/>
          <w:color w:val="000000"/>
          <w:sz w:val="24"/>
        </w:rPr>
        <w:t xml:space="preserve"> </w:t>
      </w:r>
      <w:r>
        <w:rPr>
          <w:rFonts w:ascii="Arial"/>
          <w:color w:val="000000"/>
          <w:sz w:val="24"/>
        </w:rPr>
        <w:t>6)</w:t>
      </w:r>
      <w:r>
        <w:rPr>
          <w:rFonts w:ascii="Arial"/>
          <w:color w:val="000000"/>
          <w:sz w:val="24"/>
        </w:rPr>
        <w:t xml:space="preserve">, </w:t>
      </w:r>
      <w:r>
        <w:rPr>
          <w:rFonts w:ascii="Arial"/>
          <w:color w:val="000000"/>
          <w:sz w:val="24"/>
        </w:rPr>
        <w:t xml:space="preserve">albeit the plans before the Court do not show the control device in that location. </w:t>
      </w:r>
    </w:p>
    <w:p>
      <w:pPr>
        <w:pStyle w:val="CaselawNumbered10"/>
        <w:numPr>
          <w:ilvl w:val="0"/>
          <w:numId w:val="75"/>
        </w:numPr>
        <w:spacing w:before="150" w:after="0"/>
        <w:ind w:left="600" w:hanging="600"/>
      </w:pPr>
      <w:r>
        <w:rPr>
          <w:rFonts w:ascii="Arial"/>
          <w:color w:val="000000"/>
          <w:sz w:val="24"/>
        </w:rPr>
        <w:t xml:space="preserve">It is to be noted that </w:t>
      </w:r>
      <w:r>
        <w:rPr>
          <w:rFonts w:ascii="Arial"/>
          <w:color w:val="000000"/>
          <w:sz w:val="24"/>
        </w:rPr>
        <w:t>the proposal for a bypass swale control device and a dial</w:t>
      </w:r>
      <w:r>
        <w:rPr>
          <w:rFonts w:ascii="Arial"/>
          <w:color w:val="000000"/>
          <w:sz w:val="24"/>
        </w:rPr>
        <w:t>-</w:t>
      </w:r>
      <w:r>
        <w:rPr>
          <w:rFonts w:ascii="Arial"/>
          <w:color w:val="000000"/>
          <w:sz w:val="24"/>
        </w:rPr>
        <w:t>up and dial</w:t>
      </w:r>
      <w:r>
        <w:rPr>
          <w:rFonts w:ascii="Arial"/>
          <w:color w:val="000000"/>
          <w:sz w:val="24"/>
        </w:rPr>
        <w:t>-</w:t>
      </w:r>
      <w:r>
        <w:rPr>
          <w:rFonts w:ascii="Arial"/>
          <w:color w:val="000000"/>
          <w:sz w:val="24"/>
        </w:rPr>
        <w:t xml:space="preserve">down capacity for basins 1 and 2 were contained in annexures to the </w:t>
      </w:r>
      <w:r>
        <w:rPr>
          <w:rFonts w:ascii="Arial"/>
          <w:color w:val="000000"/>
          <w:sz w:val="24"/>
        </w:rPr>
        <w:t>Statement of Environmental Effects (</w:t>
      </w:r>
      <w:r>
        <w:rPr>
          <w:rFonts w:ascii="Arial"/>
          <w:b/>
          <w:color w:val="000000"/>
          <w:sz w:val="24"/>
        </w:rPr>
        <w:t>SEE</w:t>
      </w:r>
      <w:r>
        <w:rPr>
          <w:rFonts w:ascii="Arial"/>
          <w:color w:val="000000"/>
          <w:sz w:val="24"/>
        </w:rPr>
        <w:t>)</w:t>
      </w:r>
      <w:r>
        <w:rPr>
          <w:rFonts w:ascii="Arial"/>
          <w:color w:val="000000"/>
          <w:sz w:val="24"/>
        </w:rPr>
        <w:t xml:space="preserve"> </w:t>
      </w:r>
      <w:r>
        <w:rPr>
          <w:rFonts w:ascii="Arial"/>
          <w:color w:val="000000"/>
          <w:sz w:val="24"/>
        </w:rPr>
        <w:t>for DA 2018/51</w:t>
      </w:r>
      <w:r>
        <w:rPr>
          <w:rFonts w:ascii="Arial"/>
          <w:color w:val="000000"/>
          <w:sz w:val="24"/>
        </w:rPr>
        <w:t xml:space="preserve"> </w:t>
      </w:r>
      <w:r>
        <w:rPr>
          <w:rFonts w:ascii="Arial"/>
          <w:color w:val="000000"/>
          <w:sz w:val="24"/>
        </w:rPr>
        <w:t xml:space="preserve">albeit </w:t>
      </w:r>
      <w:r>
        <w:rPr>
          <w:rFonts w:ascii="Arial"/>
          <w:color w:val="000000"/>
          <w:sz w:val="24"/>
        </w:rPr>
        <w:t xml:space="preserve">the Council points out that </w:t>
      </w:r>
      <w:r>
        <w:rPr>
          <w:rFonts w:ascii="Arial"/>
          <w:color w:val="000000"/>
          <w:sz w:val="24"/>
        </w:rPr>
        <w:t xml:space="preserve">drawing 4001 in Appendix D </w:t>
      </w:r>
      <w:r>
        <w:rPr>
          <w:rFonts w:ascii="Arial"/>
          <w:color w:val="000000"/>
          <w:sz w:val="24"/>
        </w:rPr>
        <w:t xml:space="preserve">to </w:t>
      </w:r>
      <w:r>
        <w:rPr>
          <w:rFonts w:ascii="Arial"/>
          <w:color w:val="000000"/>
          <w:sz w:val="24"/>
        </w:rPr>
        <w:t xml:space="preserve">the SEE </w:t>
      </w:r>
      <w:r>
        <w:rPr>
          <w:rFonts w:ascii="Arial"/>
          <w:color w:val="000000"/>
          <w:sz w:val="24"/>
        </w:rPr>
        <w:t>has an arrow indicating the location of the swale bypass control pit (without any detail as to orientation of the pit on the plan</w:t>
      </w:r>
      <w:r>
        <w:rPr>
          <w:rFonts w:ascii="Arial"/>
          <w:color w:val="000000"/>
          <w:sz w:val="24"/>
        </w:rPr>
        <w:t>,</w:t>
      </w:r>
      <w:r>
        <w:rPr>
          <w:rFonts w:ascii="Arial"/>
          <w:color w:val="000000"/>
          <w:sz w:val="24"/>
        </w:rPr>
        <w:t xml:space="preserve"> </w:t>
      </w:r>
      <w:r>
        <w:rPr>
          <w:rFonts w:ascii="Arial"/>
          <w:color w:val="000000"/>
          <w:sz w:val="24"/>
        </w:rPr>
        <w:t xml:space="preserve">and noting </w:t>
      </w:r>
      <w:r>
        <w:rPr>
          <w:rFonts w:ascii="Arial"/>
          <w:color w:val="000000"/>
          <w:sz w:val="24"/>
        </w:rPr>
        <w:t xml:space="preserve">that </w:t>
      </w:r>
      <w:r>
        <w:rPr>
          <w:rFonts w:ascii="Arial"/>
          <w:color w:val="000000"/>
          <w:sz w:val="24"/>
        </w:rPr>
        <w:t>there is a swale shown in the northeastern corner of those plans that is not adopted in the s68 application)</w:t>
      </w:r>
      <w:r>
        <w:rPr>
          <w:rFonts w:ascii="Arial"/>
          <w:color w:val="000000"/>
          <w:sz w:val="24"/>
        </w:rPr>
        <w:t>,</w:t>
      </w:r>
      <w:r>
        <w:rPr>
          <w:rFonts w:ascii="Arial"/>
          <w:color w:val="000000"/>
          <w:sz w:val="24"/>
        </w:rPr>
        <w:t xml:space="preserve"> </w:t>
      </w:r>
      <w:r>
        <w:rPr>
          <w:rFonts w:ascii="Arial"/>
          <w:color w:val="000000"/>
          <w:sz w:val="24"/>
        </w:rPr>
        <w:t>and drawing DA 4023 has some more detail. Drawing DA 4001 also shows stippling for the dial</w:t>
      </w:r>
      <w:r>
        <w:rPr>
          <w:rFonts w:ascii="Arial"/>
          <w:color w:val="000000"/>
          <w:sz w:val="24"/>
        </w:rPr>
        <w:t>-</w:t>
      </w:r>
      <w:r>
        <w:rPr>
          <w:rFonts w:ascii="Arial"/>
          <w:color w:val="000000"/>
          <w:sz w:val="24"/>
        </w:rPr>
        <w:t>up/</w:t>
      </w:r>
      <w:r>
        <w:rPr>
          <w:rFonts w:ascii="Arial"/>
          <w:color w:val="000000"/>
          <w:sz w:val="24"/>
        </w:rPr>
        <w:t>dial-</w:t>
      </w:r>
      <w:r>
        <w:rPr>
          <w:rFonts w:ascii="Arial"/>
          <w:color w:val="000000"/>
          <w:sz w:val="24"/>
        </w:rPr>
        <w:t>down areas and at pp</w:t>
      </w:r>
      <w:r>
        <w:rPr>
          <w:rFonts w:ascii="Arial"/>
          <w:color w:val="000000"/>
          <w:sz w:val="24"/>
        </w:rPr>
        <w:t xml:space="preserve"> </w:t>
      </w:r>
      <w:r>
        <w:rPr>
          <w:rFonts w:ascii="Arial"/>
          <w:color w:val="000000"/>
          <w:sz w:val="24"/>
        </w:rPr>
        <w:t xml:space="preserve">7-8 of Appendix 1 to the SEE </w:t>
      </w:r>
      <w:r>
        <w:rPr>
          <w:rFonts w:ascii="Arial"/>
          <w:color w:val="000000"/>
          <w:sz w:val="24"/>
        </w:rPr>
        <w:t>(the</w:t>
      </w:r>
      <w:r>
        <w:rPr>
          <w:rFonts w:ascii="Arial"/>
          <w:color w:val="000000"/>
          <w:sz w:val="24"/>
        </w:rPr>
        <w:t xml:space="preserve"> </w:t>
      </w:r>
      <w:r>
        <w:rPr>
          <w:rFonts w:ascii="Arial"/>
          <w:color w:val="000000"/>
          <w:sz w:val="24"/>
        </w:rPr>
        <w:t xml:space="preserve">original WHMMP) </w:t>
      </w:r>
      <w:r>
        <w:rPr>
          <w:rFonts w:ascii="Arial"/>
          <w:color w:val="000000"/>
          <w:sz w:val="24"/>
        </w:rPr>
        <w:t>includes both</w:t>
      </w:r>
      <w:r>
        <w:rPr>
          <w:rFonts w:ascii="Arial"/>
          <w:color w:val="000000"/>
          <w:sz w:val="24"/>
        </w:rPr>
        <w:t xml:space="preserve"> </w:t>
      </w:r>
      <w:r>
        <w:rPr>
          <w:rFonts w:ascii="Arial"/>
          <w:color w:val="000000"/>
          <w:sz w:val="24"/>
        </w:rPr>
        <w:t xml:space="preserve">a proposal to </w:t>
      </w:r>
      <w:r>
        <w:rPr>
          <w:rFonts w:ascii="Arial"/>
          <w:color w:val="000000"/>
          <w:sz w:val="24"/>
        </w:rPr>
        <w:t>dial up</w:t>
      </w:r>
      <w:r>
        <w:rPr>
          <w:rFonts w:ascii="Arial"/>
          <w:color w:val="000000"/>
          <w:sz w:val="24"/>
        </w:rPr>
        <w:t xml:space="preserve">/down exfiltration from the basins and to use a swale bypass control device. </w:t>
      </w:r>
      <w:r>
        <w:rPr>
          <w:rFonts w:ascii="Arial"/>
          <w:color w:val="000000"/>
          <w:sz w:val="24"/>
        </w:rPr>
        <w:t xml:space="preserve">However, </w:t>
      </w:r>
      <w:r>
        <w:rPr>
          <w:rFonts w:ascii="Arial"/>
          <w:color w:val="000000"/>
          <w:sz w:val="24"/>
        </w:rPr>
        <w:t xml:space="preserve">the Council submits that </w:t>
      </w:r>
      <w:r>
        <w:rPr>
          <w:rFonts w:ascii="Arial"/>
          <w:color w:val="000000"/>
          <w:sz w:val="24"/>
        </w:rPr>
        <w:t>the northeastern infiltration trench was not proposed as part of development consent DA</w:t>
      </w:r>
      <w:r>
        <w:rPr>
          <w:rFonts w:ascii="Arial"/>
          <w:color w:val="000000"/>
          <w:sz w:val="24"/>
        </w:rPr>
        <w:t xml:space="preserve"> </w:t>
      </w:r>
      <w:r>
        <w:rPr>
          <w:rFonts w:ascii="Arial"/>
          <w:color w:val="000000"/>
          <w:sz w:val="24"/>
        </w:rPr>
        <w:t xml:space="preserve">2018/51. Instead the wetland outlet, which is no longer the subject of the s68 applications, was in fact the subject of development consent DA </w:t>
      </w:r>
      <w:r>
        <w:rPr>
          <w:rFonts w:ascii="Arial"/>
          <w:color w:val="000000"/>
          <w:sz w:val="24"/>
        </w:rPr>
        <w:t xml:space="preserve">2018/51 as shown on drawing DA 4001 in </w:t>
      </w:r>
      <w:r>
        <w:rPr>
          <w:rFonts w:ascii="Arial"/>
          <w:color w:val="000000"/>
          <w:sz w:val="24"/>
        </w:rPr>
        <w:t>A</w:t>
      </w:r>
      <w:r>
        <w:rPr>
          <w:rFonts w:ascii="Arial"/>
          <w:color w:val="000000"/>
          <w:sz w:val="24"/>
        </w:rPr>
        <w:t xml:space="preserve">ppendix D to the SEE </w:t>
      </w:r>
      <w:r>
        <w:rPr>
          <w:rFonts w:ascii="Arial"/>
          <w:color w:val="000000"/>
          <w:sz w:val="24"/>
        </w:rPr>
        <w:t xml:space="preserve">– </w:t>
      </w:r>
      <w:r>
        <w:rPr>
          <w:rFonts w:ascii="Arial"/>
          <w:color w:val="000000"/>
          <w:sz w:val="24"/>
        </w:rPr>
        <w:t xml:space="preserve">(by arrow pointing to the </w:t>
      </w:r>
      <w:r>
        <w:rPr>
          <w:rFonts w:ascii="Arial"/>
          <w:color w:val="000000"/>
          <w:sz w:val="24"/>
        </w:rPr>
        <w:t>s</w:t>
      </w:r>
      <w:r>
        <w:rPr>
          <w:rFonts w:ascii="Arial"/>
          <w:color w:val="000000"/>
          <w:sz w:val="24"/>
        </w:rPr>
        <w:t xml:space="preserve">wale </w:t>
      </w:r>
      <w:r>
        <w:rPr>
          <w:rFonts w:ascii="Arial"/>
          <w:color w:val="000000"/>
          <w:sz w:val="24"/>
        </w:rPr>
        <w:t>that is not part of this s68 application) - and drawing DA 4023 (</w:t>
      </w:r>
      <w:r>
        <w:rPr>
          <w:rFonts w:ascii="Arial"/>
          <w:color w:val="000000"/>
          <w:sz w:val="24"/>
        </w:rPr>
        <w:t xml:space="preserve">though it has no </w:t>
      </w:r>
      <w:r>
        <w:rPr>
          <w:rFonts w:ascii="Arial"/>
          <w:color w:val="000000"/>
          <w:sz w:val="24"/>
        </w:rPr>
        <w:t>note qualifying that it is no longer part of the application).</w:t>
      </w:r>
    </w:p>
    <w:p>
      <w:pPr>
        <w:pStyle w:val="CaselawNumbered10"/>
        <w:numPr>
          <w:ilvl w:val="0"/>
          <w:numId w:val="75"/>
        </w:numPr>
        <w:spacing w:before="150" w:after="0"/>
        <w:ind w:left="600" w:hanging="600"/>
      </w:pPr>
      <w:r>
        <w:rPr>
          <w:rFonts w:ascii="Arial"/>
          <w:color w:val="000000"/>
          <w:sz w:val="24"/>
        </w:rPr>
        <w:t xml:space="preserve">That said, </w:t>
      </w:r>
      <w:r>
        <w:rPr>
          <w:rFonts w:ascii="Arial"/>
          <w:color w:val="000000"/>
          <w:sz w:val="24"/>
        </w:rPr>
        <w:t xml:space="preserve">the bypass swale control device, the </w:t>
      </w:r>
      <w:r>
        <w:rPr>
          <w:rFonts w:ascii="Arial"/>
          <w:color w:val="000000"/>
          <w:sz w:val="24"/>
        </w:rPr>
        <w:t>basins</w:t>
      </w:r>
      <w:r>
        <w:rPr>
          <w:rFonts w:ascii="Arial"/>
          <w:color w:val="000000"/>
          <w:sz w:val="24"/>
        </w:rPr>
        <w:t xml:space="preserve"> </w:t>
      </w:r>
      <w:r>
        <w:rPr>
          <w:rFonts w:ascii="Arial"/>
          <w:color w:val="000000"/>
          <w:sz w:val="24"/>
        </w:rPr>
        <w:t>1 and 2 dial</w:t>
      </w:r>
      <w:r>
        <w:rPr>
          <w:rFonts w:ascii="Arial"/>
          <w:color w:val="000000"/>
          <w:sz w:val="24"/>
        </w:rPr>
        <w:t>-</w:t>
      </w:r>
      <w:r>
        <w:rPr>
          <w:rFonts w:ascii="Arial"/>
          <w:color w:val="000000"/>
          <w:sz w:val="24"/>
        </w:rPr>
        <w:t>up/dial</w:t>
      </w:r>
      <w:r>
        <w:rPr>
          <w:rFonts w:ascii="Arial"/>
          <w:color w:val="000000"/>
          <w:sz w:val="24"/>
        </w:rPr>
        <w:t>-</w:t>
      </w:r>
      <w:r>
        <w:rPr>
          <w:rFonts w:ascii="Arial"/>
          <w:color w:val="000000"/>
          <w:sz w:val="24"/>
        </w:rPr>
        <w:t xml:space="preserve">down mechanism, and the wetland outlet (no longer part of the s68 application) </w:t>
      </w:r>
      <w:r>
        <w:rPr>
          <w:rFonts w:ascii="Arial"/>
          <w:color w:val="000000"/>
          <w:sz w:val="24"/>
        </w:rPr>
        <w:t xml:space="preserve">were </w:t>
      </w:r>
      <w:r>
        <w:rPr>
          <w:rFonts w:ascii="Arial"/>
          <w:color w:val="000000"/>
          <w:sz w:val="24"/>
        </w:rPr>
        <w:t xml:space="preserve">all approved under the EPA </w:t>
      </w:r>
      <w:r>
        <w:rPr>
          <w:rFonts w:ascii="Arial"/>
          <w:color w:val="000000"/>
          <w:sz w:val="24"/>
        </w:rPr>
        <w:t xml:space="preserve">Act and the Council imposed condition 58 on </w:t>
      </w:r>
      <w:r>
        <w:rPr>
          <w:rFonts w:ascii="Arial"/>
          <w:color w:val="000000"/>
          <w:sz w:val="24"/>
        </w:rPr>
        <w:t xml:space="preserve">development </w:t>
      </w:r>
      <w:r>
        <w:rPr>
          <w:rFonts w:ascii="Arial"/>
          <w:color w:val="000000"/>
          <w:sz w:val="24"/>
        </w:rPr>
        <w:t xml:space="preserve">consent </w:t>
      </w:r>
      <w:r>
        <w:rPr>
          <w:rFonts w:ascii="Arial"/>
          <w:color w:val="000000"/>
          <w:sz w:val="24"/>
        </w:rPr>
        <w:t xml:space="preserve">DA </w:t>
      </w:r>
      <w:r>
        <w:rPr>
          <w:rFonts w:ascii="Arial"/>
          <w:color w:val="000000"/>
          <w:sz w:val="24"/>
        </w:rPr>
        <w:t xml:space="preserve">2018/51. </w:t>
      </w:r>
    </w:p>
    <w:p>
      <w:pPr>
        <w:pStyle w:val="CaselawNumbered10"/>
        <w:numPr>
          <w:ilvl w:val="0"/>
          <w:numId w:val="75"/>
        </w:numPr>
        <w:spacing w:before="150" w:after="0"/>
        <w:ind w:left="600" w:hanging="600"/>
      </w:pPr>
      <w:r>
        <w:rPr>
          <w:rFonts w:ascii="Arial"/>
          <w:color w:val="000000"/>
          <w:sz w:val="24"/>
        </w:rPr>
        <w:t xml:space="preserve">Bullet point 5 of condition 59 required the WHMMP to be amended so </w:t>
      </w:r>
      <w:r>
        <w:rPr>
          <w:rFonts w:ascii="Arial"/>
          <w:color w:val="000000"/>
          <w:sz w:val="24"/>
        </w:rPr>
        <w:t>that, outside</w:t>
      </w:r>
      <w:r>
        <w:rPr>
          <w:rFonts w:ascii="Arial"/>
          <w:color w:val="000000"/>
          <w:sz w:val="24"/>
        </w:rPr>
        <w:t xml:space="preserve"> </w:t>
      </w:r>
      <w:r>
        <w:rPr>
          <w:rFonts w:ascii="Arial"/>
          <w:color w:val="000000"/>
          <w:sz w:val="24"/>
        </w:rPr>
        <w:t xml:space="preserve">major climatic </w:t>
      </w:r>
      <w:r>
        <w:rPr>
          <w:rFonts w:ascii="Arial"/>
          <w:color w:val="000000"/>
          <w:sz w:val="24"/>
        </w:rPr>
        <w:t>events, if</w:t>
      </w:r>
      <w:r>
        <w:rPr>
          <w:rFonts w:ascii="Arial"/>
          <w:color w:val="000000"/>
          <w:sz w:val="24"/>
        </w:rPr>
        <w:t xml:space="preserve"> </w:t>
      </w:r>
      <w:r>
        <w:rPr>
          <w:rFonts w:ascii="Arial"/>
          <w:color w:val="000000"/>
          <w:sz w:val="24"/>
        </w:rPr>
        <w:t xml:space="preserve">surface water or groundwater levels were outside trigger values corrective actions in the WMAMP and the WHMMP will be activated. </w:t>
      </w:r>
    </w:p>
    <w:p>
      <w:pPr>
        <w:pStyle w:val="CaselawNumbered10"/>
        <w:numPr>
          <w:ilvl w:val="0"/>
          <w:numId w:val="75"/>
        </w:numPr>
        <w:spacing w:before="150" w:after="0"/>
        <w:ind w:left="600" w:hanging="600"/>
      </w:pPr>
      <w:r>
        <w:rPr>
          <w:rFonts w:ascii="Arial"/>
          <w:color w:val="000000"/>
          <w:sz w:val="24"/>
        </w:rPr>
        <w:t xml:space="preserve">Condition 58 then required the preparation </w:t>
      </w:r>
      <w:r>
        <w:rPr>
          <w:rFonts w:ascii="Arial"/>
          <w:color w:val="000000"/>
          <w:sz w:val="24"/>
        </w:rPr>
        <w:t>of a</w:t>
      </w:r>
      <w:r>
        <w:rPr>
          <w:rFonts w:ascii="Arial"/>
          <w:color w:val="000000"/>
          <w:sz w:val="24"/>
        </w:rPr>
        <w:t xml:space="preserve"> </w:t>
      </w:r>
      <w:r>
        <w:rPr>
          <w:rFonts w:ascii="Arial"/>
          <w:color w:val="000000"/>
          <w:sz w:val="24"/>
        </w:rPr>
        <w:t xml:space="preserve">new document, the WMAMP, to monitor the associated hydrology and include a range of remedial actions to address decline of the wetland </w:t>
      </w:r>
      <w:r>
        <w:rPr>
          <w:rFonts w:ascii="Arial"/>
          <w:color w:val="000000"/>
          <w:sz w:val="24"/>
        </w:rPr>
        <w:t xml:space="preserve">and </w:t>
      </w:r>
      <w:r>
        <w:rPr>
          <w:rFonts w:ascii="Arial"/>
          <w:color w:val="000000"/>
          <w:sz w:val="24"/>
        </w:rPr>
        <w:t xml:space="preserve">implement an adaptive management regime which is to be implemented if surface/or groundwater levels change outside of specified trigger levels these corrective actions were to be rolled out in the WHMMP. </w:t>
      </w:r>
    </w:p>
    <w:p>
      <w:pPr>
        <w:pStyle w:val="CaselawNumbered10"/>
        <w:numPr>
          <w:ilvl w:val="0"/>
          <w:numId w:val="75"/>
        </w:numPr>
        <w:spacing w:before="150" w:after="0"/>
        <w:ind w:left="600" w:hanging="600"/>
      </w:pPr>
      <w:r>
        <w:rPr>
          <w:rFonts w:ascii="Arial"/>
          <w:color w:val="000000"/>
          <w:sz w:val="24"/>
        </w:rPr>
        <w:t xml:space="preserve">The Council contends that a number of further contingency measures during the </w:t>
      </w:r>
      <w:r>
        <w:rPr>
          <w:rFonts w:ascii="Arial"/>
          <w:color w:val="000000"/>
          <w:sz w:val="24"/>
        </w:rPr>
        <w:t>“</w:t>
      </w:r>
      <w:r>
        <w:rPr>
          <w:rFonts w:ascii="Arial"/>
          <w:color w:val="000000"/>
          <w:sz w:val="24"/>
        </w:rPr>
        <w:t>on-maintenance phase</w:t>
      </w:r>
      <w:r>
        <w:rPr>
          <w:rFonts w:ascii="Arial"/>
          <w:color w:val="000000"/>
          <w:sz w:val="24"/>
        </w:rPr>
        <w:t>”</w:t>
      </w:r>
      <w:r>
        <w:rPr>
          <w:rFonts w:ascii="Arial"/>
          <w:color w:val="000000"/>
          <w:sz w:val="24"/>
        </w:rPr>
        <w:t xml:space="preserve"> </w:t>
      </w:r>
      <w:r>
        <w:rPr>
          <w:rFonts w:ascii="Arial"/>
          <w:color w:val="000000"/>
          <w:sz w:val="24"/>
        </w:rPr>
        <w:t xml:space="preserve">within the proposed WHMMP have not found </w:t>
      </w:r>
      <w:r>
        <w:rPr>
          <w:rFonts w:ascii="Arial"/>
          <w:color w:val="000000"/>
          <w:sz w:val="24"/>
        </w:rPr>
        <w:t>their</w:t>
      </w:r>
      <w:r>
        <w:rPr>
          <w:rFonts w:ascii="Arial"/>
          <w:color w:val="000000"/>
          <w:sz w:val="24"/>
        </w:rPr>
        <w:t xml:space="preserve"> </w:t>
      </w:r>
      <w:r>
        <w:rPr>
          <w:rFonts w:ascii="Arial"/>
          <w:color w:val="000000"/>
          <w:sz w:val="24"/>
        </w:rPr>
        <w:t xml:space="preserve">way into the WMAMP and there are </w:t>
      </w:r>
      <w:r>
        <w:rPr>
          <w:rFonts w:ascii="Arial"/>
          <w:color w:val="000000"/>
          <w:sz w:val="24"/>
        </w:rPr>
        <w:t>“</w:t>
      </w:r>
      <w:r>
        <w:rPr>
          <w:rFonts w:ascii="Arial"/>
          <w:color w:val="000000"/>
          <w:sz w:val="24"/>
        </w:rPr>
        <w:t>inclusive</w:t>
      </w:r>
      <w:r>
        <w:rPr>
          <w:rFonts w:ascii="Arial"/>
          <w:color w:val="000000"/>
          <w:sz w:val="24"/>
        </w:rPr>
        <w:t xml:space="preserve">” </w:t>
      </w:r>
      <w:r>
        <w:rPr>
          <w:rFonts w:ascii="Arial"/>
          <w:color w:val="000000"/>
          <w:sz w:val="24"/>
        </w:rPr>
        <w:t>measures</w:t>
      </w:r>
      <w:r>
        <w:rPr>
          <w:rFonts w:ascii="Arial"/>
          <w:color w:val="000000"/>
          <w:sz w:val="24"/>
        </w:rPr>
        <w:t xml:space="preserve"> </w:t>
      </w:r>
      <w:r>
        <w:rPr>
          <w:rFonts w:ascii="Arial"/>
          <w:color w:val="000000"/>
          <w:sz w:val="24"/>
        </w:rPr>
        <w:t xml:space="preserve">that are left up to the discretion of the environmental consultant with the specialist wetland ecologist </w:t>
      </w:r>
      <w:r>
        <w:rPr>
          <w:rFonts w:ascii="Arial"/>
          <w:color w:val="000000"/>
          <w:sz w:val="24"/>
        </w:rPr>
        <w:t xml:space="preserve">– </w:t>
      </w:r>
      <w:r>
        <w:rPr>
          <w:rFonts w:ascii="Arial"/>
          <w:color w:val="000000"/>
          <w:sz w:val="24"/>
        </w:rPr>
        <w:t>which are not</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the WMAMP. </w:t>
      </w:r>
      <w:r>
        <w:rPr>
          <w:rFonts w:ascii="Arial"/>
          <w:color w:val="000000"/>
          <w:sz w:val="24"/>
        </w:rPr>
        <w:t xml:space="preserve">While the applicant has amended these documents in Annexures </w:t>
      </w:r>
      <w:r>
        <w:rPr>
          <w:rFonts w:ascii="Arial"/>
          <w:color w:val="000000"/>
          <w:sz w:val="24"/>
        </w:rPr>
        <w:t>B</w:t>
      </w:r>
      <w:r>
        <w:rPr>
          <w:rFonts w:ascii="Arial"/>
          <w:color w:val="000000"/>
          <w:sz w:val="24"/>
        </w:rPr>
        <w:t xml:space="preserve"> </w:t>
      </w:r>
      <w:r>
        <w:rPr>
          <w:rFonts w:ascii="Arial"/>
          <w:color w:val="000000"/>
          <w:sz w:val="24"/>
        </w:rPr>
        <w:t xml:space="preserve">and </w:t>
      </w:r>
      <w:r>
        <w:rPr>
          <w:rFonts w:ascii="Arial"/>
          <w:color w:val="000000"/>
          <w:sz w:val="24"/>
        </w:rPr>
        <w:t>C</w:t>
      </w:r>
      <w:r>
        <w:rPr>
          <w:rFonts w:ascii="Arial"/>
          <w:color w:val="000000"/>
          <w:sz w:val="24"/>
        </w:rPr>
        <w:t xml:space="preserve"> </w:t>
      </w:r>
      <w:r>
        <w:rPr>
          <w:rFonts w:ascii="Arial"/>
          <w:color w:val="000000"/>
          <w:sz w:val="24"/>
        </w:rPr>
        <w:t xml:space="preserve">and submits them as sufficient to found an approval of the s68 applications I have no confidence in understanding the extent of the amendments after the completion of the hearing </w:t>
      </w:r>
      <w:r>
        <w:rPr>
          <w:rFonts w:ascii="Arial"/>
          <w:color w:val="000000"/>
          <w:sz w:val="24"/>
        </w:rPr>
        <w:t xml:space="preserve">– </w:t>
      </w:r>
      <w:r>
        <w:rPr>
          <w:rFonts w:ascii="Arial"/>
          <w:color w:val="000000"/>
          <w:sz w:val="24"/>
        </w:rPr>
        <w:t xml:space="preserve">like the Council I remain concerned about the effectiveness of the mitigation measures </w:t>
      </w:r>
      <w:r>
        <w:rPr>
          <w:rFonts w:ascii="Arial"/>
          <w:color w:val="000000"/>
          <w:sz w:val="24"/>
        </w:rPr>
        <w:t xml:space="preserve">proposed </w:t>
      </w:r>
      <w:r>
        <w:rPr>
          <w:rFonts w:ascii="Arial"/>
          <w:color w:val="000000"/>
          <w:sz w:val="24"/>
        </w:rPr>
        <w:t>therein</w:t>
      </w:r>
      <w:r>
        <w:rPr>
          <w:rFonts w:ascii="Arial"/>
          <w:color w:val="000000"/>
          <w:sz w:val="24"/>
        </w:rPr>
        <w:t xml:space="preserve">. </w:t>
      </w:r>
    </w:p>
    <w:p>
      <w:pPr>
        <w:pStyle w:val="CaselawNumbered10"/>
        <w:numPr>
          <w:ilvl w:val="0"/>
          <w:numId w:val="75"/>
        </w:numPr>
        <w:spacing w:before="150" w:after="0"/>
        <w:ind w:left="600" w:hanging="600"/>
      </w:pPr>
      <w:r>
        <w:rPr>
          <w:rFonts w:ascii="Arial"/>
          <w:color w:val="000000"/>
          <w:sz w:val="24"/>
        </w:rPr>
        <w:t xml:space="preserve">The Council </w:t>
      </w:r>
      <w:r>
        <w:rPr>
          <w:rFonts w:ascii="Arial"/>
          <w:color w:val="000000"/>
          <w:sz w:val="24"/>
        </w:rPr>
        <w:t xml:space="preserve">embraces the concerns expressed by Mr Thomas about the </w:t>
      </w:r>
      <w:r>
        <w:rPr>
          <w:rFonts w:ascii="Arial"/>
          <w:color w:val="000000"/>
          <w:sz w:val="24"/>
        </w:rPr>
        <w:t xml:space="preserve">capacity of the measures proposed in the </w:t>
      </w:r>
      <w:r>
        <w:rPr>
          <w:rFonts w:ascii="Arial"/>
          <w:color w:val="000000"/>
          <w:sz w:val="24"/>
        </w:rPr>
        <w:t>plans</w:t>
      </w:r>
      <w:r>
        <w:rPr>
          <w:rFonts w:ascii="Arial"/>
          <w:color w:val="000000"/>
          <w:sz w:val="24"/>
        </w:rPr>
        <w:t xml:space="preserve"> </w:t>
      </w:r>
      <w:r>
        <w:rPr>
          <w:rFonts w:ascii="Arial"/>
          <w:color w:val="000000"/>
          <w:sz w:val="24"/>
        </w:rPr>
        <w:t>(</w:t>
      </w:r>
      <w:r>
        <w:rPr>
          <w:rFonts w:ascii="Arial"/>
          <w:color w:val="000000"/>
          <w:sz w:val="24"/>
        </w:rPr>
        <w:t>referred to as th</w:t>
      </w:r>
      <w:r>
        <w:rPr>
          <w:rFonts w:ascii="Arial"/>
          <w:color w:val="000000"/>
          <w:sz w:val="24"/>
        </w:rPr>
        <w:t>e</w:t>
      </w:r>
      <w:r>
        <w:rPr>
          <w:rFonts w:ascii="Arial"/>
          <w:color w:val="000000"/>
          <w:sz w:val="24"/>
        </w:rPr>
        <w:t xml:space="preserve"> </w:t>
      </w:r>
      <w:r>
        <w:rPr>
          <w:rFonts w:ascii="Arial"/>
          <w:color w:val="000000"/>
          <w:sz w:val="24"/>
        </w:rPr>
        <w:t xml:space="preserve">CC </w:t>
      </w:r>
      <w:r>
        <w:rPr>
          <w:rFonts w:ascii="Arial"/>
          <w:color w:val="000000"/>
          <w:sz w:val="24"/>
        </w:rPr>
        <w:t>drawing</w:t>
      </w:r>
      <w:r>
        <w:rPr>
          <w:rFonts w:ascii="Arial"/>
          <w:color w:val="000000"/>
          <w:sz w:val="24"/>
        </w:rPr>
        <w:t>s</w:t>
      </w:r>
      <w:r>
        <w:rPr>
          <w:rFonts w:ascii="Arial"/>
          <w:color w:val="000000"/>
          <w:sz w:val="24"/>
        </w:rPr>
        <w:t xml:space="preserve">) to mitigate </w:t>
      </w:r>
      <w:r>
        <w:rPr>
          <w:rFonts w:ascii="Arial"/>
          <w:color w:val="000000"/>
          <w:sz w:val="24"/>
        </w:rPr>
        <w:t>against</w:t>
      </w:r>
      <w:r>
        <w:rPr>
          <w:rFonts w:ascii="Arial"/>
          <w:color w:val="000000"/>
          <w:sz w:val="24"/>
        </w:rPr>
        <w:t xml:space="preserve"> </w:t>
      </w:r>
      <w:r>
        <w:rPr>
          <w:rFonts w:ascii="Arial"/>
          <w:color w:val="000000"/>
          <w:sz w:val="24"/>
        </w:rPr>
        <w:t xml:space="preserve">the lowering of the groundwater levels in the </w:t>
      </w:r>
      <w:r>
        <w:rPr>
          <w:rFonts w:ascii="Arial"/>
          <w:color w:val="000000"/>
          <w:sz w:val="24"/>
        </w:rPr>
        <w:t xml:space="preserve">freshwater </w:t>
      </w:r>
      <w:r>
        <w:rPr>
          <w:rFonts w:ascii="Arial"/>
          <w:color w:val="000000"/>
          <w:sz w:val="24"/>
        </w:rPr>
        <w:t xml:space="preserve">wetland as a consequence of the </w:t>
      </w:r>
      <w:r>
        <w:rPr>
          <w:rFonts w:ascii="Arial"/>
          <w:color w:val="000000"/>
          <w:sz w:val="24"/>
        </w:rPr>
        <w:t>development</w:t>
      </w:r>
      <w:r>
        <w:rPr>
          <w:rFonts w:ascii="Arial"/>
          <w:color w:val="000000"/>
          <w:sz w:val="24"/>
        </w:rPr>
        <w:t>. In particular</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“95.</w:t>
      </w:r>
      <w:r>
        <w:rPr>
          <w:rFonts w:ascii="Arial"/>
          <w:color w:val="000000"/>
          <w:sz w:val="22"/>
        </w:rPr>
        <w:t>   </w:t>
      </w:r>
      <w:r>
        <w:rPr>
          <w:rFonts w:ascii="Arial"/>
          <w:color w:val="000000"/>
          <w:sz w:val="22"/>
        </w:rPr>
        <w:t>…</w:t>
      </w:r>
      <w:r>
        <w:rPr>
          <w:rFonts w:ascii="Arial"/>
          <w:color w:val="000000"/>
          <w:sz w:val="22"/>
        </w:rPr>
        <w:t xml:space="preserve"> </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 xml:space="preserve">it is unclear how the dial up / dial down system can increase or decrease flows to the wetland by 20% ; </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in respect of the infiltration trench, there is no detail indicating what proportion of the existing runoff from the undeveloped catchment upslope of this trench will be collected by the trench and directed to the north-eastern corner of the wetland, including whether this runoff will be sufficient to mimic the existing pre-development hydrology ; and</w:t>
      </w:r>
    </w:p>
    <w:p>
      <w:pPr>
        <w:pStyle w:val="CaselawQuote0"/>
        <w:spacing w:before="150" w:after="150"/>
        <w:ind w:left="2100"/>
        <w:jc w:val="left"/>
      </w:pPr>
      <w:r>
        <w:rPr>
          <w:rFonts w:ascii="Arial"/>
          <w:color w:val="000000"/>
          <w:sz w:val="22"/>
        </w:rPr>
        <w:t>(c)</w:t>
      </w:r>
      <w:r>
        <w:rPr>
          <w:rFonts w:ascii="Arial"/>
          <w:color w:val="000000"/>
          <w:sz w:val="22"/>
        </w:rPr>
        <w:t>   </w:t>
      </w:r>
      <w:r>
        <w:rPr>
          <w:rFonts w:ascii="Arial"/>
          <w:color w:val="000000"/>
          <w:sz w:val="22"/>
        </w:rPr>
        <w:t xml:space="preserve">it is unclear from where water would be sourced, where water is to be directed to the wetland via the swale bypass control structure, as the trigger for the bypass swale would be available water in Bioretention Basin 2 being exhausted via the exfiltration process , </w:t>
      </w:r>
    </w:p>
    <w:p>
      <w:pPr>
        <w:pStyle w:val="CaselawQuote"/>
        <w:spacing w:before="150" w:after="150"/>
        <w:ind w:left="1350"/>
        <w:jc w:val="left"/>
      </w:pPr>
      <w:r>
        <w:rPr>
          <w:rFonts w:ascii="Arial"/>
          <w:color w:val="000000"/>
          <w:sz w:val="22"/>
        </w:rPr>
        <w:t xml:space="preserve">and Mr Thomas had other concerns about the applications before the Court in that: </w:t>
      </w:r>
    </w:p>
    <w:p>
      <w:pPr>
        <w:pStyle w:val="CaselawQuote0"/>
        <w:spacing w:before="150" w:after="150"/>
        <w:ind w:left="2100"/>
        <w:jc w:val="left"/>
      </w:pPr>
      <w:r>
        <w:rPr>
          <w:rFonts w:ascii="Arial"/>
          <w:color w:val="000000"/>
          <w:sz w:val="22"/>
        </w:rPr>
        <w:t>(d)</w:t>
      </w:r>
      <w:r>
        <w:rPr>
          <w:rFonts w:ascii="Arial"/>
          <w:color w:val="000000"/>
          <w:sz w:val="22"/>
        </w:rPr>
        <w:t>   </w:t>
      </w:r>
      <w:r>
        <w:rPr>
          <w:rFonts w:ascii="Arial"/>
          <w:color w:val="000000"/>
          <w:sz w:val="22"/>
        </w:rPr>
        <w:t xml:space="preserve">contingency solutions during the construction phase do not provide sufficient certainty that degradation of the wetland will be prevented, particularly during dry periods where sediment basin water level is low with high sediment load ; </w:t>
      </w:r>
    </w:p>
    <w:p>
      <w:pPr>
        <w:pStyle w:val="CaselawQuote0"/>
        <w:spacing w:before="150" w:after="150"/>
        <w:ind w:left="2100"/>
        <w:jc w:val="left"/>
      </w:pPr>
      <w:r>
        <w:rPr>
          <w:rFonts w:ascii="Arial"/>
          <w:color w:val="000000"/>
          <w:sz w:val="22"/>
        </w:rPr>
        <w:t>(e)</w:t>
      </w:r>
      <w:r>
        <w:rPr>
          <w:rFonts w:ascii="Arial"/>
          <w:color w:val="000000"/>
          <w:sz w:val="22"/>
        </w:rPr>
        <w:t>   </w:t>
      </w:r>
      <w:r>
        <w:rPr>
          <w:rFonts w:ascii="Arial"/>
          <w:color w:val="000000"/>
          <w:sz w:val="22"/>
        </w:rPr>
        <w:t>the is uncertainty around the treatment of the seepage area shown on drawing CC-4004 . Council submits that the real issue here is that the boggy ground of the seepage area is a known issue and maintaining the hydrological conditions that the boggy grounds contributes to the wetland has not been addressed properly; and</w:t>
      </w:r>
    </w:p>
    <w:p>
      <w:pPr>
        <w:pStyle w:val="CaselawQuote0"/>
        <w:spacing w:before="150" w:after="150"/>
        <w:ind w:left="2100"/>
        <w:jc w:val="left"/>
      </w:pPr>
      <w:r>
        <w:rPr>
          <w:rFonts w:ascii="Arial"/>
          <w:color w:val="000000"/>
          <w:sz w:val="22"/>
        </w:rPr>
        <w:t>(f)</w:t>
      </w:r>
      <w:r>
        <w:rPr>
          <w:rFonts w:ascii="Arial"/>
          <w:color w:val="000000"/>
          <w:sz w:val="22"/>
        </w:rPr>
        <w:t>   </w:t>
      </w:r>
      <w:r>
        <w:rPr>
          <w:rFonts w:ascii="Arial"/>
          <w:color w:val="000000"/>
          <w:sz w:val="22"/>
        </w:rPr>
        <w:t>a number of other specific concerns that are identified in the table below.”</w:t>
      </w:r>
    </w:p>
    <w:p>
      <w:pPr>
        <w:pStyle w:val="CaselawQuote"/>
        <w:spacing w:before="150" w:after="150"/>
        <w:ind w:left="1350"/>
        <w:jc w:val="left"/>
      </w:pPr>
      <w:r>
        <w:rPr>
          <w:rFonts w:ascii="Arial"/>
          <w:color w:val="000000"/>
          <w:sz w:val="22"/>
        </w:rPr>
        <w:t xml:space="preserve">(CCWS at </w:t>
      </w:r>
      <w:r>
        <w:rPr>
          <w:rFonts w:ascii="Arial"/>
          <w:color w:val="000000"/>
          <w:sz w:val="22"/>
        </w:rPr>
        <w:t>par 95)</w:t>
      </w:r>
    </w:p>
    <w:p>
      <w:pPr>
        <w:pStyle w:val="CaselawNumbered10"/>
        <w:numPr>
          <w:ilvl w:val="0"/>
          <w:numId w:val="76"/>
        </w:numPr>
        <w:spacing w:before="150" w:after="0"/>
        <w:ind w:left="600" w:hanging="600"/>
      </w:pPr>
      <w:r>
        <w:rPr>
          <w:rFonts w:ascii="Arial"/>
          <w:color w:val="000000"/>
          <w:sz w:val="24"/>
        </w:rPr>
        <w:t xml:space="preserve">Mr Thomas and Mr Gaskell </w:t>
      </w:r>
      <w:r>
        <w:rPr>
          <w:rFonts w:ascii="Arial"/>
          <w:color w:val="000000"/>
          <w:sz w:val="24"/>
        </w:rPr>
        <w:t xml:space="preserve">in their expert assessment gave evidence that </w:t>
      </w:r>
      <w:r>
        <w:rPr>
          <w:rFonts w:ascii="Arial"/>
          <w:color w:val="000000"/>
          <w:sz w:val="24"/>
        </w:rPr>
        <w:t>the swale bypass device will at best (if Mr Soo</w:t>
      </w:r>
      <w:r>
        <w:rPr>
          <w:rFonts w:ascii="Arial"/>
          <w:color w:val="000000"/>
          <w:sz w:val="24"/>
        </w:rPr>
        <w:t>’</w:t>
      </w:r>
      <w:r>
        <w:rPr>
          <w:rFonts w:ascii="Arial"/>
          <w:color w:val="000000"/>
          <w:sz w:val="24"/>
        </w:rPr>
        <w:t xml:space="preserve">s sketch is </w:t>
      </w:r>
      <w:r>
        <w:rPr>
          <w:rFonts w:ascii="Arial"/>
          <w:color w:val="000000"/>
          <w:sz w:val="24"/>
        </w:rPr>
        <w:t>adopted)</w:t>
      </w:r>
      <w:r>
        <w:rPr>
          <w:rFonts w:ascii="Arial"/>
          <w:color w:val="000000"/>
          <w:sz w:val="24"/>
        </w:rPr>
        <w:t xml:space="preserve"> </w:t>
      </w:r>
      <w:r>
        <w:rPr>
          <w:rFonts w:ascii="Arial"/>
          <w:color w:val="000000"/>
          <w:sz w:val="24"/>
        </w:rPr>
        <w:t xml:space="preserve">increase surface water flows to 40% of the </w:t>
      </w:r>
      <w:r>
        <w:rPr>
          <w:rFonts w:ascii="Arial"/>
          <w:color w:val="000000"/>
          <w:sz w:val="24"/>
        </w:rPr>
        <w:t>f</w:t>
      </w:r>
      <w:r>
        <w:rPr>
          <w:rFonts w:ascii="Arial"/>
          <w:color w:val="000000"/>
          <w:sz w:val="24"/>
        </w:rPr>
        <w:t xml:space="preserve">reshwater wetland. Additionally, Mr Gaskell gave evidence that he was concerned that if the development dries out the </w:t>
      </w:r>
      <w:r>
        <w:rPr>
          <w:rFonts w:ascii="Arial"/>
          <w:color w:val="000000"/>
          <w:sz w:val="24"/>
        </w:rPr>
        <w:t xml:space="preserve">freshwater </w:t>
      </w:r>
      <w:r>
        <w:rPr>
          <w:rFonts w:ascii="Arial"/>
          <w:color w:val="000000"/>
          <w:sz w:val="24"/>
        </w:rPr>
        <w:t>wetland</w:t>
      </w:r>
      <w:r>
        <w:rPr>
          <w:rFonts w:ascii="Arial"/>
          <w:color w:val="000000"/>
          <w:sz w:val="24"/>
        </w:rPr>
        <w:t>,</w:t>
      </w:r>
      <w:r>
        <w:rPr>
          <w:rFonts w:ascii="Arial"/>
          <w:color w:val="000000"/>
          <w:sz w:val="24"/>
        </w:rPr>
        <w:t xml:space="preserve"> </w:t>
      </w:r>
      <w:r>
        <w:rPr>
          <w:rFonts w:ascii="Arial"/>
          <w:color w:val="000000"/>
          <w:sz w:val="24"/>
        </w:rPr>
        <w:t xml:space="preserve">it will </w:t>
      </w:r>
      <w:r>
        <w:rPr>
          <w:rFonts w:ascii="Arial"/>
          <w:color w:val="000000"/>
          <w:sz w:val="24"/>
        </w:rPr>
        <w:t xml:space="preserve">allow </w:t>
      </w:r>
      <w:r>
        <w:rPr>
          <w:rFonts w:ascii="Arial"/>
          <w:color w:val="000000"/>
          <w:sz w:val="24"/>
        </w:rPr>
        <w:t xml:space="preserve">exotic weeds and not wetland species to invade the </w:t>
      </w:r>
      <w:r>
        <w:rPr>
          <w:rFonts w:ascii="Arial"/>
          <w:color w:val="000000"/>
          <w:sz w:val="24"/>
        </w:rPr>
        <w:t xml:space="preserve">freshwater </w:t>
      </w:r>
      <w:r>
        <w:rPr>
          <w:rFonts w:ascii="Arial"/>
          <w:color w:val="000000"/>
          <w:sz w:val="24"/>
        </w:rPr>
        <w:t xml:space="preserve">wetland </w:t>
      </w:r>
      <w:r>
        <w:rPr>
          <w:rFonts w:ascii="Arial"/>
          <w:color w:val="000000"/>
          <w:sz w:val="24"/>
        </w:rPr>
        <w:t>(</w:t>
      </w:r>
      <w:r>
        <w:rPr>
          <w:rFonts w:ascii="Arial"/>
          <w:color w:val="000000"/>
          <w:sz w:val="24"/>
        </w:rPr>
        <w:t xml:space="preserve">Ecology </w:t>
      </w:r>
      <w:r>
        <w:rPr>
          <w:rFonts w:ascii="Arial"/>
          <w:color w:val="000000"/>
          <w:sz w:val="24"/>
        </w:rPr>
        <w:t>JER</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7). In concurrent evidence</w:t>
      </w:r>
      <w:r>
        <w:rPr>
          <w:rFonts w:ascii="Arial"/>
          <w:color w:val="000000"/>
          <w:sz w:val="24"/>
        </w:rPr>
        <w:t>,</w:t>
      </w:r>
      <w:r>
        <w:rPr>
          <w:rFonts w:ascii="Arial"/>
          <w:color w:val="000000"/>
          <w:sz w:val="24"/>
        </w:rPr>
        <w:t xml:space="preserve"> </w:t>
      </w:r>
      <w:r>
        <w:rPr>
          <w:rFonts w:ascii="Arial"/>
          <w:color w:val="000000"/>
          <w:sz w:val="24"/>
        </w:rPr>
        <w:t>Mr Soo accepted that water going into the</w:t>
      </w:r>
      <w:r>
        <w:rPr>
          <w:rFonts w:ascii="Arial"/>
          <w:color w:val="000000"/>
          <w:sz w:val="24"/>
        </w:rPr>
        <w:t xml:space="preserve"> </w:t>
      </w:r>
      <w:r>
        <w:rPr>
          <w:rFonts w:ascii="Arial"/>
          <w:color w:val="000000"/>
          <w:sz w:val="24"/>
        </w:rPr>
        <w:t>freshwater</w:t>
      </w:r>
      <w:r>
        <w:rPr>
          <w:rFonts w:ascii="Arial"/>
          <w:color w:val="000000"/>
          <w:sz w:val="24"/>
        </w:rPr>
        <w:t xml:space="preserve"> </w:t>
      </w:r>
      <w:r>
        <w:rPr>
          <w:rFonts w:ascii="Arial"/>
          <w:color w:val="000000"/>
          <w:sz w:val="24"/>
        </w:rPr>
        <w:t xml:space="preserve">wetland from the swale bypass control device will run downhill and into the culvert in the </w:t>
      </w:r>
      <w:r>
        <w:rPr>
          <w:rFonts w:ascii="Arial"/>
          <w:color w:val="000000"/>
          <w:sz w:val="24"/>
        </w:rPr>
        <w:t xml:space="preserve">freshwater </w:t>
      </w:r>
      <w:r>
        <w:rPr>
          <w:rFonts w:ascii="Arial"/>
          <w:color w:val="000000"/>
          <w:sz w:val="24"/>
        </w:rPr>
        <w:t>wetland (</w:t>
      </w:r>
      <w:r>
        <w:rPr>
          <w:rFonts w:ascii="Arial"/>
          <w:color w:val="000000"/>
          <w:sz w:val="24"/>
        </w:rPr>
        <w:t>Tcpt, 5 December 2023, p 131(15-16))</w:t>
      </w:r>
      <w:r>
        <w:rPr>
          <w:rFonts w:ascii="Arial"/>
          <w:color w:val="000000"/>
          <w:sz w:val="24"/>
        </w:rPr>
        <w:t xml:space="preserve">. Mr Soo </w:t>
      </w:r>
      <w:r>
        <w:rPr>
          <w:rFonts w:ascii="Arial"/>
          <w:color w:val="000000"/>
          <w:sz w:val="24"/>
        </w:rPr>
        <w:t xml:space="preserve">also </w:t>
      </w:r>
      <w:r>
        <w:rPr>
          <w:rFonts w:ascii="Arial"/>
          <w:color w:val="000000"/>
          <w:sz w:val="24"/>
        </w:rPr>
        <w:t xml:space="preserve">agreed with the </w:t>
      </w:r>
      <w:r>
        <w:rPr>
          <w:rFonts w:ascii="Arial"/>
          <w:color w:val="000000"/>
          <w:sz w:val="24"/>
        </w:rPr>
        <w:t xml:space="preserve">proposition that </w:t>
      </w:r>
      <w:r>
        <w:rPr>
          <w:rFonts w:ascii="Arial"/>
          <w:color w:val="000000"/>
          <w:sz w:val="24"/>
        </w:rPr>
        <w:t>“</w:t>
      </w:r>
      <w:r>
        <w:rPr>
          <w:rFonts w:ascii="Arial"/>
          <w:color w:val="000000"/>
          <w:sz w:val="24"/>
        </w:rPr>
        <w:t>the</w:t>
      </w:r>
      <w:r>
        <w:rPr>
          <w:rFonts w:ascii="Arial"/>
          <w:color w:val="000000"/>
          <w:sz w:val="24"/>
        </w:rPr>
        <w:t xml:space="preserve"> </w:t>
      </w:r>
      <w:r>
        <w:rPr>
          <w:rFonts w:ascii="Arial"/>
          <w:color w:val="000000"/>
          <w:sz w:val="24"/>
        </w:rPr>
        <w:t>design isn</w:t>
      </w:r>
      <w:r>
        <w:rPr>
          <w:rFonts w:ascii="Arial"/>
          <w:color w:val="000000"/>
          <w:sz w:val="24"/>
        </w:rPr>
        <w:t>’</w:t>
      </w:r>
      <w:r>
        <w:rPr>
          <w:rFonts w:ascii="Arial"/>
          <w:color w:val="000000"/>
          <w:sz w:val="24"/>
        </w:rPr>
        <w:t>t effective</w:t>
      </w:r>
      <w:r>
        <w:rPr>
          <w:rFonts w:ascii="Arial"/>
          <w:color w:val="000000"/>
          <w:sz w:val="24"/>
        </w:rPr>
        <w:t>…</w:t>
      </w:r>
      <w:r>
        <w:rPr>
          <w:rFonts w:ascii="Arial"/>
          <w:color w:val="000000"/>
          <w:sz w:val="24"/>
        </w:rPr>
        <w:t>, to achieve any sort of hydration to the wetland if the bypass needs to be used</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cpt, 5 December 20</w:t>
      </w:r>
      <w:r>
        <w:rPr>
          <w:rFonts w:ascii="Arial"/>
          <w:color w:val="000000"/>
          <w:sz w:val="24"/>
        </w:rPr>
        <w:t>23</w:t>
      </w:r>
      <w:r>
        <w:rPr>
          <w:rFonts w:ascii="Arial"/>
          <w:color w:val="000000"/>
          <w:sz w:val="24"/>
        </w:rPr>
        <w:t>,</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131</w:t>
      </w:r>
      <w:r>
        <w:rPr>
          <w:rFonts w:ascii="Arial"/>
          <w:color w:val="000000"/>
          <w:sz w:val="24"/>
        </w:rPr>
        <w:t>(</w:t>
      </w:r>
      <w:r>
        <w:rPr>
          <w:rFonts w:ascii="Arial"/>
          <w:color w:val="000000"/>
          <w:sz w:val="24"/>
        </w:rPr>
        <w:t>18-27</w:t>
      </w:r>
      <w:r>
        <w:rPr>
          <w:rFonts w:ascii="Arial"/>
          <w:color w:val="000000"/>
          <w:sz w:val="24"/>
        </w:rPr>
        <w:t>))</w:t>
      </w:r>
      <w:r>
        <w:rPr>
          <w:rFonts w:ascii="Arial"/>
          <w:color w:val="000000"/>
          <w:sz w:val="24"/>
        </w:rPr>
        <w:t>.</w:t>
      </w:r>
    </w:p>
    <w:p>
      <w:pPr>
        <w:pStyle w:val="CaselawNumbered10"/>
        <w:numPr>
          <w:ilvl w:val="0"/>
          <w:numId w:val="76"/>
        </w:numPr>
        <w:spacing w:before="150" w:after="0"/>
        <w:ind w:left="600" w:hanging="600"/>
      </w:pPr>
      <w:r>
        <w:rPr>
          <w:rFonts w:ascii="Arial"/>
          <w:color w:val="000000"/>
          <w:sz w:val="24"/>
        </w:rPr>
        <w:t xml:space="preserve">Ms Holton </w:t>
      </w:r>
      <w:r>
        <w:rPr>
          <w:rFonts w:ascii="Arial"/>
          <w:color w:val="000000"/>
          <w:sz w:val="24"/>
        </w:rPr>
        <w:t xml:space="preserve">agreed </w:t>
      </w:r>
      <w:r>
        <w:rPr>
          <w:rFonts w:ascii="Arial"/>
          <w:color w:val="000000"/>
          <w:sz w:val="24"/>
        </w:rPr>
        <w:t xml:space="preserve">that due to the </w:t>
      </w:r>
      <w:r>
        <w:rPr>
          <w:rFonts w:ascii="Arial"/>
          <w:color w:val="000000"/>
          <w:sz w:val="24"/>
        </w:rPr>
        <w:t>large</w:t>
      </w:r>
      <w:r>
        <w:rPr>
          <w:rFonts w:ascii="Arial"/>
          <w:color w:val="000000"/>
          <w:sz w:val="24"/>
        </w:rPr>
        <w:t xml:space="preserve"> </w:t>
      </w:r>
      <w:r>
        <w:rPr>
          <w:rFonts w:ascii="Arial"/>
          <w:color w:val="000000"/>
          <w:sz w:val="24"/>
        </w:rPr>
        <w:t xml:space="preserve">volume of water involved in the bypass swale control device </w:t>
      </w:r>
      <w:r>
        <w:rPr>
          <w:rFonts w:ascii="Arial"/>
          <w:color w:val="000000"/>
          <w:sz w:val="24"/>
        </w:rPr>
        <w:t xml:space="preserve">when in use there would be some ponding in the </w:t>
      </w:r>
      <w:r>
        <w:rPr>
          <w:rFonts w:ascii="Arial"/>
          <w:color w:val="000000"/>
          <w:sz w:val="24"/>
        </w:rPr>
        <w:t xml:space="preserve">freshwater </w:t>
      </w:r>
      <w:r>
        <w:rPr>
          <w:rFonts w:ascii="Arial"/>
          <w:color w:val="000000"/>
          <w:sz w:val="24"/>
        </w:rPr>
        <w:t>wetland</w:t>
      </w:r>
      <w:r>
        <w:rPr>
          <w:rFonts w:ascii="Arial"/>
          <w:color w:val="000000"/>
          <w:sz w:val="24"/>
        </w:rPr>
        <w:t xml:space="preserve">. She also </w:t>
      </w:r>
      <w:r>
        <w:rPr>
          <w:rFonts w:ascii="Arial"/>
          <w:color w:val="000000"/>
          <w:sz w:val="24"/>
        </w:rPr>
        <w:t xml:space="preserve">accepted that when there is not such a flood event this swale system is not going to help get hydrology back within the trigger range because it simply cannot be </w:t>
      </w:r>
      <w:r>
        <w:rPr>
          <w:rFonts w:ascii="Arial"/>
          <w:color w:val="000000"/>
          <w:sz w:val="24"/>
        </w:rPr>
        <w:t>used</w:t>
      </w:r>
      <w:r>
        <w:rPr>
          <w:rFonts w:ascii="Arial"/>
          <w:color w:val="000000"/>
          <w:sz w:val="24"/>
        </w:rPr>
        <w:t xml:space="preserve"> </w:t>
      </w:r>
      <w:r>
        <w:rPr>
          <w:rFonts w:ascii="Arial"/>
          <w:color w:val="000000"/>
          <w:sz w:val="24"/>
        </w:rPr>
        <w:t>(T</w:t>
      </w:r>
      <w:r>
        <w:rPr>
          <w:rFonts w:ascii="Arial"/>
          <w:color w:val="000000"/>
          <w:sz w:val="24"/>
        </w:rPr>
        <w:t xml:space="preserve">cpt, 7 December 2023, </w:t>
      </w:r>
      <w:r>
        <w:rPr>
          <w:rFonts w:ascii="Arial"/>
          <w:color w:val="000000"/>
          <w:sz w:val="24"/>
        </w:rPr>
        <w:t>p</w:t>
      </w:r>
      <w:r>
        <w:rPr>
          <w:rFonts w:ascii="Arial"/>
          <w:color w:val="000000"/>
          <w:sz w:val="24"/>
        </w:rPr>
        <w:t xml:space="preserve"> </w:t>
      </w:r>
      <w:r>
        <w:rPr>
          <w:rFonts w:ascii="Arial"/>
          <w:color w:val="000000"/>
          <w:sz w:val="24"/>
        </w:rPr>
        <w:t>306</w:t>
      </w:r>
      <w:r>
        <w:rPr>
          <w:rFonts w:ascii="Arial"/>
          <w:color w:val="000000"/>
          <w:sz w:val="24"/>
        </w:rPr>
        <w:t>(</w:t>
      </w:r>
      <w:r>
        <w:rPr>
          <w:rFonts w:ascii="Arial"/>
          <w:color w:val="000000"/>
          <w:sz w:val="24"/>
        </w:rPr>
        <w:t>10-15 and 22</w:t>
      </w:r>
      <w:r>
        <w:rPr>
          <w:rFonts w:ascii="Arial"/>
          <w:color w:val="000000"/>
          <w:sz w:val="24"/>
        </w:rPr>
        <w:t>-</w:t>
      </w:r>
      <w:r>
        <w:rPr>
          <w:rFonts w:ascii="Arial"/>
          <w:color w:val="000000"/>
          <w:sz w:val="24"/>
        </w:rPr>
        <w:t>26</w:t>
      </w:r>
      <w:r>
        <w:rPr>
          <w:rFonts w:ascii="Arial"/>
          <w:color w:val="000000"/>
          <w:sz w:val="24"/>
        </w:rPr>
        <w:t>)</w:t>
      </w:r>
      <w:r>
        <w:rPr>
          <w:rFonts w:ascii="Arial"/>
          <w:color w:val="000000"/>
          <w:sz w:val="24"/>
        </w:rPr>
        <w:t>).</w:t>
      </w:r>
    </w:p>
    <w:p>
      <w:pPr>
        <w:pStyle w:val="CaselawNumbered10"/>
        <w:numPr>
          <w:ilvl w:val="0"/>
          <w:numId w:val="76"/>
        </w:numPr>
        <w:spacing w:before="150" w:after="0"/>
        <w:ind w:left="600" w:hanging="600"/>
      </w:pPr>
      <w:r>
        <w:rPr>
          <w:rFonts w:ascii="Arial"/>
          <w:color w:val="000000"/>
          <w:sz w:val="24"/>
        </w:rPr>
        <w:t xml:space="preserve">The </w:t>
      </w:r>
      <w:r>
        <w:rPr>
          <w:rFonts w:ascii="Arial"/>
          <w:color w:val="000000"/>
          <w:sz w:val="24"/>
        </w:rPr>
        <w:t>C</w:t>
      </w:r>
      <w:r>
        <w:rPr>
          <w:rFonts w:ascii="Arial"/>
          <w:color w:val="000000"/>
          <w:sz w:val="24"/>
        </w:rPr>
        <w:t xml:space="preserve">ouncil submits for the above reason the swale bypass control is rarely, if ever, going to be a useful mitigation measure in the ordinary course. </w:t>
      </w:r>
    </w:p>
    <w:p>
      <w:pPr>
        <w:pStyle w:val="CaselawNumbered10"/>
        <w:numPr>
          <w:ilvl w:val="0"/>
          <w:numId w:val="76"/>
        </w:numPr>
        <w:spacing w:before="150" w:after="0"/>
        <w:ind w:left="600" w:hanging="600"/>
      </w:pPr>
      <w:r>
        <w:rPr>
          <w:rFonts w:ascii="Arial"/>
          <w:color w:val="000000"/>
          <w:sz w:val="24"/>
        </w:rPr>
        <w:t xml:space="preserve">The Council also submits </w:t>
      </w:r>
      <w:r>
        <w:rPr>
          <w:rFonts w:ascii="Arial"/>
          <w:color w:val="000000"/>
          <w:sz w:val="24"/>
        </w:rPr>
        <w:t xml:space="preserve">that the design for the </w:t>
      </w:r>
      <w:r>
        <w:rPr>
          <w:rFonts w:ascii="Arial"/>
          <w:color w:val="000000"/>
          <w:sz w:val="24"/>
        </w:rPr>
        <w:t>northeastern</w:t>
      </w:r>
      <w:r>
        <w:rPr>
          <w:rFonts w:ascii="Arial"/>
          <w:color w:val="000000"/>
          <w:sz w:val="24"/>
        </w:rPr>
        <w:t xml:space="preserve"> </w:t>
      </w:r>
      <w:r>
        <w:rPr>
          <w:rFonts w:ascii="Arial"/>
          <w:color w:val="000000"/>
          <w:sz w:val="24"/>
        </w:rPr>
        <w:t>infiltration trench by Mr Soo is purposefully not adjustable</w:t>
      </w:r>
      <w:r>
        <w:rPr>
          <w:rFonts w:ascii="Arial"/>
          <w:color w:val="000000"/>
          <w:sz w:val="24"/>
        </w:rPr>
        <w:t xml:space="preserve">, </w:t>
      </w:r>
      <w:r>
        <w:rPr>
          <w:rFonts w:ascii="Arial"/>
          <w:color w:val="000000"/>
          <w:sz w:val="24"/>
        </w:rPr>
        <w:t>even though</w:t>
      </w:r>
      <w:r>
        <w:rPr>
          <w:rFonts w:ascii="Arial"/>
          <w:color w:val="000000"/>
          <w:sz w:val="24"/>
        </w:rPr>
        <w:t xml:space="preserve"> </w:t>
      </w:r>
      <w:r>
        <w:rPr>
          <w:rFonts w:ascii="Arial"/>
          <w:color w:val="000000"/>
          <w:sz w:val="24"/>
        </w:rPr>
        <w:t xml:space="preserve">it is proposed to be adjustable in the WHMMP </w:t>
      </w:r>
      <w:r>
        <w:rPr>
          <w:rFonts w:ascii="Arial"/>
          <w:color w:val="000000"/>
          <w:sz w:val="24"/>
        </w:rPr>
        <w:t>(Ex</w:t>
      </w:r>
      <w:r>
        <w:rPr>
          <w:rFonts w:ascii="Arial"/>
          <w:color w:val="000000"/>
          <w:sz w:val="24"/>
        </w:rPr>
        <w:t xml:space="preserve"> </w:t>
      </w:r>
      <w:r>
        <w:rPr>
          <w:rFonts w:ascii="Arial"/>
          <w:color w:val="000000"/>
          <w:sz w:val="24"/>
        </w:rPr>
        <w:t>E</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cpt, 7 December 2023,</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288</w:t>
      </w:r>
      <w:r>
        <w:rPr>
          <w:rFonts w:ascii="Arial"/>
          <w:color w:val="000000"/>
          <w:sz w:val="24"/>
        </w:rPr>
        <w:t>(</w:t>
      </w:r>
      <w:r>
        <w:rPr>
          <w:rFonts w:ascii="Arial"/>
          <w:color w:val="000000"/>
          <w:sz w:val="24"/>
        </w:rPr>
        <w:t>1-17)</w:t>
      </w:r>
      <w:r>
        <w:rPr>
          <w:rFonts w:ascii="Arial"/>
          <w:color w:val="000000"/>
          <w:sz w:val="24"/>
        </w:rPr>
        <w:t>)</w:t>
      </w:r>
      <w:r>
        <w:rPr>
          <w:rFonts w:ascii="Arial"/>
          <w:color w:val="000000"/>
          <w:sz w:val="24"/>
        </w:rPr>
        <w:t xml:space="preserve">. </w:t>
      </w:r>
      <w:r>
        <w:rPr>
          <w:rFonts w:ascii="Arial"/>
          <w:color w:val="000000"/>
          <w:sz w:val="24"/>
        </w:rPr>
        <w:t xml:space="preserve">Dr </w:t>
      </w:r>
      <w:r>
        <w:rPr>
          <w:rFonts w:ascii="Arial"/>
          <w:color w:val="000000"/>
          <w:sz w:val="24"/>
        </w:rPr>
        <w:t>Martens accepted</w:t>
      </w:r>
      <w:r>
        <w:rPr>
          <w:rFonts w:ascii="Arial"/>
          <w:color w:val="000000"/>
          <w:sz w:val="24"/>
        </w:rPr>
        <w:t xml:space="preserve"> </w:t>
      </w:r>
      <w:r>
        <w:rPr>
          <w:rFonts w:ascii="Arial"/>
          <w:color w:val="000000"/>
          <w:sz w:val="24"/>
        </w:rPr>
        <w:t xml:space="preserve">that the risk with the </w:t>
      </w:r>
      <w:r>
        <w:rPr>
          <w:rFonts w:ascii="Arial"/>
          <w:color w:val="000000"/>
          <w:sz w:val="24"/>
        </w:rPr>
        <w:t>northeastern</w:t>
      </w:r>
      <w:r>
        <w:rPr>
          <w:rFonts w:ascii="Arial"/>
          <w:color w:val="000000"/>
          <w:sz w:val="24"/>
        </w:rPr>
        <w:t xml:space="preserve"> </w:t>
      </w:r>
      <w:r>
        <w:rPr>
          <w:rFonts w:ascii="Arial"/>
          <w:color w:val="000000"/>
          <w:sz w:val="24"/>
        </w:rPr>
        <w:t xml:space="preserve">infiltration trench </w:t>
      </w:r>
      <w:r>
        <w:rPr>
          <w:rFonts w:ascii="Arial"/>
          <w:color w:val="000000"/>
          <w:sz w:val="24"/>
        </w:rPr>
        <w:t xml:space="preserve">was the </w:t>
      </w:r>
      <w:r>
        <w:rPr>
          <w:rFonts w:ascii="Arial"/>
          <w:color w:val="000000"/>
          <w:sz w:val="24"/>
        </w:rPr>
        <w:t xml:space="preserve">supply </w:t>
      </w:r>
      <w:r>
        <w:rPr>
          <w:rFonts w:ascii="Arial"/>
          <w:color w:val="000000"/>
          <w:sz w:val="24"/>
        </w:rPr>
        <w:t xml:space="preserve">of </w:t>
      </w:r>
      <w:r>
        <w:rPr>
          <w:rFonts w:ascii="Arial"/>
          <w:color w:val="000000"/>
          <w:sz w:val="24"/>
        </w:rPr>
        <w:t xml:space="preserve">too much water not too little </w:t>
      </w:r>
      <w:r>
        <w:rPr>
          <w:rFonts w:ascii="Arial"/>
          <w:color w:val="000000"/>
          <w:sz w:val="24"/>
        </w:rPr>
        <w:t>(T</w:t>
      </w:r>
      <w:r>
        <w:rPr>
          <w:rFonts w:ascii="Arial"/>
          <w:color w:val="000000"/>
          <w:sz w:val="24"/>
        </w:rPr>
        <w:t>cpt,</w:t>
      </w:r>
      <w:r>
        <w:rPr>
          <w:rFonts w:ascii="Arial"/>
          <w:color w:val="000000"/>
          <w:sz w:val="24"/>
        </w:rPr>
        <w:t xml:space="preserve"> </w:t>
      </w:r>
      <w:r>
        <w:rPr>
          <w:rFonts w:ascii="Arial"/>
          <w:color w:val="000000"/>
          <w:sz w:val="24"/>
        </w:rPr>
        <w:t xml:space="preserve">7 December 2023, </w:t>
      </w:r>
      <w:r>
        <w:rPr>
          <w:rFonts w:ascii="Arial"/>
          <w:color w:val="000000"/>
          <w:sz w:val="24"/>
        </w:rPr>
        <w:t>p</w:t>
      </w:r>
      <w:r>
        <w:rPr>
          <w:rFonts w:ascii="Arial"/>
          <w:color w:val="000000"/>
          <w:sz w:val="24"/>
        </w:rPr>
        <w:t xml:space="preserve"> </w:t>
      </w:r>
      <w:r>
        <w:rPr>
          <w:rFonts w:ascii="Arial"/>
          <w:color w:val="000000"/>
          <w:sz w:val="24"/>
        </w:rPr>
        <w:t>292</w:t>
      </w:r>
      <w:r>
        <w:rPr>
          <w:rFonts w:ascii="Arial"/>
          <w:color w:val="000000"/>
          <w:sz w:val="24"/>
        </w:rPr>
        <w:t>(</w:t>
      </w:r>
      <w:r>
        <w:rPr>
          <w:rFonts w:ascii="Arial"/>
          <w:color w:val="000000"/>
          <w:sz w:val="24"/>
        </w:rPr>
        <w:t>34</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293</w:t>
      </w:r>
      <w:r>
        <w:rPr>
          <w:rFonts w:ascii="Arial"/>
          <w:color w:val="000000"/>
          <w:sz w:val="24"/>
        </w:rPr>
        <w:t>(</w:t>
      </w:r>
      <w:r>
        <w:rPr>
          <w:rFonts w:ascii="Arial"/>
          <w:color w:val="000000"/>
          <w:sz w:val="24"/>
        </w:rPr>
        <w:t>1</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w:t>
      </w:r>
      <w:r>
        <w:rPr>
          <w:rFonts w:ascii="Arial"/>
          <w:color w:val="000000"/>
          <w:sz w:val="24"/>
        </w:rPr>
        <w:t xml:space="preserve"> </w:t>
      </w:r>
      <w:r>
        <w:rPr>
          <w:rFonts w:ascii="Arial"/>
          <w:color w:val="000000"/>
          <w:sz w:val="24"/>
        </w:rPr>
        <w:t xml:space="preserve">while a </w:t>
      </w:r>
      <w:r>
        <w:rPr>
          <w:rFonts w:ascii="Arial"/>
          <w:color w:val="000000"/>
          <w:sz w:val="24"/>
        </w:rPr>
        <w:t>removable orifice</w:t>
      </w:r>
      <w:r>
        <w:rPr>
          <w:rFonts w:ascii="Arial"/>
          <w:color w:val="000000"/>
          <w:sz w:val="24"/>
        </w:rPr>
        <w:t xml:space="preserve"> </w:t>
      </w:r>
      <w:r>
        <w:rPr>
          <w:rFonts w:ascii="Arial"/>
          <w:color w:val="000000"/>
          <w:sz w:val="24"/>
        </w:rPr>
        <w:t>plate to adjust the infiltration trench might be included in an existing pit near the trench</w:t>
      </w:r>
      <w:r>
        <w:rPr>
          <w:rFonts w:ascii="Arial"/>
          <w:color w:val="000000"/>
          <w:sz w:val="24"/>
        </w:rPr>
        <w:t>,</w:t>
      </w:r>
      <w:r>
        <w:rPr>
          <w:rFonts w:ascii="Arial"/>
          <w:color w:val="000000"/>
          <w:sz w:val="24"/>
        </w:rPr>
        <w:t xml:space="preserve"> </w:t>
      </w:r>
      <w:r>
        <w:rPr>
          <w:rFonts w:ascii="Arial"/>
          <w:color w:val="000000"/>
          <w:sz w:val="24"/>
        </w:rPr>
        <w:t>there is no design before the Court o</w:t>
      </w:r>
      <w:r>
        <w:rPr>
          <w:rFonts w:ascii="Arial"/>
          <w:color w:val="000000"/>
          <w:sz w:val="24"/>
        </w:rPr>
        <w:t>r</w:t>
      </w:r>
      <w:r>
        <w:rPr>
          <w:rFonts w:ascii="Arial"/>
          <w:color w:val="000000"/>
          <w:sz w:val="24"/>
        </w:rPr>
        <w:t xml:space="preserve"> </w:t>
      </w:r>
      <w:r>
        <w:rPr>
          <w:rFonts w:ascii="Arial"/>
          <w:color w:val="000000"/>
          <w:sz w:val="24"/>
        </w:rPr>
        <w:t>document</w:t>
      </w:r>
      <w:r>
        <w:rPr>
          <w:rFonts w:ascii="Arial"/>
          <w:color w:val="000000"/>
          <w:sz w:val="24"/>
        </w:rPr>
        <w:t>ation</w:t>
      </w:r>
      <w:r>
        <w:rPr>
          <w:rFonts w:ascii="Arial"/>
          <w:color w:val="000000"/>
          <w:sz w:val="24"/>
        </w:rPr>
        <w:t xml:space="preserve"> </w:t>
      </w:r>
      <w:r>
        <w:rPr>
          <w:rFonts w:ascii="Arial"/>
          <w:color w:val="000000"/>
          <w:sz w:val="24"/>
        </w:rPr>
        <w:t>to show how this mechanism will work</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nd it is not within the tables to the WHMMP (</w:t>
      </w:r>
      <w:r>
        <w:rPr>
          <w:rFonts w:ascii="Arial"/>
          <w:color w:val="000000"/>
          <w:sz w:val="24"/>
        </w:rPr>
        <w:t>Tcpt, 7 December 2023,</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288</w:t>
      </w:r>
      <w:r>
        <w:rPr>
          <w:rFonts w:ascii="Arial"/>
          <w:color w:val="000000"/>
          <w:sz w:val="24"/>
        </w:rPr>
        <w:t>(</w:t>
      </w:r>
      <w:r>
        <w:rPr>
          <w:rFonts w:ascii="Arial"/>
          <w:color w:val="000000"/>
          <w:sz w:val="24"/>
        </w:rPr>
        <w:t>35</w:t>
      </w:r>
      <w:r>
        <w:rPr>
          <w:rFonts w:ascii="Arial"/>
          <w:color w:val="000000"/>
          <w:sz w:val="24"/>
        </w:rPr>
        <w:t>)</w:t>
      </w:r>
      <w:r>
        <w:rPr>
          <w:rFonts w:ascii="Arial"/>
          <w:color w:val="000000"/>
          <w:sz w:val="24"/>
        </w:rPr>
        <w:t>, p</w:t>
      </w:r>
      <w:r>
        <w:rPr>
          <w:rFonts w:ascii="Arial"/>
          <w:color w:val="000000"/>
          <w:sz w:val="24"/>
        </w:rPr>
        <w:t xml:space="preserve"> </w:t>
      </w:r>
      <w:r>
        <w:rPr>
          <w:rFonts w:ascii="Arial"/>
          <w:color w:val="000000"/>
          <w:sz w:val="24"/>
        </w:rPr>
        <w:t>289</w:t>
      </w:r>
      <w:r>
        <w:rPr>
          <w:rFonts w:ascii="Arial"/>
          <w:color w:val="000000"/>
          <w:sz w:val="24"/>
        </w:rPr>
        <w:t>(</w:t>
      </w:r>
      <w:r>
        <w:rPr>
          <w:rFonts w:ascii="Arial"/>
          <w:color w:val="000000"/>
          <w:sz w:val="24"/>
        </w:rPr>
        <w:t>24</w:t>
      </w:r>
      <w:r>
        <w:rPr>
          <w:rFonts w:ascii="Arial"/>
          <w:color w:val="000000"/>
          <w:sz w:val="24"/>
        </w:rPr>
        <w:t>)</w:t>
      </w:r>
      <w:r>
        <w:rPr>
          <w:rFonts w:ascii="Arial"/>
          <w:color w:val="000000"/>
          <w:sz w:val="24"/>
        </w:rPr>
        <w:t xml:space="preserve"> </w:t>
      </w:r>
      <w:r>
        <w:rPr>
          <w:rFonts w:ascii="Arial"/>
          <w:color w:val="000000"/>
          <w:sz w:val="24"/>
        </w:rPr>
        <w:t>Ms Holton)</w:t>
      </w:r>
      <w:r>
        <w:rPr>
          <w:rFonts w:ascii="Arial"/>
          <w:color w:val="000000"/>
          <w:sz w:val="24"/>
        </w:rPr>
        <w:t>.</w:t>
      </w:r>
    </w:p>
    <w:p>
      <w:pPr>
        <w:pStyle w:val="CaselawNumbered10"/>
        <w:numPr>
          <w:ilvl w:val="0"/>
          <w:numId w:val="76"/>
        </w:numPr>
        <w:spacing w:before="150" w:after="0"/>
        <w:ind w:left="600" w:hanging="600"/>
      </w:pPr>
      <w:r>
        <w:rPr>
          <w:rFonts w:ascii="Arial"/>
          <w:color w:val="000000"/>
          <w:sz w:val="24"/>
        </w:rPr>
        <w:t xml:space="preserve">The </w:t>
      </w:r>
      <w:r>
        <w:rPr>
          <w:rFonts w:ascii="Arial"/>
          <w:color w:val="000000"/>
          <w:sz w:val="24"/>
        </w:rPr>
        <w:t xml:space="preserve">Council has prepared a </w:t>
      </w:r>
      <w:r>
        <w:rPr>
          <w:rFonts w:ascii="Arial"/>
          <w:color w:val="000000"/>
          <w:sz w:val="24"/>
        </w:rPr>
        <w:t>T</w:t>
      </w:r>
      <w:r>
        <w:rPr>
          <w:rFonts w:ascii="Arial"/>
          <w:color w:val="000000"/>
          <w:sz w:val="24"/>
        </w:rPr>
        <w:t xml:space="preserve">able </w:t>
      </w:r>
      <w:r>
        <w:rPr>
          <w:rFonts w:ascii="Arial"/>
          <w:color w:val="000000"/>
          <w:sz w:val="24"/>
        </w:rPr>
        <w:t xml:space="preserve">at par 121 of the CCWS </w:t>
      </w:r>
      <w:r>
        <w:rPr>
          <w:rFonts w:ascii="Arial"/>
          <w:color w:val="000000"/>
          <w:sz w:val="24"/>
        </w:rPr>
        <w:t>identifying</w:t>
      </w:r>
      <w:r>
        <w:rPr>
          <w:rFonts w:ascii="Arial"/>
          <w:color w:val="000000"/>
          <w:sz w:val="24"/>
        </w:rPr>
        <w:t xml:space="preserve"> </w:t>
      </w:r>
      <w:r>
        <w:rPr>
          <w:rFonts w:ascii="Arial"/>
          <w:color w:val="000000"/>
          <w:sz w:val="24"/>
        </w:rPr>
        <w:t xml:space="preserve">the </w:t>
      </w:r>
      <w:r>
        <w:rPr>
          <w:rFonts w:ascii="Arial"/>
          <w:color w:val="000000"/>
          <w:sz w:val="24"/>
        </w:rPr>
        <w:t xml:space="preserve">unresolved aspects of </w:t>
      </w:r>
      <w:r>
        <w:rPr>
          <w:rFonts w:ascii="Arial"/>
          <w:color w:val="000000"/>
          <w:sz w:val="24"/>
        </w:rPr>
        <w:t>c</w:t>
      </w:r>
      <w:r>
        <w:rPr>
          <w:rFonts w:ascii="Arial"/>
          <w:color w:val="000000"/>
          <w:sz w:val="24"/>
        </w:rPr>
        <w:t>ontention</w:t>
      </w:r>
      <w:r>
        <w:rPr>
          <w:rFonts w:ascii="Arial"/>
          <w:color w:val="000000"/>
          <w:sz w:val="24"/>
        </w:rPr>
        <w:t xml:space="preserve"> </w:t>
      </w:r>
      <w:r>
        <w:rPr>
          <w:rFonts w:ascii="Arial"/>
          <w:color w:val="000000"/>
          <w:sz w:val="24"/>
        </w:rPr>
        <w:t xml:space="preserve">1 by reference to the hydrology and ecology joint reports </w:t>
      </w:r>
      <w:r>
        <w:rPr>
          <w:rFonts w:ascii="Arial"/>
          <w:color w:val="000000"/>
          <w:sz w:val="24"/>
        </w:rPr>
        <w:t>and</w:t>
      </w:r>
      <w:r>
        <w:rPr>
          <w:rFonts w:ascii="Arial"/>
          <w:color w:val="000000"/>
          <w:sz w:val="24"/>
        </w:rPr>
        <w:t xml:space="preserve"> </w:t>
      </w:r>
      <w:r>
        <w:rPr>
          <w:rFonts w:ascii="Arial"/>
          <w:color w:val="000000"/>
          <w:sz w:val="24"/>
        </w:rPr>
        <w:t>the experts</w:t>
      </w:r>
      <w:r>
        <w:rPr>
          <w:rFonts w:ascii="Arial"/>
          <w:color w:val="000000"/>
          <w:sz w:val="24"/>
        </w:rPr>
        <w:t>’</w:t>
      </w:r>
      <w:r>
        <w:rPr>
          <w:rFonts w:ascii="Arial"/>
          <w:color w:val="000000"/>
          <w:sz w:val="24"/>
        </w:rPr>
        <w:t xml:space="preserve"> </w:t>
      </w:r>
      <w:r>
        <w:rPr>
          <w:rFonts w:ascii="Arial"/>
          <w:color w:val="000000"/>
          <w:sz w:val="24"/>
        </w:rPr>
        <w:t>oral</w:t>
      </w:r>
      <w:r>
        <w:rPr>
          <w:rFonts w:ascii="Arial"/>
          <w:color w:val="000000"/>
          <w:sz w:val="24"/>
        </w:rPr>
        <w:t xml:space="preserve"> </w:t>
      </w:r>
      <w:r>
        <w:rPr>
          <w:rFonts w:ascii="Arial"/>
          <w:color w:val="000000"/>
          <w:sz w:val="24"/>
        </w:rPr>
        <w:t>evidence</w:t>
      </w:r>
      <w:r>
        <w:rPr>
          <w:rFonts w:ascii="Arial"/>
          <w:color w:val="000000"/>
          <w:sz w:val="24"/>
        </w:rPr>
        <w:t xml:space="preserve">. </w:t>
      </w:r>
      <w:r>
        <w:rPr>
          <w:rFonts w:ascii="Arial"/>
          <w:color w:val="000000"/>
          <w:sz w:val="24"/>
        </w:rPr>
        <w:t xml:space="preserve">Its </w:t>
      </w:r>
      <w:r>
        <w:rPr>
          <w:rFonts w:ascii="Arial"/>
          <w:color w:val="000000"/>
          <w:sz w:val="24"/>
        </w:rPr>
        <w:t xml:space="preserve">submission in respect of these matters </w:t>
      </w:r>
      <w:r>
        <w:rPr>
          <w:rFonts w:ascii="Arial"/>
          <w:color w:val="000000"/>
          <w:sz w:val="24"/>
        </w:rPr>
        <w:t>is outlined in italics and bolded</w:t>
      </w:r>
      <w:r>
        <w:rPr>
          <w:rFonts w:ascii="Arial"/>
          <w:color w:val="000000"/>
          <w:sz w:val="24"/>
        </w:rPr>
        <w:t>.</w:t>
      </w:r>
      <w:r>
        <w:rPr>
          <w:rFonts w:ascii="Arial"/>
          <w:color w:val="000000"/>
          <w:sz w:val="24"/>
        </w:rPr>
        <w:t xml:space="preserve"> </w:t>
      </w:r>
      <w:r>
        <w:rPr>
          <w:rFonts w:ascii="Arial"/>
          <w:color w:val="000000"/>
          <w:sz w:val="24"/>
        </w:rPr>
        <w:t xml:space="preserve">The submissions also set out in detail </w:t>
      </w:r>
      <w:r>
        <w:rPr>
          <w:rFonts w:ascii="Arial"/>
          <w:color w:val="000000"/>
          <w:sz w:val="24"/>
        </w:rPr>
        <w:t xml:space="preserve">issues </w:t>
      </w:r>
      <w:r>
        <w:rPr>
          <w:rFonts w:ascii="Arial"/>
          <w:color w:val="000000"/>
          <w:sz w:val="24"/>
        </w:rPr>
        <w:t>in respect to the applications</w:t>
      </w:r>
      <w:r>
        <w:rPr>
          <w:rFonts w:ascii="Arial"/>
          <w:color w:val="000000"/>
          <w:sz w:val="24"/>
        </w:rPr>
        <w:t xml:space="preserve">’ </w:t>
      </w:r>
      <w:r>
        <w:rPr>
          <w:rFonts w:ascii="Arial"/>
          <w:color w:val="000000"/>
          <w:sz w:val="24"/>
        </w:rPr>
        <w:t xml:space="preserve">compliance with </w:t>
      </w:r>
      <w:r>
        <w:rPr>
          <w:rFonts w:ascii="Arial"/>
          <w:color w:val="000000"/>
          <w:sz w:val="24"/>
        </w:rPr>
        <w:t xml:space="preserve">the stormwater management standards relevant to conditions 13, 15 and </w:t>
      </w:r>
      <w:r>
        <w:rPr>
          <w:rFonts w:ascii="Arial"/>
          <w:color w:val="000000"/>
          <w:sz w:val="24"/>
        </w:rPr>
        <w:t>21 (CCWS at par</w:t>
      </w:r>
      <w:r>
        <w:rPr>
          <w:rFonts w:ascii="Arial"/>
          <w:color w:val="000000"/>
          <w:sz w:val="24"/>
        </w:rPr>
        <w:t>s</w:t>
      </w:r>
      <w:r>
        <w:rPr>
          <w:rFonts w:ascii="Arial"/>
          <w:color w:val="000000"/>
          <w:sz w:val="24"/>
        </w:rPr>
        <w:t xml:space="preserve"> </w:t>
      </w:r>
      <w:r>
        <w:rPr>
          <w:rFonts w:ascii="Arial"/>
          <w:color w:val="000000"/>
          <w:sz w:val="24"/>
        </w:rPr>
        <w:t>129</w:t>
      </w:r>
      <w:r>
        <w:rPr>
          <w:rFonts w:ascii="Arial"/>
          <w:color w:val="000000"/>
          <w:sz w:val="24"/>
        </w:rPr>
        <w:t>-</w:t>
      </w:r>
      <w:r>
        <w:rPr>
          <w:rFonts w:ascii="Arial"/>
          <w:color w:val="000000"/>
          <w:sz w:val="24"/>
        </w:rPr>
        <w:t xml:space="preserve">145). The submissions also address at </w:t>
      </w:r>
      <w:r>
        <w:rPr>
          <w:rFonts w:ascii="Arial"/>
          <w:color w:val="000000"/>
          <w:sz w:val="24"/>
        </w:rPr>
        <w:t xml:space="preserve">pars </w:t>
      </w:r>
      <w:r>
        <w:rPr>
          <w:rFonts w:ascii="Arial"/>
          <w:color w:val="000000"/>
          <w:sz w:val="24"/>
        </w:rPr>
        <w:t>146</w:t>
      </w:r>
      <w:r>
        <w:rPr>
          <w:rFonts w:ascii="Arial"/>
          <w:color w:val="000000"/>
          <w:sz w:val="24"/>
        </w:rPr>
        <w:t>-</w:t>
      </w:r>
      <w:r>
        <w:rPr>
          <w:rFonts w:ascii="Arial"/>
          <w:color w:val="000000"/>
          <w:sz w:val="24"/>
        </w:rPr>
        <w:t xml:space="preserve">153 the interrelationship between the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 xml:space="preserve"> </w:t>
      </w:r>
      <w:r>
        <w:rPr>
          <w:rFonts w:ascii="Arial"/>
          <w:color w:val="000000"/>
          <w:sz w:val="24"/>
        </w:rPr>
        <w:t xml:space="preserve">in the 17-lot consent with the broader works and </w:t>
      </w:r>
      <w:r>
        <w:rPr>
          <w:rFonts w:ascii="Arial"/>
          <w:color w:val="000000"/>
          <w:sz w:val="24"/>
        </w:rPr>
        <w:t>“</w:t>
      </w:r>
      <w:r>
        <w:rPr>
          <w:rFonts w:ascii="Arial"/>
          <w:color w:val="000000"/>
          <w:sz w:val="24"/>
        </w:rPr>
        <w:t>activities</w:t>
      </w:r>
      <w:r>
        <w:rPr>
          <w:rFonts w:ascii="Arial"/>
          <w:color w:val="000000"/>
          <w:sz w:val="24"/>
        </w:rPr>
        <w:t>”</w:t>
      </w:r>
      <w:r>
        <w:rPr>
          <w:rFonts w:ascii="Arial"/>
          <w:color w:val="000000"/>
          <w:sz w:val="24"/>
        </w:rPr>
        <w:t xml:space="preserve"> </w:t>
      </w:r>
      <w:r>
        <w:rPr>
          <w:rFonts w:ascii="Arial"/>
          <w:color w:val="000000"/>
          <w:sz w:val="24"/>
        </w:rPr>
        <w:t>in the 99-lot consent and the need for a co</w:t>
      </w:r>
      <w:r>
        <w:rPr>
          <w:rFonts w:ascii="Arial"/>
          <w:color w:val="000000"/>
          <w:sz w:val="24"/>
        </w:rPr>
        <w:t>-</w:t>
      </w:r>
      <w:r>
        <w:rPr>
          <w:rFonts w:ascii="Arial"/>
          <w:color w:val="000000"/>
          <w:sz w:val="24"/>
        </w:rPr>
        <w:t xml:space="preserve">ordinated approvals after </w:t>
      </w:r>
      <w:r>
        <w:rPr>
          <w:rFonts w:ascii="Arial"/>
          <w:color w:val="000000"/>
          <w:sz w:val="24"/>
        </w:rPr>
        <w:t xml:space="preserve">the grant of a subdivision certificate for the 99-lot consent </w:t>
      </w:r>
      <w:r>
        <w:rPr>
          <w:rFonts w:ascii="Arial"/>
          <w:color w:val="000000"/>
          <w:sz w:val="24"/>
        </w:rPr>
        <w:t xml:space="preserve">– </w:t>
      </w:r>
      <w:r>
        <w:rPr>
          <w:rFonts w:ascii="Arial"/>
          <w:color w:val="000000"/>
          <w:sz w:val="24"/>
        </w:rPr>
        <w:t xml:space="preserve">which is not part of the current application. </w:t>
      </w:r>
      <w:r>
        <w:rPr>
          <w:rFonts w:ascii="Arial"/>
          <w:color w:val="000000"/>
          <w:sz w:val="24"/>
        </w:rPr>
        <w:t>I accept the Council</w:t>
      </w:r>
      <w:r>
        <w:rPr>
          <w:rFonts w:ascii="Arial"/>
          <w:color w:val="000000"/>
          <w:sz w:val="24"/>
        </w:rPr>
        <w:t>’</w:t>
      </w:r>
      <w:r>
        <w:rPr>
          <w:rFonts w:ascii="Arial"/>
          <w:color w:val="000000"/>
          <w:sz w:val="24"/>
        </w:rPr>
        <w:t xml:space="preserve">s assessment as to the deficiencies in the s68 applications. </w:t>
      </w:r>
    </w:p>
    <w:p>
      <w:pPr>
        <w:pStyle w:val="CaselawHeading2"/>
        <w:keepNext/>
        <w:spacing w:before="150" w:after="150" w:line="264"/>
        <w:ind w:left="0"/>
        <w:jc w:val="left"/>
      </w:pPr>
      <w:r>
        <w:rPr>
          <w:rFonts w:ascii="Arial"/>
        </w:rPr>
        <w:t xml:space="preserve">The 17-lot proceedings </w:t>
      </w:r>
    </w:p>
    <w:p>
      <w:pPr>
        <w:pStyle w:val="CaselawNumbered10"/>
        <w:numPr>
          <w:ilvl w:val="0"/>
          <w:numId w:val="77"/>
        </w:numPr>
        <w:spacing w:before="150" w:after="0"/>
        <w:ind w:left="600" w:hanging="600"/>
      </w:pPr>
      <w:r>
        <w:rPr>
          <w:rFonts w:ascii="Arial"/>
          <w:color w:val="000000"/>
          <w:sz w:val="24"/>
        </w:rPr>
        <w:t>As the applicant submits t</w:t>
      </w:r>
      <w:r>
        <w:rPr>
          <w:rFonts w:ascii="Arial"/>
          <w:color w:val="000000"/>
          <w:sz w:val="24"/>
        </w:rPr>
        <w:t xml:space="preserve">he development that is approved under the </w:t>
      </w:r>
      <w:r>
        <w:rPr>
          <w:rFonts w:ascii="Arial"/>
          <w:color w:val="000000"/>
          <w:sz w:val="24"/>
        </w:rPr>
        <w:t>17-lot</w:t>
      </w:r>
      <w:r>
        <w:rPr>
          <w:rFonts w:ascii="Arial"/>
          <w:color w:val="000000"/>
          <w:sz w:val="24"/>
        </w:rPr>
        <w:t xml:space="preserve"> </w:t>
      </w:r>
      <w:r>
        <w:rPr>
          <w:rFonts w:ascii="Arial"/>
          <w:color w:val="000000"/>
          <w:sz w:val="24"/>
        </w:rPr>
        <w:t>subdivision bears a close relationship to the works approved under the 99</w:t>
      </w:r>
      <w:r>
        <w:rPr>
          <w:rFonts w:ascii="Arial"/>
          <w:color w:val="000000"/>
          <w:sz w:val="24"/>
        </w:rPr>
        <w:t>-</w:t>
      </w:r>
      <w:r>
        <w:rPr>
          <w:rFonts w:ascii="Arial"/>
          <w:color w:val="000000"/>
          <w:sz w:val="24"/>
        </w:rPr>
        <w:t>lot subdivision. Condition 17 of the consent for the 17</w:t>
      </w:r>
      <w:r>
        <w:rPr>
          <w:rFonts w:ascii="Arial"/>
          <w:color w:val="000000"/>
          <w:sz w:val="24"/>
        </w:rPr>
        <w:t>-</w:t>
      </w:r>
      <w:r>
        <w:rPr>
          <w:rFonts w:ascii="Arial"/>
          <w:color w:val="000000"/>
          <w:sz w:val="24"/>
        </w:rPr>
        <w:t xml:space="preserve">lot subdivision states: </w:t>
      </w:r>
    </w:p>
    <w:p>
      <w:pPr>
        <w:pStyle w:val="CaselawQuote"/>
        <w:spacing w:before="150" w:after="150"/>
        <w:ind w:left="1350"/>
        <w:jc w:val="left"/>
      </w:pPr>
      <w:r>
        <w:rPr>
          <w:rFonts w:ascii="Arial"/>
          <w:color w:val="000000"/>
          <w:sz w:val="22"/>
        </w:rPr>
        <w:t>"Relationship with DA 2018/51</w:t>
      </w:r>
    </w:p>
    <w:p>
      <w:pPr>
        <w:pStyle w:val="CaselawQuote"/>
        <w:spacing w:before="150" w:after="150"/>
        <w:ind w:left="1350"/>
        <w:jc w:val="left"/>
      </w:pPr>
      <w:r>
        <w:rPr>
          <w:rFonts w:ascii="Arial"/>
          <w:color w:val="000000"/>
          <w:sz w:val="22"/>
        </w:rPr>
        <w:t xml:space="preserve">Prior to, or concurrent with, the issue of a Subdivision Works Certificate for DA 20201284 a Subdivision Works Certificate application for DA 2018/51 shall be submitted to and approved by the Principal Certifying Authority". </w:t>
      </w:r>
    </w:p>
    <w:p>
      <w:pPr>
        <w:pStyle w:val="CaselawNumbered10"/>
        <w:numPr>
          <w:ilvl w:val="0"/>
          <w:numId w:val="78"/>
        </w:numPr>
        <w:spacing w:before="150" w:after="0"/>
        <w:ind w:left="600" w:hanging="600"/>
      </w:pPr>
      <w:r>
        <w:rPr>
          <w:rFonts w:ascii="Arial"/>
          <w:color w:val="000000"/>
          <w:sz w:val="24"/>
        </w:rPr>
        <w:t xml:space="preserve">There are no specific preconditions in the development consent for the grant of a s68 application for the </w:t>
      </w:r>
      <w:r>
        <w:rPr>
          <w:rFonts w:ascii="Arial"/>
          <w:color w:val="000000"/>
          <w:sz w:val="24"/>
        </w:rPr>
        <w:t>17-lot</w:t>
      </w:r>
      <w:r>
        <w:rPr>
          <w:rFonts w:ascii="Arial"/>
          <w:color w:val="000000"/>
          <w:sz w:val="24"/>
        </w:rPr>
        <w:t xml:space="preserve"> </w:t>
      </w:r>
      <w:r>
        <w:rPr>
          <w:rFonts w:ascii="Arial"/>
          <w:color w:val="000000"/>
          <w:sz w:val="24"/>
        </w:rPr>
        <w:t>subdivision.</w:t>
      </w:r>
    </w:p>
    <w:p>
      <w:pPr>
        <w:pStyle w:val="CaselawNumbered10"/>
        <w:numPr>
          <w:ilvl w:val="0"/>
          <w:numId w:val="78"/>
        </w:numPr>
        <w:spacing w:before="150" w:after="0"/>
        <w:ind w:left="600" w:hanging="600"/>
      </w:pPr>
      <w:r>
        <w:rPr>
          <w:rFonts w:ascii="Arial"/>
          <w:color w:val="000000"/>
          <w:sz w:val="24"/>
        </w:rPr>
        <w:t xml:space="preserve">However, </w:t>
      </w:r>
      <w:r>
        <w:rPr>
          <w:rFonts w:ascii="Arial"/>
          <w:color w:val="000000"/>
          <w:sz w:val="24"/>
        </w:rPr>
        <w:t xml:space="preserve">I note </w:t>
      </w:r>
      <w:r>
        <w:rPr>
          <w:rFonts w:ascii="Arial"/>
          <w:color w:val="000000"/>
          <w:sz w:val="24"/>
        </w:rPr>
        <w:t xml:space="preserve">the </w:t>
      </w:r>
      <w:r>
        <w:rPr>
          <w:rFonts w:ascii="Arial"/>
          <w:color w:val="000000"/>
          <w:sz w:val="24"/>
        </w:rPr>
        <w:t>a</w:t>
      </w:r>
      <w:r>
        <w:rPr>
          <w:rFonts w:ascii="Arial"/>
          <w:color w:val="000000"/>
          <w:sz w:val="24"/>
        </w:rPr>
        <w:t>pplicant accepts</w:t>
      </w:r>
      <w:r>
        <w:rPr>
          <w:rFonts w:ascii="Arial"/>
          <w:color w:val="000000"/>
          <w:sz w:val="24"/>
        </w:rPr>
        <w:t xml:space="preserve"> </w:t>
      </w:r>
      <w:r>
        <w:rPr>
          <w:rFonts w:ascii="Arial"/>
          <w:color w:val="000000"/>
          <w:sz w:val="24"/>
        </w:rPr>
        <w:t>at par 279 of its CWS</w:t>
      </w:r>
      <w:r>
        <w:rPr>
          <w:rFonts w:ascii="Arial"/>
          <w:color w:val="000000"/>
          <w:sz w:val="24"/>
        </w:rPr>
        <w:t xml:space="preserve"> </w:t>
      </w:r>
      <w:r>
        <w:rPr>
          <w:rFonts w:ascii="Arial"/>
          <w:color w:val="000000"/>
          <w:sz w:val="24"/>
        </w:rPr>
        <w:t>that the logical sequencing of the carrying out of the approved development under the 17</w:t>
      </w:r>
      <w:r>
        <w:rPr>
          <w:rFonts w:ascii="Arial"/>
          <w:color w:val="000000"/>
          <w:sz w:val="24"/>
        </w:rPr>
        <w:t>-</w:t>
      </w:r>
      <w:r>
        <w:rPr>
          <w:rFonts w:ascii="Arial"/>
          <w:color w:val="000000"/>
          <w:sz w:val="24"/>
        </w:rPr>
        <w:t>lot subdivision relies on there being a section 68 approval for works under the 99</w:t>
      </w:r>
      <w:r>
        <w:rPr>
          <w:rFonts w:ascii="Arial"/>
          <w:color w:val="000000"/>
          <w:sz w:val="24"/>
        </w:rPr>
        <w:t>-</w:t>
      </w:r>
      <w:r>
        <w:rPr>
          <w:rFonts w:ascii="Arial"/>
          <w:color w:val="000000"/>
          <w:sz w:val="24"/>
        </w:rPr>
        <w:t>lot subdivision</w:t>
      </w:r>
      <w:r>
        <w:rPr>
          <w:rFonts w:ascii="Arial"/>
          <w:color w:val="000000"/>
          <w:sz w:val="24"/>
        </w:rPr>
        <w:t>.</w:t>
      </w:r>
    </w:p>
    <w:p>
      <w:pPr>
        <w:pStyle w:val="CaselawHeading2"/>
        <w:keepNext/>
        <w:spacing w:before="150" w:after="150" w:line="264"/>
        <w:ind w:left="0"/>
        <w:jc w:val="left"/>
      </w:pPr>
      <w:r>
        <w:rPr>
          <w:rFonts w:ascii="Arial"/>
        </w:rPr>
        <w:t>Conclusion and final orders</w:t>
      </w:r>
    </w:p>
    <w:p>
      <w:pPr>
        <w:pStyle w:val="CaselawNumbered10"/>
        <w:numPr>
          <w:ilvl w:val="0"/>
          <w:numId w:val="79"/>
        </w:numPr>
        <w:spacing w:before="150" w:after="0"/>
        <w:ind w:left="600" w:hanging="600"/>
      </w:pPr>
      <w:r>
        <w:rPr>
          <w:rFonts w:ascii="Arial"/>
          <w:color w:val="000000"/>
          <w:sz w:val="24"/>
        </w:rPr>
        <w:t xml:space="preserve">For the reasons submitted by the Council, as summarised above, </w:t>
      </w:r>
      <w:r>
        <w:rPr>
          <w:rFonts w:ascii="Arial"/>
          <w:color w:val="000000"/>
          <w:sz w:val="24"/>
        </w:rPr>
        <w:t xml:space="preserve">I find that </w:t>
      </w:r>
      <w:r>
        <w:rPr>
          <w:rFonts w:ascii="Arial"/>
          <w:color w:val="000000"/>
          <w:sz w:val="24"/>
        </w:rPr>
        <w:t xml:space="preserve">the s68 applications ought be refused. </w:t>
      </w:r>
    </w:p>
    <w:p>
      <w:pPr>
        <w:pStyle w:val="CaselawNumbered10"/>
        <w:numPr>
          <w:ilvl w:val="0"/>
          <w:numId w:val="79"/>
        </w:numPr>
        <w:spacing w:before="150" w:after="0"/>
        <w:ind w:left="600" w:hanging="600"/>
      </w:pPr>
      <w:r>
        <w:rPr>
          <w:rFonts w:ascii="Arial"/>
          <w:color w:val="000000"/>
          <w:sz w:val="24"/>
        </w:rPr>
        <w:t>For completeness</w:t>
      </w:r>
      <w:r>
        <w:rPr>
          <w:rFonts w:ascii="Arial"/>
          <w:color w:val="000000"/>
          <w:sz w:val="24"/>
        </w:rPr>
        <w:t>,</w:t>
      </w:r>
      <w:r>
        <w:rPr>
          <w:rFonts w:ascii="Arial"/>
          <w:color w:val="000000"/>
          <w:sz w:val="24"/>
        </w:rPr>
        <w:t xml:space="preserve"> </w:t>
      </w:r>
      <w:r>
        <w:rPr>
          <w:rFonts w:ascii="Arial"/>
          <w:color w:val="000000"/>
          <w:sz w:val="24"/>
        </w:rPr>
        <w:t xml:space="preserve">I </w:t>
      </w:r>
      <w:r>
        <w:rPr>
          <w:rFonts w:ascii="Arial"/>
          <w:color w:val="000000"/>
          <w:sz w:val="24"/>
        </w:rPr>
        <w:t>note that during the course of the</w:t>
      </w:r>
      <w:r>
        <w:rPr>
          <w:rFonts w:ascii="Arial"/>
          <w:color w:val="000000"/>
          <w:sz w:val="24"/>
        </w:rPr>
        <w:t>se</w:t>
      </w:r>
      <w:r>
        <w:rPr>
          <w:rFonts w:ascii="Arial"/>
          <w:color w:val="000000"/>
          <w:sz w:val="24"/>
        </w:rPr>
        <w:t xml:space="preserve"> </w:t>
      </w:r>
      <w:r>
        <w:rPr>
          <w:rFonts w:ascii="Arial"/>
          <w:color w:val="000000"/>
          <w:sz w:val="24"/>
        </w:rPr>
        <w:t>proceedings the applicant agreed to pay the Council</w:t>
      </w:r>
      <w:r>
        <w:rPr>
          <w:rFonts w:ascii="Arial"/>
          <w:color w:val="000000"/>
          <w:sz w:val="24"/>
        </w:rPr>
        <w:t>’</w:t>
      </w:r>
      <w:r>
        <w:rPr>
          <w:rFonts w:ascii="Arial"/>
          <w:color w:val="000000"/>
          <w:sz w:val="24"/>
        </w:rPr>
        <w:t>s costs associated with the amended Class 2 application (in proceedings no. 2022/215110) in the amount of $4,000 as well as the Council</w:t>
      </w:r>
      <w:r>
        <w:rPr>
          <w:rFonts w:ascii="Arial"/>
          <w:color w:val="000000"/>
          <w:sz w:val="24"/>
        </w:rPr>
        <w:t>’</w:t>
      </w:r>
      <w:r>
        <w:rPr>
          <w:rFonts w:ascii="Arial"/>
          <w:color w:val="000000"/>
          <w:sz w:val="24"/>
        </w:rPr>
        <w:t xml:space="preserve">s costs of the Class 1 </w:t>
      </w:r>
      <w:r>
        <w:rPr>
          <w:rFonts w:ascii="Arial"/>
          <w:color w:val="000000"/>
          <w:sz w:val="24"/>
        </w:rPr>
        <w:t xml:space="preserve">proceedings </w:t>
      </w:r>
      <w:r>
        <w:rPr>
          <w:rFonts w:ascii="Arial"/>
          <w:color w:val="000000"/>
          <w:sz w:val="24"/>
        </w:rPr>
        <w:t>(</w:t>
      </w:r>
      <w:r>
        <w:rPr>
          <w:rFonts w:ascii="Arial"/>
          <w:color w:val="000000"/>
          <w:sz w:val="24"/>
        </w:rPr>
        <w:t>2022/215090</w:t>
      </w:r>
      <w:r>
        <w:rPr>
          <w:rFonts w:ascii="Arial"/>
          <w:color w:val="000000"/>
          <w:sz w:val="24"/>
        </w:rPr>
        <w:t>)</w:t>
      </w:r>
      <w:r>
        <w:rPr>
          <w:rFonts w:ascii="Arial"/>
          <w:color w:val="000000"/>
          <w:sz w:val="24"/>
        </w:rPr>
        <w:t xml:space="preserve"> </w:t>
      </w:r>
      <w:r>
        <w:rPr>
          <w:rFonts w:ascii="Arial"/>
          <w:color w:val="000000"/>
          <w:sz w:val="24"/>
        </w:rPr>
        <w:t>in the amount of $10,000 within 21 days</w:t>
      </w:r>
      <w:r>
        <w:rPr>
          <w:rFonts w:ascii="Arial"/>
          <w:color w:val="000000"/>
          <w:sz w:val="24"/>
        </w:rPr>
        <w:t>.</w:t>
      </w:r>
    </w:p>
    <w:p>
      <w:pPr>
        <w:pStyle w:val="CaselawHeading3"/>
        <w:keepNext/>
        <w:spacing w:before="150" w:after="150" w:line="264"/>
        <w:ind w:left="0"/>
        <w:jc w:val="left"/>
      </w:pPr>
      <w:r>
        <w:rPr>
          <w:rFonts w:ascii="Arial"/>
        </w:rPr>
        <w:t>Proceedings no. 2022/215110</w:t>
      </w:r>
    </w:p>
    <w:p>
      <w:pPr>
        <w:pStyle w:val="CaselawNumbered10"/>
        <w:numPr>
          <w:ilvl w:val="0"/>
          <w:numId w:val="80"/>
        </w:numPr>
        <w:spacing w:before="150" w:after="0"/>
        <w:ind w:left="600" w:hanging="600"/>
      </w:pPr>
      <w:r>
        <w:rPr>
          <w:rFonts w:ascii="Arial"/>
          <w:color w:val="000000"/>
          <w:sz w:val="24"/>
        </w:rPr>
        <w:t xml:space="preserve">The Court orders: </w:t>
      </w:r>
    </w:p>
    <w:p>
      <w:pPr>
        <w:pStyle w:val="CaselawNumbered1"/>
        <w:numPr>
          <w:ilvl w:val="0"/>
          <w:numId w:val="81"/>
        </w:numPr>
        <w:spacing w:before="150" w:after="0"/>
        <w:ind w:left="1350" w:hanging="750"/>
      </w:pPr>
      <w:r>
        <w:rPr>
          <w:rFonts w:ascii="Arial"/>
          <w:color w:val="000000"/>
          <w:sz w:val="24"/>
        </w:rPr>
        <w:t xml:space="preserve">The appeal is </w:t>
      </w:r>
      <w:r>
        <w:rPr>
          <w:rFonts w:ascii="Arial"/>
          <w:color w:val="000000"/>
          <w:sz w:val="24"/>
        </w:rPr>
        <w:t>dismissed</w:t>
      </w:r>
      <w:r>
        <w:rPr>
          <w:rFonts w:ascii="Arial"/>
          <w:color w:val="000000"/>
          <w:sz w:val="24"/>
        </w:rPr>
        <w:t>.</w:t>
      </w:r>
    </w:p>
    <w:p>
      <w:pPr>
        <w:pStyle w:val="CaselawNumbered1"/>
        <w:numPr>
          <w:ilvl w:val="0"/>
          <w:numId w:val="81"/>
        </w:numPr>
        <w:spacing w:before="150" w:after="0"/>
        <w:ind w:left="1350" w:hanging="750"/>
      </w:pPr>
      <w:r>
        <w:rPr>
          <w:rFonts w:ascii="Arial"/>
          <w:color w:val="000000"/>
          <w:sz w:val="24"/>
        </w:rPr>
        <w:t>A</w:t>
      </w:r>
      <w:r>
        <w:rPr>
          <w:rFonts w:ascii="Arial"/>
          <w:color w:val="000000"/>
          <w:sz w:val="24"/>
        </w:rPr>
        <w:t xml:space="preserve">pplication </w:t>
      </w:r>
      <w:r>
        <w:rPr>
          <w:rFonts w:ascii="Arial"/>
          <w:color w:val="000000"/>
          <w:sz w:val="24"/>
        </w:rPr>
        <w:t>no. S682022/4997</w:t>
      </w:r>
      <w:r>
        <w:rPr>
          <w:rFonts w:ascii="Arial"/>
          <w:color w:val="000000"/>
          <w:sz w:val="24"/>
        </w:rPr>
        <w:t xml:space="preserve"> </w:t>
      </w:r>
      <w:r>
        <w:rPr>
          <w:rFonts w:ascii="Arial"/>
          <w:color w:val="000000"/>
          <w:sz w:val="24"/>
        </w:rPr>
        <w:t xml:space="preserve">for approval under s 68(1) of the </w:t>
      </w:r>
      <w:r>
        <w:rPr>
          <w:rFonts w:ascii="Arial"/>
          <w:i/>
          <w:color w:val="000000"/>
          <w:sz w:val="24"/>
        </w:rPr>
        <w:t>Local Government Act 1993</w:t>
      </w:r>
      <w:r>
        <w:rPr>
          <w:rFonts w:ascii="Arial"/>
          <w:color w:val="000000"/>
          <w:sz w:val="24"/>
        </w:rPr>
        <w:t xml:space="preserve"> </w:t>
      </w:r>
      <w:r>
        <w:rPr>
          <w:rFonts w:ascii="Arial"/>
          <w:color w:val="000000"/>
          <w:sz w:val="24"/>
        </w:rPr>
        <w:t xml:space="preserve">in respect </w:t>
      </w:r>
      <w:r>
        <w:rPr>
          <w:rFonts w:ascii="Arial"/>
          <w:color w:val="000000"/>
          <w:sz w:val="24"/>
        </w:rPr>
        <w:t>of DA 2018/51 for</w:t>
      </w:r>
      <w:r>
        <w:rPr>
          <w:rFonts w:ascii="Arial"/>
          <w:color w:val="000000"/>
          <w:sz w:val="24"/>
        </w:rPr>
        <w:t xml:space="preserve"> </w:t>
      </w:r>
      <w:r>
        <w:rPr>
          <w:rFonts w:ascii="Arial"/>
          <w:color w:val="000000"/>
          <w:sz w:val="24"/>
        </w:rPr>
        <w:t>land at 20 North Creek Road, Lennox Head (Lot 1 in DP 517111)</w:t>
      </w:r>
      <w:r>
        <w:rPr>
          <w:rFonts w:ascii="Arial"/>
          <w:color w:val="000000"/>
          <w:sz w:val="24"/>
        </w:rPr>
        <w:t xml:space="preserve"> </w:t>
      </w:r>
      <w:r>
        <w:rPr>
          <w:rFonts w:ascii="Arial"/>
          <w:color w:val="000000"/>
          <w:sz w:val="24"/>
        </w:rPr>
        <w:t xml:space="preserve">is refused. </w:t>
      </w:r>
    </w:p>
    <w:p>
      <w:pPr>
        <w:pStyle w:val="CaselawNumbered1"/>
        <w:numPr>
          <w:ilvl w:val="0"/>
          <w:numId w:val="81"/>
        </w:numPr>
        <w:spacing w:before="150" w:after="0"/>
        <w:ind w:left="1350" w:hanging="750"/>
      </w:pPr>
      <w:r>
        <w:rPr>
          <w:rFonts w:ascii="Arial"/>
          <w:color w:val="000000"/>
          <w:sz w:val="24"/>
        </w:rPr>
        <w:t xml:space="preserve">The exhibits are returned except for </w:t>
      </w:r>
      <w:r>
        <w:rPr>
          <w:rFonts w:ascii="Arial"/>
          <w:color w:val="000000"/>
          <w:sz w:val="24"/>
        </w:rPr>
        <w:t xml:space="preserve">A, C, D and E. </w:t>
      </w:r>
    </w:p>
    <w:p>
      <w:pPr>
        <w:pStyle w:val="CaselawHeading3"/>
        <w:keepNext/>
        <w:spacing w:before="150" w:after="150" w:line="264"/>
        <w:ind w:left="0"/>
        <w:jc w:val="left"/>
      </w:pPr>
      <w:r>
        <w:rPr>
          <w:rFonts w:ascii="Arial"/>
        </w:rPr>
        <w:t>Proceedings no. 2022/187078</w:t>
      </w:r>
    </w:p>
    <w:p>
      <w:pPr>
        <w:pStyle w:val="CaselawNumbered10"/>
        <w:numPr>
          <w:ilvl w:val="0"/>
          <w:numId w:val="82"/>
        </w:numPr>
        <w:spacing w:before="150" w:after="0"/>
        <w:ind w:left="600" w:hanging="600"/>
      </w:pPr>
      <w:r>
        <w:rPr>
          <w:rFonts w:ascii="Arial"/>
          <w:color w:val="000000"/>
          <w:sz w:val="24"/>
        </w:rPr>
        <w:t xml:space="preserve">The Court orders: </w:t>
      </w:r>
    </w:p>
    <w:p>
      <w:pPr>
        <w:pStyle w:val="CaselawNumbered1"/>
        <w:numPr>
          <w:ilvl w:val="0"/>
          <w:numId w:val="83"/>
        </w:numPr>
        <w:spacing w:before="150" w:after="0"/>
        <w:ind w:left="1350" w:hanging="750"/>
      </w:pPr>
      <w:r>
        <w:rPr>
          <w:rFonts w:ascii="Arial"/>
          <w:color w:val="000000"/>
          <w:sz w:val="24"/>
        </w:rPr>
        <w:t xml:space="preserve">The appeal is </w:t>
      </w:r>
      <w:r>
        <w:rPr>
          <w:rFonts w:ascii="Arial"/>
          <w:color w:val="000000"/>
          <w:sz w:val="24"/>
        </w:rPr>
        <w:t>dismissed.</w:t>
      </w:r>
    </w:p>
    <w:p>
      <w:pPr>
        <w:pStyle w:val="CaselawNumbered1"/>
        <w:numPr>
          <w:ilvl w:val="0"/>
          <w:numId w:val="83"/>
        </w:numPr>
        <w:spacing w:before="150" w:after="0"/>
        <w:ind w:left="1350" w:hanging="750"/>
      </w:pPr>
      <w:r>
        <w:rPr>
          <w:rFonts w:ascii="Arial"/>
          <w:color w:val="000000"/>
          <w:sz w:val="24"/>
        </w:rPr>
        <w:t>The application email dated 18 May 2021</w:t>
      </w:r>
      <w:r>
        <w:rPr>
          <w:rFonts w:ascii="Arial"/>
          <w:color w:val="000000"/>
          <w:sz w:val="24"/>
        </w:rPr>
        <w:t xml:space="preserve"> </w:t>
      </w:r>
      <w:r>
        <w:rPr>
          <w:rFonts w:ascii="Arial"/>
          <w:color w:val="000000"/>
          <w:sz w:val="24"/>
        </w:rPr>
        <w:t xml:space="preserve">for approval made under s 68(1) of the </w:t>
      </w:r>
      <w:r>
        <w:rPr>
          <w:rFonts w:ascii="Arial"/>
          <w:i/>
          <w:color w:val="000000"/>
          <w:sz w:val="24"/>
        </w:rPr>
        <w:t>Local Government Act 1993</w:t>
      </w:r>
      <w:r>
        <w:rPr>
          <w:rFonts w:ascii="Arial"/>
          <w:color w:val="000000"/>
          <w:sz w:val="24"/>
        </w:rPr>
        <w:t xml:space="preserve"> </w:t>
      </w:r>
      <w:r>
        <w:rPr>
          <w:rFonts w:ascii="Arial"/>
          <w:color w:val="000000"/>
          <w:sz w:val="24"/>
        </w:rPr>
        <w:t xml:space="preserve">in respect of </w:t>
      </w:r>
      <w:r>
        <w:rPr>
          <w:rFonts w:ascii="Arial"/>
          <w:color w:val="000000"/>
          <w:sz w:val="24"/>
        </w:rPr>
        <w:t xml:space="preserve">DA 2020/284 </w:t>
      </w:r>
      <w:r>
        <w:rPr>
          <w:rFonts w:ascii="Arial"/>
          <w:color w:val="000000"/>
          <w:sz w:val="24"/>
        </w:rPr>
        <w:t>for land at</w:t>
      </w:r>
      <w:r>
        <w:rPr>
          <w:rFonts w:ascii="Arial"/>
          <w:color w:val="000000"/>
          <w:sz w:val="24"/>
        </w:rPr>
        <w:t xml:space="preserve"> </w:t>
      </w:r>
      <w:r>
        <w:rPr>
          <w:rFonts w:ascii="Arial"/>
          <w:color w:val="000000"/>
          <w:sz w:val="24"/>
        </w:rPr>
        <w:t xml:space="preserve">20 North Creek Road, Lennox Head (Lot 1 in DP 517111) is refused. </w:t>
      </w:r>
    </w:p>
    <w:p>
      <w:pPr>
        <w:pStyle w:val="CaselawNumbered1"/>
        <w:numPr>
          <w:ilvl w:val="0"/>
          <w:numId w:val="83"/>
        </w:numPr>
        <w:spacing w:before="150" w:after="0"/>
        <w:ind w:left="1350" w:hanging="750"/>
      </w:pPr>
      <w:r>
        <w:rPr>
          <w:rFonts w:ascii="Arial"/>
          <w:color w:val="000000"/>
          <w:sz w:val="24"/>
        </w:rPr>
        <w:t xml:space="preserve">The exhibits are returned except for </w:t>
      </w:r>
      <w:r>
        <w:rPr>
          <w:rFonts w:ascii="Arial"/>
          <w:color w:val="000000"/>
          <w:sz w:val="24"/>
        </w:rPr>
        <w:t xml:space="preserve">A, G, H, I and J. </w:t>
      </w:r>
    </w:p>
    <w:p>
      <w:pPr>
        <w:pStyle w:val="CaselawNormal"/>
        <w:spacing w:before="150" w:after="150"/>
        <w:ind w:left="600"/>
        <w:jc w:val="left"/>
      </w:pPr>
      <w:r>
        <w:rPr>
          <w:rFonts w:ascii="Arial"/>
          <w:b/>
          <w:color w:val="000000"/>
          <w:sz w:val="24"/>
        </w:rPr>
        <w:t>………………..</w:t>
      </w:r>
    </w:p>
    <w:p>
      <w:pPr>
        <w:pStyle w:val="CaselawNormal"/>
        <w:spacing w:before="150" w:after="150"/>
        <w:ind w:left="600"/>
        <w:jc w:val="left"/>
      </w:pPr>
      <w:r>
        <w:rPr>
          <w:rFonts w:ascii="Arial"/>
          <w:b/>
          <w:color w:val="000000"/>
          <w:sz w:val="24"/>
        </w:rPr>
        <w:t>S Dixon</w:t>
      </w:r>
    </w:p>
    <w:p>
      <w:pPr>
        <w:pStyle w:val="CaselawNormal"/>
        <w:spacing w:before="150" w:after="150"/>
        <w:ind w:left="600"/>
        <w:jc w:val="left"/>
      </w:pPr>
      <w:r>
        <w:rPr>
          <w:rFonts w:ascii="Arial"/>
          <w:b/>
          <w:color w:val="000000"/>
          <w:sz w:val="24"/>
        </w:rPr>
        <w:t xml:space="preserve">Senior Commissioner of the Court </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8"/>
    <w:lvlOverride w:ilvl="0">
      <w:startOverride w:val="1"/>
    </w:lvlOverride>
  </w:num>
  <w:num w:numId="24">
    <w:abstractNumId w:val="8"/>
    <w:lvlOverride w:ilvl="0">
      <w:startOverride w:val="1"/>
    </w:lvlOverride>
  </w:num>
  <w:num w:numId="25">
    <w:abstractNumId w:val="16"/>
    <w:lvlOverride w:ilvl="0">
      <w:startOverride w:val="2"/>
    </w:lvlOverride>
  </w:num>
  <w:num w:numId="26">
    <w:abstractNumId w:val="10"/>
    <w:lvlOverride w:ilvl="0">
      <w:startOverride w:val="1"/>
    </w:lvlOverride>
  </w:num>
  <w:num w:numId="27">
    <w:abstractNumId w:val="16"/>
    <w:lvlOverride w:ilvl="0">
      <w:startOverride w:val="7"/>
    </w:lvlOverride>
  </w:num>
  <w:num w:numId="28">
    <w:abstractNumId w:val="10"/>
    <w:lvlOverride w:ilvl="0">
      <w:startOverride w:val="1"/>
    </w:lvlOverride>
  </w:num>
  <w:num w:numId="29">
    <w:abstractNumId w:val="15"/>
    <w:lvlOverride w:ilvl="0">
      <w:startOverride w:val="1"/>
    </w:lvlOverride>
  </w:num>
  <w:num w:numId="30">
    <w:abstractNumId w:val="10"/>
    <w:lvlOverride w:ilvl="0">
      <w:startOverride w:val="2"/>
    </w:lvlOverride>
  </w:num>
  <w:num w:numId="31">
    <w:abstractNumId w:val="15"/>
    <w:lvlOverride w:ilvl="0">
      <w:startOverride w:val="1"/>
    </w:lvlOverride>
  </w:num>
  <w:num w:numId="32">
    <w:abstractNumId w:val="10"/>
    <w:lvlOverride w:ilvl="0">
      <w:startOverride w:val="3"/>
    </w:lvlOverride>
  </w:num>
  <w:num w:numId="33">
    <w:abstractNumId w:val="15"/>
    <w:lvlOverride w:ilvl="0">
      <w:startOverride w:val="1"/>
    </w:lvlOverride>
  </w:num>
  <w:num w:numId="34">
    <w:abstractNumId w:val="10"/>
    <w:lvlOverride w:ilvl="0">
      <w:startOverride w:val="4"/>
    </w:lvlOverride>
  </w:num>
  <w:num w:numId="35">
    <w:abstractNumId w:val="15"/>
    <w:lvlOverride w:ilvl="0">
      <w:startOverride w:val="1"/>
    </w:lvlOverride>
  </w:num>
  <w:num w:numId="36">
    <w:abstractNumId w:val="16"/>
    <w:lvlOverride w:ilvl="0">
      <w:startOverride w:val="10"/>
    </w:lvlOverride>
  </w:num>
  <w:num w:numId="37">
    <w:abstractNumId w:val="16"/>
    <w:lvlOverride w:ilvl="0">
      <w:startOverride w:val="12"/>
    </w:lvlOverride>
  </w:num>
  <w:num w:numId="38">
    <w:abstractNumId w:val="16"/>
    <w:lvlOverride w:ilvl="0">
      <w:startOverride w:val="14"/>
    </w:lvlOverride>
  </w:num>
  <w:num w:numId="39">
    <w:abstractNumId w:val="16"/>
    <w:lvlOverride w:ilvl="0">
      <w:startOverride w:val="16"/>
    </w:lvlOverride>
  </w:num>
  <w:num w:numId="40">
    <w:abstractNumId w:val="16"/>
    <w:lvlOverride w:ilvl="0">
      <w:startOverride w:val="18"/>
    </w:lvlOverride>
  </w:num>
  <w:num w:numId="41">
    <w:abstractNumId w:val="16"/>
    <w:lvlOverride w:ilvl="0">
      <w:startOverride w:val="19"/>
    </w:lvlOverride>
  </w:num>
  <w:num w:numId="42">
    <w:abstractNumId w:val="8"/>
    <w:lvlOverride w:ilvl="0">
      <w:startOverride w:val="1"/>
    </w:lvlOverride>
  </w:num>
  <w:num w:numId="43">
    <w:abstractNumId w:val="16"/>
    <w:lvlOverride w:ilvl="0">
      <w:startOverride w:val="20"/>
    </w:lvlOverride>
  </w:num>
  <w:num w:numId="44">
    <w:abstractNumId w:val="16"/>
    <w:lvlOverride w:ilvl="0">
      <w:startOverride w:val="21"/>
    </w:lvlOverride>
  </w:num>
  <w:num w:numId="45">
    <w:abstractNumId w:val="16"/>
    <w:lvlOverride w:ilvl="0">
      <w:startOverride w:val="22"/>
    </w:lvlOverride>
  </w:num>
  <w:num w:numId="46">
    <w:abstractNumId w:val="16"/>
    <w:lvlOverride w:ilvl="0">
      <w:startOverride w:val="23"/>
    </w:lvlOverride>
  </w:num>
  <w:num w:numId="47">
    <w:abstractNumId w:val="16"/>
    <w:lvlOverride w:ilvl="0">
      <w:startOverride w:val="26"/>
    </w:lvlOverride>
  </w:num>
  <w:num w:numId="48">
    <w:abstractNumId w:val="16"/>
    <w:lvlOverride w:ilvl="0">
      <w:startOverride w:val="27"/>
    </w:lvlOverride>
  </w:num>
  <w:num w:numId="49">
    <w:abstractNumId w:val="16"/>
    <w:lvlOverride w:ilvl="0">
      <w:startOverride w:val="33"/>
    </w:lvlOverride>
  </w:num>
  <w:num w:numId="50">
    <w:abstractNumId w:val="10"/>
    <w:lvlOverride w:ilvl="0">
      <w:startOverride w:val="1"/>
    </w:lvlOverride>
  </w:num>
  <w:num w:numId="51">
    <w:abstractNumId w:val="16"/>
    <w:lvlOverride w:ilvl="0">
      <w:startOverride w:val="34"/>
    </w:lvlOverride>
  </w:num>
  <w:num w:numId="52">
    <w:abstractNumId w:val="16"/>
    <w:lvlOverride w:ilvl="0">
      <w:startOverride w:val="35"/>
    </w:lvlOverride>
  </w:num>
  <w:num w:numId="53">
    <w:abstractNumId w:val="16"/>
    <w:lvlOverride w:ilvl="0">
      <w:startOverride w:val="41"/>
    </w:lvlOverride>
  </w:num>
  <w:num w:numId="54">
    <w:abstractNumId w:val="16"/>
    <w:lvlOverride w:ilvl="0">
      <w:startOverride w:val="44"/>
    </w:lvlOverride>
  </w:num>
  <w:num w:numId="55">
    <w:abstractNumId w:val="16"/>
    <w:lvlOverride w:ilvl="0">
      <w:startOverride w:val="47"/>
    </w:lvlOverride>
  </w:num>
  <w:num w:numId="56">
    <w:abstractNumId w:val="10"/>
    <w:lvlOverride w:ilvl="0">
      <w:startOverride w:val="1"/>
    </w:lvlOverride>
  </w:num>
  <w:num w:numId="57">
    <w:abstractNumId w:val="16"/>
    <w:lvlOverride w:ilvl="0">
      <w:startOverride w:val="52"/>
    </w:lvlOverride>
  </w:num>
  <w:num w:numId="58">
    <w:abstractNumId w:val="16"/>
    <w:lvlOverride w:ilvl="0">
      <w:startOverride w:val="56"/>
    </w:lvlOverride>
  </w:num>
  <w:num w:numId="59">
    <w:abstractNumId w:val="16"/>
    <w:lvlOverride w:ilvl="0">
      <w:startOverride w:val="57"/>
    </w:lvlOverride>
  </w:num>
  <w:num w:numId="60">
    <w:abstractNumId w:val="16"/>
    <w:lvlOverride w:ilvl="0">
      <w:startOverride w:val="58"/>
    </w:lvlOverride>
  </w:num>
  <w:num w:numId="61">
    <w:abstractNumId w:val="16"/>
    <w:lvlOverride w:ilvl="0">
      <w:startOverride w:val="68"/>
    </w:lvlOverride>
  </w:num>
  <w:num w:numId="62">
    <w:abstractNumId w:val="16"/>
    <w:lvlOverride w:ilvl="0">
      <w:startOverride w:val="70"/>
    </w:lvlOverride>
  </w:num>
  <w:num w:numId="63">
    <w:abstractNumId w:val="16"/>
    <w:lvlOverride w:ilvl="0">
      <w:startOverride w:val="72"/>
    </w:lvlOverride>
  </w:num>
  <w:num w:numId="64">
    <w:abstractNumId w:val="16"/>
    <w:lvlOverride w:ilvl="0">
      <w:startOverride w:val="73"/>
    </w:lvlOverride>
  </w:num>
  <w:num w:numId="65">
    <w:abstractNumId w:val="16"/>
    <w:lvlOverride w:ilvl="0">
      <w:startOverride w:val="76"/>
    </w:lvlOverride>
  </w:num>
  <w:num w:numId="66">
    <w:abstractNumId w:val="16"/>
    <w:lvlOverride w:ilvl="0">
      <w:startOverride w:val="78"/>
    </w:lvlOverride>
  </w:num>
  <w:num w:numId="67">
    <w:abstractNumId w:val="16"/>
    <w:lvlOverride w:ilvl="0">
      <w:startOverride w:val="80"/>
    </w:lvlOverride>
  </w:num>
  <w:num w:numId="68">
    <w:abstractNumId w:val="16"/>
    <w:lvlOverride w:ilvl="0">
      <w:startOverride w:val="85"/>
    </w:lvlOverride>
  </w:num>
  <w:num w:numId="69">
    <w:abstractNumId w:val="16"/>
    <w:lvlOverride w:ilvl="0">
      <w:startOverride w:val="87"/>
    </w:lvlOverride>
  </w:num>
  <w:num w:numId="70">
    <w:abstractNumId w:val="16"/>
    <w:lvlOverride w:ilvl="0">
      <w:startOverride w:val="88"/>
    </w:lvlOverride>
  </w:num>
  <w:num w:numId="71">
    <w:abstractNumId w:val="16"/>
    <w:lvlOverride w:ilvl="0">
      <w:startOverride w:val="89"/>
    </w:lvlOverride>
  </w:num>
  <w:num w:numId="72">
    <w:abstractNumId w:val="16"/>
    <w:lvlOverride w:ilvl="0">
      <w:startOverride w:val="91"/>
    </w:lvlOverride>
  </w:num>
  <w:num w:numId="73">
    <w:abstractNumId w:val="8"/>
    <w:lvlOverride w:ilvl="0">
      <w:startOverride w:val="1"/>
    </w:lvlOverride>
  </w:num>
  <w:num w:numId="74">
    <w:abstractNumId w:val="16"/>
    <w:lvlOverride w:ilvl="0">
      <w:startOverride w:val="100"/>
    </w:lvlOverride>
  </w:num>
  <w:num w:numId="75">
    <w:abstractNumId w:val="16"/>
    <w:lvlOverride w:ilvl="0">
      <w:startOverride w:val="102"/>
    </w:lvlOverride>
  </w:num>
  <w:num w:numId="76">
    <w:abstractNumId w:val="16"/>
    <w:lvlOverride w:ilvl="0">
      <w:startOverride w:val="115"/>
    </w:lvlOverride>
  </w:num>
  <w:num w:numId="77">
    <w:abstractNumId w:val="16"/>
    <w:lvlOverride w:ilvl="0">
      <w:startOverride w:val="120"/>
    </w:lvlOverride>
  </w:num>
  <w:num w:numId="78">
    <w:abstractNumId w:val="16"/>
    <w:lvlOverride w:ilvl="0">
      <w:startOverride w:val="121"/>
    </w:lvlOverride>
  </w:num>
  <w:num w:numId="79">
    <w:abstractNumId w:val="16"/>
    <w:lvlOverride w:ilvl="0">
      <w:startOverride w:val="123"/>
    </w:lvlOverride>
  </w:num>
  <w:num w:numId="80">
    <w:abstractNumId w:val="16"/>
    <w:lvlOverride w:ilvl="0">
      <w:startOverride w:val="125"/>
    </w:lvlOverride>
  </w:num>
  <w:num w:numId="81">
    <w:abstractNumId w:val="10"/>
    <w:lvlOverride w:ilvl="0">
      <w:startOverride w:val="1"/>
    </w:lvlOverride>
  </w:num>
  <w:num w:numId="82">
    <w:abstractNumId w:val="16"/>
    <w:lvlOverride w:ilvl="0">
      <w:startOverride w:val="126"/>
    </w:lvlOverride>
  </w:num>
  <w:num w:numId="83">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png" Type="http://schemas.openxmlformats.org/officeDocument/2006/relationships/image" Id="rId13"/><Relationship Target="media/document_image_rId14.png" Type="http://schemas.openxmlformats.org/officeDocument/2006/relationships/image" Id="rId14"/></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