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document.glossary+xml" PartName="/word/glossary/document.xml"/>
  <Override ContentType="application/vnd.openxmlformats-officedocument.wordprocessingml.fontTable+xml" PartName="/word/glossary/fontTable.xml"/>
  <Override ContentType="application/vnd.openxmlformats-officedocument.wordprocessingml.settings+xml" PartName="/word/glossary/settings.xml"/>
  <Override ContentType="application/vnd.openxmlformats-officedocument.wordprocessingml.styles+xml" PartName="/word/glossary/styles.xml"/>
  <Override ContentType="application/vnd.ms-word.stylesWithEffects+xml" PartName="/word/glossary/stylesWithEffects.xml"/>
  <Override ContentType="application/vnd.openxmlformats-officedocument.wordprocessingml.webSettings+xml" PartName="/word/glossary/webSettings.xml"/>
  <Override ContentType="image/png" PartName="/word/media/document_image_rId117.png"/>
  <Override ContentType="image/png" PartName="/word/media/document_image_rId118.png"/>
  <Override ContentType="image/png" PartName="/word/media/document_image_rId119.png"/>
  <Override ContentType="image/png" PartName="/word/media/document_image_rId120.png"/>
  <Override ContentType="image/png" PartName="/word/media/document_image_rId121.png"/>
  <Override ContentType="image/png" PartName="/word/media/document_image_rId122.png"/>
  <Override ContentType="image/png" PartName="/word/media/document_image_rId123.png"/>
  <Override ContentType="image/png" PartName="/word/media/document_image_rId124.png"/>
  <Override ContentType="image/png" PartName="/word/media/document_image_rId125.png"/>
  <Override ContentType="image/png" PartName="/word/media/document_image_rId126.png"/>
  <Override ContentType="image/png" PartName="/word/media/document_image_rId127.png"/>
  <Override ContentType="image/png" PartName="/word/media/document_image_rId128.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Target="docProps/app.xml" Type="http://schemas.openxmlformats.org/officeDocument/2006/relationships/extended-properties" Id="rId3"/><Relationship Target="docProps/core.xml" Type="http://schemas.openxmlformats.org/package/2006/relationships/metadata/core-properties" Id="rId2"/><Relationship Target="word/document.xml" Type="http://schemas.openxmlformats.org/officeDocument/2006/relationships/officeDocument" Id="rId1"/></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body>
    <!-- Modified by docx4j 8.1.6 (Apache licensed) using REFERENCE JAXB in Red Hat, Inc. Java 1.8.0_372 on Linux -->
    <w:tbl>
      <w:tblPr>
        <w:tblW w:w="0" w:type="auto"/>
        <w:tblLayout w:type="fixed"/>
        <w:tblLook w:firstRow="1" w:lastRow="0" w:firstColumn="1" w:lastColumn="0" w:noHBand="0" w:noVBand="1" w:val="04A0"/>
        <w:tblCaption w:val="titletable"/>
      </w:tblPr>
      <w:tblGrid>
        <w:gridCol w:w="2977"/>
        <w:gridCol w:w="5245"/>
      </w:tblGrid>
      <w:tr w:rsidR="002D6852" w:rsidTr="00EF4519">
        <w:tc>
          <w:tcPr>
            <w:tcW w:w="2977" w:type="dxa"/>
          </w:tcPr>
          <w:p w:rsidRPr="00EF4519" w:rsidR="002D6852" w:rsidP="00EF4519" w:rsidRDefault="006A4211">
            <w:r w:rsidRPr="00EF4519">
              <w:rPr>
                <w:noProof/>
              </w:rPr>
              <w:drawing>
                <wp:inline distT="0" distB="0" distL="0" distR="0">
                  <wp:extent cx="1171575" cy="809625"/>
                  <wp:effectExtent l="0" t="0" r="9525" b="9525"/>
                  <wp:docPr id="1" name="Picture 1" descr="State Crest_85pixels_height"/>
                  <wp:cNvGraphicFramePr>
                    <a:graphicFrameLocks noChangeAspect="true"/>
                  </wp:cNvGraphicFramePr>
                  <a:graphic>
                    <a:graphicData uri="http://schemas.openxmlformats.org/drawingml/2006/picture">
                      <pic:pic>
                        <pic:nvPicPr>
                          <pic:cNvPr id="0" name="Picture 1" descr="State Crest_85pixels_height"/>
                          <pic:cNvPicPr>
                            <a:picLocks noChangeAspect="true" noChangeArrowheads="true"/>
                          </pic:cNvPicPr>
                        </pic:nvPicPr>
                        <pic:blipFill>
                          <a:blip r:embed="rId9">
                            <a:extLst>
                              <a:ext uri="{28A0092B-C50C-407E-A947-70E740481C1C}">
                                <a14:useLocalDpi val="false"/>
                              </a:ext>
                            </a:extLst>
                          </a:blip>
                          <a:srcRect/>
                          <a:stretch>
                            <a:fillRect/>
                          </a:stretch>
                        </pic:blipFill>
                        <pic:spPr bwMode="auto">
                          <a:xfrm>
                            <a:off x="0" y="0"/>
                            <a:ext cx="1171575" cy="809625"/>
                          </a:xfrm>
                          <a:prstGeom prst="rect">
                            <a:avLst/>
                          </a:prstGeom>
                          <a:noFill/>
                          <a:ln>
                            <a:noFill/>
                          </a:ln>
                        </pic:spPr>
                      </pic:pic>
                    </a:graphicData>
                  </a:graphic>
                </wp:inline>
              </w:drawing>
            </w:r>
          </w:p>
        </w:tc>
        <w:tc>
          <w:tcPr>
            <w:tcW w:w="5245" w:type="dxa"/>
          </w:tcPr>
          <w:p w:rsidRPr="005B5E79" w:rsidR="00C27F1D" w:rsidP="005B5E79" w:rsidRDefault="0081465C">
            <w:r>
              <w:br/>
            </w:r>
            <w:sdt>
              <w:sdtPr>
                <w:alias w:val="Court Title"/>
                <w:tag w:val="courtName"/>
                <w:id w:val="-597174554"/>
                <w:placeholder>
                  <w:docPart w:val="2287E3D7A5999C449F68774214E87459"/>
                </w:placeholder>
                <w:text/>
              </w:sdtPr>
              <w:sdtEndPr/>
              <w:sdtContent>
                <w:r w:rsidR="001B7A55">
                  <w:t>Land and Environment Court</w:t>
                </w:r>
              </w:sdtContent>
            </w:sdt>
          </w:p>
          <w:p w:rsidRPr="00EF4519" w:rsidR="002D6852" w:rsidP="00EF4519" w:rsidRDefault="00C27F1D">
            <w:r w:rsidRPr="00EF4519">
              <w:t>New South Wales</w:t>
            </w:r>
          </w:p>
        </w:tc>
      </w:tr>
    </w:tbl>
    <w:p w:rsidR="00C27F1D" w:rsidP="003C5ECC" w:rsidRDefault="00C27F1D">
      <w:pPr>
        <w:pBdr>
          <w:bottom w:val="single" w:color="auto" w:sz="6" w:space="1"/>
        </w:pBdr>
      </w:pPr>
    </w:p>
    <w:p w:rsidRPr="003C5ECC" w:rsidR="005B5E79" w:rsidP="003C5ECC" w:rsidRDefault="005B5E79"/>
    <w:tbl>
      <w:tblPr>
        <w:tblW w:w="5000" w:type="pct"/>
        <w:tblLook w:firstRow="1" w:lastRow="0" w:firstColumn="1" w:lastColumn="0" w:noHBand="0" w:noVBand="1" w:val="04A0"/>
        <w:tblCaption w:val="coversheet"/>
      </w:tblPr>
      <w:tblGrid>
        <w:gridCol w:w="3085"/>
        <w:gridCol w:w="6157"/>
      </w:tblGrid>
      <w:tr w:rsidR="00856777" w:rsidTr="00AC2B81">
        <w:trPr>
          <w:trHeight w:val="412"/>
        </w:trPr>
        <w:tc>
          <w:tcPr>
            <w:tcW w:w="1669" w:type="pct"/>
          </w:tcPr>
          <w:p w:rsidRPr="00EF4519" w:rsidR="00856777" w:rsidP="00E827DB" w:rsidRDefault="00856777">
            <w:r>
              <w:t>C</w:t>
            </w:r>
            <w:r w:rsidRPr="00EF4519">
              <w:t xml:space="preserve">ase Name: </w:t>
            </w:r>
          </w:p>
        </w:tc>
        <w:tc>
          <w:tcPr>
            <w:tcW w:w="3331" w:type="pct"/>
          </w:tcPr>
          <w:p w:rsidR="00856777" w:rsidP="001B7A55" w:rsidRDefault="00882F5B">
            <w:sdt>
              <w:sdtPr>
                <w:alias w:val="Case Name"/>
                <w:tag w:val="title"/>
                <w:id w:val="-1112213263"/>
                <w:placeholder>
                  <w:docPart w:val="23714A54DE1C5349A32215100E23C70C"/>
                </w:placeholder>
                <w:showingPlcHdr/>
                <w:text w:multiLine="true"/>
              </w:sdtPr>
              <w:sdtEndPr/>
              <w:sdtContent>
                <w:r>
                  <w:t xml:space="preserve">Henroth Pty Ltd v Canterbury-Bankstown Council</w:t>
                </w:r>
              </w:sdtContent>
            </w:sdt>
          </w:p>
        </w:tc>
      </w:tr>
      <w:tr w:rsidR="00E827DB" w:rsidTr="00AC2B81">
        <w:trPr>
          <w:trHeight w:val="320"/>
        </w:trPr>
        <w:tc>
          <w:tcPr>
            <w:tcW w:w="1669" w:type="pct"/>
          </w:tcPr>
          <w:p w:rsidRPr="00EF4519" w:rsidR="00E827DB" w:rsidP="00E827DB" w:rsidRDefault="00E827DB">
            <w:r>
              <w:t>Medium Neutral Citation:</w:t>
            </w:r>
            <w:r w:rsidRPr="00EF4519">
              <w:t xml:space="preserve"> </w:t>
            </w:r>
          </w:p>
        </w:tc>
        <w:tc>
          <w:tcPr>
            <w:tcW w:w="3331" w:type="pct"/>
          </w:tcPr>
          <w:p w:rsidR="00E827DB" w:rsidP="00D37BAC" w:rsidRDefault="00882F5B">
            <w:sdt>
              <w:sdtPr>
                <w:alias w:val="Medium Neutral Citation"/>
                <w:tag w:val="mnc"/>
                <w:id w:val="-1833444343"/>
                <w:placeholder>
                  <w:docPart w:val="CEA0958D29B321449DAA1A3408663E44"/>
                </w:placeholder>
                <w:showingPlcHdr/>
                <w:text w:multiLine="true"/>
              </w:sdtPr>
              <w:sdtEndPr/>
              <w:sdtContent>
                <w:r>
                  <w:t xml:space="preserve">[2024] NSWLEC 1700</w:t>
                </w:r>
              </w:sdtContent>
            </w:sdt>
          </w:p>
        </w:tc>
      </w:tr>
      <w:tr w:rsidR="00E827DB" w:rsidTr="00AC2B81">
        <w:trPr>
          <w:trHeight w:val="370"/>
        </w:trPr>
        <w:tc>
          <w:tcPr>
            <w:tcW w:w="1669" w:type="pct"/>
          </w:tcPr>
          <w:p w:rsidRPr="00EF4519" w:rsidR="00E827DB" w:rsidP="00E827DB" w:rsidRDefault="00E827DB">
            <w:r>
              <w:t>Hearing Date</w:t>
            </w:r>
            <w:r w:rsidRPr="00EF4519">
              <w:t xml:space="preserve">(s): </w:t>
            </w:r>
          </w:p>
        </w:tc>
        <w:tc>
          <w:tcPr>
            <w:tcW w:w="3331" w:type="pct"/>
          </w:tcPr>
          <w:p w:rsidR="00E827DB" w:rsidP="004967FE" w:rsidRDefault="00882F5B">
            <w:sdt>
              <w:sdtPr>
                <w:alias w:val="Hearing Date(s)"/>
                <w:tag w:val="hearingDates"/>
                <w:id w:val="855157727"/>
                <w:placeholder>
                  <w:docPart w:val="9CA603291F38E74C952F4F0686E7F43F"/>
                </w:placeholder>
                <w:showingPlcHdr/>
                <w:text w:multiLine="true"/>
              </w:sdtPr>
              <w:sdtEndPr/>
              <w:sdtContent>
                <w:r>
                  <w:t xml:space="preserve">17-21 June 2024; final conditions received 28 June 2024</w:t>
                </w:r>
              </w:sdtContent>
            </w:sdt>
          </w:p>
        </w:tc>
      </w:tr>
      <w:tr w:rsidR="00B006AC" w:rsidTr="00AC2B81">
        <w:trPr>
          <w:trHeight w:val="370"/>
        </w:trPr>
        <w:tc>
          <w:tcPr>
            <w:tcW w:w="1669" w:type="pct"/>
          </w:tcPr>
          <w:p w:rsidR="00B006AC" w:rsidP="00E827DB" w:rsidRDefault="00B006AC">
            <w:r>
              <w:t>Date of Orders:</w:t>
            </w:r>
          </w:p>
        </w:tc>
        <w:tc>
          <w:tcPr>
            <w:tcW w:w="3331" w:type="pct"/>
          </w:tcPr>
          <w:p w:rsidR="00B006AC" w:rsidP="004967FE" w:rsidRDefault="00882F5B">
            <w:sdt>
              <w:sdtPr>
                <w:alias w:val="Date of Orders"/>
                <w:tag w:val="orderDate"/>
                <w:id w:val="-56163930"/>
                <w:placeholder>
                  <w:docPart w:val="001534073BC94C468D9A6C5C3502283B"/>
                </w:placeholder>
                <w:showingPlcHdr/>
                <w:date w:fullDate="2014-09-10T00:00:00Z">
                  <w:dateFormat w:val="d MMMM yyyy"/>
                  <w:lid w:val="en-AU"/>
                  <w:storeMappedDataAs w:val="dateTime"/>
                  <w:calendar w:val="gregorian"/>
                </w:date>
              </w:sdtPr>
              <w:sdtEndPr/>
              <w:sdtContent>
                <w:r>
                  <w:t xml:space="preserve">29 October 2024</w:t>
                </w:r>
              </w:sdtContent>
            </w:sdt>
          </w:p>
        </w:tc>
      </w:tr>
      <w:tr w:rsidR="00251EE4" w:rsidTr="00AC2B81">
        <w:trPr>
          <w:trHeight w:val="329"/>
        </w:trPr>
        <w:tc>
          <w:tcPr>
            <w:tcW w:w="1669" w:type="pct"/>
          </w:tcPr>
          <w:p w:rsidRPr="00EF4519" w:rsidR="00251EE4" w:rsidP="00E827DB" w:rsidRDefault="00251EE4">
            <w:r>
              <w:t>Decision Date:</w:t>
            </w:r>
            <w:r w:rsidRPr="00EF4519" w:rsidR="00B914EB">
              <w:t xml:space="preserve"> </w:t>
            </w:r>
          </w:p>
        </w:tc>
        <w:tc>
          <w:tcPr>
            <w:tcW w:w="3331" w:type="pct"/>
          </w:tcPr>
          <w:p w:rsidR="00251EE4" w:rsidP="001B7A55" w:rsidRDefault="00882F5B">
            <w:sdt>
              <w:sdtPr>
                <w:alias w:val="Decision Date"/>
                <w:tag w:val="decisionDate"/>
                <w:id w:val="-2113426060"/>
                <w:placeholder>
                  <w:docPart w:val="49E1DA3C6A1E71459A736F86010B5AED"/>
                </w:placeholder>
                <w:showingPlcHdr/>
                <w:date w:fullDate="2014-07-10T00:00:00Z">
                  <w:dateFormat w:val="d MMMM yyyy"/>
                  <w:lid w:val="en-AU"/>
                  <w:storeMappedDataAs w:val="dateTime"/>
                  <w:calendar w:val="gregorian"/>
                </w:date>
              </w:sdtPr>
              <w:sdtEndPr/>
              <w:sdtContent>
                <w:r>
                  <w:t xml:space="preserve">29 October 2024</w:t>
                </w:r>
              </w:sdtContent>
            </w:sdt>
          </w:p>
        </w:tc>
      </w:tr>
      <w:tr w:rsidR="00251EE4" w:rsidTr="00AC2B81">
        <w:trPr>
          <w:trHeight w:val="365"/>
        </w:trPr>
        <w:tc>
          <w:tcPr>
            <w:tcW w:w="1669" w:type="pct"/>
          </w:tcPr>
          <w:p w:rsidRPr="00EF4519" w:rsidR="00251EE4" w:rsidP="00E827DB" w:rsidRDefault="000A6DFA">
            <w:r>
              <w:t>Jurisdiction</w:t>
            </w:r>
            <w:r w:rsidRPr="00EF4519" w:rsidR="00251EE4">
              <w:t>:</w:t>
            </w:r>
            <w:r w:rsidRPr="00EF4519" w:rsidR="00B914EB">
              <w:t xml:space="preserve"> </w:t>
            </w:r>
          </w:p>
        </w:tc>
        <w:sdt>
          <w:sdtPr>
            <w:alias w:val="Jurisdiction"/>
            <w:tag w:val="jurisdiction"/>
            <w:id w:val="207232766"/>
            <w:placeholder>
              <w:docPart w:val="5D455C8DB3370C429E683BD45AAD2263"/>
            </w:placeholder>
            <w:showingPlcHdr/>
            <w:text/>
          </w:sdtPr>
          <w:sdtEndPr/>
          <w:sdtContent>
            <w:tc>
              <w:tcPr>
                <w:tcW w:w="3331" w:type="pct"/>
              </w:tcPr>
              <w:p w:rsidR="00251EE4" w:rsidP="001B7A55" w:rsidRDefault="001B7A55">
                <w:r>
                  <w:t xml:space="preserve">Class 1</w:t>
                </w:r>
              </w:p>
            </w:tc>
          </w:sdtContent>
        </w:sdt>
      </w:tr>
      <w:tr w:rsidR="00251EE4" w:rsidTr="00AC2B81">
        <w:trPr>
          <w:trHeight w:val="273"/>
        </w:trPr>
        <w:tc>
          <w:tcPr>
            <w:tcW w:w="1669" w:type="pct"/>
          </w:tcPr>
          <w:p w:rsidRPr="00EF4519" w:rsidR="00251EE4" w:rsidP="00E827DB" w:rsidRDefault="00251EE4">
            <w:r>
              <w:t>Before:</w:t>
            </w:r>
            <w:r w:rsidRPr="00EF4519" w:rsidR="00B914EB">
              <w:t xml:space="preserve"> </w:t>
            </w:r>
          </w:p>
        </w:tc>
        <w:sdt>
          <w:sdtPr>
            <w:alias w:val="Before"/>
            <w:tag w:val="before"/>
            <w:id w:val="-437217807"/>
            <w:placeholder>
              <w:docPart w:val="8E1FCF9D9BCC7544965FEDDA8E4336E8"/>
            </w:placeholder>
            <w:showingPlcHdr/>
            <w:text w:multiLine="true"/>
          </w:sdtPr>
          <w:sdtEndPr/>
          <w:sdtContent>
            <w:tc>
              <w:tcPr>
                <w:tcW w:w="3331" w:type="pct"/>
              </w:tcPr>
              <w:p w:rsidR="00251EE4" w:rsidP="001B7A55" w:rsidRDefault="001B7A55">
                <w:r>
                  <w:t xml:space="preserve">Dixon SC</w:t>
                </w:r>
              </w:p>
            </w:tc>
          </w:sdtContent>
        </w:sdt>
      </w:tr>
      <w:tr w:rsidR="00251EE4" w:rsidTr="00AC2B81">
        <w:trPr>
          <w:trHeight w:val="465"/>
        </w:trPr>
        <w:tc>
          <w:tcPr>
            <w:tcW w:w="1669" w:type="pct"/>
          </w:tcPr>
          <w:p w:rsidRPr="00EF4519" w:rsidR="00251EE4" w:rsidP="00E827DB" w:rsidRDefault="00251EE4">
            <w:r>
              <w:t>Decision:</w:t>
            </w:r>
            <w:r w:rsidRPr="00EF4519" w:rsidR="00B914EB">
              <w:t xml:space="preserve"> </w:t>
            </w:r>
          </w:p>
        </w:tc>
        <w:tc>
          <w:tcPr>
            <w:tcW w:w="3331" w:type="pct"/>
          </w:tcPr>
          <w:p w:rsidR="00251EE4" w:rsidP="001B7A55" w:rsidRDefault="00882F5B">
            <w:sdt>
              <w:sdtPr>
                <w:rPr>
                  <w:rFonts w:cs="Arial"/>
                </w:rPr>
                <w:alias w:val="Decision"/>
                <w:tag w:val="decision"/>
                <w:id w:val="-1050373838"/>
                <w:placeholder>
                  <w:docPart w:val="BB94B27A1B38FB49AA2427CB2341BFF9"/>
                </w:placeholder>
                <w:showingPlcHdr/>
                <w:text w:multiLine="true"/>
              </w:sdtPr>
              <w:sdtEndPr/>
              <w:sdtContent>
                <w:r>
                  <w:t xml:space="preserve">The Court directs:</w:t>
                </w:r>
                <w:r>
                  <w:br/>
                </w:r>
                <w:r>
                  <w:t xml:space="preserve">(1) The parties are to confer and settle the conditions in accordance with my reasons for judgment and to provide a copy to the Court by 7 November 2024. </w:t>
                </w:r>
                <w:r>
                  <w:br/>
                </w:r>
                <w:r>
                  <w:t xml:space="preserve">(2) Upon receipt of the agreed conditions after review if they are acceptable, I will make final orders.</w:t>
                </w:r>
              </w:sdtContent>
            </w:sdt>
          </w:p>
        </w:tc>
      </w:tr>
      <w:tr w:rsidR="00251EE4" w:rsidTr="00AC2B81">
        <w:trPr>
          <w:trHeight w:val="373"/>
        </w:trPr>
        <w:tc>
          <w:tcPr>
            <w:tcW w:w="1669" w:type="pct"/>
          </w:tcPr>
          <w:p w:rsidRPr="00EF4519" w:rsidR="00251EE4" w:rsidP="00E827DB" w:rsidRDefault="00251EE4">
            <w:r>
              <w:t>Catchwords:</w:t>
            </w:r>
            <w:r w:rsidRPr="00EF4519" w:rsidR="00B914EB">
              <w:t xml:space="preserve"> </w:t>
            </w:r>
          </w:p>
        </w:tc>
        <w:tc>
          <w:tcPr>
            <w:tcW w:w="3331" w:type="pct"/>
          </w:tcPr>
          <w:p w:rsidR="00251EE4" w:rsidP="001B7A55" w:rsidRDefault="00882F5B">
            <w:sdt>
              <w:sdtPr>
                <w:alias w:val="Catchwords"/>
                <w:tag w:val="catchwords"/>
                <w:id w:val="-2097856291"/>
                <w:placeholder>
                  <w:docPart w:val="9628263C21A0F347B1037F8B6E2E16E6"/>
                </w:placeholder>
                <w:showingPlcHdr/>
                <w:text w:multiLine="true"/>
              </w:sdtPr>
              <w:sdtEndPr/>
              <w:sdtContent>
                <w:r>
                  <w:t xml:space="preserve">APPEAL – development application – redevelopment of shopping centre – concept plan and Stage 1 DA – characterisation of land use – meaning of “development standard” – clause 4.6 variation</w:t>
                </w:r>
              </w:sdtContent>
            </w:sdt>
          </w:p>
        </w:tc>
      </w:tr>
      <w:tr w:rsidR="00251EE4" w:rsidTr="00AC2B81">
        <w:trPr>
          <w:trHeight w:val="281"/>
        </w:trPr>
        <w:tc>
          <w:tcPr>
            <w:tcW w:w="1669" w:type="pct"/>
          </w:tcPr>
          <w:p w:rsidRPr="00EF4519" w:rsidR="00251EE4" w:rsidP="00E827DB" w:rsidRDefault="00251EE4">
            <w:r>
              <w:t>Legislation Cited:</w:t>
            </w:r>
            <w:r w:rsidRPr="00EF4519" w:rsidR="00B914EB">
              <w:t xml:space="preserve"> </w:t>
            </w:r>
          </w:p>
        </w:tc>
        <w:tc>
          <w:tcPr>
            <w:tcW w:w="3331" w:type="pct"/>
          </w:tcPr>
          <w:p w:rsidR="00251EE4" w:rsidP="001B7A55" w:rsidRDefault="00882F5B">
            <w:sdt>
              <w:sdtPr>
                <w:alias w:val="Legislation Cited"/>
                <w:tag w:val="legislationCited"/>
                <w:id w:val="-2034725931"/>
                <w:placeholder>
                  <w:docPart w:val="5A00766E1BC20A46B675FA54E3371F87"/>
                </w:placeholder>
                <w:showingPlcHdr/>
                <w:text w:multiLine="true"/>
              </w:sdtPr>
              <w:sdtEndPr/>
              <w:sdtContent>
                <w:r>
                  <w:t xml:space="preserve">Conveyancing Act 1919, s 88K</w:t>
                </w:r>
                <w:r>
                  <w:br/>
                </w:r>
                <w:r>
                  <w:t xml:space="preserve">Environmental Planning and Assessment Act 1979, ss 4.5, 4.15, 8.7</w:t>
                </w:r>
                <w:r>
                  <w:br/>
                </w:r>
                <w:r>
                  <w:t xml:space="preserve">Interpretation Act 1987, s 35</w:t>
                </w:r>
                <w:r>
                  <w:br/>
                </w:r>
                <w:r>
                  <w:t xml:space="preserve"> </w:t>
                </w:r>
                <w:r>
                  <w:br/>
                </w:r>
                <w:r>
                  <w:t xml:space="preserve">Bankstown Local Environmental Plan 2015, cll 4.3, 4.4, 4.5, 4.6, 6.14</w:t>
                </w:r>
                <w:r>
                  <w:br/>
                </w:r>
                <w:r>
                  <w:t xml:space="preserve">Canterbury-Bankstown Local Environmental Plan 2023, cl 1.8A</w:t>
                </w:r>
                <w:r>
                  <w:br/>
                </w:r>
                <w:r>
                  <w:t xml:space="preserve">Penrith Local Environmental Plan 2010, cl 7.11</w:t>
                </w:r>
                <w:r>
                  <w:br/>
                </w:r>
                <w:r>
                  <w:t xml:space="preserve">State Environmental Planning Policy (Biodiversity and Conservation) 2021</w:t>
                </w:r>
                <w:r>
                  <w:br/>
                </w:r>
                <w:r>
                  <w:t xml:space="preserve">State Environmental Planning Policy (Building Sustainability Index: BASIX) 2004</w:t>
                </w:r>
                <w:r>
                  <w:br/>
                </w:r>
                <w:r>
                  <w:t xml:space="preserve">State Environmental Planning Policy (Planning Systems) 2021, s 2.19; Sch 6 s 2</w:t>
                </w:r>
                <w:r>
                  <w:br/>
                </w:r>
                <w:r>
                  <w:t xml:space="preserve">State Environmental Planning Policy (Resilience and Hazards) 2021</w:t>
                </w:r>
                <w:r>
                  <w:br/>
                </w:r>
                <w:r>
                  <w:t xml:space="preserve">State Environmental Planning Policy (Transport and Infrastructure) 2021, s 2.122, 3.23</w:t>
                </w:r>
                <w:r>
                  <w:br/>
                </w:r>
                <w:r>
                  <w:t xml:space="preserve">State Environmental Planning Policy No 65—Design Quality of Residential Apartment Development</w:t>
                </w:r>
                <w:r>
                  <w:br/>
                </w:r>
                <w:r>
                  <w:t xml:space="preserve">Yass Valley Local Environmental Plan 2013, cll 4.1, 4.1B, 4.18</w:t>
                </w:r>
              </w:sdtContent>
            </w:sdt>
          </w:p>
        </w:tc>
      </w:tr>
      <w:tr w:rsidR="00251EE4" w:rsidTr="00AC2B81">
        <w:trPr>
          <w:trHeight w:val="331"/>
        </w:trPr>
        <w:tc>
          <w:tcPr>
            <w:tcW w:w="1669" w:type="pct"/>
          </w:tcPr>
          <w:p w:rsidRPr="00EF4519" w:rsidR="00251EE4" w:rsidP="00E827DB" w:rsidRDefault="00251EE4">
            <w:r>
              <w:t>Cases Cited:</w:t>
            </w:r>
            <w:r w:rsidRPr="00EF4519" w:rsidR="00B914EB">
              <w:t xml:space="preserve"> </w:t>
            </w:r>
          </w:p>
        </w:tc>
        <w:tc>
          <w:tcPr>
            <w:tcW w:w="3331" w:type="pct"/>
          </w:tcPr>
          <w:p w:rsidR="00251EE4" w:rsidP="001B7A55" w:rsidRDefault="00882F5B">
            <w:sdt>
              <w:sdtPr>
                <w:alias w:val="Cases Cited"/>
                <w:tag w:val="casesCited"/>
                <w:id w:val="-230469519"/>
                <w:placeholder>
                  <w:docPart w:val="A23E6993E6A8F64D83520CA63B49071B"/>
                </w:placeholder>
                <w:showingPlcHdr/>
                <w:text w:multiLine="true"/>
              </w:sdtPr>
              <w:sdtEndPr/>
              <w:sdtContent>
                <w:r>
                  <w:t xml:space="preserve">Alramon Pty Ltd v City of Ryde Council [2022] NSWLEC 108</w:t>
                </w:r>
                <w:r>
                  <w:br/>
                </w:r>
                <w:r>
                  <w:t xml:space="preserve">Argyropoulos v Canterbury Municipal Council (1988) 66 LGRA 202</w:t>
                </w:r>
                <w:r>
                  <w:br/>
                </w:r>
                <w:r>
                  <w:t xml:space="preserve">Australian Unity Funds Management Ltd in its capacity as Responsible Entity of the Australian Unity Healthcare Property Trust v Boston Nepean Pty Ltd &amp; Penrith City Council [2023] NSWLEC 49</w:t>
                </w:r>
                <w:r>
                  <w:br/>
                </w:r>
                <w:r>
                  <w:t xml:space="preserve">Ballina Shire Council v Palm Lake Works Pty Ltd [2020] NSWLEC 41</w:t>
                </w:r>
                <w:r>
                  <w:br/>
                </w:r>
                <w:r>
                  <w:t xml:space="preserve">Baulkham Hills Shire Council v O’Donnell (1990) 69 LGRA 404</w:t>
                </w:r>
                <w:r>
                  <w:br/>
                </w:r>
                <w:r>
                  <w:t xml:space="preserve">Blue Mountains City Council v Laurence Browning Pty Ltd (2006) 150 LGERA 130; [2006] NSWCA 331</w:t>
                </w:r>
                <w:r>
                  <w:br/>
                </w:r>
                <w:r>
                  <w:t xml:space="preserve">Canterbury Bankstown Council v Dib [2022] NSWLEC 79</w:t>
                </w:r>
                <w:r>
                  <w:br/>
                </w:r>
                <w:r>
                  <w:t xml:space="preserve">Chamwell Pty Ltd v Strathfield Council (2007) 151 LGERA 400; [2007] NSWLEC 114</w:t>
                </w:r>
                <w:r>
                  <w:br/>
                </w:r>
                <w:r>
                  <w:t xml:space="preserve">Elimatta Pty Ltd v Read [2021] NSWLEC 75</w:t>
                </w:r>
                <w:r>
                  <w:br/>
                </w:r>
                <w:r>
                  <w:t xml:space="preserve">Foodbarn Pty Ltd v Solicitor-General (1975) 32 LGRA 157</w:t>
                </w:r>
                <w:r>
                  <w:br/>
                </w:r>
                <w:r>
                  <w:t xml:space="preserve">Goldberg v Waverley Council [2008] NSWLEC 49</w:t>
                </w:r>
                <w:r>
                  <w:br/>
                </w:r>
                <w:r>
                  <w:t xml:space="preserve">Initial Action Pty Ltd v Woollahra Municipal Council (2018) 236 LGERA 256; [2018] NSWLEC 118</w:t>
                </w:r>
                <w:r>
                  <w:br/>
                </w:r>
                <w:r>
                  <w:t xml:space="preserve">Kentucky Fried Chicken Pty Ltd v Gantidis (1979) 140 CLR 675</w:t>
                </w:r>
                <w:r>
                  <w:br/>
                </w:r>
                <w:r>
                  <w:t xml:space="preserve">Landcorp Australia Pty Ltd v The Council of the City of Sydney [2020] NSWLEC 174</w:t>
                </w:r>
                <w:r>
                  <w:br/>
                </w:r>
                <w:r>
                  <w:t xml:space="preserve">Maygood Australia Pty Ltd v Willoughby City Council [2013] NSWLEC 142</w:t>
                </w:r>
                <w:r>
                  <w:br/>
                </w:r>
                <w:r>
                  <w:t xml:space="preserve">NCV Enterprises Pty Ltd v Tweed Shire Council [2024] NSWLEC 14</w:t>
                </w:r>
                <w:r>
                  <w:br/>
                </w:r>
                <w:r>
                  <w:t xml:space="preserve">North Sydney Council v Michael Standley &amp; Associates Pty Ltd (1998) 43 NSWLR 468</w:t>
                </w:r>
                <w:r>
                  <w:br/>
                </w:r>
                <w:r>
                  <w:t xml:space="preserve">Pet Carriers Botany Bay City Council v Pet Carriers International Pty Limited [2013] NSWLEC 147</w:t>
                </w:r>
                <w:r>
                  <w:br/>
                </w:r>
                <w:r>
                  <w:t xml:space="preserve">Randall Pty Ltd v Willoughby City Council (2005) 144 LGERA 119; [2005] NSWCA 205</w:t>
                </w:r>
                <w:r>
                  <w:br/>
                </w:r>
                <w:r>
                  <w:t xml:space="preserve">R.I.G. Consulting Pty Ltd v Queanbeyan-Palerang Regional Council (2021) 249 LGERA 377; [2021] NSWCA 130</w:t>
                </w:r>
                <w:r>
                  <w:br/>
                </w:r>
                <w:r>
                  <w:t xml:space="preserve">Rockliff Estate Pty Ltd v Liverpool City Council [2023] NSWLEC 1725</w:t>
                </w:r>
                <w:r>
                  <w:br/>
                </w:r>
                <w:r>
                  <w:t xml:space="preserve">Saffioti v Kiama Municipal Council [2019] NSWLEC 57</w:t>
                </w:r>
                <w:r>
                  <w:br/>
                </w:r>
                <w:r>
                  <w:t xml:space="preserve">Site Plus Pty Limited v Wollongong City Council [2011] NSWLEC 1371</w:t>
                </w:r>
                <w:r>
                  <w:br/>
                </w:r>
                <w:r>
                  <w:t xml:space="preserve">Site Plus Pty Ltd v Wollongong City Council [2014] NSWLEC 125</w:t>
                </w:r>
                <w:r>
                  <w:br/>
                </w:r>
                <w:r>
                  <w:t xml:space="preserve">Strathfield Municipal Council v Poynting (2001) 116 LGERA 319; [2001] NSWCA 270</w:t>
                </w:r>
                <w:r>
                  <w:br/>
                </w:r>
                <w:r>
                  <w:t xml:space="preserve">Tomasic v Port Stephens Council [2021] NSWLEC 56</w:t>
                </w:r>
                <w:r>
                  <w:br/>
                </w:r>
                <w:r>
                  <w:t xml:space="preserve">The Uniting Church in Australia Property Trust (NSW) v Parramatta City Council [2018] NSWLEC 158</w:t>
                </w:r>
                <w:r>
                  <w:br/>
                </w:r>
                <w:r>
                  <w:t xml:space="preserve">Wehbe v Pittwater Council (2007) 156 LGERA 446; [2007] NSWLEC 827</w:t>
                </w:r>
                <w:r>
                  <w:br/>
                </w:r>
                <w:r>
                  <w:t xml:space="preserve">Zhang v Canterbury City Council (2001) 115 LGERA 373; [2001] NSWCA 167</w:t>
                </w:r>
              </w:sdtContent>
            </w:sdt>
          </w:p>
        </w:tc>
      </w:tr>
      <w:tr w:rsidR="00251EE4" w:rsidTr="00AC2B81">
        <w:trPr>
          <w:trHeight w:val="381"/>
        </w:trPr>
        <w:tc>
          <w:tcPr>
            <w:tcW w:w="1669" w:type="pct"/>
          </w:tcPr>
          <w:p w:rsidRPr="00EF4519" w:rsidR="00251EE4" w:rsidP="00E827DB" w:rsidRDefault="00251EE4">
            <w:r>
              <w:t>Texts Cited:</w:t>
            </w:r>
            <w:r w:rsidRPr="00EF4519" w:rsidR="00B914EB">
              <w:t xml:space="preserve"> </w:t>
            </w:r>
          </w:p>
        </w:tc>
        <w:tc>
          <w:tcPr>
            <w:tcW w:w="3331" w:type="pct"/>
          </w:tcPr>
          <w:p w:rsidR="00251EE4" w:rsidP="00856777" w:rsidRDefault="00882F5B">
            <w:sdt>
              <w:sdtPr>
                <w:alias w:val="Texts Cited"/>
                <w:tag w:val="textsCited"/>
                <w:id w:val="-368456736"/>
                <w:placeholder>
                  <w:docPart w:val="060452A863326F40B8E9CC07DB6917FD"/>
                </w:placeholder>
                <w:showingPlcHdr/>
                <w:text w:multiLine="true"/>
              </w:sdtPr>
              <w:sdtEndPr/>
              <w:sdtContent>
                <w:r>
                  <w:t xml:space="preserve">Canterbury-Bankstown Council, Community Participation Plan</w:t>
                </w:r>
                <w:r>
                  <w:br/>
                </w:r>
                <w:r>
                  <w:t xml:space="preserve">Canterbury-Bankstown Development Control Plan 2023</w:t>
                </w:r>
                <w:r>
                  <w:br/>
                </w:r>
                <w:r>
                  <w:t xml:space="preserve">Child Care Planning Guideline</w:t>
                </w:r>
                <w:r>
                  <w:br/>
                </w:r>
                <w:r>
                  <w:t xml:space="preserve">NSW Environment Protection Authority, Development Near Rail Corridors and Busy Roads – Interim Guideline (2008)</w:t>
                </w:r>
                <w:r>
                  <w:br/>
                </w:r>
                <w:r>
                  <w:t xml:space="preserve">NSW Environment Protection Authority, Road Noise Policy (March 2011)</w:t>
                </w:r>
              </w:sdtContent>
            </w:sdt>
          </w:p>
        </w:tc>
      </w:tr>
      <w:tr w:rsidR="00251EE4" w:rsidTr="00AC2B81">
        <w:trPr>
          <w:trHeight w:val="430"/>
        </w:trPr>
        <w:tc>
          <w:tcPr>
            <w:tcW w:w="1669" w:type="pct"/>
          </w:tcPr>
          <w:p w:rsidRPr="00EF4519" w:rsidR="00251EE4" w:rsidP="00E827DB" w:rsidRDefault="00251EE4">
            <w:r>
              <w:t>Category:</w:t>
            </w:r>
            <w:r w:rsidRPr="00EF4519" w:rsidR="00B914EB">
              <w:t xml:space="preserve"> </w:t>
            </w:r>
          </w:p>
        </w:tc>
        <w:sdt>
          <w:sdtPr>
            <w:alias w:val="Category"/>
            <w:tag w:val="category"/>
            <w:id w:val="1018119699"/>
            <w:placeholder>
              <w:docPart w:val="6628CDE8242ABE4A8E58F2768A081E0C"/>
            </w:placeholder>
            <w:showingPlcHdr/>
            <w:text w:multiLine="true"/>
          </w:sdtPr>
          <w:sdtEndPr/>
          <w:sdtContent>
            <w:tc>
              <w:tcPr>
                <w:tcW w:w="3331" w:type="pct"/>
              </w:tcPr>
              <w:p w:rsidR="00251EE4" w:rsidP="001B7A55" w:rsidRDefault="001B7A55">
                <w:r>
                  <w:t xml:space="preserve">Principal judgment</w:t>
                </w:r>
              </w:p>
            </w:tc>
          </w:sdtContent>
        </w:sdt>
      </w:tr>
      <w:tr w:rsidR="00831DA1" w:rsidTr="00AC2B81">
        <w:trPr>
          <w:trHeight w:val="480"/>
        </w:trPr>
        <w:tc>
          <w:tcPr>
            <w:tcW w:w="1669" w:type="pct"/>
          </w:tcPr>
          <w:p w:rsidRPr="00EF4519" w:rsidR="00831DA1" w:rsidP="00E827DB" w:rsidRDefault="00831DA1">
            <w:r>
              <w:t>Parties:</w:t>
            </w:r>
            <w:r w:rsidRPr="00EF4519" w:rsidR="00B914EB">
              <w:t xml:space="preserve"> </w:t>
            </w:r>
          </w:p>
        </w:tc>
        <w:tc>
          <w:tcPr>
            <w:tcW w:w="3331" w:type="pct"/>
          </w:tcPr>
          <w:p w:rsidR="00831DA1" w:rsidP="001B7A55" w:rsidRDefault="00882F5B">
            <w:sdt>
              <w:sdtPr>
                <w:alias w:val="Parties"/>
                <w:tag w:val="parties"/>
                <w:id w:val="-806626852"/>
                <w:placeholder>
                  <w:docPart w:val="B3EE222B3A0F7C449BC3F6E77D0B866B"/>
                </w:placeholder>
                <w:showingPlcHdr/>
                <w:text w:multiLine="true"/>
              </w:sdtPr>
              <w:sdtEndPr/>
              <w:sdtContent>
                <w:r>
                  <w:t xml:space="preserve">Henroth Pty Ltd (Applicant)</w:t>
                </w:r>
                <w:r>
                  <w:br/>
                </w:r>
                <w:r>
                  <w:t xml:space="preserve">Canterbury-Bankstown Council (Respondent)</w:t>
                </w:r>
              </w:sdtContent>
            </w:sdt>
          </w:p>
        </w:tc>
      </w:tr>
      <w:tr w:rsidR="00251EE4" w:rsidTr="00AC2B81">
        <w:trPr>
          <w:trHeight w:val="247"/>
        </w:trPr>
        <w:tc>
          <w:tcPr>
            <w:tcW w:w="1669" w:type="pct"/>
          </w:tcPr>
          <w:p w:rsidRPr="00EF4519" w:rsidR="00251EE4" w:rsidP="00E827DB" w:rsidRDefault="00251EE4">
            <w:r>
              <w:t>Representation:</w:t>
            </w:r>
            <w:r w:rsidRPr="00EF4519" w:rsidR="00B914EB">
              <w:t xml:space="preserve"> </w:t>
            </w:r>
          </w:p>
        </w:tc>
        <w:tc>
          <w:tcPr>
            <w:tcW w:w="3331" w:type="pct"/>
          </w:tcPr>
          <w:p w:rsidR="00251EE4" w:rsidP="001B7A55" w:rsidRDefault="00882F5B">
            <w:sdt>
              <w:sdtPr>
                <w:alias w:val="Represenation"/>
                <w:tag w:val="representation"/>
                <w:id w:val="-1683732415"/>
                <w:placeholder>
                  <w:docPart w:val="1A38A171EF11A54DB21B83C7D4CB0CBA"/>
                </w:placeholder>
                <w:showingPlcHdr/>
                <w:text w:multiLine="true"/>
              </w:sdtPr>
              <w:sdtEndPr/>
              <w:sdtContent>
                <w:r>
                  <w:t xml:space="preserve">Counsel:</w:t>
                </w:r>
                <w:r>
                  <w:br/>
                </w:r>
                <w:r>
                  <w:t xml:space="preserve">A Galasso SC (Applicant)</w:t>
                </w:r>
                <w:r>
                  <w:br/>
                </w:r>
                <w:r>
                  <w:t xml:space="preserve">G Farland / T Poisel (Respondent)</w:t>
                </w:r>
                <w:r>
                  <w:br/>
                </w:r>
                <w:r>
                  <w:t xml:space="preserve"/>
                </w:r>
                <w:r>
                  <w:br/>
                </w:r>
                <w:r>
                  <w:t xml:space="preserve">Solicitors:</w:t>
                </w:r>
                <w:r>
                  <w:br/>
                </w:r>
                <w:r>
                  <w:t xml:space="preserve">Mills Oakley (Applicant)</w:t>
                </w:r>
                <w:r>
                  <w:br/>
                </w:r>
                <w:r>
                  <w:t xml:space="preserve">Canterbury-Bankstown Council (Respondent)</w:t>
                </w:r>
              </w:sdtContent>
            </w:sdt>
          </w:p>
        </w:tc>
      </w:tr>
      <w:tr w:rsidR="00251EE4" w:rsidTr="00AC2B81">
        <w:trPr>
          <w:trHeight w:val="297"/>
        </w:trPr>
        <w:tc>
          <w:tcPr>
            <w:tcW w:w="1669" w:type="pct"/>
          </w:tcPr>
          <w:p w:rsidRPr="00EF4519" w:rsidR="00251EE4" w:rsidP="00E827DB" w:rsidRDefault="00ED3424">
            <w:r>
              <w:t>File Num</w:t>
            </w:r>
            <w:r w:rsidRPr="00EF4519" w:rsidR="00162707">
              <w:t>ber</w:t>
            </w:r>
            <w:r w:rsidRPr="00EF4519" w:rsidR="00201CA2">
              <w:t>(s)</w:t>
            </w:r>
            <w:r w:rsidRPr="00EF4519">
              <w:t>:</w:t>
            </w:r>
            <w:r w:rsidRPr="00EF4519" w:rsidR="00B914EB">
              <w:t xml:space="preserve"> </w:t>
            </w:r>
          </w:p>
        </w:tc>
        <w:tc>
          <w:tcPr>
            <w:tcW w:w="3331" w:type="pct"/>
          </w:tcPr>
          <w:p w:rsidR="00251EE4" w:rsidP="001B7A55" w:rsidRDefault="00882F5B">
            <w:sdt>
              <w:sdtPr>
                <w:alias w:val="File Numbers"/>
                <w:tag w:val="fileNumbers"/>
                <w:id w:val="161209586"/>
                <w:placeholder>
                  <w:docPart w:val="C38290365A6BEE4A83D8CA3C9A53E9A8"/>
                </w:placeholder>
                <w:showingPlcHdr/>
                <w:text w:multiLine="true"/>
              </w:sdtPr>
              <w:sdtEndPr/>
              <w:sdtContent>
                <w:r>
                  <w:t xml:space="preserve">2023/128962</w:t>
                </w:r>
              </w:sdtContent>
            </w:sdt>
          </w:p>
        </w:tc>
      </w:tr>
      <w:tr w:rsidR="00277342" w:rsidTr="00AC2B81">
        <w:trPr>
          <w:trHeight w:val="361"/>
        </w:trPr>
        <w:tc>
          <w:tcPr>
            <w:tcW w:w="1669" w:type="pct"/>
          </w:tcPr>
          <w:p w:rsidRPr="00EF4519" w:rsidR="00277342" w:rsidP="00E827DB" w:rsidRDefault="00277342">
            <w:r>
              <w:t>Publication Restriction:</w:t>
            </w:r>
            <w:r w:rsidRPr="00EF4519" w:rsidR="00B914EB">
              <w:t xml:space="preserve"> </w:t>
            </w:r>
          </w:p>
        </w:tc>
        <w:tc>
          <w:tcPr>
            <w:tcW w:w="3331" w:type="pct"/>
          </w:tcPr>
          <w:p w:rsidR="00277342" w:rsidP="001B7A55" w:rsidRDefault="00882F5B">
            <w:sdt>
              <w:sdtPr>
                <w:alias w:val="Publication Restriction"/>
                <w:tag w:val="publicationRestriction"/>
                <w:id w:val="-1536037816"/>
                <w:placeholder>
                  <w:docPart w:val="A7B47E2D68429748B46F94DAB4579B86"/>
                </w:placeholder>
                <w:showingPlcHdr/>
                <w:text w:multiLine="true"/>
              </w:sdtPr>
              <w:sdtEndPr/>
              <w:sdtContent>
                <w:r>
                  <w:t xml:space="preserve">Nil</w:t>
                </w:r>
              </w:sdtContent>
            </w:sdt>
          </w:p>
        </w:tc>
      </w:tr>
    </w:tbl>
    <w:p>
      <w:pPr>
        <w:pStyle w:val="CaselawHeading1"/>
        <w:keepNext/>
        <w:spacing w:before="150" w:after="150" w:line="264"/>
        <w:ind w:left="0"/>
      </w:pPr>
      <w:r>
        <w:rPr>
          <w:rFonts w:ascii="Arial"/>
        </w:rPr>
        <w:t>TABLE OF CONTENTS</w:t>
      </w:r>
    </w:p>
    <w:p>
      <w:pPr>
        <w:pStyle w:val="CaselawNormal"/>
        <w:spacing w:before="150" w:after="150"/>
        <w:ind w:left="600"/>
        <w:jc w:val="left"/>
      </w:pPr>
      <w:hyperlink r:id="rId13">
        <w:r>
          <w:rPr>
            <w:rFonts w:ascii="Arial"/>
            <w:color w:val="000000"/>
            <w:sz w:val="24"/>
            <w:u w:val="single"/>
          </w:rPr>
          <w:t>TABLE OF CONTENTS</w:t>
        </w:r>
      </w:hyperlink>
      <w:hyperlink r:id="rId14">
        <w:r>
          <w:rPr>
            <w:rFonts w:ascii="Arial"/>
            <w:color w:val="000000"/>
            <w:sz w:val="24"/>
          </w:rPr>
          <w:t/>
        </w:r>
      </w:hyperlink>
    </w:p>
    <w:p>
      <w:pPr>
        <w:pStyle w:val="CaselawNormal"/>
        <w:spacing w:before="150" w:after="150"/>
        <w:ind w:left="600"/>
        <w:jc w:val="left"/>
      </w:pPr>
      <w:hyperlink r:id="rId15">
        <w:r>
          <w:rPr>
            <w:rFonts w:ascii="Arial"/>
            <w:color w:val="000000"/>
            <w:sz w:val="24"/>
            <w:u w:val="single"/>
          </w:rPr>
          <w:t>JUDGMENT</w:t>
        </w:r>
      </w:hyperlink>
      <w:hyperlink r:id="rId16">
        <w:r>
          <w:rPr>
            <w:rFonts w:ascii="Arial"/>
            <w:color w:val="000000"/>
            <w:sz w:val="24"/>
          </w:rPr>
          <w:t/>
        </w:r>
      </w:hyperlink>
    </w:p>
    <w:p>
      <w:pPr>
        <w:pStyle w:val="CaselawNormal"/>
        <w:spacing w:before="150" w:after="150"/>
        <w:ind w:left="1350"/>
        <w:jc w:val="left"/>
      </w:pPr>
      <w:hyperlink r:id="rId17">
        <w:r>
          <w:rPr>
            <w:rFonts w:ascii="Arial"/>
            <w:color w:val="000000"/>
            <w:sz w:val="24"/>
            <w:u w:val="single"/>
          </w:rPr>
          <w:t>Introduction</w:t>
        </w:r>
      </w:hyperlink>
      <w:hyperlink r:id="rId18">
        <w:r>
          <w:rPr>
            <w:rFonts w:ascii="Arial"/>
            <w:color w:val="000000"/>
            <w:sz w:val="24"/>
          </w:rPr>
          <w:t/>
        </w:r>
      </w:hyperlink>
    </w:p>
    <w:p>
      <w:pPr>
        <w:pStyle w:val="CaselawNormal"/>
        <w:spacing w:before="150" w:after="150"/>
        <w:ind w:left="1350"/>
        <w:jc w:val="left"/>
      </w:pPr>
      <w:hyperlink r:id="rId19">
        <w:r>
          <w:rPr>
            <w:rFonts w:ascii="Arial"/>
            <w:color w:val="000000"/>
            <w:sz w:val="24"/>
            <w:u w:val="single"/>
          </w:rPr>
          <w:t>The proposal</w:t>
        </w:r>
      </w:hyperlink>
      <w:hyperlink r:id="rId20">
        <w:r>
          <w:rPr>
            <w:rFonts w:ascii="Arial"/>
            <w:color w:val="000000"/>
            <w:sz w:val="24"/>
          </w:rPr>
          <w:t/>
        </w:r>
      </w:hyperlink>
    </w:p>
    <w:p>
      <w:pPr>
        <w:pStyle w:val="CaselawNormal"/>
        <w:spacing w:before="150" w:after="150"/>
        <w:ind w:left="1350"/>
        <w:jc w:val="left"/>
      </w:pPr>
      <w:hyperlink r:id="rId21">
        <w:r>
          <w:rPr>
            <w:rFonts w:ascii="Arial"/>
            <w:color w:val="000000"/>
            <w:sz w:val="24"/>
            <w:u w:val="single"/>
          </w:rPr>
          <w:t>The Class 1 appeal</w:t>
        </w:r>
      </w:hyperlink>
      <w:hyperlink r:id="rId22">
        <w:r>
          <w:rPr>
            <w:rFonts w:ascii="Arial"/>
            <w:color w:val="000000"/>
            <w:sz w:val="24"/>
          </w:rPr>
          <w:t/>
        </w:r>
      </w:hyperlink>
    </w:p>
    <w:p>
      <w:pPr>
        <w:pStyle w:val="CaselawNormal"/>
        <w:spacing w:before="150" w:after="150"/>
        <w:ind w:left="1350"/>
        <w:jc w:val="left"/>
      </w:pPr>
      <w:hyperlink r:id="rId23">
        <w:r>
          <w:rPr>
            <w:rFonts w:ascii="Arial"/>
            <w:color w:val="000000"/>
            <w:sz w:val="24"/>
            <w:u w:val="single"/>
          </w:rPr>
          <w:t>Decision</w:t>
        </w:r>
      </w:hyperlink>
      <w:hyperlink r:id="rId24">
        <w:r>
          <w:rPr>
            <w:rFonts w:ascii="Arial"/>
            <w:color w:val="000000"/>
            <w:sz w:val="24"/>
          </w:rPr>
          <w:t/>
        </w:r>
      </w:hyperlink>
    </w:p>
    <w:p>
      <w:pPr>
        <w:pStyle w:val="CaselawNormal"/>
        <w:spacing w:before="150" w:after="150"/>
        <w:ind w:left="1350"/>
        <w:jc w:val="left"/>
      </w:pPr>
      <w:hyperlink r:id="rId25">
        <w:r>
          <w:rPr>
            <w:rFonts w:ascii="Arial"/>
            <w:color w:val="000000"/>
            <w:sz w:val="24"/>
            <w:u w:val="single"/>
          </w:rPr>
          <w:t>Facts</w:t>
        </w:r>
      </w:hyperlink>
      <w:hyperlink r:id="rId26">
        <w:r>
          <w:rPr>
            <w:rFonts w:ascii="Arial"/>
            <w:color w:val="000000"/>
            <w:sz w:val="24"/>
          </w:rPr>
          <w:t/>
        </w:r>
      </w:hyperlink>
    </w:p>
    <w:p>
      <w:pPr>
        <w:pStyle w:val="CaselawNormal"/>
        <w:spacing w:before="150" w:after="150"/>
        <w:ind w:left="1350"/>
        <w:jc w:val="left"/>
      </w:pPr>
      <w:hyperlink r:id="rId27">
        <w:r>
          <w:rPr>
            <w:rFonts w:ascii="Arial"/>
            <w:color w:val="000000"/>
            <w:sz w:val="24"/>
            <w:u w:val="single"/>
          </w:rPr>
          <w:t>The statutory framework</w:t>
        </w:r>
      </w:hyperlink>
      <w:hyperlink r:id="rId28">
        <w:r>
          <w:rPr>
            <w:rFonts w:ascii="Arial"/>
            <w:color w:val="000000"/>
            <w:sz w:val="24"/>
          </w:rPr>
          <w:t/>
        </w:r>
      </w:hyperlink>
    </w:p>
    <w:p>
      <w:pPr>
        <w:pStyle w:val="CaselawNormal"/>
        <w:spacing w:before="150" w:after="150"/>
        <w:ind w:left="1350"/>
        <w:jc w:val="left"/>
      </w:pPr>
      <w:hyperlink r:id="rId29">
        <w:r>
          <w:rPr>
            <w:rFonts w:ascii="Arial"/>
            <w:color w:val="000000"/>
            <w:sz w:val="24"/>
            <w:u w:val="single"/>
          </w:rPr>
          <w:t>Expert evidence</w:t>
        </w:r>
      </w:hyperlink>
      <w:hyperlink r:id="rId30">
        <w:r>
          <w:rPr>
            <w:rFonts w:ascii="Arial"/>
            <w:color w:val="000000"/>
            <w:sz w:val="24"/>
          </w:rPr>
          <w:t/>
        </w:r>
      </w:hyperlink>
    </w:p>
    <w:p>
      <w:pPr>
        <w:pStyle w:val="CaselawNormal"/>
        <w:spacing w:before="150" w:after="150"/>
        <w:ind w:left="1350"/>
        <w:jc w:val="left"/>
      </w:pPr>
      <w:hyperlink r:id="rId31">
        <w:r>
          <w:rPr>
            <w:rFonts w:ascii="Arial"/>
            <w:color w:val="000000"/>
            <w:sz w:val="24"/>
            <w:u w:val="single"/>
          </w:rPr>
          <w:t>Contentions</w:t>
        </w:r>
      </w:hyperlink>
      <w:hyperlink r:id="rId32">
        <w:r>
          <w:rPr>
            <w:rFonts w:ascii="Arial"/>
            <w:color w:val="000000"/>
            <w:sz w:val="24"/>
          </w:rPr>
          <w:t/>
        </w:r>
      </w:hyperlink>
    </w:p>
    <w:p>
      <w:pPr>
        <w:pStyle w:val="CaselawNormal"/>
        <w:spacing w:before="150" w:after="150"/>
        <w:ind w:left="1350"/>
        <w:jc w:val="left"/>
      </w:pPr>
      <w:hyperlink r:id="rId33">
        <w:r>
          <w:rPr>
            <w:rFonts w:ascii="Arial"/>
            <w:color w:val="000000"/>
            <w:sz w:val="24"/>
            <w:u w:val="single"/>
          </w:rPr>
          <w:t>Contention 1 – The permissibility of the proposed road over 87 Norfolk Road</w:t>
        </w:r>
      </w:hyperlink>
      <w:hyperlink r:id="rId34">
        <w:r>
          <w:rPr>
            <w:rFonts w:ascii="Arial"/>
            <w:color w:val="000000"/>
            <w:sz w:val="24"/>
          </w:rPr>
          <w:t/>
        </w:r>
      </w:hyperlink>
    </w:p>
    <w:p>
      <w:pPr>
        <w:pStyle w:val="CaselawNormal"/>
        <w:spacing w:before="150" w:after="150"/>
        <w:ind w:left="2100"/>
        <w:jc w:val="left"/>
      </w:pPr>
      <w:hyperlink r:id="rId35">
        <w:r>
          <w:rPr>
            <w:rFonts w:ascii="Arial"/>
            <w:color w:val="000000"/>
            <w:sz w:val="24"/>
            <w:u w:val="single"/>
          </w:rPr>
          <w:t>Council’s position</w:t>
        </w:r>
      </w:hyperlink>
      <w:hyperlink r:id="rId36">
        <w:r>
          <w:rPr>
            <w:rFonts w:ascii="Arial"/>
            <w:color w:val="000000"/>
            <w:sz w:val="24"/>
          </w:rPr>
          <w:t/>
        </w:r>
      </w:hyperlink>
    </w:p>
    <w:p>
      <w:pPr>
        <w:pStyle w:val="CaselawNormal"/>
        <w:spacing w:before="150" w:after="150"/>
        <w:ind w:left="2100"/>
        <w:jc w:val="left"/>
      </w:pPr>
      <w:hyperlink r:id="rId37">
        <w:r>
          <w:rPr>
            <w:rFonts w:ascii="Arial"/>
            <w:color w:val="000000"/>
            <w:sz w:val="24"/>
            <w:u w:val="single"/>
          </w:rPr>
          <w:t>Henroth’s position</w:t>
        </w:r>
      </w:hyperlink>
      <w:hyperlink r:id="rId38">
        <w:r>
          <w:rPr>
            <w:rFonts w:ascii="Arial"/>
            <w:color w:val="000000"/>
            <w:sz w:val="24"/>
          </w:rPr>
          <w:t/>
        </w:r>
      </w:hyperlink>
    </w:p>
    <w:p>
      <w:pPr>
        <w:pStyle w:val="CaselawNormal"/>
        <w:spacing w:before="150" w:after="150"/>
        <w:ind w:left="2100"/>
        <w:jc w:val="left"/>
      </w:pPr>
      <w:hyperlink r:id="rId39">
        <w:r>
          <w:rPr>
            <w:rFonts w:ascii="Arial"/>
            <w:color w:val="000000"/>
            <w:sz w:val="24"/>
            <w:u w:val="single"/>
          </w:rPr>
          <w:t>Contention 1 - Considerations and findings</w:t>
        </w:r>
      </w:hyperlink>
      <w:hyperlink r:id="rId40">
        <w:r>
          <w:rPr>
            <w:rFonts w:ascii="Arial"/>
            <w:color w:val="000000"/>
            <w:sz w:val="24"/>
          </w:rPr>
          <w:t/>
        </w:r>
      </w:hyperlink>
    </w:p>
    <w:p>
      <w:pPr>
        <w:pStyle w:val="CaselawNormal"/>
        <w:spacing w:before="150" w:after="150"/>
        <w:ind w:left="1350"/>
        <w:jc w:val="left"/>
      </w:pPr>
      <w:hyperlink r:id="rId41">
        <w:r>
          <w:rPr>
            <w:rFonts w:ascii="Arial"/>
            <w:color w:val="000000"/>
            <w:sz w:val="24"/>
            <w:u w:val="single"/>
          </w:rPr>
          <w:t>Contention 2 – Is cl 6.14 of LEP 2015 a development standard?</w:t>
        </w:r>
      </w:hyperlink>
      <w:hyperlink r:id="rId42">
        <w:r>
          <w:rPr>
            <w:rFonts w:ascii="Arial"/>
            <w:color w:val="000000"/>
            <w:sz w:val="24"/>
          </w:rPr>
          <w:t/>
        </w:r>
      </w:hyperlink>
    </w:p>
    <w:p>
      <w:pPr>
        <w:pStyle w:val="CaselawNormal"/>
        <w:spacing w:before="150" w:after="150"/>
        <w:ind w:left="2100"/>
        <w:jc w:val="left"/>
      </w:pPr>
      <w:hyperlink r:id="rId43">
        <w:r>
          <w:rPr>
            <w:rFonts w:ascii="Arial"/>
            <w:color w:val="000000"/>
            <w:sz w:val="24"/>
            <w:u w:val="single"/>
          </w:rPr>
          <w:t>Council’s position</w:t>
        </w:r>
      </w:hyperlink>
      <w:hyperlink r:id="rId44">
        <w:r>
          <w:rPr>
            <w:rFonts w:ascii="Arial"/>
            <w:color w:val="000000"/>
            <w:sz w:val="24"/>
          </w:rPr>
          <w:t/>
        </w:r>
      </w:hyperlink>
    </w:p>
    <w:p>
      <w:pPr>
        <w:pStyle w:val="CaselawNormal"/>
        <w:spacing w:before="150" w:after="150"/>
        <w:ind w:left="2100"/>
        <w:jc w:val="left"/>
      </w:pPr>
      <w:hyperlink r:id="rId45">
        <w:r>
          <w:rPr>
            <w:rFonts w:ascii="Arial"/>
            <w:color w:val="000000"/>
            <w:sz w:val="24"/>
            <w:u w:val="single"/>
          </w:rPr>
          <w:t>Henroth’s position</w:t>
        </w:r>
      </w:hyperlink>
      <w:hyperlink r:id="rId46">
        <w:r>
          <w:rPr>
            <w:rFonts w:ascii="Arial"/>
            <w:color w:val="000000"/>
            <w:sz w:val="24"/>
          </w:rPr>
          <w:t/>
        </w:r>
      </w:hyperlink>
    </w:p>
    <w:p>
      <w:pPr>
        <w:pStyle w:val="CaselawNormal"/>
        <w:spacing w:before="150" w:after="150"/>
        <w:ind w:left="2100"/>
        <w:jc w:val="left"/>
      </w:pPr>
      <w:hyperlink r:id="rId47">
        <w:r>
          <w:rPr>
            <w:rFonts w:ascii="Arial"/>
            <w:color w:val="000000"/>
            <w:sz w:val="24"/>
            <w:u w:val="single"/>
          </w:rPr>
          <w:t>Finding – cl 6.14(4) is a development standard</w:t>
        </w:r>
      </w:hyperlink>
      <w:hyperlink r:id="rId48">
        <w:r>
          <w:rPr>
            <w:rFonts w:ascii="Arial"/>
            <w:color w:val="000000"/>
            <w:sz w:val="24"/>
          </w:rPr>
          <w:t/>
        </w:r>
      </w:hyperlink>
    </w:p>
    <w:p>
      <w:pPr>
        <w:pStyle w:val="CaselawNormal"/>
        <w:spacing w:before="150" w:after="150"/>
        <w:ind w:left="1350"/>
        <w:jc w:val="left"/>
      </w:pPr>
      <w:hyperlink r:id="rId49">
        <w:r>
          <w:rPr>
            <w:rFonts w:ascii="Arial"/>
            <w:color w:val="000000"/>
            <w:sz w:val="24"/>
            <w:u w:val="single"/>
          </w:rPr>
          <w:t>Contention 5 - Non-compliance with LEP 2015 and Contention 6 - Non-compliance with the draft LEP</w:t>
        </w:r>
      </w:hyperlink>
      <w:hyperlink r:id="rId50">
        <w:r>
          <w:rPr>
            <w:rFonts w:ascii="Arial"/>
            <w:color w:val="000000"/>
            <w:sz w:val="24"/>
          </w:rPr>
          <w:t/>
        </w:r>
      </w:hyperlink>
    </w:p>
    <w:p>
      <w:pPr>
        <w:pStyle w:val="CaselawNormal"/>
        <w:spacing w:before="150" w:after="150"/>
        <w:ind w:left="2100"/>
        <w:jc w:val="left"/>
      </w:pPr>
      <w:hyperlink r:id="rId51">
        <w:r>
          <w:rPr>
            <w:rFonts w:ascii="Arial"/>
            <w:color w:val="000000"/>
            <w:sz w:val="24"/>
            <w:u w:val="single"/>
          </w:rPr>
          <w:t>Driveway/public road connection to Norfolk Road</w:t>
        </w:r>
      </w:hyperlink>
      <w:hyperlink r:id="rId52">
        <w:r>
          <w:rPr>
            <w:rFonts w:ascii="Arial"/>
            <w:color w:val="000000"/>
            <w:sz w:val="24"/>
          </w:rPr>
          <w:t/>
        </w:r>
      </w:hyperlink>
    </w:p>
    <w:p>
      <w:pPr>
        <w:pStyle w:val="CaselawNormal"/>
        <w:spacing w:before="150" w:after="150"/>
        <w:ind w:left="2100"/>
        <w:jc w:val="left"/>
      </w:pPr>
      <w:hyperlink r:id="rId53">
        <w:r>
          <w:rPr>
            <w:rFonts w:ascii="Arial"/>
            <w:color w:val="000000"/>
            <w:sz w:val="24"/>
            <w:u w:val="single"/>
          </w:rPr>
          <w:t>Contention 5 – Finding</w:t>
        </w:r>
      </w:hyperlink>
      <w:hyperlink r:id="rId54">
        <w:r>
          <w:rPr>
            <w:rFonts w:ascii="Arial"/>
            <w:color w:val="000000"/>
            <w:sz w:val="24"/>
          </w:rPr>
          <w:t/>
        </w:r>
      </w:hyperlink>
    </w:p>
    <w:p>
      <w:pPr>
        <w:pStyle w:val="CaselawNormal"/>
        <w:spacing w:before="150" w:after="150"/>
        <w:ind w:left="1350"/>
        <w:jc w:val="left"/>
      </w:pPr>
      <w:hyperlink r:id="rId55">
        <w:r>
          <w:rPr>
            <w:rFonts w:ascii="Arial"/>
            <w:color w:val="000000"/>
            <w:sz w:val="24"/>
            <w:u w:val="single"/>
          </w:rPr>
          <w:t>Contention 6 - Non-compliance with cl 6.14 of LEP 2015</w:t>
        </w:r>
      </w:hyperlink>
      <w:hyperlink r:id="rId56">
        <w:r>
          <w:rPr>
            <w:rFonts w:ascii="Arial"/>
            <w:color w:val="000000"/>
            <w:sz w:val="24"/>
          </w:rPr>
          <w:t/>
        </w:r>
      </w:hyperlink>
    </w:p>
    <w:p>
      <w:pPr>
        <w:pStyle w:val="CaselawNormal"/>
        <w:spacing w:before="150" w:after="150"/>
        <w:ind w:left="2100"/>
        <w:jc w:val="left"/>
      </w:pPr>
      <w:hyperlink r:id="rId57">
        <w:r>
          <w:rPr>
            <w:rFonts w:ascii="Arial"/>
            <w:color w:val="000000"/>
            <w:sz w:val="24"/>
            <w:u w:val="single"/>
          </w:rPr>
          <w:t>Clause 6.14(4)(a) – Proposed consolidation – No issue, capable of compliance</w:t>
        </w:r>
      </w:hyperlink>
      <w:hyperlink r:id="rId58">
        <w:r>
          <w:rPr>
            <w:rFonts w:ascii="Arial"/>
            <w:color w:val="000000"/>
            <w:sz w:val="24"/>
          </w:rPr>
          <w:t/>
        </w:r>
      </w:hyperlink>
    </w:p>
    <w:p>
      <w:pPr>
        <w:pStyle w:val="CaselawNormal"/>
        <w:spacing w:before="150" w:after="150"/>
        <w:ind w:left="2100"/>
        <w:jc w:val="left"/>
      </w:pPr>
      <w:hyperlink r:id="rId59">
        <w:r>
          <w:rPr>
            <w:rFonts w:ascii="Arial"/>
            <w:color w:val="000000"/>
            <w:sz w:val="24"/>
            <w:u w:val="single"/>
          </w:rPr>
          <w:t>Clause 6.14(4)(b) - Insufficient commercial floorspace</w:t>
        </w:r>
      </w:hyperlink>
      <w:hyperlink r:id="rId60">
        <w:r>
          <w:rPr>
            <w:rFonts w:ascii="Arial"/>
            <w:color w:val="000000"/>
            <w:sz w:val="24"/>
          </w:rPr>
          <w:t/>
        </w:r>
      </w:hyperlink>
    </w:p>
    <w:p>
      <w:pPr>
        <w:pStyle w:val="CaselawNormal"/>
        <w:spacing w:before="150" w:after="150"/>
        <w:ind w:left="2850"/>
        <w:jc w:val="left"/>
      </w:pPr>
      <w:hyperlink r:id="rId61">
        <w:r>
          <w:rPr>
            <w:rFonts w:ascii="Arial"/>
            <w:color w:val="000000"/>
            <w:sz w:val="24"/>
            <w:u w:val="single"/>
          </w:rPr>
          <w:t>Council’s position</w:t>
        </w:r>
      </w:hyperlink>
      <w:hyperlink r:id="rId62">
        <w:r>
          <w:rPr>
            <w:rFonts w:ascii="Arial"/>
            <w:color w:val="000000"/>
            <w:sz w:val="24"/>
          </w:rPr>
          <w:t/>
        </w:r>
      </w:hyperlink>
    </w:p>
    <w:p>
      <w:pPr>
        <w:pStyle w:val="CaselawNormal"/>
        <w:spacing w:before="150" w:after="150"/>
        <w:ind w:left="2850"/>
        <w:jc w:val="left"/>
      </w:pPr>
      <w:hyperlink r:id="rId63">
        <w:r>
          <w:rPr>
            <w:rFonts w:ascii="Arial"/>
            <w:color w:val="000000"/>
            <w:sz w:val="24"/>
            <w:u w:val="single"/>
          </w:rPr>
          <w:t>Henroth’s position</w:t>
        </w:r>
      </w:hyperlink>
      <w:hyperlink r:id="rId64">
        <w:r>
          <w:rPr>
            <w:rFonts w:ascii="Arial"/>
            <w:color w:val="000000"/>
            <w:sz w:val="24"/>
          </w:rPr>
          <w:t/>
        </w:r>
      </w:hyperlink>
    </w:p>
    <w:p>
      <w:pPr>
        <w:pStyle w:val="CaselawNormal"/>
        <w:spacing w:before="150" w:after="150"/>
        <w:ind w:left="2850"/>
        <w:jc w:val="left"/>
      </w:pPr>
      <w:hyperlink r:id="rId65">
        <w:r>
          <w:rPr>
            <w:rFonts w:ascii="Arial"/>
            <w:color w:val="000000"/>
            <w:sz w:val="24"/>
            <w:u w:val="single"/>
          </w:rPr>
          <w:t>Clause 6.14(4)(b) - Finding</w:t>
        </w:r>
      </w:hyperlink>
      <w:hyperlink r:id="rId66">
        <w:r>
          <w:rPr>
            <w:rFonts w:ascii="Arial"/>
            <w:color w:val="000000"/>
            <w:sz w:val="24"/>
          </w:rPr>
          <w:t/>
        </w:r>
      </w:hyperlink>
    </w:p>
    <w:p>
      <w:pPr>
        <w:pStyle w:val="CaselawNormal"/>
        <w:spacing w:before="150" w:after="150"/>
        <w:ind w:left="2100"/>
        <w:jc w:val="left"/>
      </w:pPr>
      <w:hyperlink r:id="rId67">
        <w:r>
          <w:rPr>
            <w:rFonts w:ascii="Arial"/>
            <w:color w:val="000000"/>
            <w:sz w:val="24"/>
            <w:u w:val="single"/>
          </w:rPr>
          <w:t>Clause 6.14(4)(c) - Insufficient southern setback</w:t>
        </w:r>
      </w:hyperlink>
      <w:hyperlink r:id="rId68">
        <w:r>
          <w:rPr>
            <w:rFonts w:ascii="Arial"/>
            <w:color w:val="000000"/>
            <w:sz w:val="24"/>
          </w:rPr>
          <w:t/>
        </w:r>
      </w:hyperlink>
    </w:p>
    <w:p>
      <w:pPr>
        <w:pStyle w:val="CaselawNormal"/>
        <w:spacing w:before="150" w:after="150"/>
        <w:ind w:left="2850"/>
        <w:jc w:val="left"/>
      </w:pPr>
      <w:hyperlink r:id="rId69">
        <w:r>
          <w:rPr>
            <w:rFonts w:ascii="Arial"/>
            <w:color w:val="000000"/>
            <w:sz w:val="24"/>
            <w:u w:val="single"/>
          </w:rPr>
          <w:t>Council’s position</w:t>
        </w:r>
      </w:hyperlink>
      <w:hyperlink r:id="rId70">
        <w:r>
          <w:rPr>
            <w:rFonts w:ascii="Arial"/>
            <w:color w:val="000000"/>
            <w:sz w:val="24"/>
          </w:rPr>
          <w:t/>
        </w:r>
      </w:hyperlink>
    </w:p>
    <w:p>
      <w:pPr>
        <w:pStyle w:val="CaselawNormal"/>
        <w:spacing w:before="150" w:after="150"/>
        <w:ind w:left="2850"/>
        <w:jc w:val="left"/>
      </w:pPr>
      <w:hyperlink r:id="rId71">
        <w:r>
          <w:rPr>
            <w:rFonts w:ascii="Arial"/>
            <w:color w:val="000000"/>
            <w:sz w:val="24"/>
            <w:u w:val="single"/>
          </w:rPr>
          <w:t>Henroth’s position</w:t>
        </w:r>
      </w:hyperlink>
      <w:hyperlink r:id="rId72">
        <w:r>
          <w:rPr>
            <w:rFonts w:ascii="Arial"/>
            <w:color w:val="000000"/>
            <w:sz w:val="24"/>
          </w:rPr>
          <w:t/>
        </w:r>
      </w:hyperlink>
    </w:p>
    <w:p>
      <w:pPr>
        <w:pStyle w:val="CaselawNormal"/>
        <w:spacing w:before="150" w:after="150"/>
        <w:ind w:left="2850"/>
        <w:jc w:val="left"/>
      </w:pPr>
      <w:hyperlink r:id="rId73">
        <w:r>
          <w:rPr>
            <w:rFonts w:ascii="Arial"/>
            <w:color w:val="000000"/>
            <w:sz w:val="24"/>
            <w:u w:val="single"/>
          </w:rPr>
          <w:t>Clause 6.14(4)(c) - Finding</w:t>
        </w:r>
      </w:hyperlink>
      <w:hyperlink r:id="rId74">
        <w:r>
          <w:rPr>
            <w:rFonts w:ascii="Arial"/>
            <w:color w:val="000000"/>
            <w:sz w:val="24"/>
          </w:rPr>
          <w:t/>
        </w:r>
      </w:hyperlink>
    </w:p>
    <w:p>
      <w:pPr>
        <w:pStyle w:val="CaselawNormal"/>
        <w:spacing w:before="150" w:after="150"/>
        <w:ind w:left="2100"/>
        <w:jc w:val="left"/>
      </w:pPr>
      <w:hyperlink r:id="rId75">
        <w:r>
          <w:rPr>
            <w:rFonts w:ascii="Arial"/>
            <w:color w:val="000000"/>
            <w:sz w:val="24"/>
            <w:u w:val="single"/>
          </w:rPr>
          <w:t>Clause 6.14(4)(d) - Insufficient eastern setback</w:t>
        </w:r>
      </w:hyperlink>
      <w:hyperlink r:id="rId76">
        <w:r>
          <w:rPr>
            <w:rFonts w:ascii="Arial"/>
            <w:color w:val="000000"/>
            <w:sz w:val="24"/>
          </w:rPr>
          <w:t/>
        </w:r>
      </w:hyperlink>
    </w:p>
    <w:p>
      <w:pPr>
        <w:pStyle w:val="CaselawNormal"/>
        <w:spacing w:before="150" w:after="150"/>
        <w:ind w:left="2850"/>
        <w:jc w:val="left"/>
      </w:pPr>
      <w:hyperlink r:id="rId77">
        <w:r>
          <w:rPr>
            <w:rFonts w:ascii="Arial"/>
            <w:color w:val="000000"/>
            <w:sz w:val="24"/>
            <w:u w:val="single"/>
          </w:rPr>
          <w:t>Council’s position</w:t>
        </w:r>
      </w:hyperlink>
      <w:hyperlink r:id="rId78">
        <w:r>
          <w:rPr>
            <w:rFonts w:ascii="Arial"/>
            <w:color w:val="000000"/>
            <w:sz w:val="24"/>
          </w:rPr>
          <w:t/>
        </w:r>
      </w:hyperlink>
    </w:p>
    <w:p>
      <w:pPr>
        <w:pStyle w:val="CaselawNormal"/>
        <w:spacing w:before="150" w:after="150"/>
        <w:ind w:left="2850"/>
        <w:jc w:val="left"/>
      </w:pPr>
      <w:hyperlink r:id="rId79">
        <w:r>
          <w:rPr>
            <w:rFonts w:ascii="Arial"/>
            <w:color w:val="000000"/>
            <w:sz w:val="24"/>
            <w:u w:val="single"/>
          </w:rPr>
          <w:t>Henroth’s position</w:t>
        </w:r>
      </w:hyperlink>
      <w:hyperlink r:id="rId80">
        <w:r>
          <w:rPr>
            <w:rFonts w:ascii="Arial"/>
            <w:color w:val="000000"/>
            <w:sz w:val="24"/>
          </w:rPr>
          <w:t/>
        </w:r>
      </w:hyperlink>
    </w:p>
    <w:p>
      <w:pPr>
        <w:pStyle w:val="CaselawNormal"/>
        <w:spacing w:before="150" w:after="150"/>
        <w:ind w:left="2850"/>
        <w:jc w:val="left"/>
      </w:pPr>
      <w:hyperlink r:id="rId81">
        <w:r>
          <w:rPr>
            <w:rFonts w:ascii="Arial"/>
            <w:color w:val="000000"/>
            <w:sz w:val="24"/>
            <w:u w:val="single"/>
          </w:rPr>
          <w:t>Clause 6.14(4)(d) - Finding</w:t>
        </w:r>
      </w:hyperlink>
      <w:hyperlink r:id="rId82">
        <w:r>
          <w:rPr>
            <w:rFonts w:ascii="Arial"/>
            <w:color w:val="000000"/>
            <w:sz w:val="24"/>
          </w:rPr>
          <w:t/>
        </w:r>
      </w:hyperlink>
    </w:p>
    <w:p>
      <w:pPr>
        <w:pStyle w:val="CaselawNormal"/>
        <w:spacing w:before="150" w:after="150"/>
        <w:ind w:left="2100"/>
        <w:jc w:val="left"/>
      </w:pPr>
      <w:hyperlink r:id="rId83">
        <w:r>
          <w:rPr>
            <w:rFonts w:ascii="Arial"/>
            <w:color w:val="000000"/>
            <w:sz w:val="24"/>
            <w:u w:val="single"/>
          </w:rPr>
          <w:t>Clause 6.14(4)(f) - Adverse environmental impacts on Norfolk Reserve</w:t>
        </w:r>
      </w:hyperlink>
      <w:hyperlink r:id="rId84">
        <w:r>
          <w:rPr>
            <w:rFonts w:ascii="Arial"/>
            <w:color w:val="000000"/>
            <w:sz w:val="24"/>
          </w:rPr>
          <w:t/>
        </w:r>
      </w:hyperlink>
    </w:p>
    <w:p>
      <w:pPr>
        <w:pStyle w:val="CaselawNormal"/>
        <w:spacing w:before="150" w:after="150"/>
        <w:ind w:left="2100"/>
        <w:jc w:val="left"/>
      </w:pPr>
      <w:hyperlink r:id="rId85">
        <w:r>
          <w:rPr>
            <w:rFonts w:ascii="Arial"/>
            <w:color w:val="000000"/>
            <w:sz w:val="24"/>
            <w:u w:val="single"/>
          </w:rPr>
          <w:t>Clause 4.6 written request to vary cl 6.14(4)(c) and (4)(d) - Consideration and Findings</w:t>
        </w:r>
      </w:hyperlink>
      <w:hyperlink r:id="rId86">
        <w:r>
          <w:rPr>
            <w:rFonts w:ascii="Arial"/>
            <w:color w:val="000000"/>
            <w:sz w:val="24"/>
          </w:rPr>
          <w:t/>
        </w:r>
      </w:hyperlink>
    </w:p>
    <w:p>
      <w:pPr>
        <w:pStyle w:val="CaselawNormal"/>
        <w:spacing w:before="150" w:after="150"/>
        <w:ind w:left="2850"/>
        <w:jc w:val="left"/>
      </w:pPr>
      <w:hyperlink r:id="rId87">
        <w:r>
          <w:rPr>
            <w:rFonts w:ascii="Arial"/>
            <w:color w:val="000000"/>
            <w:sz w:val="24"/>
            <w:u w:val="single"/>
          </w:rPr>
          <w:t>Southern setback</w:t>
        </w:r>
      </w:hyperlink>
      <w:hyperlink r:id="rId88">
        <w:r>
          <w:rPr>
            <w:rFonts w:ascii="Arial"/>
            <w:color w:val="000000"/>
            <w:sz w:val="24"/>
          </w:rPr>
          <w:t/>
        </w:r>
      </w:hyperlink>
    </w:p>
    <w:p>
      <w:pPr>
        <w:pStyle w:val="CaselawNormal"/>
        <w:spacing w:before="150" w:after="150"/>
        <w:ind w:left="2850"/>
        <w:jc w:val="left"/>
      </w:pPr>
      <w:hyperlink r:id="rId89">
        <w:r>
          <w:rPr>
            <w:rFonts w:ascii="Arial"/>
            <w:color w:val="000000"/>
            <w:sz w:val="24"/>
            <w:u w:val="single"/>
          </w:rPr>
          <w:t>Eastern setback</w:t>
        </w:r>
      </w:hyperlink>
      <w:hyperlink r:id="rId90">
        <w:r>
          <w:rPr>
            <w:rFonts w:ascii="Arial"/>
            <w:color w:val="000000"/>
            <w:sz w:val="24"/>
          </w:rPr>
          <w:t/>
        </w:r>
      </w:hyperlink>
    </w:p>
    <w:p>
      <w:pPr>
        <w:pStyle w:val="CaselawNormal"/>
        <w:spacing w:before="150" w:after="150"/>
        <w:ind w:left="2100"/>
        <w:jc w:val="left"/>
      </w:pPr>
      <w:hyperlink r:id="rId91">
        <w:r>
          <w:rPr>
            <w:rFonts w:ascii="Arial"/>
            <w:color w:val="000000"/>
            <w:sz w:val="24"/>
            <w:u w:val="single"/>
          </w:rPr>
          <w:t>Clause 6.14(4) of LEP 2015 – Compliance</w:t>
        </w:r>
      </w:hyperlink>
      <w:hyperlink r:id="rId92">
        <w:r>
          <w:rPr>
            <w:rFonts w:ascii="Arial"/>
            <w:color w:val="000000"/>
            <w:sz w:val="24"/>
          </w:rPr>
          <w:t/>
        </w:r>
      </w:hyperlink>
    </w:p>
    <w:p>
      <w:pPr>
        <w:pStyle w:val="CaselawNormal"/>
        <w:spacing w:before="150" w:after="150"/>
        <w:ind w:left="1350"/>
        <w:jc w:val="left"/>
      </w:pPr>
      <w:hyperlink r:id="rId93">
        <w:r>
          <w:rPr>
            <w:rFonts w:ascii="Arial"/>
            <w:color w:val="000000"/>
            <w:sz w:val="24"/>
            <w:u w:val="single"/>
          </w:rPr>
          <w:t>Contention 8 – Childcare centres</w:t>
        </w:r>
      </w:hyperlink>
      <w:hyperlink r:id="rId94">
        <w:r>
          <w:rPr>
            <w:rFonts w:ascii="Arial"/>
            <w:color w:val="000000"/>
            <w:sz w:val="24"/>
          </w:rPr>
          <w:t/>
        </w:r>
      </w:hyperlink>
    </w:p>
    <w:p>
      <w:pPr>
        <w:pStyle w:val="CaselawNormal"/>
        <w:spacing w:before="150" w:after="150"/>
        <w:ind w:left="1350"/>
        <w:jc w:val="left"/>
      </w:pPr>
      <w:hyperlink r:id="rId95">
        <w:r>
          <w:rPr>
            <w:rFonts w:ascii="Arial"/>
            <w:color w:val="000000"/>
            <w:sz w:val="24"/>
            <w:u w:val="single"/>
          </w:rPr>
          <w:t>Contentions 39 and 41 - Ecology issues</w:t>
        </w:r>
      </w:hyperlink>
      <w:hyperlink r:id="rId96">
        <w:r>
          <w:rPr>
            <w:rFonts w:ascii="Arial"/>
            <w:color w:val="000000"/>
            <w:sz w:val="24"/>
          </w:rPr>
          <w:t/>
        </w:r>
      </w:hyperlink>
    </w:p>
    <w:p>
      <w:pPr>
        <w:pStyle w:val="CaselawNormal"/>
        <w:spacing w:before="150" w:after="150"/>
        <w:ind w:left="1350"/>
        <w:jc w:val="left"/>
      </w:pPr>
      <w:hyperlink r:id="rId97">
        <w:r>
          <w:rPr>
            <w:rFonts w:ascii="Arial"/>
            <w:color w:val="000000"/>
            <w:sz w:val="24"/>
            <w:u w:val="single"/>
          </w:rPr>
          <w:t>Contentions 48 and 49 - Public submissions and Public interest</w:t>
        </w:r>
      </w:hyperlink>
      <w:hyperlink r:id="rId98">
        <w:r>
          <w:rPr>
            <w:rFonts w:ascii="Arial"/>
            <w:color w:val="000000"/>
            <w:sz w:val="24"/>
          </w:rPr>
          <w:t/>
        </w:r>
      </w:hyperlink>
    </w:p>
    <w:p>
      <w:pPr>
        <w:pStyle w:val="CaselawNormal"/>
        <w:spacing w:before="150" w:after="150"/>
        <w:ind w:left="1350"/>
        <w:jc w:val="left"/>
      </w:pPr>
      <w:hyperlink r:id="rId99">
        <w:r>
          <w:rPr>
            <w:rFonts w:ascii="Arial"/>
            <w:color w:val="000000"/>
            <w:sz w:val="24"/>
            <w:u w:val="single"/>
          </w:rPr>
          <w:t>Contention 50 - Economic impact of the DCP</w:t>
        </w:r>
      </w:hyperlink>
      <w:hyperlink r:id="rId100">
        <w:r>
          <w:rPr>
            <w:rFonts w:ascii="Arial"/>
            <w:color w:val="000000"/>
            <w:sz w:val="24"/>
          </w:rPr>
          <w:t/>
        </w:r>
      </w:hyperlink>
    </w:p>
    <w:p>
      <w:pPr>
        <w:pStyle w:val="CaselawNormal"/>
        <w:spacing w:before="150" w:after="150"/>
        <w:ind w:left="2100"/>
        <w:jc w:val="left"/>
      </w:pPr>
      <w:hyperlink r:id="rId101">
        <w:r>
          <w:rPr>
            <w:rFonts w:ascii="Arial"/>
            <w:color w:val="000000"/>
            <w:sz w:val="24"/>
            <w:u w:val="single"/>
          </w:rPr>
          <w:t>Finding – Economic evidence is relevant</w:t>
        </w:r>
      </w:hyperlink>
      <w:hyperlink r:id="rId102">
        <w:r>
          <w:rPr>
            <w:rFonts w:ascii="Arial"/>
            <w:color w:val="000000"/>
            <w:sz w:val="24"/>
          </w:rPr>
          <w:t/>
        </w:r>
      </w:hyperlink>
    </w:p>
    <w:p>
      <w:pPr>
        <w:pStyle w:val="CaselawNormal"/>
        <w:spacing w:before="150" w:after="150"/>
        <w:ind w:left="1350"/>
        <w:jc w:val="left"/>
      </w:pPr>
      <w:hyperlink r:id="rId103">
        <w:r>
          <w:rPr>
            <w:rFonts w:ascii="Arial"/>
            <w:color w:val="000000"/>
            <w:sz w:val="24"/>
            <w:u w:val="single"/>
          </w:rPr>
          <w:t>Contention 13 - Likely impacts of the development</w:t>
        </w:r>
      </w:hyperlink>
      <w:hyperlink r:id="rId104">
        <w:r>
          <w:rPr>
            <w:rFonts w:ascii="Arial"/>
            <w:color w:val="000000"/>
            <w:sz w:val="24"/>
          </w:rPr>
          <w:t/>
        </w:r>
      </w:hyperlink>
    </w:p>
    <w:p>
      <w:pPr>
        <w:pStyle w:val="CaselawNormal"/>
        <w:spacing w:before="150" w:after="150"/>
        <w:ind w:left="1350"/>
        <w:jc w:val="left"/>
      </w:pPr>
      <w:hyperlink r:id="rId105">
        <w:r>
          <w:rPr>
            <w:rFonts w:ascii="Arial"/>
            <w:color w:val="000000"/>
            <w:sz w:val="24"/>
            <w:u w:val="single"/>
          </w:rPr>
          <w:t>Contention 16 - Non-compliance with the DCP</w:t>
        </w:r>
      </w:hyperlink>
      <w:hyperlink r:id="rId106">
        <w:r>
          <w:rPr>
            <w:rFonts w:ascii="Arial"/>
            <w:color w:val="000000"/>
            <w:sz w:val="24"/>
          </w:rPr>
          <w:t/>
        </w:r>
      </w:hyperlink>
    </w:p>
    <w:p>
      <w:pPr>
        <w:pStyle w:val="CaselawNormal"/>
        <w:spacing w:before="150" w:after="150"/>
        <w:ind w:left="2100"/>
        <w:jc w:val="left"/>
      </w:pPr>
      <w:hyperlink r:id="rId107">
        <w:r>
          <w:rPr>
            <w:rFonts w:ascii="Arial"/>
            <w:color w:val="000000"/>
            <w:sz w:val="24"/>
            <w:u w:val="single"/>
          </w:rPr>
          <w:t>Council’s position</w:t>
        </w:r>
      </w:hyperlink>
      <w:hyperlink r:id="rId108">
        <w:r>
          <w:rPr>
            <w:rFonts w:ascii="Arial"/>
            <w:color w:val="000000"/>
            <w:sz w:val="24"/>
          </w:rPr>
          <w:t/>
        </w:r>
      </w:hyperlink>
    </w:p>
    <w:p>
      <w:pPr>
        <w:pStyle w:val="CaselawNormal"/>
        <w:spacing w:before="150" w:after="150"/>
        <w:ind w:left="2100"/>
        <w:jc w:val="left"/>
      </w:pPr>
      <w:hyperlink r:id="rId109">
        <w:r>
          <w:rPr>
            <w:rFonts w:ascii="Arial"/>
            <w:color w:val="000000"/>
            <w:sz w:val="24"/>
            <w:u w:val="single"/>
          </w:rPr>
          <w:t>Henroth’s position</w:t>
        </w:r>
      </w:hyperlink>
      <w:hyperlink r:id="rId110">
        <w:r>
          <w:rPr>
            <w:rFonts w:ascii="Arial"/>
            <w:color w:val="000000"/>
            <w:sz w:val="24"/>
          </w:rPr>
          <w:t/>
        </w:r>
      </w:hyperlink>
    </w:p>
    <w:p>
      <w:pPr>
        <w:pStyle w:val="CaselawNormal"/>
        <w:spacing w:before="150" w:after="150"/>
        <w:ind w:left="2100"/>
        <w:jc w:val="left"/>
      </w:pPr>
      <w:hyperlink r:id="rId111">
        <w:r>
          <w:rPr>
            <w:rFonts w:ascii="Arial"/>
            <w:color w:val="000000"/>
            <w:sz w:val="24"/>
            <w:u w:val="single"/>
          </w:rPr>
          <w:t>Findings – Consistency with the DCP</w:t>
        </w:r>
      </w:hyperlink>
      <w:hyperlink r:id="rId112">
        <w:r>
          <w:rPr>
            <w:rFonts w:ascii="Arial"/>
            <w:color w:val="000000"/>
            <w:sz w:val="24"/>
          </w:rPr>
          <w:t/>
        </w:r>
      </w:hyperlink>
    </w:p>
    <w:p>
      <w:pPr>
        <w:pStyle w:val="CaselawNormal"/>
        <w:spacing w:before="150" w:after="150"/>
        <w:ind w:left="1350"/>
        <w:jc w:val="left"/>
      </w:pPr>
      <w:hyperlink r:id="rId113">
        <w:r>
          <w:rPr>
            <w:rFonts w:ascii="Arial"/>
            <w:color w:val="000000"/>
            <w:sz w:val="24"/>
            <w:u w:val="single"/>
          </w:rPr>
          <w:t>Conditions</w:t>
        </w:r>
      </w:hyperlink>
      <w:hyperlink r:id="rId114">
        <w:r>
          <w:rPr>
            <w:rFonts w:ascii="Arial"/>
            <w:color w:val="000000"/>
            <w:sz w:val="24"/>
          </w:rPr>
          <w:t/>
        </w:r>
      </w:hyperlink>
    </w:p>
    <w:p>
      <w:pPr>
        <w:pStyle w:val="CaselawNormal"/>
        <w:spacing w:before="150" w:after="150"/>
        <w:ind w:left="1350"/>
        <w:jc w:val="left"/>
      </w:pPr>
      <w:hyperlink r:id="rId115">
        <w:r>
          <w:rPr>
            <w:rFonts w:ascii="Arial"/>
            <w:color w:val="000000"/>
            <w:sz w:val="24"/>
            <w:u w:val="single"/>
          </w:rPr>
          <w:t>Conclusion and directions</w:t>
        </w:r>
      </w:hyperlink>
      <w:hyperlink r:id="rId116">
        <w:r>
          <w:rPr>
            <w:rFonts w:ascii="Arial"/>
            <w:color w:val="000000"/>
            <w:sz w:val="24"/>
          </w:rPr>
          <w:t/>
        </w:r>
      </w:hyperlink>
    </w:p>
    <w:p>
      <w:pPr>
        <w:pStyle w:val="CaselawHeading1"/>
        <w:keepNext/>
        <w:spacing w:before="150" w:after="150" w:line="264"/>
        <w:ind w:left="0"/>
        <w:jc w:val="left"/>
      </w:pPr>
      <w:r>
        <w:rPr>
          <w:rFonts w:ascii="Arial"/>
        </w:rPr>
        <w:t>JUDGMENT</w:t>
      </w:r>
    </w:p>
    <w:p>
      <w:pPr>
        <w:pStyle w:val="CaselawHeading2"/>
        <w:keepNext/>
        <w:spacing w:before="150" w:after="150" w:line="264"/>
        <w:ind w:left="0"/>
        <w:jc w:val="left"/>
      </w:pPr>
      <w:r>
        <w:rPr>
          <w:rFonts w:ascii="Arial"/>
        </w:rPr>
        <w:t>Introduction</w:t>
      </w:r>
    </w:p>
    <w:p>
      <w:pPr>
        <w:pStyle w:val="CaselawNumbered10"/>
        <w:numPr>
          <w:ilvl w:val="0"/>
          <w:numId w:val="22"/>
        </w:numPr>
        <w:spacing w:before="150" w:after="0"/>
        <w:ind w:left="600" w:hanging="600"/>
      </w:pPr>
      <w:r>
        <w:rPr>
          <w:rFonts w:ascii="Arial"/>
          <w:color w:val="000000"/>
          <w:sz w:val="24"/>
        </w:rPr>
        <w:t>Despite having undergone successive upgrades, t</w:t>
      </w:r>
      <w:r>
        <w:rPr>
          <w:rFonts w:ascii="Arial"/>
          <w:color w:val="000000"/>
          <w:sz w:val="24"/>
        </w:rPr>
        <w:t>he Chullora Marketplace shopping centre</w:t>
      </w:r>
      <w:r>
        <w:rPr>
          <w:rFonts w:ascii="Arial"/>
          <w:color w:val="000000"/>
          <w:sz w:val="24"/>
        </w:rPr>
        <w:t>,</w:t>
      </w:r>
      <w:r>
        <w:rPr>
          <w:rFonts w:ascii="Arial"/>
          <w:color w:val="000000"/>
          <w:sz w:val="24"/>
        </w:rPr>
        <w:t xml:space="preserve"> </w:t>
      </w:r>
      <w:r>
        <w:rPr>
          <w:rFonts w:ascii="Arial"/>
          <w:color w:val="000000"/>
          <w:sz w:val="24"/>
        </w:rPr>
        <w:t xml:space="preserve">operating </w:t>
      </w:r>
      <w:r>
        <w:rPr>
          <w:rFonts w:ascii="Arial"/>
          <w:color w:val="000000"/>
          <w:sz w:val="24"/>
        </w:rPr>
        <w:t>from</w:t>
      </w:r>
      <w:r>
        <w:rPr>
          <w:rFonts w:ascii="Arial"/>
          <w:color w:val="000000"/>
          <w:sz w:val="24"/>
        </w:rPr>
        <w:t xml:space="preserve"> </w:t>
      </w:r>
      <w:r>
        <w:rPr>
          <w:rFonts w:ascii="Arial"/>
          <w:color w:val="000000"/>
          <w:sz w:val="24"/>
        </w:rPr>
        <w:t xml:space="preserve">a site at </w:t>
      </w:r>
      <w:r>
        <w:rPr>
          <w:rFonts w:ascii="Arial"/>
          <w:color w:val="000000"/>
          <w:sz w:val="24"/>
        </w:rPr>
        <w:t>355</w:t>
      </w:r>
      <w:r>
        <w:rPr>
          <w:rFonts w:ascii="Arial"/>
          <w:color w:val="000000"/>
          <w:sz w:val="24"/>
        </w:rPr>
        <w:t>-353</w:t>
      </w:r>
      <w:r>
        <w:rPr>
          <w:rFonts w:ascii="Arial"/>
          <w:color w:val="000000"/>
          <w:sz w:val="24"/>
        </w:rPr>
        <w:t xml:space="preserve"> </w:t>
      </w:r>
      <w:r>
        <w:rPr>
          <w:rFonts w:ascii="Arial"/>
          <w:color w:val="000000"/>
          <w:sz w:val="24"/>
        </w:rPr>
        <w:t>Waterloo Road</w:t>
      </w:r>
      <w:r>
        <w:rPr>
          <w:rFonts w:ascii="Arial"/>
          <w:color w:val="000000"/>
          <w:sz w:val="24"/>
        </w:rPr>
        <w:t>, Greenacre</w:t>
      </w:r>
      <w:r>
        <w:rPr>
          <w:rFonts w:ascii="Arial"/>
          <w:color w:val="000000"/>
          <w:sz w:val="24"/>
        </w:rPr>
        <w:t xml:space="preserve"> </w:t>
      </w:r>
      <w:r>
        <w:rPr>
          <w:rFonts w:ascii="Arial"/>
          <w:color w:val="000000"/>
          <w:sz w:val="24"/>
        </w:rPr>
        <w:t xml:space="preserve">since </w:t>
      </w:r>
      <w:r>
        <w:rPr>
          <w:rFonts w:ascii="Arial"/>
          <w:color w:val="000000"/>
          <w:sz w:val="24"/>
        </w:rPr>
        <w:t>1982</w:t>
      </w:r>
      <w:r>
        <w:rPr>
          <w:rFonts w:ascii="Arial"/>
          <w:color w:val="000000"/>
          <w:sz w:val="24"/>
        </w:rPr>
        <w:t>,</w:t>
      </w:r>
      <w:r>
        <w:rPr>
          <w:rFonts w:ascii="Arial"/>
          <w:color w:val="000000"/>
          <w:sz w:val="24"/>
        </w:rPr>
        <w:t xml:space="preserve"> </w:t>
      </w:r>
      <w:r>
        <w:rPr>
          <w:rFonts w:ascii="Arial"/>
          <w:color w:val="000000"/>
          <w:sz w:val="24"/>
        </w:rPr>
        <w:t>still bears the hallmarks of a traditional standalone, car-based centre</w:t>
      </w:r>
      <w:r>
        <w:rPr>
          <w:rFonts w:ascii="Arial"/>
          <w:color w:val="000000"/>
          <w:sz w:val="24"/>
        </w:rPr>
        <w:t>.</w:t>
      </w:r>
      <w:r>
        <w:rPr>
          <w:rFonts w:ascii="Arial"/>
          <w:color w:val="000000"/>
          <w:sz w:val="24"/>
        </w:rPr>
        <w:t xml:space="preserve"> </w:t>
      </w:r>
    </w:p>
    <w:p>
      <w:pPr>
        <w:pStyle w:val="CaselawNumbered10"/>
        <w:numPr>
          <w:ilvl w:val="0"/>
          <w:numId w:val="22"/>
        </w:numPr>
        <w:spacing w:before="150" w:after="0"/>
        <w:ind w:left="600" w:hanging="600"/>
      </w:pPr>
      <w:r>
        <w:rPr>
          <w:rFonts w:ascii="Arial"/>
          <w:color w:val="000000"/>
          <w:sz w:val="24"/>
        </w:rPr>
        <w:t>In May 2018</w:t>
      </w:r>
      <w:r>
        <w:rPr>
          <w:rFonts w:ascii="Arial"/>
          <w:color w:val="000000"/>
          <w:sz w:val="24"/>
        </w:rPr>
        <w:t>,</w:t>
      </w:r>
      <w:r>
        <w:rPr>
          <w:rFonts w:ascii="Arial"/>
          <w:color w:val="000000"/>
          <w:sz w:val="24"/>
        </w:rPr>
        <w:t xml:space="preserve"> </w:t>
      </w:r>
      <w:r>
        <w:rPr>
          <w:rFonts w:ascii="Arial"/>
          <w:color w:val="000000"/>
          <w:sz w:val="24"/>
        </w:rPr>
        <w:t>Henroth Group</w:t>
      </w:r>
      <w:r>
        <w:rPr>
          <w:rFonts w:ascii="Arial"/>
          <w:color w:val="000000"/>
          <w:sz w:val="24"/>
        </w:rPr>
        <w:t xml:space="preserve"> </w:t>
      </w:r>
      <w:r>
        <w:rPr>
          <w:rFonts w:ascii="Arial"/>
          <w:color w:val="000000"/>
          <w:sz w:val="24"/>
        </w:rPr>
        <w:t>Pty Ltd (Henroth),</w:t>
      </w:r>
      <w:r>
        <w:rPr>
          <w:rFonts w:ascii="Arial"/>
          <w:color w:val="000000"/>
          <w:sz w:val="24"/>
        </w:rPr>
        <w:t xml:space="preserve"> </w:t>
      </w:r>
      <w:r>
        <w:rPr>
          <w:rFonts w:ascii="Arial"/>
          <w:color w:val="000000"/>
          <w:sz w:val="24"/>
        </w:rPr>
        <w:t xml:space="preserve">lodged a planning proposal (PP-2020-358) (PP) </w:t>
      </w:r>
      <w:r>
        <w:rPr>
          <w:rFonts w:ascii="Arial"/>
          <w:color w:val="000000"/>
          <w:sz w:val="24"/>
        </w:rPr>
        <w:t xml:space="preserve">for </w:t>
      </w:r>
      <w:r>
        <w:rPr>
          <w:rFonts w:ascii="Arial"/>
          <w:color w:val="000000"/>
          <w:sz w:val="24"/>
        </w:rPr>
        <w:t>an increase in the allowable building height on the shopping centre site</w:t>
      </w:r>
      <w:r>
        <w:rPr>
          <w:rFonts w:ascii="Arial"/>
          <w:color w:val="000000"/>
          <w:sz w:val="24"/>
        </w:rPr>
        <w:t>,</w:t>
      </w:r>
      <w:r>
        <w:rPr>
          <w:rFonts w:ascii="Arial"/>
          <w:color w:val="000000"/>
          <w:sz w:val="24"/>
        </w:rPr>
        <w:t xml:space="preserve"> </w:t>
      </w:r>
      <w:r>
        <w:rPr>
          <w:rFonts w:ascii="Arial"/>
          <w:color w:val="000000"/>
          <w:sz w:val="24"/>
        </w:rPr>
        <w:t xml:space="preserve">and the adjacent residential lot </w:t>
      </w:r>
      <w:r>
        <w:rPr>
          <w:rFonts w:ascii="Arial"/>
          <w:color w:val="000000"/>
          <w:sz w:val="24"/>
        </w:rPr>
        <w:t xml:space="preserve">at </w:t>
      </w:r>
      <w:r>
        <w:rPr>
          <w:rFonts w:ascii="Arial"/>
          <w:color w:val="000000"/>
          <w:sz w:val="24"/>
        </w:rPr>
        <w:t xml:space="preserve">353 Waterloo Road. </w:t>
      </w:r>
      <w:r>
        <w:rPr>
          <w:rFonts w:ascii="Arial"/>
          <w:color w:val="000000"/>
          <w:sz w:val="24"/>
        </w:rPr>
        <w:t xml:space="preserve">The </w:t>
      </w:r>
      <w:r>
        <w:rPr>
          <w:rFonts w:ascii="Arial"/>
          <w:color w:val="000000"/>
          <w:sz w:val="24"/>
        </w:rPr>
        <w:t>PP</w:t>
      </w:r>
      <w:r>
        <w:rPr>
          <w:rFonts w:ascii="Arial"/>
          <w:color w:val="000000"/>
          <w:sz w:val="24"/>
        </w:rPr>
        <w:t xml:space="preserve"> </w:t>
      </w:r>
      <w:r>
        <w:rPr>
          <w:rFonts w:ascii="Arial"/>
          <w:color w:val="000000"/>
          <w:sz w:val="24"/>
        </w:rPr>
        <w:t xml:space="preserve">was </w:t>
      </w:r>
      <w:r>
        <w:rPr>
          <w:rFonts w:ascii="Arial"/>
          <w:color w:val="000000"/>
          <w:sz w:val="24"/>
        </w:rPr>
        <w:t>gazetted on 12 February 2021 by way of amendment to the Bankstown Local Environmental Plan 2015 (LEP</w:t>
      </w:r>
      <w:r>
        <w:rPr>
          <w:rFonts w:ascii="Arial"/>
          <w:color w:val="000000"/>
          <w:sz w:val="24"/>
        </w:rPr>
        <w:t xml:space="preserve"> </w:t>
      </w:r>
      <w:r>
        <w:rPr>
          <w:rFonts w:ascii="Arial"/>
          <w:color w:val="000000"/>
          <w:sz w:val="24"/>
        </w:rPr>
        <w:t>2015</w:t>
      </w:r>
      <w:r>
        <w:rPr>
          <w:rFonts w:ascii="Arial"/>
          <w:color w:val="000000"/>
          <w:sz w:val="24"/>
        </w:rPr>
        <w:t>), and site-specific cl</w:t>
      </w:r>
      <w:r>
        <w:rPr>
          <w:rFonts w:ascii="Arial"/>
          <w:color w:val="000000"/>
          <w:sz w:val="24"/>
        </w:rPr>
        <w:t>ause</w:t>
      </w:r>
      <w:r>
        <w:rPr>
          <w:rFonts w:ascii="Arial"/>
          <w:color w:val="000000"/>
          <w:sz w:val="24"/>
        </w:rPr>
        <w:t>s</w:t>
      </w:r>
      <w:r>
        <w:rPr>
          <w:rFonts w:ascii="Arial"/>
          <w:color w:val="000000"/>
          <w:sz w:val="24"/>
        </w:rPr>
        <w:t xml:space="preserve"> </w:t>
      </w:r>
      <w:r>
        <w:rPr>
          <w:rFonts w:ascii="Arial"/>
          <w:color w:val="000000"/>
          <w:sz w:val="24"/>
        </w:rPr>
        <w:t>inserted</w:t>
      </w:r>
      <w:r>
        <w:rPr>
          <w:rFonts w:ascii="Arial"/>
          <w:color w:val="000000"/>
          <w:sz w:val="24"/>
        </w:rPr>
        <w:t xml:space="preserve">. </w:t>
      </w:r>
      <w:r>
        <w:rPr>
          <w:rFonts w:ascii="Arial"/>
          <w:color w:val="000000"/>
          <w:sz w:val="24"/>
        </w:rPr>
        <w:t>In short, t</w:t>
      </w:r>
      <w:r>
        <w:rPr>
          <w:rFonts w:ascii="Arial"/>
          <w:color w:val="000000"/>
          <w:sz w:val="24"/>
        </w:rPr>
        <w:t xml:space="preserve">he </w:t>
      </w:r>
      <w:r>
        <w:rPr>
          <w:rFonts w:ascii="Arial"/>
          <w:color w:val="000000"/>
          <w:sz w:val="24"/>
        </w:rPr>
        <w:t xml:space="preserve">amendments included: </w:t>
      </w:r>
    </w:p>
    <w:p>
      <w:pPr>
        <w:pStyle w:val="CaselawBullet"/>
        <w:numPr>
          <w:ilvl w:val="0"/>
          <w:numId w:val="23"/>
        </w:numPr>
        <w:spacing w:before="150" w:after="0"/>
        <w:ind w:left="600" w:hanging="250"/>
      </w:pPr>
      <w:r>
        <w:rPr>
          <w:rFonts w:ascii="Arial"/>
          <w:color w:val="000000"/>
          <w:sz w:val="24"/>
        </w:rPr>
        <w:t>T</w:t>
      </w:r>
      <w:r>
        <w:rPr>
          <w:rFonts w:ascii="Arial"/>
          <w:color w:val="000000"/>
          <w:sz w:val="24"/>
        </w:rPr>
        <w:t>he rezoning of No. 353 Waterloo Road to B2 Local Centre, to enable its inclusion into the Chullora Marketplace site, and its removal from the Lot Size Map.</w:t>
      </w:r>
    </w:p>
    <w:p>
      <w:pPr>
        <w:pStyle w:val="CaselawBullet"/>
        <w:numPr>
          <w:ilvl w:val="0"/>
          <w:numId w:val="23"/>
        </w:numPr>
        <w:spacing w:before="150" w:after="0"/>
        <w:ind w:left="600" w:hanging="250"/>
      </w:pPr>
      <w:r>
        <w:rPr>
          <w:rFonts w:ascii="Arial"/>
          <w:color w:val="000000"/>
          <w:sz w:val="24"/>
        </w:rPr>
        <w:t xml:space="preserve">The retention of </w:t>
      </w:r>
      <w:r>
        <w:rPr>
          <w:rFonts w:ascii="Arial"/>
          <w:color w:val="000000"/>
          <w:sz w:val="24"/>
        </w:rPr>
        <w:t>the 1:1 floor space ratio (FSR) across the whole site whilst introd</w:t>
      </w:r>
      <w:r>
        <w:rPr>
          <w:rFonts w:ascii="Arial"/>
          <w:color w:val="000000"/>
          <w:sz w:val="24"/>
        </w:rPr>
        <w:t>ucing</w:t>
      </w:r>
      <w:r>
        <w:rPr>
          <w:rFonts w:ascii="Arial"/>
          <w:color w:val="000000"/>
          <w:sz w:val="24"/>
        </w:rPr>
        <w:t xml:space="preserve"> </w:t>
      </w:r>
      <w:r>
        <w:rPr>
          <w:rFonts w:ascii="Arial"/>
          <w:color w:val="000000"/>
          <w:sz w:val="24"/>
        </w:rPr>
        <w:t xml:space="preserve">a minimum 0.35:1 FSR for commercial floorspace by inserting a site-specific clause at cl 4.4 of LEP 2015. </w:t>
      </w:r>
    </w:p>
    <w:p>
      <w:pPr>
        <w:pStyle w:val="CaselawBullet"/>
        <w:numPr>
          <w:ilvl w:val="0"/>
          <w:numId w:val="23"/>
        </w:numPr>
        <w:spacing w:before="150" w:after="0"/>
        <w:ind w:left="600" w:hanging="250"/>
      </w:pPr>
      <w:r>
        <w:rPr>
          <w:rFonts w:ascii="Arial"/>
          <w:color w:val="000000"/>
          <w:sz w:val="24"/>
        </w:rPr>
        <w:t xml:space="preserve">A </w:t>
      </w:r>
      <w:r>
        <w:rPr>
          <w:rFonts w:ascii="Arial"/>
          <w:color w:val="000000"/>
          <w:sz w:val="24"/>
        </w:rPr>
        <w:t xml:space="preserve">maximum building height of 20m, with a lower 14m limit at the eastern and western boundaries and 9m limit at the southern </w:t>
      </w:r>
      <w:r>
        <w:rPr>
          <w:rFonts w:ascii="Arial"/>
          <w:color w:val="000000"/>
          <w:sz w:val="24"/>
        </w:rPr>
        <w:t>boundary</w:t>
      </w:r>
    </w:p>
    <w:p>
      <w:pPr>
        <w:pStyle w:val="CaselawNumbered10"/>
        <w:numPr>
          <w:ilvl w:val="0"/>
          <w:numId w:val="24"/>
        </w:numPr>
        <w:spacing w:before="150" w:after="0"/>
        <w:ind w:left="600" w:hanging="600"/>
      </w:pPr>
      <w:r>
        <w:rPr>
          <w:rFonts w:ascii="Arial"/>
          <w:color w:val="000000"/>
          <w:sz w:val="24"/>
        </w:rPr>
        <w:t xml:space="preserve">With the commencement of the </w:t>
      </w:r>
      <w:r>
        <w:rPr>
          <w:rFonts w:ascii="Arial"/>
          <w:color w:val="000000"/>
          <w:sz w:val="24"/>
        </w:rPr>
        <w:t>Canterbury</w:t>
      </w:r>
      <w:r>
        <w:rPr>
          <w:rFonts w:ascii="Arial"/>
          <w:color w:val="000000"/>
          <w:sz w:val="24"/>
        </w:rPr>
        <w:t>-</w:t>
      </w:r>
      <w:r>
        <w:rPr>
          <w:rFonts w:ascii="Arial"/>
          <w:color w:val="000000"/>
          <w:sz w:val="24"/>
        </w:rPr>
        <w:t>Bankstown Local Environmental Plan 2023 (LEP</w:t>
      </w:r>
      <w:r>
        <w:rPr>
          <w:rFonts w:ascii="Arial"/>
          <w:color w:val="000000"/>
          <w:sz w:val="24"/>
        </w:rPr>
        <w:t xml:space="preserve"> </w:t>
      </w:r>
      <w:r>
        <w:rPr>
          <w:rFonts w:ascii="Arial"/>
          <w:color w:val="000000"/>
          <w:sz w:val="24"/>
        </w:rPr>
        <w:t>2023</w:t>
      </w:r>
      <w:r>
        <w:rPr>
          <w:rFonts w:ascii="Arial"/>
          <w:color w:val="000000"/>
          <w:sz w:val="24"/>
        </w:rPr>
        <w:t>)</w:t>
      </w:r>
      <w:r>
        <w:rPr>
          <w:rFonts w:ascii="Arial"/>
          <w:color w:val="000000"/>
          <w:sz w:val="24"/>
        </w:rPr>
        <w:t xml:space="preserve"> </w:t>
      </w:r>
      <w:r>
        <w:rPr>
          <w:rFonts w:ascii="Arial"/>
          <w:color w:val="000000"/>
          <w:sz w:val="24"/>
        </w:rPr>
        <w:t xml:space="preserve">on </w:t>
      </w:r>
      <w:r>
        <w:rPr>
          <w:rFonts w:ascii="Arial"/>
          <w:color w:val="000000"/>
          <w:sz w:val="24"/>
        </w:rPr>
        <w:t>23 June 2023,</w:t>
      </w:r>
      <w:r>
        <w:rPr>
          <w:rFonts w:ascii="Arial"/>
          <w:color w:val="000000"/>
          <w:sz w:val="24"/>
        </w:rPr>
        <w:t xml:space="preserve"> </w:t>
      </w:r>
      <w:r>
        <w:rPr>
          <w:rFonts w:ascii="Arial"/>
          <w:color w:val="000000"/>
          <w:sz w:val="24"/>
        </w:rPr>
        <w:t xml:space="preserve">LEP 2015 was repealed. However, by operation of the savings provision in </w:t>
      </w:r>
      <w:r>
        <w:rPr>
          <w:rFonts w:ascii="Arial"/>
          <w:color w:val="000000"/>
          <w:sz w:val="24"/>
        </w:rPr>
        <w:t>cl 1.8A</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 xml:space="preserve">repealed instrument </w:t>
      </w:r>
      <w:r>
        <w:rPr>
          <w:rFonts w:ascii="Arial"/>
          <w:color w:val="000000"/>
          <w:sz w:val="24"/>
        </w:rPr>
        <w:t xml:space="preserve">continues to apply to </w:t>
      </w:r>
      <w:r>
        <w:rPr>
          <w:rFonts w:ascii="Arial"/>
          <w:color w:val="000000"/>
          <w:sz w:val="24"/>
        </w:rPr>
        <w:t>Henroth</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development application DA (91/2023) (</w:t>
      </w:r>
      <w:r>
        <w:rPr>
          <w:rFonts w:ascii="Arial"/>
          <w:color w:val="000000"/>
          <w:sz w:val="24"/>
        </w:rPr>
        <w:t>DA</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with appropriate consideration </w:t>
      </w:r>
      <w:r>
        <w:rPr>
          <w:rFonts w:ascii="Arial"/>
          <w:color w:val="000000"/>
          <w:sz w:val="24"/>
        </w:rPr>
        <w:t xml:space="preserve">to be </w:t>
      </w:r>
      <w:r>
        <w:rPr>
          <w:rFonts w:ascii="Arial"/>
          <w:color w:val="000000"/>
          <w:sz w:val="24"/>
        </w:rPr>
        <w:t xml:space="preserve">given </w:t>
      </w:r>
      <w:r>
        <w:rPr>
          <w:rFonts w:ascii="Arial"/>
          <w:color w:val="000000"/>
          <w:sz w:val="24"/>
        </w:rPr>
        <w:t xml:space="preserve">to the LEP </w:t>
      </w:r>
      <w:r>
        <w:rPr>
          <w:rFonts w:ascii="Arial"/>
          <w:color w:val="000000"/>
          <w:sz w:val="24"/>
        </w:rPr>
        <w:t xml:space="preserve">2023 </w:t>
      </w:r>
      <w:r>
        <w:rPr>
          <w:rFonts w:ascii="Arial"/>
          <w:color w:val="000000"/>
          <w:sz w:val="24"/>
        </w:rPr>
        <w:t xml:space="preserve">as </w:t>
      </w:r>
      <w:r>
        <w:rPr>
          <w:rFonts w:ascii="Arial"/>
          <w:color w:val="000000"/>
          <w:sz w:val="24"/>
        </w:rPr>
        <w:t xml:space="preserve">a </w:t>
      </w:r>
      <w:r>
        <w:rPr>
          <w:rFonts w:ascii="Arial"/>
          <w:color w:val="000000"/>
          <w:sz w:val="24"/>
        </w:rPr>
        <w:t>proposed instrument</w:t>
      </w:r>
      <w:r>
        <w:rPr>
          <w:rFonts w:ascii="Arial"/>
          <w:color w:val="000000"/>
          <w:sz w:val="24"/>
        </w:rPr>
        <w:t xml:space="preserve"> </w:t>
      </w:r>
      <w:r>
        <w:rPr>
          <w:rFonts w:ascii="Arial"/>
          <w:color w:val="000000"/>
          <w:sz w:val="24"/>
        </w:rPr>
        <w:t>under</w:t>
      </w:r>
      <w:r>
        <w:rPr>
          <w:rFonts w:ascii="Arial"/>
          <w:color w:val="000000"/>
          <w:sz w:val="24"/>
        </w:rPr>
        <w:t xml:space="preserve"> </w:t>
      </w:r>
      <w:r>
        <w:rPr>
          <w:rFonts w:ascii="Arial"/>
          <w:color w:val="000000"/>
          <w:sz w:val="24"/>
        </w:rPr>
        <w:t>s</w:t>
      </w:r>
      <w:r>
        <w:rPr>
          <w:rFonts w:ascii="Arial"/>
          <w:color w:val="000000"/>
          <w:sz w:val="24"/>
        </w:rPr>
        <w:t> </w:t>
      </w:r>
      <w:r>
        <w:rPr>
          <w:rFonts w:ascii="Arial"/>
          <w:color w:val="000000"/>
          <w:sz w:val="24"/>
        </w:rPr>
        <w:t xml:space="preserve">4.15(1)(a)(ii) of the </w:t>
      </w:r>
      <w:r>
        <w:rPr>
          <w:rFonts w:ascii="Arial"/>
          <w:i/>
          <w:color w:val="000000"/>
          <w:sz w:val="24"/>
        </w:rPr>
        <w:t xml:space="preserve">Environmental Planning and Assessment Act 1979 </w:t>
      </w:r>
      <w:r>
        <w:rPr>
          <w:rFonts w:ascii="Arial"/>
          <w:color w:val="000000"/>
          <w:sz w:val="24"/>
        </w:rPr>
        <w:t>(</w:t>
      </w:r>
      <w:r>
        <w:rPr>
          <w:rFonts w:ascii="Arial"/>
          <w:color w:val="000000"/>
          <w:sz w:val="24"/>
        </w:rPr>
        <w:t>EPA Act</w:t>
      </w:r>
      <w:r>
        <w:rPr>
          <w:rFonts w:ascii="Arial"/>
          <w:color w:val="000000"/>
          <w:sz w:val="24"/>
        </w:rPr>
        <w:t>)</w:t>
      </w:r>
      <w:r>
        <w:rPr>
          <w:rFonts w:ascii="Arial"/>
          <w:color w:val="000000"/>
          <w:sz w:val="24"/>
        </w:rPr>
        <w:t xml:space="preserve">: </w:t>
      </w:r>
      <w:r>
        <w:rPr>
          <w:rFonts w:ascii="Arial"/>
          <w:i/>
          <w:color w:val="000000"/>
          <w:sz w:val="24"/>
        </w:rPr>
        <w:t xml:space="preserve">Maygood Australia Pty Ltd v Willoughby City Council </w:t>
      </w:r>
      <w:r>
        <w:rPr>
          <w:rFonts w:ascii="Arial"/>
          <w:color w:val="000000"/>
          <w:sz w:val="24"/>
        </w:rPr>
        <w:t>[2013] NSWLEC 142 at [29].</w:t>
      </w:r>
    </w:p>
    <w:p>
      <w:pPr>
        <w:pStyle w:val="CaselawNumbered10"/>
        <w:numPr>
          <w:ilvl w:val="0"/>
          <w:numId w:val="24"/>
        </w:numPr>
        <w:spacing w:before="150" w:after="0"/>
        <w:ind w:left="600" w:hanging="600"/>
      </w:pPr>
      <w:r>
        <w:rPr>
          <w:rFonts w:ascii="Arial"/>
          <w:color w:val="000000"/>
          <w:sz w:val="24"/>
        </w:rPr>
        <w:t xml:space="preserve">The </w:t>
      </w:r>
      <w:r>
        <w:rPr>
          <w:rFonts w:ascii="Arial"/>
          <w:color w:val="000000"/>
          <w:sz w:val="24"/>
        </w:rPr>
        <w:t>d</w:t>
      </w:r>
      <w:r>
        <w:rPr>
          <w:rFonts w:ascii="Arial"/>
          <w:color w:val="000000"/>
          <w:sz w:val="24"/>
        </w:rPr>
        <w:t xml:space="preserve">evelopment </w:t>
      </w:r>
      <w:r>
        <w:rPr>
          <w:rFonts w:ascii="Arial"/>
          <w:color w:val="000000"/>
          <w:sz w:val="24"/>
        </w:rPr>
        <w:t>c</w:t>
      </w:r>
      <w:r>
        <w:rPr>
          <w:rFonts w:ascii="Arial"/>
          <w:color w:val="000000"/>
          <w:sz w:val="24"/>
        </w:rPr>
        <w:t xml:space="preserve">ontrol </w:t>
      </w:r>
      <w:r>
        <w:rPr>
          <w:rFonts w:ascii="Arial"/>
          <w:color w:val="000000"/>
          <w:sz w:val="24"/>
        </w:rPr>
        <w:t>p</w:t>
      </w:r>
      <w:r>
        <w:rPr>
          <w:rFonts w:ascii="Arial"/>
          <w:color w:val="000000"/>
          <w:sz w:val="24"/>
        </w:rPr>
        <w:t>lan</w:t>
      </w:r>
      <w:r>
        <w:rPr>
          <w:rFonts w:ascii="Arial"/>
          <w:color w:val="000000"/>
          <w:sz w:val="24"/>
        </w:rPr>
        <w:t xml:space="preserve"> </w:t>
      </w:r>
      <w:r>
        <w:rPr>
          <w:rFonts w:ascii="Arial"/>
          <w:color w:val="000000"/>
          <w:sz w:val="24"/>
        </w:rPr>
        <w:t xml:space="preserve">applying to the site is the </w:t>
      </w:r>
      <w:r>
        <w:rPr>
          <w:rFonts w:ascii="Arial"/>
          <w:color w:val="000000"/>
          <w:sz w:val="24"/>
        </w:rPr>
        <w:t>Canterbury-Bankstown Development Control Plan 2023 (</w:t>
      </w:r>
      <w:r>
        <w:rPr>
          <w:rFonts w:ascii="Arial"/>
          <w:color w:val="000000"/>
          <w:sz w:val="24"/>
        </w:rPr>
        <w:t>DCP</w:t>
      </w:r>
      <w:r>
        <w:rPr>
          <w:rFonts w:ascii="Arial"/>
          <w:color w:val="000000"/>
          <w:sz w:val="24"/>
        </w:rPr>
        <w:t>)</w:t>
      </w:r>
      <w:r>
        <w:rPr>
          <w:rFonts w:ascii="Arial"/>
          <w:color w:val="000000"/>
          <w:sz w:val="24"/>
        </w:rPr>
        <w:t xml:space="preserve">. </w:t>
      </w:r>
      <w:r>
        <w:rPr>
          <w:rFonts w:ascii="Arial"/>
          <w:color w:val="000000"/>
          <w:sz w:val="24"/>
        </w:rPr>
        <w:t>A</w:t>
      </w:r>
      <w:r>
        <w:rPr>
          <w:rFonts w:ascii="Arial"/>
          <w:color w:val="000000"/>
          <w:sz w:val="24"/>
        </w:rPr>
        <w:t>s with cl</w:t>
      </w:r>
      <w:r>
        <w:rPr>
          <w:rFonts w:ascii="Arial"/>
          <w:color w:val="000000"/>
          <w:sz w:val="24"/>
        </w:rPr>
        <w:t xml:space="preserve"> </w:t>
      </w:r>
      <w:r>
        <w:rPr>
          <w:rFonts w:ascii="Arial"/>
          <w:color w:val="000000"/>
          <w:sz w:val="24"/>
        </w:rPr>
        <w:t>6.14 of LEP</w:t>
      </w:r>
      <w:r>
        <w:rPr>
          <w:rFonts w:ascii="Arial"/>
          <w:color w:val="000000"/>
          <w:sz w:val="24"/>
        </w:rPr>
        <w:t xml:space="preserve"> </w:t>
      </w:r>
      <w:r>
        <w:rPr>
          <w:rFonts w:ascii="Arial"/>
          <w:color w:val="000000"/>
          <w:sz w:val="24"/>
        </w:rPr>
        <w:t>2015</w:t>
      </w:r>
      <w:r>
        <w:rPr>
          <w:rFonts w:ascii="Arial"/>
          <w:color w:val="000000"/>
          <w:sz w:val="24"/>
        </w:rPr>
        <w:t>,</w:t>
      </w:r>
      <w:r>
        <w:rPr>
          <w:rFonts w:ascii="Arial"/>
          <w:color w:val="000000"/>
          <w:sz w:val="24"/>
        </w:rPr>
        <w:t xml:space="preserve"> </w:t>
      </w:r>
      <w:r>
        <w:rPr>
          <w:rFonts w:ascii="Arial"/>
          <w:color w:val="000000"/>
          <w:sz w:val="24"/>
        </w:rPr>
        <w:t xml:space="preserve">Chapter </w:t>
      </w:r>
      <w:r>
        <w:rPr>
          <w:rFonts w:ascii="Arial"/>
          <w:color w:val="000000"/>
          <w:sz w:val="24"/>
        </w:rPr>
        <w:t xml:space="preserve">11.10 </w:t>
      </w:r>
      <w:r>
        <w:rPr>
          <w:rFonts w:ascii="Arial"/>
          <w:color w:val="000000"/>
          <w:sz w:val="24"/>
        </w:rPr>
        <w:t xml:space="preserve">relates </w:t>
      </w:r>
      <w:r>
        <w:rPr>
          <w:rFonts w:ascii="Arial"/>
          <w:color w:val="000000"/>
          <w:sz w:val="24"/>
        </w:rPr>
        <w:t xml:space="preserve">entirely to the </w:t>
      </w:r>
      <w:r>
        <w:rPr>
          <w:rFonts w:ascii="Arial"/>
          <w:color w:val="000000"/>
          <w:sz w:val="24"/>
        </w:rPr>
        <w:t xml:space="preserve">subject </w:t>
      </w:r>
      <w:r>
        <w:rPr>
          <w:rFonts w:ascii="Arial"/>
          <w:color w:val="000000"/>
          <w:sz w:val="24"/>
        </w:rPr>
        <w:t xml:space="preserve">site. </w:t>
      </w:r>
      <w:r>
        <w:rPr>
          <w:rFonts w:ascii="Arial"/>
          <w:color w:val="000000"/>
          <w:sz w:val="24"/>
        </w:rPr>
        <w:t>I</w:t>
      </w:r>
      <w:r>
        <w:rPr>
          <w:rFonts w:ascii="Arial"/>
          <w:color w:val="000000"/>
          <w:sz w:val="24"/>
        </w:rPr>
        <w:t>t</w:t>
      </w:r>
      <w:r>
        <w:rPr>
          <w:rFonts w:ascii="Arial"/>
          <w:color w:val="000000"/>
          <w:sz w:val="24"/>
        </w:rPr>
        <w:t xml:space="preserve"> </w:t>
      </w:r>
      <w:r>
        <w:rPr>
          <w:rFonts w:ascii="Arial"/>
          <w:color w:val="000000"/>
          <w:sz w:val="24"/>
        </w:rPr>
        <w:t>describes the</w:t>
      </w:r>
      <w:r>
        <w:rPr>
          <w:rFonts w:ascii="Arial"/>
          <w:color w:val="000000"/>
          <w:sz w:val="24"/>
        </w:rPr>
        <w:t xml:space="preserve"> </w:t>
      </w:r>
      <w:r>
        <w:rPr>
          <w:rFonts w:ascii="Arial"/>
          <w:color w:val="000000"/>
          <w:sz w:val="24"/>
        </w:rPr>
        <w:t>“</w:t>
      </w:r>
      <w:r>
        <w:rPr>
          <w:rFonts w:ascii="Arial"/>
          <w:color w:val="000000"/>
          <w:sz w:val="24"/>
        </w:rPr>
        <w:t xml:space="preserve">desired future character </w:t>
      </w:r>
      <w:r>
        <w:rPr>
          <w:rFonts w:ascii="Arial"/>
          <w:color w:val="000000"/>
          <w:sz w:val="24"/>
        </w:rPr>
        <w:t>for</w:t>
      </w:r>
      <w:r>
        <w:rPr>
          <w:rFonts w:ascii="Arial"/>
          <w:color w:val="000000"/>
          <w:sz w:val="24"/>
        </w:rPr>
        <w:t xml:space="preserve"> </w:t>
      </w:r>
      <w:r>
        <w:rPr>
          <w:rFonts w:ascii="Arial"/>
          <w:color w:val="000000"/>
          <w:sz w:val="24"/>
        </w:rPr>
        <w:t xml:space="preserve">the </w:t>
      </w:r>
      <w:r>
        <w:rPr>
          <w:rFonts w:ascii="Arial"/>
          <w:color w:val="000000"/>
          <w:sz w:val="24"/>
        </w:rPr>
        <w:t xml:space="preserve">Chullora Local </w:t>
      </w:r>
      <w:r>
        <w:rPr>
          <w:rFonts w:ascii="Arial"/>
          <w:color w:val="000000"/>
          <w:sz w:val="24"/>
        </w:rPr>
        <w:t>Centre</w:t>
      </w:r>
      <w:r>
        <w:rPr>
          <w:rFonts w:ascii="Arial"/>
          <w:color w:val="000000"/>
          <w:sz w:val="24"/>
        </w:rPr>
        <w:t>”</w:t>
      </w:r>
      <w:r>
        <w:rPr>
          <w:rFonts w:ascii="Arial"/>
          <w:color w:val="000000"/>
          <w:sz w:val="24"/>
        </w:rPr>
        <w:t xml:space="preserve"> </w:t>
      </w:r>
      <w:r>
        <w:rPr>
          <w:rFonts w:ascii="Arial"/>
          <w:color w:val="000000"/>
          <w:sz w:val="24"/>
        </w:rPr>
        <w:t>as</w:t>
      </w:r>
      <w:r>
        <w:rPr>
          <w:rFonts w:ascii="Arial"/>
          <w:color w:val="000000"/>
          <w:sz w:val="24"/>
        </w:rPr>
        <w:t xml:space="preserve"> </w:t>
      </w:r>
      <w:r>
        <w:rPr>
          <w:rFonts w:ascii="Arial"/>
          <w:color w:val="000000"/>
          <w:sz w:val="24"/>
        </w:rPr>
        <w:t xml:space="preserve">a </w:t>
      </w:r>
      <w:r>
        <w:rPr>
          <w:rFonts w:ascii="Arial"/>
          <w:color w:val="000000"/>
          <w:sz w:val="24"/>
        </w:rPr>
        <w:t>“</w:t>
      </w:r>
      <w:r>
        <w:rPr>
          <w:rFonts w:ascii="Arial"/>
          <w:i/>
          <w:color w:val="000000"/>
          <w:sz w:val="24"/>
        </w:rPr>
        <w:t xml:space="preserve">vibrant </w:t>
      </w:r>
      <w:r>
        <w:rPr>
          <w:rFonts w:ascii="Arial"/>
          <w:i/>
          <w:color w:val="000000"/>
          <w:sz w:val="24"/>
        </w:rPr>
        <w:t>mixed-use</w:t>
      </w:r>
      <w:r>
        <w:rPr>
          <w:rFonts w:ascii="Arial"/>
          <w:i/>
          <w:color w:val="000000"/>
          <w:sz w:val="24"/>
        </w:rPr>
        <w:t xml:space="preserve"> </w:t>
      </w:r>
      <w:r>
        <w:rPr>
          <w:rFonts w:ascii="Arial"/>
          <w:i/>
          <w:color w:val="000000"/>
          <w:sz w:val="24"/>
        </w:rPr>
        <w:t>commercial destination with generous green and public open spaces</w:t>
      </w:r>
      <w:r>
        <w:rPr>
          <w:rFonts w:ascii="Arial"/>
          <w:color w:val="000000"/>
          <w:sz w:val="24"/>
        </w:rPr>
        <w:t xml:space="preserve"> </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Consistent the </w:t>
      </w:r>
      <w:r>
        <w:rPr>
          <w:rFonts w:ascii="Arial"/>
          <w:color w:val="000000"/>
          <w:sz w:val="24"/>
        </w:rPr>
        <w:t>Council</w:t>
      </w:r>
      <w:r>
        <w:rPr>
          <w:rFonts w:ascii="Arial"/>
          <w:color w:val="000000"/>
          <w:sz w:val="24"/>
        </w:rPr>
        <w:t>’</w:t>
      </w:r>
      <w:r>
        <w:rPr>
          <w:rFonts w:ascii="Arial"/>
          <w:color w:val="000000"/>
          <w:sz w:val="24"/>
        </w:rPr>
        <w:t xml:space="preserve">s Local Strategic Statement </w:t>
      </w:r>
      <w:r>
        <w:rPr>
          <w:rFonts w:ascii="Arial"/>
          <w:color w:val="000000"/>
          <w:sz w:val="24"/>
        </w:rPr>
        <w:t>‘</w:t>
      </w:r>
      <w:r>
        <w:rPr>
          <w:rFonts w:ascii="Arial"/>
          <w:i/>
          <w:color w:val="000000"/>
          <w:sz w:val="24"/>
        </w:rPr>
        <w:t>Connective City 2036</w:t>
      </w:r>
      <w:r>
        <w:rPr>
          <w:rFonts w:ascii="Arial"/>
          <w:i/>
          <w:color w:val="000000"/>
          <w:sz w:val="24"/>
        </w:rPr>
        <w:t>’</w:t>
      </w:r>
      <w:r>
        <w:rPr>
          <w:rFonts w:ascii="Arial"/>
          <w:color w:val="000000"/>
          <w:sz w:val="24"/>
        </w:rPr>
        <w:t>.</w:t>
      </w:r>
    </w:p>
    <w:p>
      <w:pPr>
        <w:pStyle w:val="CaselawNumbered10"/>
        <w:numPr>
          <w:ilvl w:val="0"/>
          <w:numId w:val="24"/>
        </w:numPr>
        <w:spacing w:before="150" w:after="0"/>
        <w:ind w:left="600" w:hanging="600"/>
      </w:pPr>
      <w:r>
        <w:rPr>
          <w:rFonts w:ascii="Arial"/>
          <w:color w:val="000000"/>
          <w:sz w:val="24"/>
        </w:rPr>
        <w:t xml:space="preserve">The </w:t>
      </w:r>
      <w:r>
        <w:rPr>
          <w:rFonts w:ascii="Arial"/>
          <w:color w:val="000000"/>
          <w:sz w:val="24"/>
        </w:rPr>
        <w:t xml:space="preserve">DCP </w:t>
      </w:r>
      <w:r>
        <w:rPr>
          <w:rFonts w:ascii="Arial"/>
          <w:color w:val="000000"/>
          <w:sz w:val="24"/>
        </w:rPr>
        <w:t>envisages</w:t>
      </w:r>
      <w:r>
        <w:rPr>
          <w:rFonts w:ascii="Arial"/>
          <w:color w:val="000000"/>
          <w:sz w:val="24"/>
        </w:rPr>
        <w:t xml:space="preserve"> </w:t>
      </w:r>
      <w:r>
        <w:rPr>
          <w:rFonts w:ascii="Arial"/>
          <w:color w:val="000000"/>
          <w:sz w:val="24"/>
        </w:rPr>
        <w:t xml:space="preserve">centres like </w:t>
      </w:r>
      <w:r>
        <w:rPr>
          <w:rFonts w:ascii="Arial"/>
          <w:color w:val="000000"/>
          <w:sz w:val="24"/>
        </w:rPr>
        <w:t xml:space="preserve">the </w:t>
      </w:r>
      <w:r>
        <w:rPr>
          <w:rFonts w:ascii="Arial"/>
          <w:color w:val="000000"/>
          <w:sz w:val="24"/>
        </w:rPr>
        <w:t>Chullora Marketplace as</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w:t>
      </w:r>
      <w:r>
        <w:rPr>
          <w:rFonts w:ascii="Arial"/>
          <w:color w:val="000000"/>
          <w:sz w:val="22"/>
        </w:rPr>
        <w:t xml:space="preserve"> hubs of community life, with high quality public, civic and community spaces and places. </w:t>
      </w:r>
      <w:r>
        <w:rPr>
          <w:rFonts w:ascii="Arial"/>
          <w:color w:val="000000"/>
          <w:sz w:val="22"/>
        </w:rPr>
        <w:t>…</w:t>
      </w:r>
      <w:r>
        <w:rPr>
          <w:rFonts w:ascii="Arial"/>
          <w:color w:val="000000"/>
          <w:sz w:val="22"/>
        </w:rPr>
        <w:t xml:space="preserve"> </w:t>
      </w:r>
      <w:r>
        <w:rPr>
          <w:rFonts w:ascii="Arial"/>
          <w:color w:val="000000"/>
          <w:sz w:val="22"/>
        </w:rPr>
        <w:t>places for pedestrians …</w:t>
      </w:r>
      <w:r>
        <w:rPr>
          <w:rFonts w:ascii="Arial"/>
          <w:color w:val="000000"/>
          <w:sz w:val="22"/>
        </w:rPr>
        <w:t xml:space="preserve"> </w:t>
      </w:r>
      <w:r>
        <w:rPr>
          <w:rFonts w:ascii="Arial"/>
          <w:color w:val="000000"/>
          <w:sz w:val="22"/>
        </w:rPr>
        <w:t>well designed terrace houses, shop top housing, residential flat buildings and mixed-use buildings with new pedestrian-oriented streets and civic places”</w:t>
      </w:r>
      <w:r>
        <w:rPr>
          <w:rFonts w:ascii="Arial"/>
          <w:color w:val="000000"/>
          <w:sz w:val="22"/>
        </w:rPr>
        <w:t xml:space="preserve">. </w:t>
      </w:r>
    </w:p>
    <w:p>
      <w:pPr>
        <w:pStyle w:val="CaselawNumbered10"/>
        <w:numPr>
          <w:ilvl w:val="0"/>
          <w:numId w:val="25"/>
        </w:numPr>
        <w:spacing w:before="150" w:after="0"/>
        <w:ind w:left="600" w:hanging="600"/>
      </w:pPr>
      <w:r>
        <w:rPr>
          <w:rFonts w:ascii="Arial"/>
          <w:color w:val="000000"/>
          <w:sz w:val="24"/>
        </w:rPr>
        <w:t xml:space="preserve">Stated </w:t>
      </w:r>
      <w:r>
        <w:rPr>
          <w:rFonts w:ascii="Arial"/>
          <w:color w:val="000000"/>
          <w:sz w:val="24"/>
        </w:rPr>
        <w:t xml:space="preserve">key </w:t>
      </w:r>
      <w:r>
        <w:rPr>
          <w:rFonts w:ascii="Arial"/>
          <w:color w:val="000000"/>
          <w:sz w:val="24"/>
        </w:rPr>
        <w:t xml:space="preserve">objectives </w:t>
      </w:r>
      <w:r>
        <w:rPr>
          <w:rFonts w:ascii="Arial"/>
          <w:color w:val="000000"/>
          <w:sz w:val="24"/>
        </w:rPr>
        <w:t>of the DCP</w:t>
      </w:r>
      <w:r>
        <w:rPr>
          <w:rFonts w:ascii="Arial"/>
          <w:color w:val="000000"/>
          <w:sz w:val="24"/>
        </w:rPr>
        <w:t>,</w:t>
      </w:r>
      <w:r>
        <w:rPr>
          <w:rFonts w:ascii="Arial"/>
          <w:color w:val="000000"/>
          <w:sz w:val="24"/>
        </w:rPr>
        <w:t xml:space="preserve"> </w:t>
      </w:r>
      <w:r>
        <w:rPr>
          <w:rFonts w:ascii="Arial"/>
          <w:color w:val="000000"/>
          <w:sz w:val="24"/>
        </w:rPr>
        <w:t xml:space="preserve">seek to </w:t>
      </w:r>
      <w:r>
        <w:rPr>
          <w:rFonts w:ascii="Arial"/>
          <w:color w:val="000000"/>
          <w:sz w:val="24"/>
        </w:rPr>
        <w:t>ensur</w:t>
      </w:r>
      <w:r>
        <w:rPr>
          <w:rFonts w:ascii="Arial"/>
          <w:color w:val="000000"/>
          <w:sz w:val="24"/>
        </w:rPr>
        <w:t>e</w:t>
      </w:r>
      <w:r>
        <w:rPr>
          <w:rFonts w:ascii="Arial"/>
          <w:color w:val="000000"/>
          <w:sz w:val="24"/>
        </w:rPr>
        <w:t xml:space="preserve"> </w:t>
      </w:r>
      <w:r>
        <w:rPr>
          <w:rFonts w:ascii="Arial"/>
          <w:color w:val="000000"/>
          <w:sz w:val="24"/>
        </w:rPr>
        <w:t xml:space="preserve">the ongoing viability of the shopping centre during </w:t>
      </w:r>
      <w:r>
        <w:rPr>
          <w:rFonts w:ascii="Arial"/>
          <w:color w:val="000000"/>
          <w:sz w:val="24"/>
        </w:rPr>
        <w:t xml:space="preserve">its </w:t>
      </w:r>
      <w:r>
        <w:rPr>
          <w:rFonts w:ascii="Arial"/>
          <w:color w:val="000000"/>
          <w:sz w:val="24"/>
        </w:rPr>
        <w:t>redevelopment</w:t>
      </w:r>
      <w:r>
        <w:rPr>
          <w:rFonts w:ascii="Arial"/>
          <w:color w:val="000000"/>
          <w:sz w:val="24"/>
        </w:rPr>
        <w:t>, with</w:t>
      </w:r>
      <w:r>
        <w:rPr>
          <w:rFonts w:ascii="Arial"/>
          <w:color w:val="000000"/>
          <w:sz w:val="24"/>
        </w:rPr>
        <w:t xml:space="preserve"> </w:t>
      </w:r>
      <w:r>
        <w:rPr>
          <w:rFonts w:ascii="Arial"/>
          <w:color w:val="000000"/>
          <w:sz w:val="24"/>
        </w:rPr>
        <w:t>p</w:t>
      </w:r>
      <w:r>
        <w:rPr>
          <w:rFonts w:ascii="Arial"/>
          <w:color w:val="000000"/>
          <w:sz w:val="24"/>
        </w:rPr>
        <w:t>articular emphasis upon</w:t>
      </w:r>
      <w:r>
        <w:rPr>
          <w:rFonts w:ascii="Arial"/>
          <w:color w:val="000000"/>
          <w:sz w:val="24"/>
        </w:rPr>
        <w:t xml:space="preserve"> </w:t>
      </w:r>
      <w:r>
        <w:rPr>
          <w:rFonts w:ascii="Arial"/>
          <w:color w:val="000000"/>
          <w:sz w:val="24"/>
        </w:rPr>
        <w:t xml:space="preserve">the </w:t>
      </w:r>
      <w:r>
        <w:rPr>
          <w:rFonts w:ascii="Arial"/>
          <w:color w:val="000000"/>
          <w:sz w:val="24"/>
        </w:rPr>
        <w:t>retention</w:t>
      </w:r>
      <w:r>
        <w:rPr>
          <w:rFonts w:ascii="Arial"/>
          <w:color w:val="000000"/>
          <w:sz w:val="24"/>
        </w:rPr>
        <w:t xml:space="preserve"> </w:t>
      </w:r>
      <w:r>
        <w:rPr>
          <w:rFonts w:ascii="Arial"/>
          <w:color w:val="000000"/>
          <w:sz w:val="24"/>
        </w:rPr>
        <w:t xml:space="preserve">of the existing commercial floor space </w:t>
      </w:r>
      <w:r>
        <w:rPr>
          <w:rFonts w:ascii="Arial"/>
          <w:color w:val="000000"/>
          <w:sz w:val="24"/>
        </w:rPr>
        <w:t>(DCP</w:t>
      </w:r>
      <w:r>
        <w:rPr>
          <w:rFonts w:ascii="Arial"/>
          <w:color w:val="000000"/>
          <w:sz w:val="24"/>
        </w:rPr>
        <w:t xml:space="preserve"> </w:t>
      </w:r>
      <w:r>
        <w:rPr>
          <w:rFonts w:ascii="Arial"/>
          <w:color w:val="000000"/>
          <w:sz w:val="24"/>
        </w:rPr>
        <w:t xml:space="preserve">Staged development </w:t>
      </w:r>
      <w:r>
        <w:rPr>
          <w:rFonts w:ascii="Arial"/>
          <w:color w:val="000000"/>
          <w:sz w:val="24"/>
        </w:rPr>
        <w:t>p</w:t>
      </w:r>
      <w:r>
        <w:rPr>
          <w:rFonts w:ascii="Arial"/>
          <w:color w:val="000000"/>
          <w:sz w:val="24"/>
        </w:rPr>
        <w:t> </w:t>
      </w:r>
      <w:r>
        <w:rPr>
          <w:rFonts w:ascii="Arial"/>
          <w:color w:val="000000"/>
          <w:sz w:val="24"/>
        </w:rPr>
        <w:t>6</w:t>
      </w:r>
      <w:r>
        <w:rPr>
          <w:rFonts w:ascii="Arial"/>
          <w:color w:val="000000"/>
          <w:sz w:val="24"/>
        </w:rPr>
        <w:t>)</w:t>
      </w:r>
      <w:r>
        <w:rPr>
          <w:rFonts w:ascii="Arial"/>
          <w:b/>
          <w:i/>
          <w:color w:val="000000"/>
          <w:sz w:val="24"/>
        </w:rPr>
        <w:t>.</w:t>
      </w:r>
      <w:r>
        <w:rPr>
          <w:rFonts w:ascii="Arial"/>
          <w:b/>
          <w:i/>
          <w:color w:val="000000"/>
          <w:sz w:val="24"/>
        </w:rPr>
        <w:t xml:space="preserve"> </w:t>
      </w:r>
      <w:r>
        <w:rPr>
          <w:rFonts w:ascii="Arial"/>
          <w:color w:val="000000"/>
          <w:sz w:val="24"/>
        </w:rPr>
        <w:t xml:space="preserve"> </w:t>
      </w:r>
    </w:p>
    <w:p>
      <w:pPr>
        <w:pStyle w:val="CaselawNumbered10"/>
        <w:numPr>
          <w:ilvl w:val="0"/>
          <w:numId w:val="25"/>
        </w:numPr>
        <w:spacing w:before="150" w:after="0"/>
        <w:ind w:left="600" w:hanging="600"/>
      </w:pPr>
      <w:r>
        <w:rPr>
          <w:rFonts w:ascii="Arial"/>
          <w:color w:val="000000"/>
          <w:sz w:val="24"/>
        </w:rPr>
        <w:t>T</w:t>
      </w:r>
      <w:r>
        <w:rPr>
          <w:rFonts w:ascii="Arial"/>
          <w:color w:val="000000"/>
          <w:sz w:val="24"/>
        </w:rPr>
        <w:t xml:space="preserve">o that end, </w:t>
      </w:r>
      <w:r>
        <w:rPr>
          <w:rFonts w:ascii="Arial"/>
          <w:color w:val="000000"/>
          <w:sz w:val="24"/>
        </w:rPr>
        <w:t xml:space="preserve">the DCP </w:t>
      </w:r>
      <w:r>
        <w:rPr>
          <w:rFonts w:ascii="Arial"/>
          <w:color w:val="000000"/>
          <w:sz w:val="24"/>
        </w:rPr>
        <w:t xml:space="preserve">contemplates </w:t>
      </w:r>
      <w:r>
        <w:rPr>
          <w:rFonts w:ascii="Arial"/>
          <w:color w:val="000000"/>
          <w:sz w:val="24"/>
        </w:rPr>
        <w:t>a stage</w:t>
      </w:r>
      <w:r>
        <w:rPr>
          <w:rFonts w:ascii="Arial"/>
          <w:color w:val="000000"/>
          <w:sz w:val="24"/>
        </w:rPr>
        <w:t>d</w:t>
      </w:r>
      <w:r>
        <w:rPr>
          <w:rFonts w:ascii="Arial"/>
          <w:color w:val="000000"/>
          <w:sz w:val="24"/>
        </w:rPr>
        <w:t xml:space="preserve"> </w:t>
      </w:r>
      <w:r>
        <w:rPr>
          <w:rFonts w:ascii="Arial"/>
          <w:color w:val="000000"/>
          <w:sz w:val="24"/>
        </w:rPr>
        <w:t xml:space="preserve">development </w:t>
      </w:r>
      <w:r>
        <w:rPr>
          <w:rFonts w:ascii="Arial"/>
          <w:color w:val="000000"/>
          <w:sz w:val="24"/>
        </w:rPr>
        <w:t xml:space="preserve">process involving </w:t>
      </w:r>
      <w:r>
        <w:rPr>
          <w:rFonts w:ascii="Arial"/>
          <w:color w:val="000000"/>
          <w:sz w:val="24"/>
        </w:rPr>
        <w:t>an indicative concept plan (applying to the whole site) at the lodgement of the first development application</w:t>
      </w:r>
      <w:r>
        <w:rPr>
          <w:rFonts w:ascii="Arial"/>
          <w:color w:val="000000"/>
          <w:sz w:val="24"/>
        </w:rPr>
        <w:t xml:space="preserve"> </w:t>
      </w:r>
      <w:r>
        <w:rPr>
          <w:rFonts w:ascii="Arial"/>
          <w:color w:val="000000"/>
          <w:sz w:val="24"/>
        </w:rPr>
        <w:t xml:space="preserve">and </w:t>
      </w:r>
      <w:r>
        <w:rPr>
          <w:rFonts w:ascii="Arial"/>
          <w:color w:val="000000"/>
          <w:sz w:val="24"/>
        </w:rPr>
        <w:t xml:space="preserve">at </w:t>
      </w:r>
      <w:r>
        <w:rPr>
          <w:rFonts w:ascii="Arial"/>
          <w:color w:val="000000"/>
          <w:sz w:val="24"/>
        </w:rPr>
        <w:t xml:space="preserve">every stage thereafter to ensure each stage is </w:t>
      </w:r>
      <w:r>
        <w:rPr>
          <w:rFonts w:ascii="Arial"/>
          <w:color w:val="000000"/>
          <w:sz w:val="24"/>
        </w:rPr>
        <w:t xml:space="preserve">consistent with the </w:t>
      </w:r>
      <w:r>
        <w:rPr>
          <w:rFonts w:ascii="Arial"/>
          <w:color w:val="000000"/>
          <w:sz w:val="24"/>
        </w:rPr>
        <w:t>overarching key</w:t>
      </w:r>
      <w:r>
        <w:rPr>
          <w:rFonts w:ascii="Arial"/>
          <w:color w:val="000000"/>
          <w:sz w:val="24"/>
        </w:rPr>
        <w:t xml:space="preserve"> </w:t>
      </w:r>
      <w:r>
        <w:rPr>
          <w:rFonts w:ascii="Arial"/>
          <w:color w:val="000000"/>
          <w:sz w:val="24"/>
        </w:rPr>
        <w:t xml:space="preserve">design principles and desired character </w:t>
      </w:r>
      <w:r>
        <w:rPr>
          <w:rFonts w:ascii="Arial"/>
          <w:color w:val="000000"/>
          <w:sz w:val="24"/>
        </w:rPr>
        <w:t xml:space="preserve">outlined </w:t>
      </w:r>
      <w:r>
        <w:rPr>
          <w:rFonts w:ascii="Arial"/>
          <w:color w:val="000000"/>
          <w:sz w:val="24"/>
        </w:rPr>
        <w:t>in the DCP</w:t>
      </w:r>
      <w:r>
        <w:rPr>
          <w:rFonts w:ascii="Arial"/>
          <w:color w:val="000000"/>
          <w:sz w:val="24"/>
        </w:rPr>
        <w:t xml:space="preserve"> </w:t>
      </w:r>
      <w:r>
        <w:rPr>
          <w:rFonts w:ascii="Arial"/>
          <w:color w:val="000000"/>
          <w:sz w:val="24"/>
        </w:rPr>
        <w:t xml:space="preserve">(DCP </w:t>
      </w:r>
      <w:r>
        <w:rPr>
          <w:rFonts w:ascii="Arial"/>
          <w:color w:val="000000"/>
          <w:sz w:val="24"/>
        </w:rPr>
        <w:t>p</w:t>
      </w:r>
      <w:r>
        <w:rPr>
          <w:rFonts w:ascii="Arial"/>
          <w:color w:val="000000"/>
          <w:sz w:val="24"/>
        </w:rPr>
        <w:t xml:space="preserve"> </w:t>
      </w:r>
      <w:r>
        <w:rPr>
          <w:rFonts w:ascii="Arial"/>
          <w:color w:val="000000"/>
          <w:sz w:val="24"/>
        </w:rPr>
        <w:t>6).</w:t>
      </w:r>
      <w:r>
        <w:rPr>
          <w:rFonts w:ascii="Arial"/>
          <w:color w:val="000000"/>
          <w:sz w:val="24"/>
        </w:rPr>
        <w:t xml:space="preserve"> </w:t>
      </w:r>
      <w:r>
        <w:rPr>
          <w:rFonts w:ascii="Arial"/>
          <w:color w:val="000000"/>
          <w:sz w:val="24"/>
        </w:rPr>
        <w:t>Although,</w:t>
      </w:r>
      <w:r>
        <w:rPr>
          <w:rFonts w:ascii="Arial"/>
          <w:color w:val="000000"/>
          <w:sz w:val="24"/>
        </w:rPr>
        <w:t xml:space="preserve"> </w:t>
      </w:r>
      <w:r>
        <w:rPr>
          <w:rFonts w:ascii="Arial"/>
          <w:color w:val="000000"/>
          <w:sz w:val="24"/>
        </w:rPr>
        <w:t xml:space="preserve">the DCP expressly </w:t>
      </w:r>
      <w:r>
        <w:rPr>
          <w:rFonts w:ascii="Arial"/>
          <w:color w:val="000000"/>
          <w:sz w:val="24"/>
        </w:rPr>
        <w:t>acknowledge</w:t>
      </w:r>
      <w:r>
        <w:rPr>
          <w:rFonts w:ascii="Arial"/>
          <w:color w:val="000000"/>
          <w:sz w:val="24"/>
        </w:rPr>
        <w:t>s</w:t>
      </w:r>
      <w:r>
        <w:rPr>
          <w:rFonts w:ascii="Arial"/>
          <w:color w:val="000000"/>
          <w:sz w:val="24"/>
        </w:rPr>
        <w:t xml:space="preserve"> </w:t>
      </w:r>
      <w:r>
        <w:rPr>
          <w:rFonts w:ascii="Arial"/>
          <w:color w:val="000000"/>
          <w:sz w:val="24"/>
        </w:rPr>
        <w:t xml:space="preserve">that </w:t>
      </w:r>
      <w:r>
        <w:rPr>
          <w:rFonts w:ascii="Arial"/>
          <w:color w:val="000000"/>
          <w:sz w:val="24"/>
        </w:rPr>
        <w:t xml:space="preserve">the </w:t>
      </w:r>
      <w:r>
        <w:rPr>
          <w:rFonts w:ascii="Arial"/>
          <w:color w:val="000000"/>
          <w:sz w:val="24"/>
        </w:rPr>
        <w:t>Council</w:t>
      </w:r>
      <w:r>
        <w:rPr>
          <w:rFonts w:ascii="Arial"/>
          <w:color w:val="000000"/>
          <w:sz w:val="24"/>
        </w:rPr>
        <w:t xml:space="preserve"> </w:t>
      </w:r>
      <w:r>
        <w:rPr>
          <w:rFonts w:ascii="Arial"/>
          <w:color w:val="000000"/>
          <w:sz w:val="24"/>
        </w:rPr>
        <w:t>may need to</w:t>
      </w:r>
      <w:r>
        <w:rPr>
          <w:rFonts w:ascii="Arial"/>
          <w:color w:val="000000"/>
          <w:sz w:val="24"/>
        </w:rPr>
        <w:t xml:space="preserve"> </w:t>
      </w:r>
      <w:r>
        <w:rPr>
          <w:rFonts w:ascii="Arial"/>
          <w:color w:val="000000"/>
          <w:sz w:val="24"/>
        </w:rPr>
        <w:t xml:space="preserve">consider amendments to the indicative concept plan at each stage where required to be consistent with the desired character and key design principles for the centre. </w:t>
      </w:r>
    </w:p>
    <w:p>
      <w:pPr>
        <w:pStyle w:val="CaselawNumbered10"/>
        <w:numPr>
          <w:ilvl w:val="0"/>
          <w:numId w:val="25"/>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indicative structure plan</w:t>
      </w:r>
      <w:r>
        <w:rPr>
          <w:rFonts w:ascii="Arial"/>
          <w:color w:val="000000"/>
          <w:sz w:val="24"/>
        </w:rPr>
        <w:t xml:space="preserve"> </w:t>
      </w:r>
      <w:r>
        <w:rPr>
          <w:rFonts w:ascii="Arial"/>
          <w:color w:val="000000"/>
          <w:sz w:val="24"/>
        </w:rPr>
        <w:t>(</w:t>
      </w:r>
      <w:r>
        <w:rPr>
          <w:rFonts w:ascii="Arial"/>
          <w:color w:val="000000"/>
          <w:sz w:val="24"/>
        </w:rPr>
        <w:t>ISP</w:t>
      </w:r>
      <w:r>
        <w:rPr>
          <w:rFonts w:ascii="Arial"/>
          <w:color w:val="000000"/>
          <w:sz w:val="24"/>
        </w:rPr>
        <w:t>)</w:t>
      </w:r>
      <w:r>
        <w:rPr>
          <w:rFonts w:ascii="Arial"/>
          <w:color w:val="000000"/>
          <w:sz w:val="24"/>
        </w:rPr>
        <w:t xml:space="preserve"> </w:t>
      </w:r>
      <w:r>
        <w:rPr>
          <w:rFonts w:ascii="Arial"/>
          <w:color w:val="000000"/>
          <w:sz w:val="24"/>
        </w:rPr>
        <w:t>from the DCP</w:t>
      </w:r>
      <w:r>
        <w:rPr>
          <w:rFonts w:ascii="Arial"/>
          <w:color w:val="000000"/>
          <w:sz w:val="24"/>
        </w:rPr>
        <w:t xml:space="preserve"> </w:t>
      </w:r>
      <w:r>
        <w:rPr>
          <w:rFonts w:ascii="Arial"/>
          <w:color w:val="000000"/>
          <w:sz w:val="24"/>
        </w:rPr>
        <w:t>is reproduced below</w:t>
      </w:r>
      <w:r>
        <w:rPr>
          <w:rFonts w:ascii="Arial"/>
          <w:color w:val="000000"/>
          <w:sz w:val="24"/>
        </w:rPr>
        <w:t>.</w:t>
      </w:r>
    </w:p>
    <w:p>
      <w:pPr>
        <w:pStyle w:val="CaselawNormal"/>
        <w:spacing w:before="150" w:after="150"/>
        <w:ind w:left="600"/>
        <w:jc w:val="left"/>
      </w:pPr>
      <w:r>
        <w:drawing>
          <wp:inline distT="0" distB="0" distL="0" distR="0">
            <wp:extent cx="4333952" cy="53848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7"/>
                    <a:stretch>
                      <a:fillRect/>
                    </a:stretch>
                  </pic:blipFill>
                  <pic:spPr>
                    <a:xfrm>
                      <a:off x="0" y="0"/>
                      <a:ext cx="4333952" cy="5384800"/>
                    </a:xfrm>
                    <a:prstGeom prst="rect">
                      <a:avLst/>
                    </a:prstGeom>
                  </pic:spPr>
                </pic:pic>
              </a:graphicData>
            </a:graphic>
          </wp:inline>
        </w:drawing>
      </w:r>
    </w:p>
    <w:p>
      <w:pPr>
        <w:pStyle w:val="CaselawHeading2"/>
        <w:keepNext/>
        <w:spacing w:before="150" w:after="150" w:line="264"/>
        <w:ind w:left="0"/>
        <w:jc w:val="left"/>
      </w:pPr>
      <w:r>
        <w:rPr>
          <w:rFonts w:ascii="Arial"/>
        </w:rPr>
        <w:t>The proposal</w:t>
      </w:r>
      <w:r>
        <w:rPr>
          <w:rFonts w:ascii="Arial"/>
        </w:rPr>
        <w:t xml:space="preserve"> </w:t>
      </w:r>
    </w:p>
    <w:p>
      <w:pPr>
        <w:pStyle w:val="CaselawNumbered10"/>
        <w:numPr>
          <w:ilvl w:val="0"/>
          <w:numId w:val="26"/>
        </w:numPr>
        <w:spacing w:before="150" w:after="0"/>
        <w:ind w:left="600" w:hanging="600"/>
      </w:pPr>
      <w:r>
        <w:rPr>
          <w:rFonts w:ascii="Arial"/>
          <w:color w:val="000000"/>
          <w:sz w:val="24"/>
        </w:rPr>
        <w:t xml:space="preserve">The </w:t>
      </w:r>
      <w:r>
        <w:rPr>
          <w:rFonts w:ascii="Arial"/>
          <w:color w:val="000000"/>
          <w:sz w:val="24"/>
        </w:rPr>
        <w:t>DA</w:t>
      </w:r>
      <w:r>
        <w:rPr>
          <w:rFonts w:ascii="Arial"/>
          <w:color w:val="000000"/>
          <w:sz w:val="24"/>
        </w:rPr>
        <w:t xml:space="preserve"> </w:t>
      </w:r>
      <w:r>
        <w:rPr>
          <w:rFonts w:ascii="Arial"/>
          <w:color w:val="000000"/>
          <w:sz w:val="24"/>
        </w:rPr>
        <w:t xml:space="preserve">(DA 91/2023) </w:t>
      </w:r>
      <w:r>
        <w:rPr>
          <w:rFonts w:ascii="Arial"/>
          <w:color w:val="000000"/>
          <w:sz w:val="24"/>
        </w:rPr>
        <w:t>at issue was lodged by Henroth on 22 February 2023</w:t>
      </w:r>
      <w:r>
        <w:rPr>
          <w:rFonts w:ascii="Arial"/>
          <w:color w:val="000000"/>
          <w:sz w:val="24"/>
        </w:rPr>
        <w:t xml:space="preserve">. </w:t>
      </w:r>
      <w:r>
        <w:rPr>
          <w:rFonts w:ascii="Arial"/>
          <w:color w:val="000000"/>
          <w:sz w:val="24"/>
        </w:rPr>
        <w:t xml:space="preserve"> </w:t>
      </w:r>
      <w:r>
        <w:rPr>
          <w:rFonts w:ascii="Arial"/>
          <w:color w:val="000000"/>
          <w:sz w:val="24"/>
        </w:rPr>
        <w:t>A</w:t>
      </w:r>
      <w:r>
        <w:rPr>
          <w:rFonts w:ascii="Arial"/>
          <w:color w:val="000000"/>
          <w:sz w:val="24"/>
        </w:rPr>
        <w:t> summary of the salient parts of the concept DA</w:t>
      </w:r>
      <w:r>
        <w:rPr>
          <w:rFonts w:ascii="Arial"/>
          <w:color w:val="000000"/>
          <w:sz w:val="24"/>
        </w:rPr>
        <w:t xml:space="preserve"> was contained in a statement of agreed facts that was admitted into evidence, </w:t>
      </w:r>
      <w:r>
        <w:rPr>
          <w:rFonts w:ascii="Arial"/>
          <w:color w:val="000000"/>
          <w:sz w:val="24"/>
        </w:rPr>
        <w:t xml:space="preserve">and </w:t>
      </w:r>
      <w:r>
        <w:rPr>
          <w:rFonts w:ascii="Arial"/>
          <w:color w:val="000000"/>
          <w:sz w:val="24"/>
        </w:rPr>
        <w:t>comprise</w:t>
      </w:r>
      <w:r>
        <w:rPr>
          <w:rFonts w:ascii="Arial"/>
          <w:color w:val="000000"/>
          <w:sz w:val="24"/>
        </w:rPr>
        <w:t>s</w:t>
      </w:r>
      <w:r>
        <w:rPr>
          <w:rFonts w:ascii="Arial"/>
          <w:color w:val="000000"/>
          <w:sz w:val="24"/>
        </w:rPr>
        <w:t xml:space="preserve">: </w:t>
      </w:r>
      <w:r>
        <w:rPr>
          <w:rFonts w:ascii="Arial"/>
          <w:color w:val="000000"/>
          <w:sz w:val="24"/>
        </w:rPr>
        <w:t xml:space="preserve"> </w:t>
      </w:r>
    </w:p>
    <w:p>
      <w:pPr>
        <w:pStyle w:val="CaselawNumbereda"/>
        <w:numPr>
          <w:ilvl w:val="0"/>
          <w:numId w:val="27"/>
        </w:numPr>
        <w:spacing w:before="150" w:after="0"/>
        <w:ind w:left="2100" w:hanging="750"/>
      </w:pPr>
      <w:r>
        <w:rPr>
          <w:rFonts w:ascii="Arial"/>
          <w:b/>
          <w:color w:val="000000"/>
          <w:sz w:val="24"/>
        </w:rPr>
        <w:t>a concept DA</w:t>
      </w:r>
      <w:r>
        <w:rPr>
          <w:rFonts w:ascii="Arial"/>
          <w:color w:val="000000"/>
          <w:sz w:val="24"/>
        </w:rPr>
        <w:t xml:space="preserve"> </w:t>
      </w:r>
      <w:r>
        <w:rPr>
          <w:rFonts w:ascii="Arial"/>
          <w:color w:val="000000"/>
          <w:sz w:val="24"/>
        </w:rPr>
        <w:t>–</w:t>
      </w:r>
      <w:r>
        <w:rPr>
          <w:rFonts w:ascii="Arial"/>
          <w:color w:val="000000"/>
          <w:sz w:val="24"/>
        </w:rPr>
        <w:t xml:space="preserve"> </w:t>
      </w:r>
      <w:r>
        <w:rPr>
          <w:rFonts w:ascii="Arial"/>
          <w:color w:val="000000"/>
          <w:sz w:val="24"/>
        </w:rPr>
        <w:t xml:space="preserve">for </w:t>
      </w:r>
      <w:r>
        <w:rPr>
          <w:rFonts w:ascii="Arial"/>
          <w:color w:val="000000"/>
          <w:sz w:val="24"/>
        </w:rPr>
        <w:t xml:space="preserve">Stages 1 and </w:t>
      </w:r>
      <w:r>
        <w:rPr>
          <w:rFonts w:ascii="Arial"/>
          <w:color w:val="000000"/>
          <w:sz w:val="24"/>
        </w:rPr>
        <w:t>2</w:t>
      </w:r>
      <w:r>
        <w:rPr>
          <w:rFonts w:ascii="Arial"/>
          <w:color w:val="000000"/>
          <w:sz w:val="24"/>
        </w:rPr>
        <w:t xml:space="preserve"> </w:t>
      </w:r>
      <w:r>
        <w:rPr>
          <w:rFonts w:ascii="Arial"/>
          <w:color w:val="000000"/>
          <w:sz w:val="24"/>
        </w:rPr>
        <w:t>for</w:t>
      </w:r>
      <w:r>
        <w:rPr>
          <w:rFonts w:ascii="Arial"/>
          <w:color w:val="000000"/>
          <w:sz w:val="24"/>
        </w:rPr>
        <w:t xml:space="preserve"> </w:t>
      </w:r>
      <w:r>
        <w:rPr>
          <w:rFonts w:ascii="Arial"/>
          <w:color w:val="000000"/>
          <w:sz w:val="24"/>
        </w:rPr>
        <w:t>public roads and public domain</w:t>
      </w:r>
      <w:r>
        <w:rPr>
          <w:rFonts w:ascii="Arial"/>
          <w:color w:val="000000"/>
          <w:sz w:val="24"/>
        </w:rPr>
        <w:t xml:space="preserve"> </w:t>
      </w:r>
      <w:r>
        <w:rPr>
          <w:rFonts w:ascii="Arial"/>
          <w:color w:val="000000"/>
          <w:sz w:val="24"/>
        </w:rPr>
        <w:t>layout,</w:t>
      </w:r>
      <w:r>
        <w:rPr>
          <w:rFonts w:ascii="Arial"/>
          <w:color w:val="000000"/>
          <w:sz w:val="24"/>
        </w:rPr>
        <w:t xml:space="preserve"> </w:t>
      </w:r>
      <w:r>
        <w:rPr>
          <w:rFonts w:ascii="Arial"/>
          <w:color w:val="000000"/>
          <w:sz w:val="24"/>
        </w:rPr>
        <w:t xml:space="preserve">building envelopes for </w:t>
      </w:r>
      <w:r>
        <w:rPr>
          <w:rFonts w:ascii="Arial"/>
          <w:color w:val="000000"/>
          <w:sz w:val="24"/>
        </w:rPr>
        <w:t>retail</w:t>
      </w:r>
      <w:r>
        <w:rPr>
          <w:rFonts w:ascii="Arial"/>
          <w:color w:val="000000"/>
          <w:sz w:val="24"/>
        </w:rPr>
        <w:t>,</w:t>
      </w:r>
      <w:r>
        <w:rPr>
          <w:rFonts w:ascii="Arial"/>
          <w:color w:val="000000"/>
          <w:sz w:val="24"/>
        </w:rPr>
        <w:t xml:space="preserve"> </w:t>
      </w:r>
      <w:r>
        <w:rPr>
          <w:rFonts w:ascii="Arial"/>
          <w:color w:val="000000"/>
          <w:sz w:val="24"/>
        </w:rPr>
        <w:t>residential</w:t>
      </w:r>
      <w:r>
        <w:rPr>
          <w:rFonts w:ascii="Arial"/>
          <w:color w:val="000000"/>
          <w:sz w:val="24"/>
        </w:rPr>
        <w:t xml:space="preserve"> </w:t>
      </w:r>
      <w:r>
        <w:rPr>
          <w:rFonts w:ascii="Arial"/>
          <w:color w:val="000000"/>
          <w:sz w:val="24"/>
        </w:rPr>
        <w:t>and a childcare centre</w:t>
      </w:r>
      <w:r>
        <w:rPr>
          <w:rFonts w:ascii="Arial"/>
          <w:color w:val="000000"/>
          <w:sz w:val="24"/>
        </w:rPr>
        <w:t xml:space="preserve"> </w:t>
      </w:r>
      <w:r>
        <w:rPr>
          <w:rFonts w:ascii="Arial"/>
          <w:color w:val="000000"/>
          <w:sz w:val="24"/>
        </w:rPr>
        <w:t>(approximately 39,768m</w:t>
      </w:r>
      <w:r>
        <w:rPr>
          <w:rFonts w:ascii="Arial"/>
          <w:color w:val="000000"/>
          <w:sz w:val="24"/>
        </w:rPr>
        <w:t>2</w:t>
      </w:r>
      <w:r>
        <w:rPr>
          <w:rFonts w:ascii="Arial"/>
          <w:color w:val="000000"/>
          <w:sz w:val="24"/>
        </w:rPr>
        <w:t xml:space="preserve"> </w:t>
      </w:r>
      <w:r>
        <w:rPr>
          <w:rFonts w:ascii="Arial"/>
          <w:color w:val="000000"/>
          <w:sz w:val="24"/>
        </w:rPr>
        <w:t>of gross floor area</w:t>
      </w:r>
      <w:r>
        <w:rPr>
          <w:rFonts w:ascii="Arial"/>
          <w:color w:val="000000"/>
          <w:sz w:val="24"/>
        </w:rPr>
        <w:t xml:space="preserve"> </w:t>
      </w:r>
      <w:r>
        <w:rPr>
          <w:rFonts w:ascii="Arial"/>
          <w:color w:val="000000"/>
          <w:sz w:val="24"/>
        </w:rPr>
        <w:t>(GFA)</w:t>
      </w:r>
      <w:r>
        <w:rPr>
          <w:rFonts w:ascii="Arial"/>
          <w:color w:val="000000"/>
          <w:sz w:val="24"/>
        </w:rPr>
        <w:t xml:space="preserve">), </w:t>
      </w:r>
      <w:r>
        <w:rPr>
          <w:rFonts w:ascii="Arial"/>
          <w:color w:val="000000"/>
          <w:sz w:val="24"/>
        </w:rPr>
        <w:t xml:space="preserve">570 </w:t>
      </w:r>
      <w:r>
        <w:rPr>
          <w:rFonts w:ascii="Arial"/>
          <w:color w:val="000000"/>
          <w:sz w:val="24"/>
        </w:rPr>
        <w:t xml:space="preserve">parking </w:t>
      </w:r>
      <w:r>
        <w:rPr>
          <w:rFonts w:ascii="Arial"/>
          <w:color w:val="000000"/>
          <w:sz w:val="24"/>
        </w:rPr>
        <w:t xml:space="preserve">spaces </w:t>
      </w:r>
      <w:r>
        <w:rPr>
          <w:rFonts w:ascii="Arial"/>
          <w:color w:val="000000"/>
          <w:sz w:val="24"/>
        </w:rPr>
        <w:t xml:space="preserve">on the shopping centre site </w:t>
      </w:r>
      <w:r>
        <w:rPr>
          <w:rFonts w:ascii="Arial"/>
          <w:color w:val="000000"/>
          <w:sz w:val="24"/>
        </w:rPr>
        <w:t>and a ne</w:t>
      </w:r>
      <w:r>
        <w:rPr>
          <w:rFonts w:ascii="Arial"/>
          <w:color w:val="000000"/>
          <w:sz w:val="24"/>
        </w:rPr>
        <w:t>w</w:t>
      </w:r>
      <w:r>
        <w:rPr>
          <w:rFonts w:ascii="Arial"/>
          <w:color w:val="000000"/>
          <w:sz w:val="24"/>
        </w:rPr>
        <w:t xml:space="preserve"> </w:t>
      </w:r>
      <w:r>
        <w:rPr>
          <w:rFonts w:ascii="Arial"/>
          <w:color w:val="000000"/>
          <w:sz w:val="24"/>
        </w:rPr>
        <w:t xml:space="preserve">private </w:t>
      </w:r>
      <w:r>
        <w:rPr>
          <w:rFonts w:ascii="Arial"/>
          <w:color w:val="000000"/>
          <w:sz w:val="24"/>
        </w:rPr>
        <w:t xml:space="preserve">road </w:t>
      </w:r>
      <w:r>
        <w:rPr>
          <w:rFonts w:ascii="Arial"/>
          <w:color w:val="000000"/>
          <w:sz w:val="24"/>
        </w:rPr>
        <w:t>over 87 Norfolk Road</w:t>
      </w:r>
      <w:r>
        <w:rPr>
          <w:rFonts w:ascii="Arial"/>
          <w:color w:val="000000"/>
          <w:sz w:val="24"/>
        </w:rPr>
        <w:t xml:space="preserve"> </w:t>
      </w:r>
      <w:r>
        <w:rPr>
          <w:rFonts w:ascii="Arial"/>
          <w:color w:val="000000"/>
          <w:sz w:val="24"/>
        </w:rPr>
        <w:t>(Concept DA)</w:t>
      </w:r>
      <w:r>
        <w:rPr>
          <w:rFonts w:ascii="Arial"/>
          <w:color w:val="000000"/>
          <w:sz w:val="24"/>
        </w:rPr>
        <w:t xml:space="preserve">; and </w:t>
      </w:r>
    </w:p>
    <w:p>
      <w:pPr>
        <w:pStyle w:val="CaselawNumbereda"/>
        <w:numPr>
          <w:ilvl w:val="0"/>
          <w:numId w:val="27"/>
        </w:numPr>
        <w:spacing w:before="150" w:after="0"/>
        <w:ind w:left="2100" w:hanging="750"/>
      </w:pPr>
      <w:r>
        <w:rPr>
          <w:rFonts w:ascii="Arial"/>
          <w:b/>
          <w:color w:val="000000"/>
          <w:sz w:val="24"/>
        </w:rPr>
        <w:t xml:space="preserve">a </w:t>
      </w:r>
      <w:r>
        <w:rPr>
          <w:rFonts w:ascii="Arial"/>
          <w:b/>
          <w:color w:val="000000"/>
          <w:sz w:val="24"/>
        </w:rPr>
        <w:t>detailed DA</w:t>
      </w:r>
      <w:r>
        <w:rPr>
          <w:rFonts w:ascii="Arial"/>
          <w:b/>
          <w:color w:val="000000"/>
          <w:sz w:val="24"/>
        </w:rPr>
        <w:t xml:space="preserve"> </w:t>
      </w:r>
      <w:r>
        <w:rPr>
          <w:rFonts w:ascii="Arial"/>
          <w:b/>
          <w:color w:val="000000"/>
          <w:sz w:val="24"/>
        </w:rPr>
        <w:t>for Stage 1</w:t>
      </w:r>
      <w:r>
        <w:rPr>
          <w:rFonts w:ascii="Arial"/>
          <w:color w:val="000000"/>
          <w:sz w:val="24"/>
        </w:rPr>
        <w:t xml:space="preserve"> </w:t>
      </w:r>
      <w:r>
        <w:rPr>
          <w:rFonts w:ascii="Arial"/>
          <w:color w:val="000000"/>
          <w:sz w:val="24"/>
        </w:rPr>
        <w:t xml:space="preserve">for </w:t>
      </w:r>
      <w:r>
        <w:rPr>
          <w:rFonts w:ascii="Arial"/>
          <w:color w:val="000000"/>
          <w:sz w:val="24"/>
        </w:rPr>
        <w:t>a new mix</w:t>
      </w:r>
      <w:r>
        <w:rPr>
          <w:rFonts w:ascii="Arial"/>
          <w:color w:val="000000"/>
          <w:sz w:val="24"/>
        </w:rPr>
        <w:t>ed</w:t>
      </w:r>
      <w:r>
        <w:rPr>
          <w:rFonts w:ascii="Arial"/>
          <w:color w:val="000000"/>
          <w:sz w:val="24"/>
        </w:rPr>
        <w:t>-</w:t>
      </w:r>
      <w:r>
        <w:rPr>
          <w:rFonts w:ascii="Arial"/>
          <w:color w:val="000000"/>
          <w:sz w:val="24"/>
        </w:rPr>
        <w:t xml:space="preserve">use development </w:t>
      </w:r>
      <w:r>
        <w:rPr>
          <w:rFonts w:ascii="Arial"/>
          <w:color w:val="000000"/>
          <w:sz w:val="24"/>
        </w:rPr>
        <w:t xml:space="preserve">including: </w:t>
      </w:r>
      <w:r>
        <w:rPr>
          <w:rFonts w:ascii="Arial"/>
          <w:color w:val="000000"/>
          <w:sz w:val="24"/>
        </w:rPr>
        <w:t xml:space="preserve">295 parking spaces within two basement levels and </w:t>
      </w:r>
      <w:r>
        <w:rPr>
          <w:rFonts w:ascii="Arial"/>
          <w:color w:val="000000"/>
          <w:sz w:val="24"/>
        </w:rPr>
        <w:t xml:space="preserve"> </w:t>
      </w:r>
      <w:r>
        <w:rPr>
          <w:rFonts w:ascii="Arial"/>
          <w:color w:val="000000"/>
          <w:sz w:val="24"/>
        </w:rPr>
        <w:t>at</w:t>
      </w:r>
      <w:r>
        <w:rPr>
          <w:rFonts w:ascii="Arial"/>
          <w:color w:val="000000"/>
          <w:sz w:val="24"/>
        </w:rPr>
        <w:t>-</w:t>
      </w:r>
      <w:r>
        <w:rPr>
          <w:rFonts w:ascii="Arial"/>
          <w:color w:val="000000"/>
          <w:sz w:val="24"/>
        </w:rPr>
        <w:t xml:space="preserve">grade parking for visitor parking along </w:t>
      </w:r>
      <w:r>
        <w:rPr>
          <w:rFonts w:ascii="Arial"/>
          <w:color w:val="000000"/>
          <w:sz w:val="24"/>
        </w:rPr>
        <w:t>Norfolk Lane</w:t>
      </w:r>
      <w:r>
        <w:rPr>
          <w:rFonts w:ascii="Arial"/>
          <w:color w:val="000000"/>
          <w:sz w:val="24"/>
        </w:rPr>
        <w:t>; 90 residential units within a 2-6 storey residential flat building; a 130</w:t>
      </w:r>
      <w:r>
        <w:rPr>
          <w:rFonts w:ascii="Arial"/>
          <w:color w:val="000000"/>
          <w:sz w:val="24"/>
        </w:rPr>
        <w:t>-</w:t>
      </w:r>
      <w:r>
        <w:rPr>
          <w:rFonts w:ascii="Arial"/>
          <w:color w:val="000000"/>
          <w:sz w:val="24"/>
        </w:rPr>
        <w:t xml:space="preserve">place childcare centre (exclusive of detailed fit out); demolition of existing dwelling at 87 Norfolk Road </w:t>
      </w:r>
      <w:r>
        <w:rPr>
          <w:rFonts w:ascii="Arial"/>
          <w:color w:val="000000"/>
          <w:sz w:val="24"/>
        </w:rPr>
        <w:t xml:space="preserve">to allow </w:t>
      </w:r>
      <w:r>
        <w:rPr>
          <w:rFonts w:ascii="Arial"/>
          <w:color w:val="000000"/>
          <w:sz w:val="24"/>
        </w:rPr>
        <w:t xml:space="preserve">for the </w:t>
      </w:r>
      <w:r>
        <w:rPr>
          <w:rFonts w:ascii="Arial"/>
          <w:color w:val="000000"/>
          <w:sz w:val="24"/>
        </w:rPr>
        <w:t xml:space="preserve">construction of a </w:t>
      </w:r>
      <w:r>
        <w:rPr>
          <w:rFonts w:ascii="Arial"/>
          <w:color w:val="000000"/>
          <w:sz w:val="24"/>
        </w:rPr>
        <w:t>new road</w:t>
      </w:r>
      <w:r>
        <w:rPr>
          <w:rFonts w:ascii="Arial"/>
          <w:color w:val="000000"/>
          <w:sz w:val="24"/>
        </w:rPr>
        <w:t>;</w:t>
      </w:r>
      <w:r>
        <w:rPr>
          <w:rFonts w:ascii="Arial"/>
          <w:color w:val="000000"/>
          <w:sz w:val="24"/>
        </w:rPr>
        <w:t xml:space="preserve"> </w:t>
      </w:r>
      <w:r>
        <w:rPr>
          <w:rFonts w:ascii="Arial"/>
          <w:color w:val="000000"/>
          <w:sz w:val="24"/>
        </w:rPr>
        <w:t xml:space="preserve">landscaping and associated civil works and services (Stage </w:t>
      </w:r>
      <w:r>
        <w:rPr>
          <w:rFonts w:ascii="Arial"/>
          <w:color w:val="000000"/>
          <w:sz w:val="24"/>
        </w:rPr>
        <w:t xml:space="preserve">1 </w:t>
      </w:r>
      <w:r>
        <w:rPr>
          <w:rFonts w:ascii="Arial"/>
          <w:color w:val="000000"/>
          <w:sz w:val="24"/>
        </w:rPr>
        <w:t>DA)</w:t>
      </w:r>
      <w:r>
        <w:rPr>
          <w:rFonts w:ascii="Arial"/>
          <w:color w:val="000000"/>
          <w:sz w:val="24"/>
        </w:rPr>
        <w:t>.</w:t>
      </w:r>
      <w:r>
        <w:rPr>
          <w:rFonts w:ascii="Arial"/>
          <w:color w:val="000000"/>
          <w:sz w:val="24"/>
        </w:rPr>
        <w:t xml:space="preserve"> </w:t>
      </w:r>
      <w:r>
        <w:rPr>
          <w:rFonts w:ascii="Arial"/>
          <w:color w:val="000000"/>
          <w:sz w:val="24"/>
        </w:rPr>
        <w:t xml:space="preserve">As the Concept </w:t>
      </w:r>
      <w:r>
        <w:rPr>
          <w:rFonts w:ascii="Arial"/>
          <w:color w:val="000000"/>
          <w:sz w:val="24"/>
        </w:rPr>
        <w:t>P</w:t>
      </w:r>
      <w:r>
        <w:rPr>
          <w:rFonts w:ascii="Arial"/>
          <w:color w:val="000000"/>
          <w:sz w:val="24"/>
        </w:rPr>
        <w:t>lan above identifies</w:t>
      </w:r>
      <w:r>
        <w:rPr>
          <w:rFonts w:ascii="Arial"/>
          <w:color w:val="000000"/>
          <w:sz w:val="24"/>
        </w:rPr>
        <w:t>,</w:t>
      </w:r>
      <w:r>
        <w:rPr>
          <w:rFonts w:ascii="Arial"/>
          <w:color w:val="000000"/>
          <w:sz w:val="24"/>
        </w:rPr>
        <w:t xml:space="preserve"> </w:t>
      </w:r>
      <w:r>
        <w:rPr>
          <w:rFonts w:ascii="Arial"/>
          <w:color w:val="000000"/>
          <w:sz w:val="24"/>
        </w:rPr>
        <w:t xml:space="preserve">vehicular access for proposed Stage 1 of the development will be via the existing Waterloo Road, as well as a new private road off Norfolk Road. In the </w:t>
      </w:r>
      <w:r>
        <w:rPr>
          <w:rFonts w:ascii="Arial"/>
          <w:color w:val="000000"/>
          <w:sz w:val="24"/>
        </w:rPr>
        <w:t>s</w:t>
      </w:r>
      <w:r>
        <w:rPr>
          <w:rFonts w:ascii="Arial"/>
          <w:color w:val="000000"/>
          <w:sz w:val="24"/>
        </w:rPr>
        <w:t>econd stage of the development</w:t>
      </w:r>
      <w:r>
        <w:rPr>
          <w:rFonts w:ascii="Arial"/>
          <w:color w:val="000000"/>
          <w:sz w:val="24"/>
        </w:rPr>
        <w:t>,</w:t>
      </w:r>
      <w:r>
        <w:rPr>
          <w:rFonts w:ascii="Arial"/>
          <w:color w:val="000000"/>
          <w:sz w:val="24"/>
        </w:rPr>
        <w:t xml:space="preserve"> </w:t>
      </w:r>
      <w:r>
        <w:rPr>
          <w:rFonts w:ascii="Arial"/>
          <w:color w:val="000000"/>
          <w:sz w:val="24"/>
        </w:rPr>
        <w:t xml:space="preserve">the roads will then connect via the entry in Waterloo Road. </w:t>
      </w:r>
    </w:p>
    <w:p>
      <w:pPr>
        <w:pStyle w:val="CaselawNumbereda"/>
        <w:numPr>
          <w:ilvl w:val="0"/>
          <w:numId w:val="27"/>
        </w:numPr>
        <w:spacing w:before="150" w:after="0"/>
        <w:ind w:left="2100" w:hanging="750"/>
      </w:pPr>
      <w:r>
        <w:rPr>
          <w:rFonts w:ascii="Arial"/>
          <w:color w:val="000000"/>
          <w:sz w:val="24"/>
        </w:rPr>
        <w:t>The Stage 1 DA</w:t>
      </w:r>
      <w:r>
        <w:rPr>
          <w:rFonts w:ascii="Arial"/>
          <w:b/>
          <w:color w:val="000000"/>
          <w:sz w:val="24"/>
        </w:rPr>
        <w:t xml:space="preserve"> </w:t>
      </w:r>
      <w:r>
        <w:rPr>
          <w:rFonts w:ascii="Arial"/>
          <w:color w:val="000000"/>
          <w:sz w:val="24"/>
        </w:rPr>
        <w:t>lot includes th</w:t>
      </w:r>
      <w:r>
        <w:rPr>
          <w:rFonts w:ascii="Arial"/>
          <w:color w:val="000000"/>
          <w:sz w:val="24"/>
        </w:rPr>
        <w:t>e</w:t>
      </w:r>
      <w:r>
        <w:rPr>
          <w:rFonts w:ascii="Arial"/>
          <w:color w:val="000000"/>
          <w:sz w:val="24"/>
        </w:rPr>
        <w:t xml:space="preserve"> </w:t>
      </w:r>
      <w:r>
        <w:rPr>
          <w:rFonts w:ascii="Arial"/>
          <w:color w:val="000000"/>
          <w:sz w:val="24"/>
        </w:rPr>
        <w:t xml:space="preserve">construction of a new loading dock for Aldi and a new Mini Major that forms part of the </w:t>
      </w:r>
      <w:r>
        <w:rPr>
          <w:rFonts w:ascii="Arial"/>
          <w:color w:val="000000"/>
          <w:sz w:val="24"/>
        </w:rPr>
        <w:t>alteration and</w:t>
      </w:r>
      <w:r>
        <w:rPr>
          <w:rFonts w:ascii="Arial"/>
          <w:color w:val="000000"/>
          <w:sz w:val="24"/>
        </w:rPr>
        <w:t xml:space="preserve"> </w:t>
      </w:r>
      <w:r>
        <w:rPr>
          <w:rFonts w:ascii="Arial"/>
          <w:color w:val="000000"/>
          <w:sz w:val="24"/>
        </w:rPr>
        <w:t>additions</w:t>
      </w:r>
      <w:r>
        <w:rPr>
          <w:rFonts w:ascii="Arial"/>
          <w:color w:val="000000"/>
          <w:sz w:val="24"/>
        </w:rPr>
        <w:t xml:space="preserve"> </w:t>
      </w:r>
      <w:r>
        <w:rPr>
          <w:rFonts w:ascii="Arial"/>
          <w:color w:val="000000"/>
          <w:sz w:val="24"/>
        </w:rPr>
        <w:t xml:space="preserve">to the existing </w:t>
      </w:r>
      <w:r>
        <w:rPr>
          <w:rFonts w:ascii="Arial"/>
          <w:color w:val="000000"/>
          <w:sz w:val="24"/>
        </w:rPr>
        <w:t>Chullora</w:t>
      </w:r>
      <w:r>
        <w:rPr>
          <w:rFonts w:ascii="Arial"/>
          <w:color w:val="000000"/>
          <w:sz w:val="24"/>
        </w:rPr>
        <w:t xml:space="preserve"> </w:t>
      </w:r>
      <w:r>
        <w:rPr>
          <w:rFonts w:ascii="Arial"/>
          <w:color w:val="000000"/>
          <w:sz w:val="24"/>
        </w:rPr>
        <w:t xml:space="preserve">Marketplace building. Access to the loading </w:t>
      </w:r>
      <w:r>
        <w:rPr>
          <w:rFonts w:ascii="Arial"/>
          <w:color w:val="000000"/>
          <w:sz w:val="24"/>
        </w:rPr>
        <w:t>dock</w:t>
      </w:r>
      <w:r>
        <w:rPr>
          <w:rFonts w:ascii="Arial"/>
          <w:color w:val="000000"/>
          <w:sz w:val="24"/>
        </w:rPr>
        <w:t xml:space="preserve"> </w:t>
      </w:r>
      <w:r>
        <w:rPr>
          <w:rFonts w:ascii="Arial"/>
          <w:color w:val="000000"/>
          <w:sz w:val="24"/>
        </w:rPr>
        <w:t xml:space="preserve">will be via the northernmost access from </w:t>
      </w:r>
      <w:r>
        <w:rPr>
          <w:rFonts w:ascii="Arial"/>
          <w:color w:val="000000"/>
          <w:sz w:val="24"/>
        </w:rPr>
        <w:t>Waterloo</w:t>
      </w:r>
      <w:r>
        <w:rPr>
          <w:rFonts w:ascii="Arial"/>
          <w:color w:val="000000"/>
          <w:sz w:val="24"/>
        </w:rPr>
        <w:t xml:space="preserve"> </w:t>
      </w:r>
      <w:r>
        <w:rPr>
          <w:rFonts w:ascii="Arial"/>
          <w:color w:val="000000"/>
          <w:sz w:val="24"/>
        </w:rPr>
        <w:t>Road, along the northern boundary and then along the eastern boundary. Ther</w:t>
      </w:r>
      <w:r>
        <w:rPr>
          <w:rFonts w:ascii="Arial"/>
          <w:color w:val="000000"/>
          <w:sz w:val="24"/>
        </w:rPr>
        <w:t>e</w:t>
      </w:r>
      <w:r>
        <w:rPr>
          <w:rFonts w:ascii="Arial"/>
          <w:color w:val="000000"/>
          <w:sz w:val="24"/>
        </w:rPr>
        <w:t>after</w:t>
      </w:r>
      <w:r>
        <w:rPr>
          <w:rFonts w:ascii="Arial"/>
          <w:color w:val="000000"/>
          <w:sz w:val="24"/>
        </w:rPr>
        <w:t xml:space="preserve"> </w:t>
      </w:r>
      <w:r>
        <w:rPr>
          <w:rFonts w:ascii="Arial"/>
          <w:color w:val="000000"/>
          <w:sz w:val="24"/>
        </w:rPr>
        <w:t xml:space="preserve">service </w:t>
      </w:r>
      <w:r>
        <w:rPr>
          <w:rFonts w:ascii="Arial"/>
          <w:color w:val="000000"/>
          <w:sz w:val="24"/>
        </w:rPr>
        <w:t>vehicles</w:t>
      </w:r>
      <w:r>
        <w:rPr>
          <w:rFonts w:ascii="Arial"/>
          <w:color w:val="000000"/>
          <w:sz w:val="24"/>
        </w:rPr>
        <w:t xml:space="preserve"> </w:t>
      </w:r>
      <w:r>
        <w:rPr>
          <w:rFonts w:ascii="Arial"/>
          <w:color w:val="000000"/>
          <w:sz w:val="24"/>
        </w:rPr>
        <w:t>will no</w:t>
      </w:r>
      <w:r>
        <w:rPr>
          <w:rFonts w:ascii="Arial"/>
          <w:color w:val="000000"/>
          <w:sz w:val="24"/>
        </w:rPr>
        <w:t xml:space="preserve"> </w:t>
      </w:r>
      <w:r>
        <w:rPr>
          <w:rFonts w:ascii="Arial"/>
          <w:color w:val="000000"/>
          <w:sz w:val="24"/>
        </w:rPr>
        <w:t xml:space="preserve">longer be travelling along the southern </w:t>
      </w:r>
      <w:r>
        <w:rPr>
          <w:rFonts w:ascii="Arial"/>
          <w:color w:val="000000"/>
          <w:sz w:val="24"/>
        </w:rPr>
        <w:t>boundary.</w:t>
      </w:r>
      <w:r>
        <w:rPr>
          <w:rFonts w:ascii="Arial"/>
          <w:color w:val="000000"/>
          <w:sz w:val="24"/>
        </w:rPr>
        <w:t xml:space="preserve"> </w:t>
      </w:r>
      <w:r>
        <w:rPr>
          <w:rFonts w:ascii="Arial"/>
          <w:color w:val="000000"/>
          <w:sz w:val="24"/>
        </w:rPr>
        <w:t>They will exit the site in forward direction using the proposed turning circle and exit via the northern-most access point on Waterloo Road (</w:t>
      </w:r>
      <w:r>
        <w:rPr>
          <w:rFonts w:ascii="Arial"/>
          <w:color w:val="000000"/>
          <w:sz w:val="24"/>
        </w:rPr>
        <w:t>Statement of Environmental Effects (</w:t>
      </w:r>
      <w:r>
        <w:rPr>
          <w:rFonts w:ascii="Arial"/>
          <w:color w:val="000000"/>
          <w:sz w:val="24"/>
        </w:rPr>
        <w:t>SEE</w:t>
      </w:r>
      <w:r>
        <w:rPr>
          <w:rFonts w:ascii="Arial"/>
          <w:color w:val="000000"/>
          <w:sz w:val="24"/>
        </w:rPr>
        <w:t>)</w:t>
      </w:r>
      <w:r>
        <w:rPr>
          <w:rFonts w:ascii="Arial"/>
          <w:color w:val="000000"/>
          <w:sz w:val="24"/>
        </w:rPr>
        <w:t xml:space="preserve"> </w:t>
      </w:r>
      <w:r>
        <w:rPr>
          <w:rFonts w:ascii="Arial"/>
          <w:color w:val="000000"/>
          <w:sz w:val="24"/>
        </w:rPr>
        <w:t>p</w:t>
      </w:r>
      <w:r>
        <w:rPr>
          <w:rFonts w:ascii="Arial"/>
          <w:color w:val="000000"/>
          <w:sz w:val="24"/>
        </w:rPr>
        <w:t xml:space="preserve"> </w:t>
      </w:r>
      <w:r>
        <w:rPr>
          <w:rFonts w:ascii="Arial"/>
          <w:color w:val="000000"/>
          <w:sz w:val="24"/>
        </w:rPr>
        <w:t xml:space="preserve">25 Figs 35 and 36). </w:t>
      </w:r>
    </w:p>
    <w:p>
      <w:pPr>
        <w:pStyle w:val="CaselawNumbereda"/>
        <w:numPr>
          <w:ilvl w:val="0"/>
          <w:numId w:val="27"/>
        </w:numPr>
        <w:spacing w:before="150" w:after="0"/>
        <w:ind w:left="2100" w:hanging="750"/>
      </w:pPr>
      <w:r>
        <w:rPr>
          <w:rFonts w:ascii="Arial"/>
          <w:b/>
          <w:color w:val="000000"/>
          <w:sz w:val="24"/>
        </w:rPr>
        <w:t>A</w:t>
      </w:r>
      <w:r>
        <w:rPr>
          <w:rFonts w:ascii="Arial"/>
          <w:b/>
          <w:color w:val="000000"/>
          <w:sz w:val="24"/>
        </w:rPr>
        <w:t xml:space="preserve"> </w:t>
      </w:r>
      <w:r>
        <w:rPr>
          <w:rFonts w:ascii="Arial"/>
          <w:b/>
          <w:color w:val="000000"/>
          <w:sz w:val="24"/>
        </w:rPr>
        <w:t>“concept” approval for Stage 2</w:t>
      </w:r>
      <w:r>
        <w:rPr>
          <w:rFonts w:ascii="Arial"/>
          <w:color w:val="000000"/>
          <w:sz w:val="24"/>
        </w:rPr>
        <w:t xml:space="preserve"> </w:t>
      </w:r>
      <w:r>
        <w:rPr>
          <w:rFonts w:ascii="Arial"/>
          <w:color w:val="000000"/>
          <w:sz w:val="24"/>
        </w:rPr>
        <w:t xml:space="preserve">includes a mixed-use development </w:t>
      </w:r>
      <w:r>
        <w:rPr>
          <w:rFonts w:ascii="Arial"/>
          <w:color w:val="000000"/>
          <w:sz w:val="24"/>
        </w:rPr>
        <w:t xml:space="preserve">comprising: </w:t>
      </w:r>
      <w:r>
        <w:rPr>
          <w:rFonts w:ascii="Arial"/>
          <w:color w:val="000000"/>
          <w:sz w:val="24"/>
        </w:rPr>
        <w:t>t</w:t>
      </w:r>
      <w:r>
        <w:rPr>
          <w:rFonts w:ascii="Arial"/>
          <w:color w:val="000000"/>
          <w:sz w:val="24"/>
        </w:rPr>
        <w:t xml:space="preserve">wo </w:t>
      </w:r>
      <w:r>
        <w:rPr>
          <w:rFonts w:ascii="Arial"/>
          <w:color w:val="000000"/>
          <w:sz w:val="24"/>
        </w:rPr>
        <w:t xml:space="preserve">x </w:t>
      </w:r>
      <w:r>
        <w:rPr>
          <w:rFonts w:ascii="Arial"/>
          <w:color w:val="000000"/>
          <w:sz w:val="24"/>
        </w:rPr>
        <w:t xml:space="preserve">6-storey buildings </w:t>
      </w:r>
      <w:r>
        <w:rPr>
          <w:rFonts w:ascii="Arial"/>
          <w:color w:val="000000"/>
          <w:sz w:val="24"/>
        </w:rPr>
        <w:t xml:space="preserve">containing </w:t>
      </w:r>
      <w:r>
        <w:rPr>
          <w:rFonts w:ascii="Arial"/>
          <w:color w:val="000000"/>
          <w:sz w:val="24"/>
        </w:rPr>
        <w:t xml:space="preserve">82 residential units; </w:t>
      </w:r>
      <w:r>
        <w:rPr>
          <w:rFonts w:ascii="Arial"/>
          <w:color w:val="000000"/>
          <w:sz w:val="24"/>
        </w:rPr>
        <w:t xml:space="preserve"> </w:t>
      </w:r>
      <w:r>
        <w:rPr>
          <w:rFonts w:ascii="Arial"/>
          <w:color w:val="000000"/>
          <w:sz w:val="24"/>
        </w:rPr>
        <w:t xml:space="preserve">342 car parking spaces across three levels of basement; </w:t>
      </w:r>
      <w:r>
        <w:rPr>
          <w:rFonts w:ascii="Arial"/>
          <w:color w:val="000000"/>
          <w:sz w:val="24"/>
        </w:rPr>
        <w:t>t</w:t>
      </w:r>
      <w:r>
        <w:rPr>
          <w:rFonts w:ascii="Arial"/>
          <w:color w:val="000000"/>
          <w:sz w:val="24"/>
        </w:rPr>
        <w:t xml:space="preserve">hree retail tenancies; </w:t>
      </w:r>
      <w:r>
        <w:rPr>
          <w:rFonts w:ascii="Arial"/>
          <w:color w:val="000000"/>
          <w:sz w:val="24"/>
        </w:rPr>
        <w:t>a</w:t>
      </w:r>
      <w:r>
        <w:rPr>
          <w:rFonts w:ascii="Arial"/>
          <w:color w:val="000000"/>
          <w:sz w:val="24"/>
        </w:rPr>
        <w:t xml:space="preserve"> </w:t>
      </w:r>
      <w:r>
        <w:rPr>
          <w:rFonts w:ascii="Arial"/>
          <w:color w:val="000000"/>
          <w:sz w:val="24"/>
        </w:rPr>
        <w:t xml:space="preserve">communal plaza; </w:t>
      </w:r>
      <w:r>
        <w:rPr>
          <w:rFonts w:ascii="Arial"/>
          <w:color w:val="000000"/>
          <w:sz w:val="24"/>
        </w:rPr>
        <w:t>a</w:t>
      </w:r>
      <w:r>
        <w:rPr>
          <w:rFonts w:ascii="Arial"/>
          <w:color w:val="000000"/>
          <w:sz w:val="24"/>
        </w:rPr>
        <w:t xml:space="preserve"> </w:t>
      </w:r>
      <w:r>
        <w:rPr>
          <w:rFonts w:ascii="Arial"/>
          <w:color w:val="000000"/>
          <w:sz w:val="24"/>
        </w:rPr>
        <w:t xml:space="preserve">park; and </w:t>
      </w:r>
      <w:r>
        <w:rPr>
          <w:rFonts w:ascii="Arial"/>
          <w:color w:val="000000"/>
          <w:sz w:val="24"/>
        </w:rPr>
        <w:t>a</w:t>
      </w:r>
      <w:r>
        <w:rPr>
          <w:rFonts w:ascii="Arial"/>
          <w:color w:val="000000"/>
          <w:sz w:val="24"/>
        </w:rPr>
        <w:t xml:space="preserve"> </w:t>
      </w:r>
      <w:r>
        <w:rPr>
          <w:rFonts w:ascii="Arial"/>
          <w:color w:val="000000"/>
          <w:sz w:val="24"/>
        </w:rPr>
        <w:t xml:space="preserve">new access driveway from Waterloo Road. </w:t>
      </w:r>
    </w:p>
    <w:p>
      <w:pPr>
        <w:pStyle w:val="CaselawNumbered10"/>
        <w:numPr>
          <w:ilvl w:val="0"/>
          <w:numId w:val="28"/>
        </w:numPr>
        <w:spacing w:before="150" w:after="0"/>
        <w:ind w:left="600" w:hanging="600"/>
      </w:pPr>
      <w:r>
        <w:rPr>
          <w:rFonts w:ascii="Arial"/>
          <w:color w:val="000000"/>
          <w:sz w:val="24"/>
        </w:rPr>
        <w:t xml:space="preserve">Figure </w:t>
      </w:r>
      <w:r>
        <w:rPr>
          <w:rFonts w:ascii="Arial"/>
          <w:color w:val="000000"/>
          <w:sz w:val="24"/>
        </w:rPr>
        <w:t>1</w:t>
      </w:r>
      <w:r>
        <w:rPr>
          <w:rFonts w:ascii="Arial"/>
          <w:color w:val="000000"/>
          <w:sz w:val="24"/>
        </w:rPr>
        <w:t xml:space="preserve"> </w:t>
      </w:r>
      <w:r>
        <w:rPr>
          <w:rFonts w:ascii="Arial"/>
          <w:color w:val="000000"/>
          <w:sz w:val="24"/>
        </w:rPr>
        <w:t xml:space="preserve">below shows the general layout of Stages 1 and 2 </w:t>
      </w:r>
      <w:r>
        <w:rPr>
          <w:rFonts w:ascii="Arial"/>
          <w:color w:val="000000"/>
          <w:sz w:val="24"/>
        </w:rPr>
        <w:t xml:space="preserve">as proposed </w:t>
      </w:r>
      <w:r>
        <w:rPr>
          <w:rFonts w:ascii="Arial"/>
          <w:color w:val="000000"/>
          <w:sz w:val="24"/>
        </w:rPr>
        <w:t xml:space="preserve">(Turner Studio; Ex E Tab 4, p 2). </w:t>
      </w:r>
    </w:p>
    <w:p>
      <w:pPr>
        <w:pStyle w:val="CaselawNormal"/>
        <w:spacing w:before="150" w:after="150"/>
        <w:ind w:left="600"/>
        <w:jc w:val="left"/>
      </w:pPr>
      <w:r>
        <w:drawing>
          <wp:inline distT="0" distB="0" distL="0" distR="0">
            <wp:extent cx="4917341" cy="31496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8"/>
                    <a:stretch>
                      <a:fillRect/>
                    </a:stretch>
                  </pic:blipFill>
                  <pic:spPr>
                    <a:xfrm>
                      <a:off x="0" y="0"/>
                      <a:ext cx="4917341" cy="3149600"/>
                    </a:xfrm>
                    <a:prstGeom prst="rect">
                      <a:avLst/>
                    </a:prstGeom>
                  </pic:spPr>
                </pic:pic>
              </a:graphicData>
            </a:graphic>
          </wp:inline>
        </w:drawing>
      </w:r>
    </w:p>
    <w:p>
      <w:pPr>
        <w:pStyle w:val="CaselawNumbered10"/>
        <w:numPr>
          <w:ilvl w:val="0"/>
          <w:numId w:val="29"/>
        </w:numPr>
        <w:spacing w:before="150" w:after="0"/>
        <w:ind w:left="600" w:hanging="600"/>
      </w:pPr>
      <w:r>
        <w:rPr>
          <w:rFonts w:ascii="Arial"/>
          <w:color w:val="000000"/>
          <w:sz w:val="24"/>
        </w:rPr>
        <w:t xml:space="preserve">As the capital investment value of the development is estimated to be more than $30 million, </w:t>
      </w:r>
      <w:r>
        <w:rPr>
          <w:rFonts w:ascii="Arial"/>
          <w:color w:val="000000"/>
          <w:sz w:val="24"/>
        </w:rPr>
        <w:t xml:space="preserve">the development is </w:t>
      </w:r>
      <w:r>
        <w:rPr>
          <w:rFonts w:ascii="Arial"/>
          <w:color w:val="000000"/>
          <w:sz w:val="24"/>
        </w:rPr>
        <w:t>regionally significant development under s</w:t>
      </w:r>
      <w:r>
        <w:rPr>
          <w:rFonts w:ascii="Arial"/>
          <w:color w:val="000000"/>
          <w:sz w:val="24"/>
        </w:rPr>
        <w:t> </w:t>
      </w:r>
      <w:r>
        <w:rPr>
          <w:rFonts w:ascii="Arial"/>
          <w:color w:val="000000"/>
          <w:sz w:val="24"/>
        </w:rPr>
        <w:t>2.19(1) and s 2 of Sch 6 to State Environmental Planning Policy (Planning Systems) 2021 (PS SEPP).</w:t>
      </w:r>
      <w:r>
        <w:rPr>
          <w:rFonts w:ascii="Arial"/>
          <w:color w:val="000000"/>
          <w:sz w:val="24"/>
        </w:rPr>
        <w:t xml:space="preserve"> </w:t>
      </w:r>
      <w:r>
        <w:rPr>
          <w:rFonts w:ascii="Arial"/>
          <w:color w:val="000000"/>
          <w:sz w:val="24"/>
        </w:rPr>
        <w:t xml:space="preserve">Consequently, </w:t>
      </w:r>
      <w:r>
        <w:rPr>
          <w:rFonts w:ascii="Arial"/>
          <w:color w:val="000000"/>
          <w:sz w:val="24"/>
        </w:rPr>
        <w:t xml:space="preserve">under </w:t>
      </w:r>
      <w:r>
        <w:rPr>
          <w:rFonts w:ascii="Arial"/>
          <w:color w:val="000000"/>
          <w:sz w:val="24"/>
        </w:rPr>
        <w:t>s 4.5(b) of the EPA Act</w:t>
      </w:r>
      <w:r>
        <w:rPr>
          <w:rFonts w:ascii="Arial"/>
          <w:color w:val="000000"/>
          <w:sz w:val="24"/>
        </w:rPr>
        <w:t>,</w:t>
      </w:r>
      <w:r>
        <w:rPr>
          <w:rFonts w:ascii="Arial"/>
          <w:color w:val="000000"/>
          <w:sz w:val="24"/>
        </w:rPr>
        <w:t xml:space="preserve"> </w:t>
      </w:r>
      <w:r>
        <w:rPr>
          <w:rFonts w:ascii="Arial"/>
          <w:color w:val="000000"/>
          <w:sz w:val="24"/>
        </w:rPr>
        <w:t>the Sydney South Planning Panel (Panel) is the consent authority for this DA</w:t>
      </w:r>
      <w:r>
        <w:rPr>
          <w:rFonts w:ascii="Arial"/>
          <w:color w:val="000000"/>
          <w:sz w:val="24"/>
        </w:rPr>
        <w:t xml:space="preserve">. </w:t>
      </w:r>
    </w:p>
    <w:p>
      <w:pPr>
        <w:pStyle w:val="CaselawHeading2"/>
        <w:keepNext/>
        <w:spacing w:before="150" w:after="150" w:line="264"/>
        <w:ind w:left="0"/>
        <w:jc w:val="left"/>
      </w:pPr>
      <w:r>
        <w:rPr>
          <w:rFonts w:ascii="Arial"/>
        </w:rPr>
        <w:t>The Class 1 appeal</w:t>
      </w:r>
      <w:r>
        <w:rPr>
          <w:rFonts w:ascii="Arial"/>
        </w:rPr>
        <w:t xml:space="preserve"> </w:t>
      </w:r>
    </w:p>
    <w:p>
      <w:pPr>
        <w:pStyle w:val="CaselawNumbered10"/>
        <w:numPr>
          <w:ilvl w:val="0"/>
          <w:numId w:val="30"/>
        </w:numPr>
        <w:spacing w:before="150" w:after="0"/>
        <w:ind w:left="600" w:hanging="600"/>
      </w:pPr>
      <w:r>
        <w:rPr>
          <w:rFonts w:ascii="Arial"/>
          <w:color w:val="000000"/>
          <w:sz w:val="24"/>
        </w:rPr>
        <w:t xml:space="preserve">Before the </w:t>
      </w:r>
      <w:r>
        <w:rPr>
          <w:rFonts w:ascii="Arial"/>
          <w:color w:val="000000"/>
          <w:sz w:val="24"/>
        </w:rPr>
        <w:t>P</w:t>
      </w:r>
      <w:r>
        <w:rPr>
          <w:rFonts w:ascii="Arial"/>
          <w:color w:val="000000"/>
          <w:sz w:val="24"/>
        </w:rPr>
        <w:t xml:space="preserve">anel determined the DA, Henroth, on </w:t>
      </w:r>
      <w:r>
        <w:rPr>
          <w:rFonts w:ascii="Arial"/>
          <w:color w:val="000000"/>
          <w:sz w:val="24"/>
        </w:rPr>
        <w:t xml:space="preserve">21 </w:t>
      </w:r>
      <w:r>
        <w:rPr>
          <w:rFonts w:ascii="Arial"/>
          <w:color w:val="000000"/>
          <w:sz w:val="24"/>
        </w:rPr>
        <w:t>April 2023, commenced these proceedings on a deemed</w:t>
      </w:r>
      <w:r>
        <w:rPr>
          <w:rFonts w:ascii="Arial"/>
          <w:color w:val="000000"/>
          <w:sz w:val="24"/>
        </w:rPr>
        <w:t>-</w:t>
      </w:r>
      <w:r>
        <w:rPr>
          <w:rFonts w:ascii="Arial"/>
          <w:color w:val="000000"/>
          <w:sz w:val="24"/>
        </w:rPr>
        <w:t>to</w:t>
      </w:r>
      <w:r>
        <w:rPr>
          <w:rFonts w:ascii="Arial"/>
          <w:color w:val="000000"/>
          <w:sz w:val="24"/>
        </w:rPr>
        <w:t>-</w:t>
      </w:r>
      <w:r>
        <w:rPr>
          <w:rFonts w:ascii="Arial"/>
          <w:color w:val="000000"/>
          <w:sz w:val="24"/>
        </w:rPr>
        <w:t>have</w:t>
      </w:r>
      <w:r>
        <w:rPr>
          <w:rFonts w:ascii="Arial"/>
          <w:color w:val="000000"/>
          <w:sz w:val="24"/>
        </w:rPr>
        <w:t>-</w:t>
      </w:r>
      <w:r>
        <w:rPr>
          <w:rFonts w:ascii="Arial"/>
          <w:color w:val="000000"/>
          <w:sz w:val="24"/>
        </w:rPr>
        <w:t>been</w:t>
      </w:r>
      <w:r>
        <w:rPr>
          <w:rFonts w:ascii="Arial"/>
          <w:color w:val="000000"/>
          <w:sz w:val="24"/>
        </w:rPr>
        <w:t>-</w:t>
      </w:r>
      <w:r>
        <w:rPr>
          <w:rFonts w:ascii="Arial"/>
          <w:color w:val="000000"/>
          <w:sz w:val="24"/>
        </w:rPr>
        <w:t>refused basis under s 8</w:t>
      </w:r>
      <w:r>
        <w:rPr>
          <w:rFonts w:ascii="Arial"/>
          <w:color w:val="000000"/>
          <w:sz w:val="24"/>
        </w:rPr>
        <w:t>.</w:t>
      </w:r>
      <w:r>
        <w:rPr>
          <w:rFonts w:ascii="Arial"/>
          <w:color w:val="000000"/>
          <w:sz w:val="24"/>
        </w:rPr>
        <w:t>7 of the EPA Act.</w:t>
      </w:r>
    </w:p>
    <w:p>
      <w:pPr>
        <w:pStyle w:val="CaselawNumbered10"/>
        <w:numPr>
          <w:ilvl w:val="0"/>
          <w:numId w:val="30"/>
        </w:numPr>
        <w:spacing w:before="150" w:after="0"/>
        <w:ind w:left="600" w:hanging="600"/>
      </w:pPr>
      <w:r>
        <w:rPr>
          <w:rFonts w:ascii="Arial"/>
          <w:color w:val="000000"/>
          <w:sz w:val="24"/>
        </w:rPr>
        <w:t xml:space="preserve">As expected, on </w:t>
      </w:r>
      <w:r>
        <w:rPr>
          <w:rFonts w:ascii="Arial"/>
          <w:color w:val="000000"/>
          <w:sz w:val="24"/>
        </w:rPr>
        <w:t xml:space="preserve">15 </w:t>
      </w:r>
      <w:r>
        <w:rPr>
          <w:rFonts w:ascii="Arial"/>
          <w:color w:val="000000"/>
          <w:sz w:val="24"/>
        </w:rPr>
        <w:t xml:space="preserve">June 2023, the DA submitted was formally refused by the </w:t>
      </w:r>
      <w:r>
        <w:rPr>
          <w:rFonts w:ascii="Arial"/>
          <w:color w:val="000000"/>
          <w:sz w:val="24"/>
        </w:rPr>
        <w:t>P</w:t>
      </w:r>
      <w:r>
        <w:rPr>
          <w:rFonts w:ascii="Arial"/>
          <w:color w:val="000000"/>
          <w:sz w:val="24"/>
        </w:rPr>
        <w:t>anel.</w:t>
      </w:r>
    </w:p>
    <w:p>
      <w:pPr>
        <w:pStyle w:val="CaselawNumbered10"/>
        <w:numPr>
          <w:ilvl w:val="0"/>
          <w:numId w:val="30"/>
        </w:numPr>
        <w:spacing w:before="150" w:after="0"/>
        <w:ind w:left="600" w:hanging="600"/>
      </w:pPr>
      <w:r>
        <w:rPr>
          <w:rFonts w:ascii="Arial"/>
          <w:color w:val="000000"/>
          <w:sz w:val="24"/>
        </w:rPr>
        <w:t xml:space="preserve">Responding to the criticisms made of the application with respect to Stages 1 and 2 of the </w:t>
      </w:r>
      <w:r>
        <w:rPr>
          <w:rFonts w:ascii="Arial"/>
          <w:color w:val="000000"/>
          <w:sz w:val="24"/>
        </w:rPr>
        <w:t>C</w:t>
      </w:r>
      <w:r>
        <w:rPr>
          <w:rFonts w:ascii="Arial"/>
          <w:color w:val="000000"/>
          <w:sz w:val="24"/>
        </w:rPr>
        <w:t>oncept DA and of Stage 1 of the DA, various amendments were made to the drawings and documents associated with and supporting that DA.</w:t>
      </w:r>
    </w:p>
    <w:p>
      <w:pPr>
        <w:pStyle w:val="CaselawNumbered10"/>
        <w:numPr>
          <w:ilvl w:val="0"/>
          <w:numId w:val="30"/>
        </w:numPr>
        <w:spacing w:before="150" w:after="0"/>
        <w:ind w:left="600" w:hanging="600"/>
      </w:pPr>
      <w:r>
        <w:rPr>
          <w:rFonts w:ascii="Arial"/>
          <w:color w:val="000000"/>
          <w:sz w:val="24"/>
        </w:rPr>
        <w:t xml:space="preserve">The resulting </w:t>
      </w:r>
      <w:r>
        <w:rPr>
          <w:rFonts w:ascii="Arial"/>
          <w:color w:val="000000"/>
          <w:sz w:val="24"/>
        </w:rPr>
        <w:t xml:space="preserve">amended DA </w:t>
      </w:r>
      <w:r>
        <w:rPr>
          <w:rFonts w:ascii="Arial"/>
          <w:color w:val="000000"/>
          <w:sz w:val="24"/>
        </w:rPr>
        <w:t xml:space="preserve">is said </w:t>
      </w:r>
      <w:r>
        <w:rPr>
          <w:rFonts w:ascii="Arial"/>
          <w:color w:val="000000"/>
          <w:sz w:val="24"/>
        </w:rPr>
        <w:t xml:space="preserve">to </w:t>
      </w:r>
      <w:r>
        <w:rPr>
          <w:rFonts w:ascii="Arial"/>
          <w:color w:val="000000"/>
          <w:sz w:val="24"/>
        </w:rPr>
        <w:t xml:space="preserve">better address </w:t>
      </w:r>
      <w:r>
        <w:rPr>
          <w:rFonts w:ascii="Arial"/>
          <w:color w:val="000000"/>
          <w:sz w:val="24"/>
        </w:rPr>
        <w:t xml:space="preserve">the </w:t>
      </w:r>
      <w:r>
        <w:rPr>
          <w:rFonts w:ascii="Arial"/>
          <w:color w:val="000000"/>
          <w:sz w:val="24"/>
        </w:rPr>
        <w:t>site-specific</w:t>
      </w:r>
      <w:r>
        <w:rPr>
          <w:rFonts w:ascii="Arial"/>
          <w:color w:val="000000"/>
          <w:sz w:val="24"/>
        </w:rPr>
        <w:t xml:space="preserve"> </w:t>
      </w:r>
      <w:r>
        <w:rPr>
          <w:rFonts w:ascii="Arial"/>
          <w:color w:val="000000"/>
          <w:sz w:val="24"/>
        </w:rPr>
        <w:t>planning controls contained in the Council</w:t>
      </w:r>
      <w:r>
        <w:rPr>
          <w:rFonts w:ascii="Arial"/>
          <w:color w:val="000000"/>
          <w:sz w:val="24"/>
        </w:rPr>
        <w:t>’</w:t>
      </w:r>
      <w:r>
        <w:rPr>
          <w:rFonts w:ascii="Arial"/>
          <w:color w:val="000000"/>
          <w:sz w:val="24"/>
        </w:rPr>
        <w:t>s LEP</w:t>
      </w:r>
      <w:r>
        <w:rPr>
          <w:rFonts w:ascii="Arial"/>
          <w:color w:val="000000"/>
          <w:sz w:val="24"/>
        </w:rPr>
        <w:t>,</w:t>
      </w:r>
      <w:r>
        <w:rPr>
          <w:rFonts w:ascii="Arial"/>
          <w:color w:val="000000"/>
          <w:sz w:val="24"/>
        </w:rPr>
        <w:t xml:space="preserve"> </w:t>
      </w:r>
      <w:r>
        <w:rPr>
          <w:rFonts w:ascii="Arial"/>
          <w:color w:val="000000"/>
          <w:sz w:val="24"/>
        </w:rPr>
        <w:t>while still achieving a high level of consistency with the site</w:t>
      </w:r>
      <w:r>
        <w:rPr>
          <w:rFonts w:ascii="Arial"/>
          <w:color w:val="000000"/>
          <w:sz w:val="24"/>
        </w:rPr>
        <w:t>-</w:t>
      </w:r>
      <w:r>
        <w:rPr>
          <w:rFonts w:ascii="Arial"/>
          <w:color w:val="000000"/>
          <w:sz w:val="24"/>
        </w:rPr>
        <w:t xml:space="preserve">specific </w:t>
      </w:r>
      <w:r>
        <w:rPr>
          <w:rFonts w:ascii="Arial"/>
          <w:color w:val="000000"/>
          <w:sz w:val="24"/>
        </w:rPr>
        <w:t>C</w:t>
      </w:r>
      <w:r>
        <w:rPr>
          <w:rFonts w:ascii="Arial"/>
          <w:color w:val="000000"/>
          <w:sz w:val="24"/>
        </w:rPr>
        <w:t>hapter 11 of the Council</w:t>
      </w:r>
      <w:r>
        <w:rPr>
          <w:rFonts w:ascii="Arial"/>
          <w:color w:val="000000"/>
          <w:sz w:val="24"/>
        </w:rPr>
        <w:t>’</w:t>
      </w:r>
      <w:r>
        <w:rPr>
          <w:rFonts w:ascii="Arial"/>
          <w:color w:val="000000"/>
          <w:sz w:val="24"/>
        </w:rPr>
        <w:t>s DCP. It is further claimed that it offers a contemporary fit</w:t>
      </w:r>
      <w:r>
        <w:rPr>
          <w:rFonts w:ascii="Arial"/>
          <w:color w:val="000000"/>
          <w:sz w:val="24"/>
        </w:rPr>
        <w:t>-</w:t>
      </w:r>
      <w:r>
        <w:rPr>
          <w:rFonts w:ascii="Arial"/>
          <w:color w:val="000000"/>
          <w:sz w:val="24"/>
        </w:rPr>
        <w:t>for</w:t>
      </w:r>
      <w:r>
        <w:rPr>
          <w:rFonts w:ascii="Arial"/>
          <w:color w:val="000000"/>
          <w:sz w:val="24"/>
        </w:rPr>
        <w:t>-</w:t>
      </w:r>
      <w:r>
        <w:rPr>
          <w:rFonts w:ascii="Arial"/>
          <w:color w:val="000000"/>
          <w:sz w:val="24"/>
        </w:rPr>
        <w:t>purpose response to the redevelopment needs.</w:t>
      </w:r>
    </w:p>
    <w:p>
      <w:pPr>
        <w:pStyle w:val="CaselawNumbered10"/>
        <w:numPr>
          <w:ilvl w:val="0"/>
          <w:numId w:val="30"/>
        </w:numPr>
        <w:spacing w:before="150" w:after="0"/>
        <w:ind w:left="600" w:hanging="600"/>
      </w:pPr>
      <w:r>
        <w:rPr>
          <w:rFonts w:ascii="Arial"/>
          <w:color w:val="000000"/>
          <w:sz w:val="24"/>
        </w:rPr>
        <w:t xml:space="preserve">A key driver of </w:t>
      </w:r>
      <w:r>
        <w:rPr>
          <w:rFonts w:ascii="Arial"/>
          <w:color w:val="000000"/>
          <w:sz w:val="24"/>
        </w:rPr>
        <w:t>Henroth</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response and the justification for seeking approval for alternate solutions to strict DCP compliance, is the need represented for a staged development </w:t>
      </w:r>
      <w:r>
        <w:rPr>
          <w:rFonts w:ascii="Arial"/>
          <w:color w:val="000000"/>
          <w:sz w:val="24"/>
        </w:rPr>
        <w:t xml:space="preserve">that </w:t>
      </w:r>
      <w:r>
        <w:rPr>
          <w:rFonts w:ascii="Arial"/>
          <w:color w:val="000000"/>
          <w:sz w:val="24"/>
        </w:rPr>
        <w:t xml:space="preserve">ensures the ongoing </w:t>
      </w:r>
      <w:r>
        <w:rPr>
          <w:rFonts w:ascii="Arial"/>
          <w:color w:val="000000"/>
          <w:sz w:val="24"/>
        </w:rPr>
        <w:t xml:space="preserve">viability </w:t>
      </w:r>
      <w:r>
        <w:rPr>
          <w:rFonts w:ascii="Arial"/>
          <w:color w:val="000000"/>
          <w:sz w:val="24"/>
        </w:rPr>
        <w:t xml:space="preserve">of the shopping centre - a key </w:t>
      </w:r>
      <w:r>
        <w:rPr>
          <w:rFonts w:ascii="Arial"/>
          <w:color w:val="000000"/>
          <w:sz w:val="24"/>
        </w:rPr>
        <w:t xml:space="preserve">design </w:t>
      </w:r>
      <w:r>
        <w:rPr>
          <w:rFonts w:ascii="Arial"/>
          <w:color w:val="000000"/>
          <w:sz w:val="24"/>
        </w:rPr>
        <w:t xml:space="preserve">principle of Chapter 11 (Ex D </w:t>
      </w:r>
      <w:r>
        <w:rPr>
          <w:rFonts w:ascii="Arial"/>
          <w:color w:val="000000"/>
          <w:sz w:val="24"/>
        </w:rPr>
        <w:t>A</w:t>
      </w:r>
      <w:r>
        <w:rPr>
          <w:rFonts w:ascii="Arial"/>
          <w:color w:val="000000"/>
          <w:sz w:val="24"/>
        </w:rPr>
        <w:t>ddendum SEE p</w:t>
      </w:r>
      <w:r>
        <w:rPr>
          <w:rFonts w:ascii="Arial"/>
          <w:color w:val="000000"/>
          <w:sz w:val="24"/>
        </w:rPr>
        <w:t xml:space="preserve"> </w:t>
      </w:r>
      <w:r>
        <w:rPr>
          <w:rFonts w:ascii="Arial"/>
          <w:color w:val="000000"/>
          <w:sz w:val="24"/>
        </w:rPr>
        <w:t>17</w:t>
      </w:r>
      <w:r>
        <w:rPr>
          <w:rFonts w:ascii="Arial"/>
          <w:color w:val="000000"/>
          <w:sz w:val="24"/>
        </w:rPr>
        <w:t xml:space="preserve">; DCP </w:t>
      </w:r>
      <w:r>
        <w:rPr>
          <w:rFonts w:ascii="Arial"/>
          <w:color w:val="000000"/>
          <w:sz w:val="24"/>
        </w:rPr>
        <w:t>S</w:t>
      </w:r>
      <w:r>
        <w:rPr>
          <w:rFonts w:ascii="Arial"/>
          <w:color w:val="000000"/>
          <w:sz w:val="24"/>
        </w:rPr>
        <w:t>taged development</w:t>
      </w:r>
      <w:r>
        <w:rPr>
          <w:rFonts w:ascii="Arial"/>
          <w:color w:val="000000"/>
          <w:sz w:val="24"/>
        </w:rPr>
        <w:t xml:space="preserve"> </w:t>
      </w:r>
      <w:r>
        <w:rPr>
          <w:rFonts w:ascii="Arial"/>
          <w:color w:val="000000"/>
          <w:sz w:val="24"/>
        </w:rPr>
        <w:t>p 6</w:t>
      </w:r>
      <w:r>
        <w:rPr>
          <w:rFonts w:ascii="Arial"/>
          <w:color w:val="000000"/>
          <w:sz w:val="24"/>
        </w:rPr>
        <w:t xml:space="preserve">; and key </w:t>
      </w:r>
      <w:r>
        <w:rPr>
          <w:rFonts w:ascii="Arial"/>
          <w:color w:val="000000"/>
          <w:sz w:val="24"/>
        </w:rPr>
        <w:t xml:space="preserve">design </w:t>
      </w:r>
      <w:r>
        <w:rPr>
          <w:rFonts w:ascii="Arial"/>
          <w:color w:val="000000"/>
          <w:sz w:val="24"/>
        </w:rPr>
        <w:t>principle (b)</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variations proposed </w:t>
      </w:r>
      <w:r>
        <w:rPr>
          <w:rFonts w:ascii="Arial"/>
          <w:color w:val="000000"/>
          <w:sz w:val="24"/>
        </w:rPr>
        <w:t xml:space="preserve">are </w:t>
      </w:r>
      <w:r>
        <w:rPr>
          <w:rFonts w:ascii="Arial"/>
          <w:color w:val="000000"/>
          <w:sz w:val="24"/>
        </w:rPr>
        <w:t xml:space="preserve">said to be </w:t>
      </w:r>
      <w:r>
        <w:rPr>
          <w:rFonts w:ascii="Arial"/>
          <w:color w:val="000000"/>
          <w:sz w:val="24"/>
        </w:rPr>
        <w:t>appropriate</w:t>
      </w:r>
      <w:r>
        <w:rPr>
          <w:rFonts w:ascii="Arial"/>
          <w:color w:val="000000"/>
          <w:sz w:val="24"/>
        </w:rPr>
        <w:t xml:space="preserve"> </w:t>
      </w:r>
      <w:r>
        <w:rPr>
          <w:rFonts w:ascii="Arial"/>
          <w:color w:val="000000"/>
          <w:sz w:val="24"/>
        </w:rPr>
        <w:t>and necessary</w:t>
      </w:r>
      <w:r>
        <w:rPr>
          <w:rFonts w:ascii="Arial"/>
          <w:color w:val="000000"/>
          <w:sz w:val="24"/>
        </w:rPr>
        <w:t>. They are</w:t>
      </w:r>
      <w:r>
        <w:rPr>
          <w:rFonts w:ascii="Arial"/>
          <w:color w:val="000000"/>
          <w:sz w:val="24"/>
        </w:rPr>
        <w:t xml:space="preserve"> </w:t>
      </w:r>
      <w:r>
        <w:rPr>
          <w:rFonts w:ascii="Arial"/>
          <w:color w:val="000000"/>
          <w:sz w:val="24"/>
        </w:rPr>
        <w:t xml:space="preserve">necessary in order to prioritise the commercial </w:t>
      </w:r>
      <w:r>
        <w:rPr>
          <w:rFonts w:ascii="Arial"/>
          <w:color w:val="000000"/>
          <w:sz w:val="24"/>
        </w:rPr>
        <w:t xml:space="preserve">viability </w:t>
      </w:r>
      <w:r>
        <w:rPr>
          <w:rFonts w:ascii="Arial"/>
          <w:color w:val="000000"/>
          <w:sz w:val="24"/>
        </w:rPr>
        <w:t xml:space="preserve">of traders </w:t>
      </w:r>
      <w:r>
        <w:rPr>
          <w:rFonts w:ascii="Arial"/>
          <w:color w:val="000000"/>
          <w:sz w:val="24"/>
        </w:rPr>
        <w:t xml:space="preserve">in </w:t>
      </w:r>
      <w:r>
        <w:rPr>
          <w:rFonts w:ascii="Arial"/>
          <w:color w:val="000000"/>
          <w:sz w:val="24"/>
        </w:rPr>
        <w:t>the existing shopping centre and to ensure accessibility into and through the site for both retail and commercial parking, as well as improving the amenity of the</w:t>
      </w:r>
      <w:r>
        <w:rPr>
          <w:rFonts w:ascii="Arial"/>
          <w:color w:val="000000"/>
          <w:sz w:val="24"/>
        </w:rPr>
        <w:t xml:space="preserve"> </w:t>
      </w:r>
      <w:r>
        <w:rPr>
          <w:rFonts w:ascii="Arial"/>
          <w:color w:val="000000"/>
          <w:sz w:val="24"/>
        </w:rPr>
        <w:t>low density, residential properties. Starting work in the south</w:t>
      </w:r>
      <w:r>
        <w:rPr>
          <w:rFonts w:ascii="Arial"/>
          <w:color w:val="000000"/>
          <w:sz w:val="24"/>
        </w:rPr>
        <w:t xml:space="preserve"> </w:t>
      </w:r>
      <w:r>
        <w:rPr>
          <w:rFonts w:ascii="Arial"/>
          <w:color w:val="000000"/>
          <w:sz w:val="24"/>
        </w:rPr>
        <w:t xml:space="preserve">of the site, as </w:t>
      </w:r>
      <w:r>
        <w:rPr>
          <w:rFonts w:ascii="Arial"/>
          <w:color w:val="000000"/>
          <w:sz w:val="24"/>
        </w:rPr>
        <w:t>proposed, will</w:t>
      </w:r>
      <w:r>
        <w:rPr>
          <w:rFonts w:ascii="Arial"/>
          <w:color w:val="000000"/>
          <w:sz w:val="24"/>
        </w:rPr>
        <w:t xml:space="preserve"> </w:t>
      </w:r>
      <w:r>
        <w:rPr>
          <w:rFonts w:ascii="Arial"/>
          <w:color w:val="000000"/>
          <w:sz w:val="24"/>
        </w:rPr>
        <w:t>allow existing tenants to operate and seamlessly shift into the new space when the first stage is completed.</w:t>
      </w:r>
    </w:p>
    <w:p>
      <w:pPr>
        <w:pStyle w:val="CaselawNumbered10"/>
        <w:numPr>
          <w:ilvl w:val="0"/>
          <w:numId w:val="30"/>
        </w:numPr>
        <w:spacing w:before="150" w:after="0"/>
        <w:ind w:left="600" w:hanging="600"/>
      </w:pPr>
      <w:r>
        <w:rPr>
          <w:rFonts w:ascii="Arial"/>
          <w:color w:val="000000"/>
          <w:sz w:val="24"/>
        </w:rPr>
        <w:t>De</w:t>
      </w:r>
      <w:r>
        <w:rPr>
          <w:rFonts w:ascii="Arial"/>
          <w:color w:val="000000"/>
          <w:sz w:val="24"/>
        </w:rPr>
        <w:t xml:space="preserve">spite </w:t>
      </w:r>
      <w:r>
        <w:rPr>
          <w:rFonts w:ascii="Arial"/>
          <w:color w:val="000000"/>
          <w:sz w:val="24"/>
        </w:rPr>
        <w:t xml:space="preserve">the </w:t>
      </w:r>
      <w:r>
        <w:rPr>
          <w:rFonts w:ascii="Arial"/>
          <w:color w:val="000000"/>
          <w:sz w:val="24"/>
        </w:rPr>
        <w:t>amendment</w:t>
      </w:r>
      <w:r>
        <w:rPr>
          <w:rFonts w:ascii="Arial"/>
          <w:color w:val="000000"/>
          <w:sz w:val="24"/>
        </w:rPr>
        <w:t>s</w:t>
      </w:r>
      <w:r>
        <w:rPr>
          <w:rFonts w:ascii="Arial"/>
          <w:color w:val="000000"/>
          <w:sz w:val="24"/>
        </w:rPr>
        <w:t xml:space="preserve"> </w:t>
      </w:r>
      <w:r>
        <w:rPr>
          <w:rFonts w:ascii="Arial"/>
          <w:color w:val="000000"/>
          <w:sz w:val="24"/>
        </w:rPr>
        <w:t xml:space="preserve">to the DA </w:t>
      </w:r>
      <w:r>
        <w:rPr>
          <w:rFonts w:ascii="Arial"/>
          <w:color w:val="000000"/>
          <w:sz w:val="24"/>
        </w:rPr>
        <w:t>on 8 February 2024, 3 April 2024 and 17 June 2024</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 xml:space="preserve">Council remains adamant that the development is impermissible for </w:t>
      </w:r>
      <w:r>
        <w:rPr>
          <w:rFonts w:ascii="Arial"/>
          <w:color w:val="000000"/>
          <w:sz w:val="24"/>
        </w:rPr>
        <w:t>four</w:t>
      </w:r>
      <w:r>
        <w:rPr>
          <w:rFonts w:ascii="Arial"/>
          <w:color w:val="000000"/>
          <w:sz w:val="24"/>
        </w:rPr>
        <w:t xml:space="preserve"> </w:t>
      </w:r>
      <w:r>
        <w:rPr>
          <w:rFonts w:ascii="Arial"/>
          <w:color w:val="000000"/>
          <w:sz w:val="24"/>
        </w:rPr>
        <w:t>specific reasons (C</w:t>
      </w:r>
      <w:r>
        <w:rPr>
          <w:rFonts w:ascii="Arial"/>
          <w:color w:val="000000"/>
          <w:sz w:val="24"/>
        </w:rPr>
        <w:t>ouncil</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final</w:t>
      </w:r>
      <w:r>
        <w:rPr>
          <w:rFonts w:ascii="Arial"/>
          <w:color w:val="000000"/>
          <w:sz w:val="24"/>
        </w:rPr>
        <w:t xml:space="preserve"> </w:t>
      </w:r>
      <w:r>
        <w:rPr>
          <w:rFonts w:ascii="Arial"/>
          <w:color w:val="000000"/>
          <w:sz w:val="24"/>
        </w:rPr>
        <w:t>written submissions (C</w:t>
      </w:r>
      <w:r>
        <w:rPr>
          <w:rFonts w:ascii="Arial"/>
          <w:color w:val="000000"/>
          <w:sz w:val="24"/>
        </w:rPr>
        <w:t>F</w:t>
      </w:r>
      <w:r>
        <w:rPr>
          <w:rFonts w:ascii="Arial"/>
          <w:color w:val="000000"/>
          <w:sz w:val="24"/>
        </w:rPr>
        <w:t>WS</w:t>
      </w:r>
      <w:r>
        <w:rPr>
          <w:rFonts w:ascii="Arial"/>
          <w:color w:val="000000"/>
          <w:sz w:val="24"/>
        </w:rPr>
        <w:t>)</w:t>
      </w:r>
      <w:r>
        <w:rPr>
          <w:rFonts w:ascii="Arial"/>
          <w:color w:val="000000"/>
          <w:sz w:val="24"/>
        </w:rPr>
        <w:t xml:space="preserve"> </w:t>
      </w:r>
      <w:r>
        <w:rPr>
          <w:rFonts w:ascii="Arial"/>
          <w:color w:val="000000"/>
          <w:sz w:val="24"/>
        </w:rPr>
        <w:t xml:space="preserve">at par 1). </w:t>
      </w:r>
      <w:r>
        <w:rPr>
          <w:rFonts w:ascii="Arial"/>
          <w:color w:val="000000"/>
          <w:sz w:val="24"/>
        </w:rPr>
        <w:t xml:space="preserve">They </w:t>
      </w:r>
      <w:r>
        <w:rPr>
          <w:rFonts w:ascii="Arial"/>
          <w:color w:val="000000"/>
          <w:sz w:val="24"/>
        </w:rPr>
        <w:t xml:space="preserve">include </w:t>
      </w:r>
      <w:r>
        <w:rPr>
          <w:rFonts w:ascii="Arial"/>
          <w:color w:val="000000"/>
          <w:sz w:val="24"/>
        </w:rPr>
        <w:t xml:space="preserve">the characterisation of the </w:t>
      </w:r>
      <w:r>
        <w:rPr>
          <w:rFonts w:ascii="Arial"/>
          <w:color w:val="000000"/>
          <w:sz w:val="24"/>
        </w:rPr>
        <w:t xml:space="preserve">proposed </w:t>
      </w:r>
      <w:r>
        <w:rPr>
          <w:rFonts w:ascii="Arial"/>
          <w:color w:val="000000"/>
          <w:sz w:val="24"/>
        </w:rPr>
        <w:t>road</w:t>
      </w:r>
      <w:r>
        <w:rPr>
          <w:rFonts w:ascii="Arial"/>
          <w:color w:val="000000"/>
          <w:sz w:val="24"/>
        </w:rPr>
        <w:t xml:space="preserve"> </w:t>
      </w:r>
      <w:r>
        <w:rPr>
          <w:rFonts w:ascii="Arial"/>
          <w:color w:val="000000"/>
          <w:sz w:val="24"/>
        </w:rPr>
        <w:t xml:space="preserve">– </w:t>
      </w:r>
      <w:r>
        <w:rPr>
          <w:rFonts w:ascii="Arial"/>
          <w:color w:val="000000"/>
          <w:sz w:val="24"/>
        </w:rPr>
        <w:t xml:space="preserve">that is the </w:t>
      </w:r>
      <w:r>
        <w:rPr>
          <w:rFonts w:ascii="Arial"/>
          <w:color w:val="000000"/>
          <w:sz w:val="24"/>
        </w:rPr>
        <w:t>permissibility</w:t>
      </w:r>
      <w:r>
        <w:rPr>
          <w:rFonts w:ascii="Arial"/>
          <w:color w:val="000000"/>
          <w:sz w:val="24"/>
        </w:rPr>
        <w:t xml:space="preserve"> </w:t>
      </w:r>
      <w:r>
        <w:rPr>
          <w:rFonts w:ascii="Arial"/>
          <w:color w:val="000000"/>
          <w:sz w:val="24"/>
        </w:rPr>
        <w:t xml:space="preserve">of the road </w:t>
      </w:r>
      <w:r>
        <w:rPr>
          <w:rFonts w:ascii="Arial"/>
          <w:color w:val="000000"/>
          <w:sz w:val="24"/>
        </w:rPr>
        <w:t xml:space="preserve">over </w:t>
      </w:r>
      <w:r>
        <w:rPr>
          <w:rFonts w:ascii="Arial"/>
          <w:color w:val="000000"/>
          <w:sz w:val="24"/>
        </w:rPr>
        <w:t xml:space="preserve">the residential lot known as </w:t>
      </w:r>
      <w:r>
        <w:rPr>
          <w:rFonts w:ascii="Arial"/>
          <w:color w:val="000000"/>
          <w:sz w:val="24"/>
        </w:rPr>
        <w:t xml:space="preserve">87 Norfolk Road. The </w:t>
      </w:r>
      <w:r>
        <w:rPr>
          <w:rFonts w:ascii="Arial"/>
          <w:color w:val="000000"/>
          <w:sz w:val="24"/>
        </w:rPr>
        <w:t xml:space="preserve">Council also raises the </w:t>
      </w:r>
      <w:r>
        <w:rPr>
          <w:rFonts w:ascii="Arial"/>
          <w:color w:val="000000"/>
          <w:sz w:val="24"/>
        </w:rPr>
        <w:t xml:space="preserve">height </w:t>
      </w:r>
      <w:r>
        <w:rPr>
          <w:rFonts w:ascii="Arial"/>
          <w:color w:val="000000"/>
          <w:sz w:val="24"/>
        </w:rPr>
        <w:t xml:space="preserve">of the building </w:t>
      </w:r>
      <w:r>
        <w:rPr>
          <w:rFonts w:ascii="Arial"/>
          <w:color w:val="000000"/>
          <w:sz w:val="24"/>
        </w:rPr>
        <w:t xml:space="preserve">and the controls </w:t>
      </w:r>
      <w:r>
        <w:rPr>
          <w:rFonts w:ascii="Arial"/>
          <w:color w:val="000000"/>
          <w:sz w:val="24"/>
        </w:rPr>
        <w:t>in cl 6.14 of LEP</w:t>
      </w:r>
      <w:r>
        <w:rPr>
          <w:rFonts w:ascii="Arial"/>
          <w:color w:val="000000"/>
          <w:sz w:val="24"/>
        </w:rPr>
        <w:t xml:space="preserve"> </w:t>
      </w:r>
      <w:r>
        <w:rPr>
          <w:rFonts w:ascii="Arial"/>
          <w:color w:val="000000"/>
          <w:sz w:val="24"/>
        </w:rPr>
        <w:t>2015</w:t>
      </w:r>
      <w:r>
        <w:rPr>
          <w:rFonts w:ascii="Arial"/>
          <w:color w:val="000000"/>
          <w:sz w:val="24"/>
        </w:rPr>
        <w:t xml:space="preserve"> </w:t>
      </w:r>
      <w:r>
        <w:rPr>
          <w:rFonts w:ascii="Arial"/>
          <w:color w:val="000000"/>
          <w:sz w:val="24"/>
        </w:rPr>
        <w:t>that relate to</w:t>
      </w:r>
      <w:r>
        <w:rPr>
          <w:rFonts w:ascii="Arial"/>
          <w:color w:val="000000"/>
          <w:sz w:val="24"/>
        </w:rPr>
        <w:t xml:space="preserve"> </w:t>
      </w:r>
      <w:r>
        <w:rPr>
          <w:rFonts w:ascii="Arial"/>
          <w:color w:val="000000"/>
          <w:sz w:val="24"/>
        </w:rPr>
        <w:t>it</w:t>
      </w:r>
      <w:r>
        <w:rPr>
          <w:rFonts w:ascii="Arial"/>
          <w:color w:val="000000"/>
          <w:sz w:val="24"/>
        </w:rPr>
        <w:t xml:space="preserve">, </w:t>
      </w:r>
      <w:r>
        <w:rPr>
          <w:rFonts w:ascii="Arial"/>
          <w:color w:val="000000"/>
          <w:sz w:val="24"/>
        </w:rPr>
        <w:t>and the development</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performance in relation to the DCP controls.</w:t>
      </w:r>
    </w:p>
    <w:p>
      <w:pPr>
        <w:pStyle w:val="CaselawHeading2"/>
        <w:keepNext/>
        <w:spacing w:before="150" w:after="150" w:line="264"/>
        <w:ind w:left="0"/>
        <w:jc w:val="left"/>
      </w:pPr>
      <w:r>
        <w:rPr>
          <w:rFonts w:ascii="Arial"/>
        </w:rPr>
        <w:t>Decision</w:t>
      </w:r>
      <w:r>
        <w:rPr>
          <w:rFonts w:ascii="Arial"/>
        </w:rPr>
        <w:t xml:space="preserve"> </w:t>
      </w:r>
    </w:p>
    <w:p>
      <w:pPr>
        <w:pStyle w:val="CaselawNumbered10"/>
        <w:numPr>
          <w:ilvl w:val="0"/>
          <w:numId w:val="31"/>
        </w:numPr>
        <w:spacing w:before="150" w:after="0"/>
        <w:ind w:left="600" w:hanging="600"/>
      </w:pPr>
      <w:r>
        <w:rPr>
          <w:rFonts w:ascii="Arial"/>
          <w:color w:val="000000"/>
          <w:sz w:val="24"/>
        </w:rPr>
        <w:t xml:space="preserve">For the reasons that follow, I have decided to grant consent to the </w:t>
      </w:r>
      <w:r>
        <w:rPr>
          <w:rFonts w:ascii="Arial"/>
          <w:color w:val="000000"/>
          <w:sz w:val="24"/>
        </w:rPr>
        <w:t xml:space="preserve">amended </w:t>
      </w:r>
      <w:r>
        <w:rPr>
          <w:rFonts w:ascii="Arial"/>
          <w:color w:val="000000"/>
          <w:sz w:val="24"/>
        </w:rPr>
        <w:t xml:space="preserve">DA subject to the </w:t>
      </w:r>
      <w:r>
        <w:rPr>
          <w:rFonts w:ascii="Arial"/>
          <w:color w:val="000000"/>
          <w:sz w:val="24"/>
        </w:rPr>
        <w:t xml:space="preserve">imposition of the </w:t>
      </w:r>
      <w:r>
        <w:rPr>
          <w:rFonts w:ascii="Arial"/>
          <w:color w:val="000000"/>
          <w:sz w:val="24"/>
        </w:rPr>
        <w:t xml:space="preserve">conditions </w:t>
      </w:r>
      <w:r>
        <w:rPr>
          <w:rFonts w:ascii="Arial"/>
          <w:color w:val="000000"/>
          <w:sz w:val="24"/>
        </w:rPr>
        <w:t xml:space="preserve">of consent </w:t>
      </w:r>
      <w:r>
        <w:rPr>
          <w:rFonts w:ascii="Arial"/>
          <w:color w:val="000000"/>
          <w:sz w:val="24"/>
        </w:rPr>
        <w:t>as drafted by the Council</w:t>
      </w:r>
      <w:r>
        <w:rPr>
          <w:rFonts w:ascii="Arial"/>
          <w:color w:val="000000"/>
          <w:sz w:val="24"/>
        </w:rPr>
        <w:t xml:space="preserve"> </w:t>
      </w:r>
      <w:r>
        <w:rPr>
          <w:rFonts w:ascii="Arial"/>
          <w:color w:val="000000"/>
          <w:sz w:val="24"/>
        </w:rPr>
        <w:t>and amended in accordance with these reasons for judgment</w:t>
      </w:r>
      <w:r>
        <w:rPr>
          <w:rFonts w:ascii="Arial"/>
          <w:color w:val="000000"/>
          <w:sz w:val="24"/>
        </w:rPr>
        <w:t>.</w:t>
      </w:r>
      <w:r>
        <w:rPr>
          <w:rFonts w:ascii="Arial"/>
          <w:color w:val="000000"/>
          <w:sz w:val="24"/>
        </w:rPr>
        <w:t xml:space="preserve"> </w:t>
      </w:r>
      <w:r>
        <w:rPr>
          <w:rFonts w:ascii="Arial"/>
          <w:color w:val="000000"/>
          <w:sz w:val="24"/>
        </w:rPr>
        <w:t xml:space="preserve">Upon receipt of the </w:t>
      </w:r>
      <w:r>
        <w:rPr>
          <w:rFonts w:ascii="Arial"/>
          <w:color w:val="000000"/>
          <w:sz w:val="24"/>
        </w:rPr>
        <w:t xml:space="preserve">amended </w:t>
      </w:r>
      <w:r>
        <w:rPr>
          <w:rFonts w:ascii="Arial"/>
          <w:color w:val="000000"/>
          <w:sz w:val="24"/>
        </w:rPr>
        <w:t>conditions</w:t>
      </w:r>
      <w:r>
        <w:rPr>
          <w:rFonts w:ascii="Arial"/>
          <w:color w:val="000000"/>
          <w:sz w:val="24"/>
        </w:rPr>
        <w:t>,</w:t>
      </w:r>
      <w:r>
        <w:rPr>
          <w:rFonts w:ascii="Arial"/>
          <w:color w:val="000000"/>
          <w:sz w:val="24"/>
        </w:rPr>
        <w:t xml:space="preserve"> </w:t>
      </w:r>
      <w:r>
        <w:rPr>
          <w:rFonts w:ascii="Arial"/>
          <w:color w:val="000000"/>
          <w:sz w:val="24"/>
        </w:rPr>
        <w:t xml:space="preserve">I will make final orders disposing of the appeal. </w:t>
      </w:r>
    </w:p>
    <w:p>
      <w:pPr>
        <w:pStyle w:val="CaselawHeading2"/>
        <w:keepNext/>
        <w:spacing w:before="150" w:after="150" w:line="264"/>
        <w:ind w:left="0"/>
        <w:jc w:val="left"/>
      </w:pPr>
      <w:r>
        <w:rPr>
          <w:rFonts w:ascii="Arial"/>
        </w:rPr>
        <w:t>Facts</w:t>
      </w:r>
      <w:r>
        <w:rPr>
          <w:rFonts w:ascii="Arial"/>
        </w:rPr>
        <w:t xml:space="preserve"> </w:t>
      </w:r>
    </w:p>
    <w:p>
      <w:pPr>
        <w:pStyle w:val="CaselawNumbered10"/>
        <w:numPr>
          <w:ilvl w:val="0"/>
          <w:numId w:val="32"/>
        </w:numPr>
        <w:spacing w:before="150" w:after="0"/>
        <w:ind w:left="600" w:hanging="600"/>
      </w:pPr>
      <w:r>
        <w:rPr>
          <w:rFonts w:ascii="Arial"/>
          <w:color w:val="000000"/>
          <w:sz w:val="24"/>
        </w:rPr>
        <w:t xml:space="preserve">The </w:t>
      </w:r>
      <w:r>
        <w:rPr>
          <w:rFonts w:ascii="Arial"/>
          <w:color w:val="000000"/>
          <w:sz w:val="24"/>
        </w:rPr>
        <w:t xml:space="preserve">following facts taken from the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 xml:space="preserve">Second </w:t>
      </w:r>
      <w:r>
        <w:rPr>
          <w:rFonts w:ascii="Arial"/>
          <w:color w:val="000000"/>
          <w:sz w:val="24"/>
        </w:rPr>
        <w:t>Amended Statement of Facts and Contentions (</w:t>
      </w:r>
      <w:r>
        <w:rPr>
          <w:rFonts w:ascii="Arial"/>
          <w:color w:val="000000"/>
          <w:sz w:val="24"/>
        </w:rPr>
        <w:t>S</w:t>
      </w:r>
      <w:r>
        <w:rPr>
          <w:rFonts w:ascii="Arial"/>
          <w:color w:val="000000"/>
          <w:sz w:val="24"/>
        </w:rPr>
        <w:t>ASOFC</w:t>
      </w:r>
      <w:r>
        <w:rPr>
          <w:rFonts w:ascii="Arial"/>
          <w:color w:val="000000"/>
          <w:sz w:val="24"/>
        </w:rPr>
        <w:t>)</w:t>
      </w:r>
      <w:r>
        <w:rPr>
          <w:rFonts w:ascii="Arial"/>
          <w:color w:val="000000"/>
          <w:sz w:val="24"/>
        </w:rPr>
        <w:t xml:space="preserve"> </w:t>
      </w:r>
      <w:r>
        <w:rPr>
          <w:rFonts w:ascii="Arial"/>
          <w:color w:val="000000"/>
          <w:sz w:val="24"/>
        </w:rPr>
        <w:t>dated 17 June</w:t>
      </w:r>
      <w:r>
        <w:rPr>
          <w:rFonts w:ascii="Arial"/>
          <w:color w:val="000000"/>
          <w:sz w:val="24"/>
        </w:rPr>
        <w:t xml:space="preserve"> </w:t>
      </w:r>
      <w:r>
        <w:rPr>
          <w:rFonts w:ascii="Arial"/>
          <w:color w:val="000000"/>
          <w:sz w:val="24"/>
        </w:rPr>
        <w:t>2024</w:t>
      </w:r>
      <w:r>
        <w:rPr>
          <w:rFonts w:ascii="Arial"/>
          <w:color w:val="000000"/>
          <w:sz w:val="24"/>
        </w:rPr>
        <w:t xml:space="preserve"> </w:t>
      </w:r>
      <w:r>
        <w:rPr>
          <w:rFonts w:ascii="Arial"/>
          <w:color w:val="000000"/>
          <w:sz w:val="24"/>
        </w:rPr>
        <w:t>are uncontroversial</w:t>
      </w:r>
      <w:r>
        <w:rPr>
          <w:rFonts w:ascii="Arial"/>
          <w:color w:val="000000"/>
          <w:sz w:val="24"/>
        </w:rPr>
        <w:t>.</w:t>
      </w:r>
    </w:p>
    <w:p>
      <w:pPr>
        <w:pStyle w:val="CaselawNumbered10"/>
        <w:numPr>
          <w:ilvl w:val="0"/>
          <w:numId w:val="32"/>
        </w:numPr>
        <w:spacing w:before="150" w:after="0"/>
        <w:ind w:left="600" w:hanging="600"/>
      </w:pPr>
      <w:r>
        <w:rPr>
          <w:rFonts w:ascii="Arial"/>
          <w:color w:val="000000"/>
          <w:sz w:val="24"/>
        </w:rPr>
        <w:t xml:space="preserve">The site </w:t>
      </w:r>
      <w:r>
        <w:rPr>
          <w:rFonts w:ascii="Arial"/>
          <w:color w:val="000000"/>
          <w:sz w:val="24"/>
        </w:rPr>
        <w:t>comprises three</w:t>
      </w:r>
      <w:r>
        <w:rPr>
          <w:rFonts w:ascii="Arial"/>
          <w:color w:val="000000"/>
          <w:sz w:val="24"/>
        </w:rPr>
        <w:t xml:space="preserve"> </w:t>
      </w:r>
      <w:r>
        <w:rPr>
          <w:rFonts w:ascii="Arial"/>
          <w:color w:val="000000"/>
          <w:sz w:val="24"/>
        </w:rPr>
        <w:t xml:space="preserve">separate lots, being legally described as: </w:t>
      </w:r>
    </w:p>
    <w:p>
      <w:pPr>
        <w:pStyle w:val="CaselawBullet"/>
        <w:numPr>
          <w:ilvl w:val="0"/>
          <w:numId w:val="33"/>
        </w:numPr>
        <w:spacing w:before="150" w:after="0"/>
        <w:ind w:left="600" w:hanging="250"/>
      </w:pPr>
      <w:r>
        <w:rPr>
          <w:rFonts w:ascii="Arial"/>
          <w:color w:val="000000"/>
          <w:sz w:val="24"/>
        </w:rPr>
        <w:t xml:space="preserve">Lot 9 in Deposited Plan 10945 with a street address of 353 Waterloo Road, Greenacre; </w:t>
      </w:r>
    </w:p>
    <w:p>
      <w:pPr>
        <w:pStyle w:val="CaselawBullet"/>
        <w:numPr>
          <w:ilvl w:val="0"/>
          <w:numId w:val="33"/>
        </w:numPr>
        <w:spacing w:before="150" w:after="0"/>
        <w:ind w:left="600" w:hanging="250"/>
      </w:pPr>
      <w:r>
        <w:rPr>
          <w:rFonts w:ascii="Arial"/>
          <w:color w:val="000000"/>
          <w:sz w:val="24"/>
        </w:rPr>
        <w:t xml:space="preserve">Lot 41 in Deposited Plan 1037863 with a street address of 355 Waterloo Road, Greenacre; and </w:t>
      </w:r>
    </w:p>
    <w:p>
      <w:pPr>
        <w:pStyle w:val="CaselawBullet"/>
        <w:numPr>
          <w:ilvl w:val="0"/>
          <w:numId w:val="33"/>
        </w:numPr>
        <w:spacing w:before="150" w:after="0"/>
        <w:ind w:left="600" w:hanging="250"/>
      </w:pPr>
      <w:r>
        <w:rPr>
          <w:rFonts w:ascii="Arial"/>
          <w:color w:val="000000"/>
          <w:sz w:val="24"/>
        </w:rPr>
        <w:t xml:space="preserve">Lot 24 in Deposited Plan 10945 with a street address of 87 Norfolk Road, Greenacre. </w:t>
      </w:r>
    </w:p>
    <w:p>
      <w:pPr>
        <w:pStyle w:val="CaselawNumbered10"/>
        <w:numPr>
          <w:ilvl w:val="0"/>
          <w:numId w:val="34"/>
        </w:numPr>
        <w:spacing w:before="150" w:after="0"/>
        <w:ind w:left="600" w:hanging="600"/>
      </w:pPr>
      <w:r>
        <w:rPr>
          <w:rFonts w:ascii="Arial"/>
          <w:color w:val="000000"/>
          <w:sz w:val="24"/>
        </w:rPr>
        <w:t>Part of the site (353-355 Waterloo Road) is zoned B2 Local Centre with the other part (87 Norfolk Road) being zoned R2 Low Density Residential under LEP</w:t>
      </w:r>
      <w:r>
        <w:rPr>
          <w:rFonts w:ascii="Arial"/>
          <w:color w:val="000000"/>
          <w:sz w:val="24"/>
        </w:rPr>
        <w:t xml:space="preserve"> </w:t>
      </w:r>
      <w:r>
        <w:rPr>
          <w:rFonts w:ascii="Arial"/>
          <w:color w:val="000000"/>
          <w:sz w:val="24"/>
        </w:rPr>
        <w:t>2015</w:t>
      </w:r>
      <w:r>
        <w:rPr>
          <w:rFonts w:ascii="Arial"/>
          <w:color w:val="000000"/>
          <w:sz w:val="24"/>
        </w:rPr>
        <w:t xml:space="preserve">. </w:t>
      </w:r>
    </w:p>
    <w:p>
      <w:pPr>
        <w:pStyle w:val="CaselawNumbered10"/>
        <w:numPr>
          <w:ilvl w:val="0"/>
          <w:numId w:val="34"/>
        </w:numPr>
        <w:spacing w:before="150" w:after="0"/>
        <w:ind w:left="600" w:hanging="600"/>
      </w:pPr>
      <w:r>
        <w:rPr>
          <w:rFonts w:ascii="Arial"/>
          <w:color w:val="000000"/>
          <w:sz w:val="24"/>
        </w:rPr>
        <w:t xml:space="preserve">The three sites </w:t>
      </w:r>
      <w:r>
        <w:rPr>
          <w:rFonts w:ascii="Arial"/>
          <w:color w:val="000000"/>
          <w:sz w:val="24"/>
        </w:rPr>
        <w:t>are collectively</w:t>
      </w:r>
      <w:r>
        <w:rPr>
          <w:rFonts w:ascii="Arial"/>
          <w:color w:val="000000"/>
          <w:sz w:val="24"/>
        </w:rPr>
        <w:t xml:space="preserve"> </w:t>
      </w:r>
      <w:r>
        <w:rPr>
          <w:rFonts w:ascii="Arial"/>
          <w:color w:val="000000"/>
          <w:sz w:val="24"/>
        </w:rPr>
        <w:t>irregular in shape and have a total area of 5.76536</w:t>
      </w:r>
      <w:r>
        <w:rPr>
          <w:rFonts w:ascii="Arial"/>
          <w:color w:val="000000"/>
          <w:sz w:val="24"/>
        </w:rPr>
        <w:t xml:space="preserve"> </w:t>
      </w:r>
      <w:r>
        <w:rPr>
          <w:rFonts w:ascii="Arial"/>
          <w:color w:val="000000"/>
          <w:sz w:val="24"/>
        </w:rPr>
        <w:t>ha (57,653.6m</w:t>
      </w:r>
      <w:r>
        <w:rPr>
          <w:rFonts w:ascii="Arial"/>
          <w:color w:val="000000"/>
          <w:sz w:val="24"/>
        </w:rPr>
        <w:t>2</w:t>
      </w:r>
      <w:r>
        <w:rPr>
          <w:rFonts w:ascii="Arial"/>
          <w:color w:val="000000"/>
          <w:sz w:val="24"/>
        </w:rPr>
        <w:t xml:space="preserve">). </w:t>
      </w:r>
    </w:p>
    <w:p>
      <w:pPr>
        <w:pStyle w:val="CaselawNumbered10"/>
        <w:numPr>
          <w:ilvl w:val="0"/>
          <w:numId w:val="34"/>
        </w:numPr>
        <w:spacing w:before="150" w:after="0"/>
        <w:ind w:left="600" w:hanging="600"/>
      </w:pPr>
      <w:r>
        <w:rPr>
          <w:rFonts w:ascii="Arial"/>
          <w:color w:val="000000"/>
          <w:sz w:val="24"/>
        </w:rPr>
        <w:t xml:space="preserve">The site has a frontage of 213.91m to Waterloo Road to the west, a rear (eastern) boundary of 217.34m, 235.68m to the northern boundary and 193.62m to the southern boundary (not including 87 Norfolk Road). In addition, the proposal includes 87 Norfolk Road which has a frontage of 15.24m </w:t>
      </w:r>
      <w:r>
        <w:rPr>
          <w:rFonts w:ascii="Arial"/>
          <w:color w:val="000000"/>
          <w:sz w:val="24"/>
        </w:rPr>
        <w:t xml:space="preserve">to that road </w:t>
      </w:r>
      <w:r>
        <w:rPr>
          <w:rFonts w:ascii="Arial"/>
          <w:color w:val="000000"/>
          <w:sz w:val="24"/>
        </w:rPr>
        <w:t xml:space="preserve">and </w:t>
      </w:r>
      <w:r>
        <w:rPr>
          <w:rFonts w:ascii="Arial"/>
          <w:color w:val="000000"/>
          <w:sz w:val="24"/>
        </w:rPr>
        <w:t xml:space="preserve">side boundary </w:t>
      </w:r>
      <w:r>
        <w:rPr>
          <w:rFonts w:ascii="Arial"/>
          <w:color w:val="000000"/>
          <w:sz w:val="24"/>
        </w:rPr>
        <w:t xml:space="preserve">length of 45.72m. </w:t>
      </w:r>
    </w:p>
    <w:p>
      <w:pPr>
        <w:pStyle w:val="CaselawNumbered10"/>
        <w:numPr>
          <w:ilvl w:val="0"/>
          <w:numId w:val="34"/>
        </w:numPr>
        <w:spacing w:before="150" w:after="0"/>
        <w:ind w:left="600" w:hanging="600"/>
      </w:pPr>
      <w:r>
        <w:rPr>
          <w:rFonts w:ascii="Arial"/>
          <w:color w:val="000000"/>
          <w:sz w:val="24"/>
        </w:rPr>
        <w:t xml:space="preserve">The site is bounded on the south by Norfolk Road (and residential properties), on the east by Norfolk Reserve, on the west by Waterloo Road and on the north by Malek Fahd Islamic School. </w:t>
      </w:r>
    </w:p>
    <w:p>
      <w:pPr>
        <w:pStyle w:val="CaselawNumbered10"/>
        <w:numPr>
          <w:ilvl w:val="0"/>
          <w:numId w:val="34"/>
        </w:numPr>
        <w:spacing w:before="150" w:after="0"/>
        <w:ind w:left="600" w:hanging="600"/>
      </w:pPr>
      <w:r>
        <w:rPr>
          <w:rFonts w:ascii="Arial"/>
          <w:color w:val="000000"/>
          <w:sz w:val="24"/>
        </w:rPr>
        <w:t xml:space="preserve">The east of the site is bounded by Norfolk Reserve which is mapped as having biodiversity values associated with three threatened fauna species and two threatened flora species. </w:t>
      </w:r>
    </w:p>
    <w:p>
      <w:pPr>
        <w:pStyle w:val="CaselawNumbered10"/>
        <w:numPr>
          <w:ilvl w:val="0"/>
          <w:numId w:val="34"/>
        </w:numPr>
        <w:spacing w:before="150" w:after="0"/>
        <w:ind w:left="600" w:hanging="600"/>
      </w:pPr>
      <w:r>
        <w:rPr>
          <w:rFonts w:ascii="Arial"/>
          <w:color w:val="000000"/>
          <w:sz w:val="24"/>
        </w:rPr>
        <w:t xml:space="preserve">The site is mapped as flood prone land with </w:t>
      </w:r>
      <w:r>
        <w:rPr>
          <w:rFonts w:ascii="Arial"/>
          <w:color w:val="000000"/>
          <w:sz w:val="24"/>
        </w:rPr>
        <w:t xml:space="preserve">a </w:t>
      </w:r>
      <w:r>
        <w:rPr>
          <w:rFonts w:ascii="Arial"/>
          <w:color w:val="000000"/>
          <w:sz w:val="24"/>
        </w:rPr>
        <w:t xml:space="preserve">medium risk level. </w:t>
      </w:r>
    </w:p>
    <w:p>
      <w:pPr>
        <w:pStyle w:val="CaselawNumbered10"/>
        <w:numPr>
          <w:ilvl w:val="0"/>
          <w:numId w:val="34"/>
        </w:numPr>
        <w:spacing w:before="150" w:after="0"/>
        <w:ind w:left="600" w:hanging="600"/>
      </w:pPr>
      <w:r>
        <w:rPr>
          <w:rFonts w:ascii="Arial"/>
          <w:color w:val="000000"/>
          <w:sz w:val="24"/>
        </w:rPr>
        <w:t xml:space="preserve">The site is listed as a local heritage item of </w:t>
      </w:r>
      <w:r>
        <w:rPr>
          <w:rFonts w:ascii="Arial"/>
          <w:color w:val="000000"/>
          <w:sz w:val="24"/>
        </w:rPr>
        <w:t>archaeological</w:t>
      </w:r>
      <w:r>
        <w:rPr>
          <w:rFonts w:ascii="Arial"/>
          <w:color w:val="000000"/>
          <w:sz w:val="24"/>
        </w:rPr>
        <w:t xml:space="preserve"> </w:t>
      </w:r>
      <w:r>
        <w:rPr>
          <w:rFonts w:ascii="Arial"/>
          <w:color w:val="000000"/>
          <w:sz w:val="24"/>
        </w:rPr>
        <w:t xml:space="preserve">significance associated with the former Cumberland Pottery and Tile Works. The State Heritage Inventory provides the following: </w:t>
      </w:r>
    </w:p>
    <w:p>
      <w:pPr>
        <w:pStyle w:val="CaselawBullet"/>
        <w:numPr>
          <w:ilvl w:val="0"/>
          <w:numId w:val="35"/>
        </w:numPr>
        <w:spacing w:before="150" w:after="0"/>
        <w:ind w:left="600" w:hanging="250"/>
      </w:pPr>
      <w:r>
        <w:rPr>
          <w:rFonts w:ascii="Arial"/>
          <w:color w:val="000000"/>
          <w:sz w:val="24"/>
        </w:rPr>
        <w:t xml:space="preserve">The former Liebentritt Pottery site is historically significant as the location of one </w:t>
      </w:r>
      <w:r>
        <w:rPr>
          <w:rFonts w:ascii="Arial"/>
          <w:color w:val="000000"/>
          <w:sz w:val="24"/>
        </w:rPr>
        <w:t xml:space="preserve">of </w:t>
      </w:r>
      <w:r>
        <w:rPr>
          <w:rFonts w:ascii="Arial"/>
          <w:color w:val="000000"/>
          <w:sz w:val="24"/>
        </w:rPr>
        <w:t>metropolitan Sydney</w:t>
      </w:r>
      <w:r>
        <w:rPr>
          <w:rFonts w:ascii="Arial"/>
          <w:color w:val="000000"/>
          <w:sz w:val="24"/>
        </w:rPr>
        <w:t>’</w:t>
      </w:r>
      <w:r>
        <w:rPr>
          <w:rFonts w:ascii="Arial"/>
          <w:color w:val="000000"/>
          <w:sz w:val="24"/>
        </w:rPr>
        <w:t>s foremost and influential potteries producing clay products for the building industry. Historically the site is of state significance for this reason. Part of the site was the location of one of Sydney</w:t>
      </w:r>
      <w:r>
        <w:rPr>
          <w:rFonts w:ascii="Arial"/>
          <w:color w:val="000000"/>
          <w:sz w:val="24"/>
        </w:rPr>
        <w:t>’</w:t>
      </w:r>
      <w:r>
        <w:rPr>
          <w:rFonts w:ascii="Arial"/>
          <w:color w:val="000000"/>
          <w:sz w:val="24"/>
        </w:rPr>
        <w:t>s first drive</w:t>
      </w:r>
      <w:r>
        <w:rPr>
          <w:rFonts w:ascii="Arial"/>
          <w:color w:val="000000"/>
          <w:sz w:val="24"/>
        </w:rPr>
        <w:t>-</w:t>
      </w:r>
      <w:r>
        <w:rPr>
          <w:rFonts w:ascii="Arial"/>
          <w:color w:val="000000"/>
          <w:sz w:val="24"/>
        </w:rPr>
        <w:t>in theatres, which opened in December 1956. The site is associated with the Liebentritt family, significant potter</w:t>
      </w:r>
      <w:r>
        <w:rPr>
          <w:rFonts w:ascii="Arial"/>
          <w:color w:val="000000"/>
          <w:sz w:val="24"/>
        </w:rPr>
        <w:t>y</w:t>
      </w:r>
      <w:r>
        <w:rPr>
          <w:rFonts w:ascii="Arial"/>
          <w:color w:val="000000"/>
          <w:sz w:val="24"/>
        </w:rPr>
        <w:t xml:space="preserve"> </w:t>
      </w:r>
      <w:r>
        <w:rPr>
          <w:rFonts w:ascii="Arial"/>
          <w:color w:val="000000"/>
          <w:sz w:val="24"/>
        </w:rPr>
        <w:t xml:space="preserve">manufacturers from the middle of the nineteenth century through to the second half of the twentieth century. The site is almost certain to </w:t>
      </w:r>
      <w:r>
        <w:rPr>
          <w:rFonts w:ascii="Arial"/>
          <w:color w:val="000000"/>
          <w:sz w:val="24"/>
        </w:rPr>
        <w:t>contain</w:t>
      </w:r>
      <w:r>
        <w:rPr>
          <w:rFonts w:ascii="Arial"/>
          <w:color w:val="000000"/>
          <w:sz w:val="24"/>
        </w:rPr>
        <w:t xml:space="preserve"> </w:t>
      </w:r>
      <w:r>
        <w:rPr>
          <w:rFonts w:ascii="Arial"/>
          <w:color w:val="000000"/>
          <w:sz w:val="24"/>
        </w:rPr>
        <w:t>relics and evidence from the time of Liebentritt</w:t>
      </w:r>
      <w:r>
        <w:rPr>
          <w:rFonts w:ascii="Arial"/>
          <w:color w:val="000000"/>
          <w:sz w:val="24"/>
        </w:rPr>
        <w:t>’</w:t>
      </w:r>
      <w:r>
        <w:rPr>
          <w:rFonts w:ascii="Arial"/>
          <w:color w:val="000000"/>
          <w:sz w:val="24"/>
        </w:rPr>
        <w:t xml:space="preserve">s pottery making activities. It is considered to be relatively rare in terms of its archaeological potential and is considered to have been representative of pottery manufacturing sites during the second half of the nineteenth century and into the twentieth century. </w:t>
      </w:r>
    </w:p>
    <w:p>
      <w:pPr>
        <w:pStyle w:val="CaselawNumbered10"/>
        <w:numPr>
          <w:ilvl w:val="0"/>
          <w:numId w:val="36"/>
        </w:numPr>
        <w:spacing w:before="150" w:after="0"/>
        <w:ind w:left="600" w:hanging="600"/>
      </w:pPr>
      <w:r>
        <w:rPr>
          <w:rFonts w:ascii="Arial"/>
          <w:color w:val="000000"/>
          <w:sz w:val="24"/>
        </w:rPr>
        <w:t>The application was notified in accordance with the Council</w:t>
      </w:r>
      <w:r>
        <w:rPr>
          <w:rFonts w:ascii="Arial"/>
          <w:color w:val="000000"/>
          <w:sz w:val="24"/>
        </w:rPr>
        <w:t>’</w:t>
      </w:r>
      <w:r>
        <w:rPr>
          <w:rFonts w:ascii="Arial"/>
          <w:color w:val="000000"/>
          <w:sz w:val="24"/>
        </w:rPr>
        <w:t xml:space="preserve">s Community Participation Plan for 21 days from 7 March to 28 March 2023 and readvertised for a further 21 days from 16 March to 6 April 2023 due to an error in the first exhibition period. </w:t>
      </w:r>
    </w:p>
    <w:p>
      <w:pPr>
        <w:pStyle w:val="CaselawNumbered10"/>
        <w:numPr>
          <w:ilvl w:val="0"/>
          <w:numId w:val="36"/>
        </w:numPr>
        <w:spacing w:before="150" w:after="0"/>
        <w:ind w:left="600" w:hanging="600"/>
      </w:pPr>
      <w:r>
        <w:rPr>
          <w:rFonts w:ascii="Arial"/>
          <w:color w:val="000000"/>
          <w:sz w:val="24"/>
        </w:rPr>
        <w:t xml:space="preserve">Sixteen submissions were received in response to the notification periods which relate to: </w:t>
      </w:r>
    </w:p>
    <w:p>
      <w:pPr>
        <w:pStyle w:val="CaselawNumbered1"/>
        <w:numPr>
          <w:ilvl w:val="0"/>
          <w:numId w:val="37"/>
        </w:numPr>
        <w:spacing w:before="150" w:after="0"/>
        <w:ind w:left="1350" w:hanging="750"/>
      </w:pPr>
      <w:r>
        <w:rPr>
          <w:rFonts w:ascii="Arial"/>
          <w:color w:val="000000"/>
          <w:sz w:val="24"/>
        </w:rPr>
        <w:t>o</w:t>
      </w:r>
      <w:r>
        <w:rPr>
          <w:rFonts w:ascii="Arial"/>
          <w:color w:val="000000"/>
          <w:sz w:val="24"/>
        </w:rPr>
        <w:t xml:space="preserve">verdevelopment of the </w:t>
      </w:r>
      <w:r>
        <w:rPr>
          <w:rFonts w:ascii="Arial"/>
          <w:color w:val="000000"/>
          <w:sz w:val="24"/>
        </w:rPr>
        <w:t>site</w:t>
      </w:r>
      <w:r>
        <w:rPr>
          <w:rFonts w:ascii="Arial"/>
          <w:color w:val="000000"/>
          <w:sz w:val="24"/>
        </w:rPr>
        <w:t>;</w:t>
      </w:r>
      <w:r>
        <w:rPr>
          <w:rFonts w:ascii="Arial"/>
          <w:color w:val="000000"/>
          <w:sz w:val="24"/>
        </w:rPr>
        <w:t xml:space="preserve"> </w:t>
      </w:r>
    </w:p>
    <w:p>
      <w:pPr>
        <w:pStyle w:val="CaselawNumbered1"/>
        <w:numPr>
          <w:ilvl w:val="0"/>
          <w:numId w:val="37"/>
        </w:numPr>
        <w:spacing w:before="150" w:after="0"/>
        <w:ind w:left="1350" w:hanging="750"/>
      </w:pPr>
      <w:r>
        <w:rPr>
          <w:rFonts w:ascii="Arial"/>
          <w:color w:val="000000"/>
          <w:sz w:val="24"/>
        </w:rPr>
        <w:t>t</w:t>
      </w:r>
      <w:r>
        <w:rPr>
          <w:rFonts w:ascii="Arial"/>
          <w:color w:val="000000"/>
          <w:sz w:val="24"/>
        </w:rPr>
        <w:t>raffic congestion</w:t>
      </w:r>
      <w:r>
        <w:rPr>
          <w:rFonts w:ascii="Arial"/>
          <w:color w:val="000000"/>
          <w:sz w:val="24"/>
        </w:rPr>
        <w:t>;</w:t>
      </w:r>
    </w:p>
    <w:p>
      <w:pPr>
        <w:pStyle w:val="CaselawNumbered1"/>
        <w:numPr>
          <w:ilvl w:val="0"/>
          <w:numId w:val="37"/>
        </w:numPr>
        <w:spacing w:before="150" w:after="0"/>
        <w:ind w:left="1350" w:hanging="750"/>
      </w:pPr>
      <w:r>
        <w:rPr>
          <w:rFonts w:ascii="Arial"/>
          <w:color w:val="000000"/>
          <w:sz w:val="24"/>
        </w:rPr>
        <w:t>p</w:t>
      </w:r>
      <w:r>
        <w:rPr>
          <w:rFonts w:ascii="Arial"/>
          <w:color w:val="000000"/>
          <w:sz w:val="24"/>
        </w:rPr>
        <w:t>rivacy</w:t>
      </w:r>
      <w:r>
        <w:rPr>
          <w:rFonts w:ascii="Arial"/>
          <w:color w:val="000000"/>
          <w:sz w:val="24"/>
        </w:rPr>
        <w:t>;</w:t>
      </w:r>
    </w:p>
    <w:p>
      <w:pPr>
        <w:pStyle w:val="CaselawNumbered1"/>
        <w:numPr>
          <w:ilvl w:val="0"/>
          <w:numId w:val="37"/>
        </w:numPr>
        <w:spacing w:before="150" w:after="0"/>
        <w:ind w:left="1350" w:hanging="750"/>
      </w:pPr>
      <w:r>
        <w:rPr>
          <w:rFonts w:ascii="Arial"/>
          <w:color w:val="000000"/>
          <w:sz w:val="24"/>
        </w:rPr>
        <w:t>b</w:t>
      </w:r>
      <w:r>
        <w:rPr>
          <w:rFonts w:ascii="Arial"/>
          <w:color w:val="000000"/>
          <w:sz w:val="24"/>
        </w:rPr>
        <w:t>uilding mass</w:t>
      </w:r>
      <w:r>
        <w:rPr>
          <w:rFonts w:ascii="Arial"/>
          <w:color w:val="000000"/>
          <w:sz w:val="24"/>
        </w:rPr>
        <w:t>;</w:t>
      </w:r>
    </w:p>
    <w:p>
      <w:pPr>
        <w:pStyle w:val="CaselawNumbered1"/>
        <w:numPr>
          <w:ilvl w:val="0"/>
          <w:numId w:val="37"/>
        </w:numPr>
        <w:spacing w:before="150" w:after="0"/>
        <w:ind w:left="1350" w:hanging="750"/>
      </w:pPr>
      <w:r>
        <w:rPr>
          <w:rFonts w:ascii="Arial"/>
          <w:color w:val="000000"/>
          <w:sz w:val="24"/>
        </w:rPr>
        <w:t>l</w:t>
      </w:r>
      <w:r>
        <w:rPr>
          <w:rFonts w:ascii="Arial"/>
          <w:color w:val="000000"/>
          <w:sz w:val="24"/>
        </w:rPr>
        <w:t>ack of open space and landscaping</w:t>
      </w:r>
      <w:r>
        <w:rPr>
          <w:rFonts w:ascii="Arial"/>
          <w:color w:val="000000"/>
          <w:sz w:val="24"/>
        </w:rPr>
        <w:t>;</w:t>
      </w:r>
      <w:r>
        <w:rPr>
          <w:rFonts w:ascii="Arial"/>
          <w:color w:val="000000"/>
          <w:sz w:val="24"/>
        </w:rPr>
        <w:t xml:space="preserve"> </w:t>
      </w:r>
    </w:p>
    <w:p>
      <w:pPr>
        <w:pStyle w:val="CaselawNumbered1"/>
        <w:numPr>
          <w:ilvl w:val="0"/>
          <w:numId w:val="37"/>
        </w:numPr>
        <w:spacing w:before="150" w:after="0"/>
        <w:ind w:left="1350" w:hanging="750"/>
      </w:pPr>
      <w:r>
        <w:rPr>
          <w:rFonts w:ascii="Arial"/>
          <w:color w:val="000000"/>
          <w:sz w:val="24"/>
        </w:rPr>
        <w:t>o</w:t>
      </w:r>
      <w:r>
        <w:rPr>
          <w:rFonts w:ascii="Arial"/>
          <w:color w:val="000000"/>
          <w:sz w:val="24"/>
        </w:rPr>
        <w:t>vershadowing</w:t>
      </w:r>
      <w:r>
        <w:rPr>
          <w:rFonts w:ascii="Arial"/>
          <w:color w:val="000000"/>
          <w:sz w:val="24"/>
        </w:rPr>
        <w:t>;</w:t>
      </w:r>
      <w:r>
        <w:rPr>
          <w:rFonts w:ascii="Arial"/>
          <w:color w:val="000000"/>
          <w:sz w:val="24"/>
        </w:rPr>
        <w:t xml:space="preserve"> </w:t>
      </w:r>
    </w:p>
    <w:p>
      <w:pPr>
        <w:pStyle w:val="CaselawNumbered1"/>
        <w:numPr>
          <w:ilvl w:val="0"/>
          <w:numId w:val="37"/>
        </w:numPr>
        <w:spacing w:before="150" w:after="0"/>
        <w:ind w:left="1350" w:hanging="750"/>
      </w:pPr>
      <w:r>
        <w:rPr>
          <w:rFonts w:ascii="Arial"/>
          <w:color w:val="000000"/>
          <w:sz w:val="24"/>
        </w:rPr>
        <w:t>b</w:t>
      </w:r>
      <w:r>
        <w:rPr>
          <w:rFonts w:ascii="Arial"/>
          <w:color w:val="000000"/>
          <w:sz w:val="24"/>
        </w:rPr>
        <w:t>uilding height</w:t>
      </w:r>
      <w:r>
        <w:rPr>
          <w:rFonts w:ascii="Arial"/>
          <w:color w:val="000000"/>
          <w:sz w:val="24"/>
        </w:rPr>
        <w:t>;</w:t>
      </w:r>
      <w:r>
        <w:rPr>
          <w:rFonts w:ascii="Arial"/>
          <w:color w:val="000000"/>
          <w:sz w:val="24"/>
        </w:rPr>
        <w:t xml:space="preserve"> </w:t>
      </w:r>
    </w:p>
    <w:p>
      <w:pPr>
        <w:pStyle w:val="CaselawNumbered1"/>
        <w:numPr>
          <w:ilvl w:val="0"/>
          <w:numId w:val="37"/>
        </w:numPr>
        <w:spacing w:before="150" w:after="0"/>
        <w:ind w:left="1350" w:hanging="750"/>
      </w:pPr>
      <w:r>
        <w:rPr>
          <w:rFonts w:ascii="Arial"/>
          <w:color w:val="000000"/>
          <w:sz w:val="24"/>
        </w:rPr>
        <w:t>s</w:t>
      </w:r>
      <w:r>
        <w:rPr>
          <w:rFonts w:ascii="Arial"/>
          <w:color w:val="000000"/>
          <w:sz w:val="24"/>
        </w:rPr>
        <w:t>chedule of colours and finishes; and (amongst other things)</w:t>
      </w:r>
    </w:p>
    <w:p>
      <w:pPr>
        <w:pStyle w:val="CaselawNumbered1"/>
        <w:numPr>
          <w:ilvl w:val="0"/>
          <w:numId w:val="37"/>
        </w:numPr>
        <w:spacing w:before="150" w:after="0"/>
        <w:ind w:left="1350" w:hanging="750"/>
      </w:pPr>
      <w:r>
        <w:rPr>
          <w:rFonts w:ascii="Arial"/>
          <w:color w:val="000000"/>
          <w:sz w:val="24"/>
        </w:rPr>
        <w:t>p</w:t>
      </w:r>
      <w:r>
        <w:rPr>
          <w:rFonts w:ascii="Arial"/>
          <w:color w:val="000000"/>
          <w:sz w:val="24"/>
        </w:rPr>
        <w:t>arking</w:t>
      </w:r>
      <w:r>
        <w:rPr>
          <w:rFonts w:ascii="Arial"/>
          <w:color w:val="000000"/>
          <w:sz w:val="24"/>
        </w:rPr>
        <w:t>.</w:t>
      </w:r>
    </w:p>
    <w:p>
      <w:pPr>
        <w:pStyle w:val="CaselawNumbered10"/>
        <w:numPr>
          <w:ilvl w:val="0"/>
          <w:numId w:val="38"/>
        </w:numPr>
        <w:spacing w:before="150" w:after="0"/>
        <w:ind w:left="600" w:hanging="600"/>
      </w:pPr>
      <w:r>
        <w:rPr>
          <w:rFonts w:ascii="Arial"/>
          <w:color w:val="000000"/>
          <w:sz w:val="24"/>
        </w:rPr>
        <w:t>The application was referred to Transport for NSW</w:t>
      </w:r>
      <w:r>
        <w:rPr>
          <w:rFonts w:ascii="Arial"/>
          <w:color w:val="000000"/>
          <w:sz w:val="24"/>
        </w:rPr>
        <w:t xml:space="preserve"> </w:t>
      </w:r>
      <w:r>
        <w:rPr>
          <w:rFonts w:ascii="Arial"/>
          <w:color w:val="000000"/>
          <w:sz w:val="24"/>
        </w:rPr>
        <w:t>(TfNSW)</w:t>
      </w:r>
      <w:r>
        <w:rPr>
          <w:rFonts w:ascii="Arial"/>
          <w:color w:val="000000"/>
          <w:sz w:val="24"/>
        </w:rPr>
        <w:t xml:space="preserve"> </w:t>
      </w:r>
      <w:r>
        <w:rPr>
          <w:rFonts w:ascii="Arial"/>
          <w:color w:val="000000"/>
          <w:sz w:val="24"/>
        </w:rPr>
        <w:t xml:space="preserve">for comment in accordance with the requirements of s 2.122 of </w:t>
      </w:r>
      <w:r>
        <w:rPr>
          <w:rFonts w:ascii="Arial"/>
          <w:color w:val="000000"/>
          <w:sz w:val="24"/>
        </w:rPr>
        <w:t>State Environmental Planning Policy (Transport and Infrastructure) 2021 (</w:t>
      </w:r>
      <w:r>
        <w:rPr>
          <w:rFonts w:ascii="Arial"/>
          <w:color w:val="000000"/>
          <w:sz w:val="24"/>
        </w:rPr>
        <w:t>T&amp;I SEPP</w:t>
      </w:r>
      <w:r>
        <w:rPr>
          <w:rFonts w:ascii="Arial"/>
          <w:color w:val="000000"/>
          <w:sz w:val="24"/>
        </w:rPr>
        <w:t>)</w:t>
      </w:r>
      <w:r>
        <w:rPr>
          <w:rFonts w:ascii="Arial"/>
          <w:color w:val="000000"/>
          <w:sz w:val="24"/>
        </w:rPr>
        <w:t xml:space="preserve">. Consequent conditions were provided to the Council on 27 March 2023. </w:t>
      </w:r>
    </w:p>
    <w:p>
      <w:pPr>
        <w:pStyle w:val="CaselawHeading2"/>
        <w:keepNext/>
        <w:spacing w:before="150" w:after="150" w:line="264"/>
        <w:ind w:left="0"/>
        <w:jc w:val="left"/>
      </w:pPr>
      <w:r>
        <w:rPr>
          <w:rFonts w:ascii="Arial"/>
        </w:rPr>
        <w:t>The</w:t>
      </w:r>
      <w:r>
        <w:rPr>
          <w:rFonts w:ascii="Arial"/>
        </w:rPr>
        <w:t xml:space="preserve"> </w:t>
      </w:r>
      <w:r>
        <w:rPr>
          <w:rFonts w:ascii="Arial"/>
        </w:rPr>
        <w:t>s</w:t>
      </w:r>
      <w:r>
        <w:rPr>
          <w:rFonts w:ascii="Arial"/>
        </w:rPr>
        <w:t>tatutory framework</w:t>
      </w:r>
      <w:r>
        <w:rPr>
          <w:rFonts w:ascii="Arial"/>
        </w:rPr>
        <w:t xml:space="preserve"> </w:t>
      </w:r>
    </w:p>
    <w:p>
      <w:pPr>
        <w:pStyle w:val="CaselawNumbered10"/>
        <w:numPr>
          <w:ilvl w:val="0"/>
          <w:numId w:val="39"/>
        </w:numPr>
        <w:spacing w:before="150" w:after="0"/>
        <w:ind w:left="600" w:hanging="600"/>
      </w:pPr>
      <w:r>
        <w:rPr>
          <w:rFonts w:ascii="Arial"/>
          <w:color w:val="000000"/>
          <w:sz w:val="24"/>
        </w:rPr>
        <w:t xml:space="preserve">The principal environmental planning instruments applying to the DA are as follows: </w:t>
      </w:r>
    </w:p>
    <w:p>
      <w:pPr>
        <w:pStyle w:val="CaselawNumbered1"/>
        <w:numPr>
          <w:ilvl w:val="0"/>
          <w:numId w:val="40"/>
        </w:numPr>
        <w:spacing w:before="150" w:after="0"/>
        <w:ind w:left="1350" w:hanging="750"/>
      </w:pPr>
      <w:r>
        <w:rPr>
          <w:rFonts w:ascii="Arial"/>
          <w:color w:val="000000"/>
          <w:sz w:val="24"/>
        </w:rPr>
        <w:t>LEP</w:t>
      </w:r>
      <w:r>
        <w:rPr>
          <w:rFonts w:ascii="Arial"/>
          <w:color w:val="000000"/>
          <w:sz w:val="24"/>
        </w:rPr>
        <w:t xml:space="preserve"> </w:t>
      </w:r>
      <w:r>
        <w:rPr>
          <w:rFonts w:ascii="Arial"/>
          <w:color w:val="000000"/>
          <w:sz w:val="24"/>
        </w:rPr>
        <w:t>2015</w:t>
      </w:r>
      <w:r>
        <w:rPr>
          <w:rFonts w:ascii="Arial"/>
          <w:color w:val="000000"/>
          <w:sz w:val="24"/>
        </w:rPr>
        <w:t xml:space="preserve"> </w:t>
      </w:r>
      <w:r>
        <w:rPr>
          <w:rFonts w:ascii="Arial"/>
          <w:color w:val="000000"/>
          <w:sz w:val="24"/>
        </w:rPr>
        <w:t>(Council</w:t>
      </w:r>
      <w:r>
        <w:rPr>
          <w:rFonts w:ascii="Arial"/>
          <w:color w:val="000000"/>
          <w:sz w:val="24"/>
        </w:rPr>
        <w:t>’</w:t>
      </w:r>
      <w:r>
        <w:rPr>
          <w:rFonts w:ascii="Arial"/>
          <w:color w:val="000000"/>
          <w:sz w:val="24"/>
        </w:rPr>
        <w:t xml:space="preserve">s Bundle Vol 1 Item 1, 1-56) </w:t>
      </w:r>
    </w:p>
    <w:p>
      <w:pPr>
        <w:pStyle w:val="CaselawNumbered1"/>
        <w:numPr>
          <w:ilvl w:val="0"/>
          <w:numId w:val="40"/>
        </w:numPr>
        <w:spacing w:before="150" w:after="0"/>
        <w:ind w:left="1350" w:hanging="750"/>
      </w:pPr>
      <w:r>
        <w:rPr>
          <w:rFonts w:ascii="Arial"/>
          <w:color w:val="000000"/>
          <w:sz w:val="24"/>
        </w:rPr>
        <w:t>DCP</w:t>
      </w:r>
      <w:r>
        <w:rPr>
          <w:rFonts w:ascii="Arial"/>
          <w:color w:val="000000"/>
          <w:sz w:val="24"/>
        </w:rPr>
        <w:t xml:space="preserve"> </w:t>
      </w:r>
      <w:r>
        <w:rPr>
          <w:rFonts w:ascii="Arial"/>
          <w:color w:val="000000"/>
          <w:sz w:val="24"/>
        </w:rPr>
        <w:t>2023 (as a proposed instrument) (Council</w:t>
      </w:r>
      <w:r>
        <w:rPr>
          <w:rFonts w:ascii="Arial"/>
          <w:color w:val="000000"/>
          <w:sz w:val="24"/>
        </w:rPr>
        <w:t>’</w:t>
      </w:r>
      <w:r>
        <w:rPr>
          <w:rFonts w:ascii="Arial"/>
          <w:color w:val="000000"/>
          <w:sz w:val="24"/>
        </w:rPr>
        <w:t>s Bundle Vol 4 Item 12</w:t>
      </w:r>
      <w:r>
        <w:rPr>
          <w:rFonts w:ascii="Arial"/>
          <w:color w:val="000000"/>
          <w:sz w:val="24"/>
        </w:rPr>
        <w:t>,</w:t>
      </w:r>
      <w:r>
        <w:rPr>
          <w:rFonts w:ascii="Arial"/>
          <w:color w:val="000000"/>
          <w:sz w:val="24"/>
        </w:rPr>
        <w:t xml:space="preserve"> </w:t>
      </w:r>
      <w:r>
        <w:rPr>
          <w:rFonts w:ascii="Arial"/>
          <w:color w:val="000000"/>
          <w:sz w:val="24"/>
        </w:rPr>
        <w:t>701-761</w:t>
      </w:r>
      <w:r>
        <w:rPr>
          <w:rFonts w:ascii="Arial"/>
          <w:color w:val="000000"/>
          <w:sz w:val="24"/>
        </w:rPr>
        <w:t>)</w:t>
      </w:r>
    </w:p>
    <w:p>
      <w:pPr>
        <w:pStyle w:val="CaselawNumbered1"/>
        <w:numPr>
          <w:ilvl w:val="0"/>
          <w:numId w:val="40"/>
        </w:numPr>
        <w:spacing w:before="150" w:after="0"/>
        <w:ind w:left="1350" w:hanging="750"/>
      </w:pPr>
      <w:r>
        <w:rPr>
          <w:rFonts w:ascii="Arial"/>
          <w:color w:val="000000"/>
          <w:sz w:val="24"/>
        </w:rPr>
        <w:t>State Environmental Planning Policy (Biodiversity and Conservation) 2021 (Council</w:t>
      </w:r>
      <w:r>
        <w:rPr>
          <w:rFonts w:ascii="Arial"/>
          <w:color w:val="000000"/>
          <w:sz w:val="24"/>
        </w:rPr>
        <w:t>’</w:t>
      </w:r>
      <w:r>
        <w:rPr>
          <w:rFonts w:ascii="Arial"/>
          <w:color w:val="000000"/>
          <w:sz w:val="24"/>
        </w:rPr>
        <w:t>s Bundle Vol 2 Item 2</w:t>
      </w:r>
      <w:r>
        <w:rPr>
          <w:rFonts w:ascii="Arial"/>
          <w:color w:val="000000"/>
          <w:sz w:val="24"/>
        </w:rPr>
        <w:t>,</w:t>
      </w:r>
      <w:r>
        <w:rPr>
          <w:rFonts w:ascii="Arial"/>
          <w:color w:val="000000"/>
          <w:sz w:val="24"/>
        </w:rPr>
        <w:t xml:space="preserve"> </w:t>
      </w:r>
      <w:r>
        <w:rPr>
          <w:rFonts w:ascii="Arial"/>
          <w:color w:val="000000"/>
          <w:sz w:val="24"/>
        </w:rPr>
        <w:t xml:space="preserve">425-427) </w:t>
      </w:r>
    </w:p>
    <w:p>
      <w:pPr>
        <w:pStyle w:val="CaselawNumbered1"/>
        <w:numPr>
          <w:ilvl w:val="0"/>
          <w:numId w:val="40"/>
        </w:numPr>
        <w:spacing w:before="150" w:after="0"/>
        <w:ind w:left="1350" w:hanging="750"/>
      </w:pPr>
      <w:r>
        <w:rPr>
          <w:rFonts w:ascii="Arial"/>
          <w:color w:val="000000"/>
          <w:sz w:val="24"/>
        </w:rPr>
        <w:t>State Environmental Planning Policy (Building Sustainability Index: BASIX) 2004 (Council</w:t>
      </w:r>
      <w:r>
        <w:rPr>
          <w:rFonts w:ascii="Arial"/>
          <w:color w:val="000000"/>
          <w:sz w:val="24"/>
        </w:rPr>
        <w:t>’</w:t>
      </w:r>
      <w:r>
        <w:rPr>
          <w:rFonts w:ascii="Arial"/>
          <w:color w:val="000000"/>
          <w:sz w:val="24"/>
        </w:rPr>
        <w:t>s Bundle Vol 2 Item 5</w:t>
      </w:r>
      <w:r>
        <w:rPr>
          <w:rFonts w:ascii="Arial"/>
          <w:color w:val="000000"/>
          <w:sz w:val="24"/>
        </w:rPr>
        <w:t>,</w:t>
      </w:r>
      <w:r>
        <w:rPr>
          <w:rFonts w:ascii="Arial"/>
          <w:color w:val="000000"/>
          <w:sz w:val="24"/>
        </w:rPr>
        <w:t xml:space="preserve"> </w:t>
      </w:r>
      <w:r>
        <w:rPr>
          <w:rFonts w:ascii="Arial"/>
          <w:color w:val="000000"/>
          <w:sz w:val="24"/>
        </w:rPr>
        <w:t xml:space="preserve">438-441) </w:t>
      </w:r>
    </w:p>
    <w:p>
      <w:pPr>
        <w:pStyle w:val="CaselawNumbered1"/>
        <w:numPr>
          <w:ilvl w:val="0"/>
          <w:numId w:val="40"/>
        </w:numPr>
        <w:spacing w:before="150" w:after="0"/>
        <w:ind w:left="1350" w:hanging="750"/>
      </w:pPr>
      <w:r>
        <w:rPr>
          <w:rFonts w:ascii="Arial"/>
          <w:color w:val="000000"/>
          <w:sz w:val="24"/>
        </w:rPr>
        <w:t>PS SEPP (Council</w:t>
      </w:r>
      <w:r>
        <w:rPr>
          <w:rFonts w:ascii="Arial"/>
          <w:color w:val="000000"/>
          <w:sz w:val="24"/>
        </w:rPr>
        <w:t>’</w:t>
      </w:r>
      <w:r>
        <w:rPr>
          <w:rFonts w:ascii="Arial"/>
          <w:color w:val="000000"/>
          <w:sz w:val="24"/>
        </w:rPr>
        <w:t>s Bundle Vol 2 Items 6a and 6b</w:t>
      </w:r>
      <w:r>
        <w:rPr>
          <w:rFonts w:ascii="Arial"/>
          <w:color w:val="000000"/>
          <w:sz w:val="24"/>
        </w:rPr>
        <w:t>,</w:t>
      </w:r>
      <w:r>
        <w:rPr>
          <w:rFonts w:ascii="Arial"/>
          <w:color w:val="000000"/>
          <w:sz w:val="24"/>
        </w:rPr>
        <w:t xml:space="preserve"> </w:t>
      </w:r>
      <w:r>
        <w:rPr>
          <w:rFonts w:ascii="Arial"/>
          <w:color w:val="000000"/>
          <w:sz w:val="24"/>
        </w:rPr>
        <w:t xml:space="preserve">442-445) </w:t>
      </w:r>
    </w:p>
    <w:p>
      <w:pPr>
        <w:pStyle w:val="CaselawNumbered1"/>
        <w:numPr>
          <w:ilvl w:val="0"/>
          <w:numId w:val="40"/>
        </w:numPr>
        <w:spacing w:before="150" w:after="0"/>
        <w:ind w:left="1350" w:hanging="750"/>
      </w:pPr>
      <w:r>
        <w:rPr>
          <w:rFonts w:ascii="Arial"/>
          <w:color w:val="000000"/>
          <w:sz w:val="24"/>
        </w:rPr>
        <w:t>State Environmental Planning Policy (Resilience and Hazards) 2021 (Council</w:t>
      </w:r>
      <w:r>
        <w:rPr>
          <w:rFonts w:ascii="Arial"/>
          <w:color w:val="000000"/>
          <w:sz w:val="24"/>
        </w:rPr>
        <w:t>’</w:t>
      </w:r>
      <w:r>
        <w:rPr>
          <w:rFonts w:ascii="Arial"/>
          <w:color w:val="000000"/>
          <w:sz w:val="24"/>
        </w:rPr>
        <w:t>s Bundle Vol 2 Item 7</w:t>
      </w:r>
      <w:r>
        <w:rPr>
          <w:rFonts w:ascii="Arial"/>
          <w:color w:val="000000"/>
          <w:sz w:val="24"/>
        </w:rPr>
        <w:t>,</w:t>
      </w:r>
      <w:r>
        <w:rPr>
          <w:rFonts w:ascii="Arial"/>
          <w:color w:val="000000"/>
          <w:sz w:val="24"/>
        </w:rPr>
        <w:t xml:space="preserve"> </w:t>
      </w:r>
      <w:r>
        <w:rPr>
          <w:rFonts w:ascii="Arial"/>
          <w:color w:val="000000"/>
          <w:sz w:val="24"/>
        </w:rPr>
        <w:t xml:space="preserve">446) </w:t>
      </w:r>
    </w:p>
    <w:p>
      <w:pPr>
        <w:pStyle w:val="CaselawNumbered1"/>
        <w:numPr>
          <w:ilvl w:val="0"/>
          <w:numId w:val="40"/>
        </w:numPr>
        <w:spacing w:before="150" w:after="0"/>
        <w:ind w:left="1350" w:hanging="750"/>
      </w:pPr>
      <w:r>
        <w:rPr>
          <w:rFonts w:ascii="Arial"/>
          <w:color w:val="000000"/>
          <w:sz w:val="24"/>
        </w:rPr>
        <w:t>T&amp;I SEPP (Council</w:t>
      </w:r>
      <w:r>
        <w:rPr>
          <w:rFonts w:ascii="Arial"/>
          <w:color w:val="000000"/>
          <w:sz w:val="24"/>
        </w:rPr>
        <w:t>’</w:t>
      </w:r>
      <w:r>
        <w:rPr>
          <w:rFonts w:ascii="Arial"/>
          <w:color w:val="000000"/>
          <w:sz w:val="24"/>
        </w:rPr>
        <w:t>s Bundle Vol 2 Item 8</w:t>
      </w:r>
      <w:r>
        <w:rPr>
          <w:rFonts w:ascii="Arial"/>
          <w:color w:val="000000"/>
          <w:sz w:val="24"/>
        </w:rPr>
        <w:t>,</w:t>
      </w:r>
      <w:r>
        <w:rPr>
          <w:rFonts w:ascii="Arial"/>
          <w:color w:val="000000"/>
          <w:sz w:val="24"/>
        </w:rPr>
        <w:t xml:space="preserve"> </w:t>
      </w:r>
      <w:r>
        <w:rPr>
          <w:rFonts w:ascii="Arial"/>
          <w:color w:val="000000"/>
          <w:sz w:val="24"/>
        </w:rPr>
        <w:t xml:space="preserve">447-468) </w:t>
      </w:r>
    </w:p>
    <w:p>
      <w:pPr>
        <w:pStyle w:val="CaselawNumbered1"/>
        <w:numPr>
          <w:ilvl w:val="0"/>
          <w:numId w:val="40"/>
        </w:numPr>
        <w:spacing w:before="150" w:after="0"/>
        <w:ind w:left="1350" w:hanging="750"/>
      </w:pPr>
      <w:r>
        <w:rPr>
          <w:rFonts w:ascii="Arial"/>
          <w:color w:val="000000"/>
          <w:sz w:val="24"/>
        </w:rPr>
        <w:t>State Environmental Planning Policy No 65</w:t>
      </w:r>
      <w:r>
        <w:rPr>
          <w:rFonts w:ascii="Arial"/>
          <w:color w:val="000000"/>
          <w:sz w:val="24"/>
        </w:rPr>
        <w:t>—</w:t>
      </w:r>
      <w:r>
        <w:rPr>
          <w:rFonts w:ascii="Arial"/>
          <w:color w:val="000000"/>
          <w:sz w:val="24"/>
        </w:rPr>
        <w:t>Design Quality of Residential Apartment Development (Council</w:t>
      </w:r>
      <w:r>
        <w:rPr>
          <w:rFonts w:ascii="Arial"/>
          <w:color w:val="000000"/>
          <w:sz w:val="24"/>
        </w:rPr>
        <w:t>’</w:t>
      </w:r>
      <w:r>
        <w:rPr>
          <w:rFonts w:ascii="Arial"/>
          <w:color w:val="000000"/>
          <w:sz w:val="24"/>
        </w:rPr>
        <w:t>s Bundle Vol 2 Item 10</w:t>
      </w:r>
      <w:r>
        <w:rPr>
          <w:rFonts w:ascii="Arial"/>
          <w:color w:val="000000"/>
          <w:sz w:val="24"/>
        </w:rPr>
        <w:t>,</w:t>
      </w:r>
      <w:r>
        <w:rPr>
          <w:rFonts w:ascii="Arial"/>
          <w:color w:val="000000"/>
          <w:sz w:val="24"/>
        </w:rPr>
        <w:t xml:space="preserve"> </w:t>
      </w:r>
      <w:r>
        <w:rPr>
          <w:rFonts w:ascii="Arial"/>
          <w:color w:val="000000"/>
          <w:sz w:val="24"/>
        </w:rPr>
        <w:t xml:space="preserve">514-518) </w:t>
      </w:r>
    </w:p>
    <w:p>
      <w:pPr>
        <w:pStyle w:val="CaselawHeading2"/>
        <w:keepNext/>
        <w:spacing w:before="150" w:after="150" w:line="264"/>
        <w:ind w:left="0"/>
        <w:jc w:val="left"/>
      </w:pPr>
      <w:r>
        <w:rPr>
          <w:rFonts w:ascii="Arial"/>
        </w:rPr>
        <w:t>Expert evidence</w:t>
      </w:r>
    </w:p>
    <w:p>
      <w:pPr>
        <w:pStyle w:val="CaselawNumbered10"/>
        <w:numPr>
          <w:ilvl w:val="0"/>
          <w:numId w:val="41"/>
        </w:numPr>
        <w:spacing w:before="150" w:after="0"/>
        <w:ind w:left="600" w:hanging="600"/>
      </w:pPr>
      <w:r>
        <w:rPr>
          <w:rFonts w:ascii="Arial"/>
          <w:color w:val="000000"/>
          <w:sz w:val="24"/>
        </w:rPr>
        <w:t xml:space="preserve">The </w:t>
      </w:r>
      <w:r>
        <w:rPr>
          <w:rFonts w:ascii="Arial"/>
          <w:color w:val="000000"/>
          <w:sz w:val="24"/>
        </w:rPr>
        <w:t>following experts provided expert evidence</w:t>
      </w:r>
      <w:r>
        <w:rPr>
          <w:rFonts w:ascii="Arial"/>
          <w:color w:val="000000"/>
          <w:sz w:val="24"/>
        </w:rPr>
        <w:t xml:space="preserve"> </w:t>
      </w:r>
      <w:r>
        <w:rPr>
          <w:rFonts w:ascii="Arial"/>
          <w:color w:val="000000"/>
          <w:sz w:val="24"/>
        </w:rPr>
        <w:t>in the proceedings</w:t>
      </w:r>
      <w:r>
        <w:rPr>
          <w:rFonts w:ascii="Arial"/>
          <w:color w:val="000000"/>
          <w:sz w:val="24"/>
        </w:rPr>
        <w:t>:</w:t>
      </w:r>
    </w:p>
    <w:tbl>
      <w:tblPr>
        <w:tblW w:w="0" w:type="auto"/>
        <w:tblCellSpacing w:w="0" w:type="auto"/>
        <w:tblInd w:w="115" w:type="dxa"/>
        <w:tblBorders>
          <w:top w:val="single" w:color="DDDDDD" w:sz="6" w:space="0"/>
          <w:left w:val="single" w:color="DDDDDD" w:sz="6" w:space="0"/>
          <w:bottom w:val="single" w:color="DDDDDD" w:sz="6" w:space="0"/>
          <w:right w:val="single" w:color="DDDDDD" w:sz="6" w:space="0"/>
          <w:insideH w:val="single" w:color="DDDDDD" w:sz="6" w:space="0"/>
          <w:insideV w:val="single" w:color="DDDDDD" w:sz="6" w:space="0"/>
        </w:tblBorders>
      </w:tblPr>
      <w:tblGrid>
        <w:gridCol w:w="3915"/>
        <w:gridCol w:w="3256"/>
        <w:gridCol w:w="2703"/>
        <w:gridCol w:w="3148"/>
      </w:tblGrid>
      <w:tr>
        <w:trPr/>
        <w:tc>
          <w:tcPr>
            <w:tcW w:w="3915" w:type="dxa"/>
            <w:vAlign w:val="center"/>
          </w:tcPr>
          <w:p>
            <w:pPr>
              <w:pStyle w:val="CaselawNormal"/>
              <w:spacing w:before="150" w:after="150"/>
              <w:ind w:left="600"/>
              <w:jc w:val="left"/>
            </w:pPr>
            <w:r>
              <w:rPr>
                <w:rFonts w:ascii="Arial"/>
                <w:b/>
                <w:color w:val="000000"/>
                <w:sz w:val="24"/>
              </w:rPr>
              <w:t>Expertise</w:t>
            </w:r>
          </w:p>
        </w:tc>
        <w:tc>
          <w:tcPr>
            <w:tcW w:w="3256" w:type="dxa"/>
            <w:vAlign w:val="center"/>
          </w:tcPr>
          <w:p>
            <w:pPr>
              <w:pStyle w:val="CaselawNormal"/>
              <w:spacing w:before="150" w:after="150"/>
              <w:ind w:left="600"/>
              <w:jc w:val="left"/>
            </w:pPr>
            <w:r>
              <w:rPr>
                <w:rFonts w:ascii="Arial"/>
                <w:b/>
                <w:color w:val="000000"/>
                <w:sz w:val="24"/>
              </w:rPr>
              <w:t>Applicant</w:t>
            </w:r>
          </w:p>
        </w:tc>
        <w:tc>
          <w:tcPr>
            <w:tcW w:w="2703" w:type="dxa"/>
            <w:vAlign w:val="center"/>
          </w:tcPr>
          <w:p>
            <w:pPr>
              <w:pStyle w:val="CaselawNormal"/>
              <w:spacing w:before="150" w:after="150"/>
              <w:ind w:left="600"/>
              <w:jc w:val="left"/>
            </w:pPr>
            <w:r>
              <w:rPr>
                <w:rFonts w:ascii="Arial"/>
                <w:b/>
                <w:color w:val="000000"/>
                <w:sz w:val="24"/>
              </w:rPr>
              <w:t>Respondent</w:t>
            </w:r>
          </w:p>
        </w:tc>
        <w:tc>
          <w:tcPr>
            <w:tcW w:w="3148" w:type="dxa"/>
            <w:vAlign w:val="center"/>
          </w:tcPr>
          <w:p>
            <w:pPr>
              <w:pStyle w:val="CaselawNormal"/>
              <w:spacing w:before="150" w:after="150"/>
              <w:ind w:left="600"/>
              <w:jc w:val="left"/>
            </w:pPr>
            <w:r>
              <w:rPr>
                <w:rFonts w:ascii="Arial"/>
                <w:b/>
                <w:color w:val="000000"/>
                <w:sz w:val="24"/>
              </w:rPr>
              <w:t>Joint Expert Reports</w:t>
            </w:r>
          </w:p>
        </w:tc>
      </w:tr>
      <w:tr>
        <w:trPr/>
        <w:tc>
          <w:tcPr>
            <w:tcW w:w="3915" w:type="dxa"/>
            <w:vAlign w:val="center"/>
          </w:tcPr>
          <w:p>
            <w:pPr>
              <w:pStyle w:val="CaselawNormal"/>
              <w:spacing w:before="150" w:after="150"/>
              <w:ind w:left="600"/>
              <w:jc w:val="left"/>
            </w:pPr>
            <w:r>
              <w:rPr>
                <w:rFonts w:ascii="Arial"/>
                <w:color w:val="000000"/>
                <w:sz w:val="24"/>
              </w:rPr>
              <w:t>Contamination</w:t>
            </w:r>
          </w:p>
        </w:tc>
        <w:tc>
          <w:tcPr>
            <w:tcW w:w="3256" w:type="dxa"/>
            <w:vAlign w:val="center"/>
          </w:tcPr>
          <w:p>
            <w:pPr>
              <w:pStyle w:val="CaselawNormal"/>
              <w:spacing w:before="150" w:after="150"/>
              <w:ind w:left="600"/>
              <w:jc w:val="left"/>
            </w:pPr>
            <w:r>
              <w:rPr>
                <w:rFonts w:ascii="Arial"/>
                <w:color w:val="000000"/>
                <w:sz w:val="24"/>
              </w:rPr>
              <w:t>Paul Gorman</w:t>
            </w:r>
          </w:p>
        </w:tc>
        <w:tc>
          <w:tcPr>
            <w:tcW w:w="2703" w:type="dxa"/>
            <w:vAlign w:val="center"/>
          </w:tcPr>
          <w:p>
            <w:pPr>
              <w:pStyle w:val="CaselawNormal"/>
              <w:spacing w:before="150" w:after="150"/>
              <w:ind w:left="600"/>
              <w:jc w:val="left"/>
            </w:pPr>
            <w:r>
              <w:rPr>
                <w:rFonts w:ascii="Arial"/>
                <w:color w:val="000000"/>
                <w:sz w:val="24"/>
              </w:rPr>
              <w:t>Emmett Burns</w:t>
            </w:r>
          </w:p>
        </w:tc>
        <w:tc>
          <w:tcPr>
            <w:tcW w:w="3148" w:type="dxa"/>
            <w:vAlign w:val="center"/>
          </w:tcPr>
          <w:p>
            <w:pPr>
              <w:pStyle w:val="CaselawNormal"/>
              <w:spacing w:before="150" w:after="150"/>
              <w:ind w:left="600"/>
              <w:jc w:val="left"/>
            </w:pPr>
            <w:r>
              <w:rPr>
                <w:rFonts w:ascii="Arial"/>
                <w:color w:val="000000"/>
                <w:sz w:val="24"/>
              </w:rPr>
              <w:t xml:space="preserve">Ex </w:t>
            </w:r>
            <w:r>
              <w:rPr>
                <w:rFonts w:ascii="Arial"/>
                <w:color w:val="000000"/>
                <w:sz w:val="24"/>
              </w:rPr>
              <w:t>2</w:t>
            </w:r>
          </w:p>
        </w:tc>
      </w:tr>
      <w:tr>
        <w:trPr/>
        <w:tc>
          <w:tcPr>
            <w:tcW w:w="3915" w:type="dxa"/>
            <w:vAlign w:val="center"/>
          </w:tcPr>
          <w:p>
            <w:pPr>
              <w:pStyle w:val="CaselawNormal"/>
              <w:spacing w:before="150" w:after="150"/>
              <w:ind w:left="600"/>
              <w:jc w:val="left"/>
            </w:pPr>
            <w:r>
              <w:rPr>
                <w:rFonts w:ascii="Arial"/>
                <w:color w:val="000000"/>
                <w:sz w:val="24"/>
              </w:rPr>
              <w:t>Acoustic</w:t>
            </w:r>
          </w:p>
        </w:tc>
        <w:tc>
          <w:tcPr>
            <w:tcW w:w="3256" w:type="dxa"/>
            <w:vAlign w:val="center"/>
          </w:tcPr>
          <w:p>
            <w:pPr>
              <w:pStyle w:val="CaselawNormal"/>
              <w:spacing w:before="150" w:after="150"/>
              <w:ind w:left="600"/>
              <w:jc w:val="left"/>
            </w:pPr>
            <w:r>
              <w:rPr>
                <w:rFonts w:ascii="Arial"/>
                <w:color w:val="000000"/>
                <w:sz w:val="24"/>
              </w:rPr>
              <w:t>Tom Aubusson</w:t>
            </w:r>
          </w:p>
        </w:tc>
        <w:tc>
          <w:tcPr>
            <w:tcW w:w="2703" w:type="dxa"/>
            <w:vAlign w:val="center"/>
          </w:tcPr>
          <w:p>
            <w:pPr>
              <w:pStyle w:val="CaselawNormal"/>
              <w:spacing w:before="150" w:after="150"/>
              <w:ind w:left="600"/>
              <w:jc w:val="left"/>
            </w:pPr>
            <w:r>
              <w:rPr>
                <w:rFonts w:ascii="Arial"/>
                <w:color w:val="000000"/>
                <w:sz w:val="24"/>
              </w:rPr>
              <w:t>Emmett Burns</w:t>
            </w:r>
          </w:p>
        </w:tc>
        <w:tc>
          <w:tcPr>
            <w:tcW w:w="3148" w:type="dxa"/>
            <w:vAlign w:val="center"/>
          </w:tcPr>
          <w:p>
            <w:pPr>
              <w:pStyle w:val="CaselawNormal"/>
              <w:spacing w:before="150" w:after="150"/>
              <w:ind w:left="600"/>
              <w:jc w:val="left"/>
            </w:pPr>
            <w:r>
              <w:rPr>
                <w:rFonts w:ascii="Arial"/>
                <w:color w:val="000000"/>
                <w:sz w:val="24"/>
              </w:rPr>
              <w:t xml:space="preserve">Ex </w:t>
            </w:r>
            <w:r>
              <w:rPr>
                <w:rFonts w:ascii="Arial"/>
                <w:color w:val="000000"/>
                <w:sz w:val="24"/>
              </w:rPr>
              <w:t>3</w:t>
            </w:r>
          </w:p>
        </w:tc>
      </w:tr>
      <w:tr>
        <w:trPr/>
        <w:tc>
          <w:tcPr>
            <w:tcW w:w="3915" w:type="dxa"/>
            <w:vAlign w:val="center"/>
          </w:tcPr>
          <w:p>
            <w:pPr>
              <w:pStyle w:val="CaselawNormal"/>
              <w:spacing w:before="150" w:after="150"/>
              <w:ind w:left="600"/>
              <w:jc w:val="left"/>
            </w:pPr>
            <w:r>
              <w:rPr>
                <w:rFonts w:ascii="Arial"/>
                <w:color w:val="000000"/>
                <w:sz w:val="24"/>
              </w:rPr>
              <w:t>Waste</w:t>
            </w:r>
          </w:p>
        </w:tc>
        <w:tc>
          <w:tcPr>
            <w:tcW w:w="3256" w:type="dxa"/>
            <w:vAlign w:val="center"/>
          </w:tcPr>
          <w:p>
            <w:pPr>
              <w:pStyle w:val="CaselawNormal"/>
              <w:spacing w:before="150" w:after="150"/>
              <w:ind w:left="600"/>
              <w:jc w:val="left"/>
            </w:pPr>
            <w:r>
              <w:rPr>
                <w:rFonts w:ascii="Arial"/>
                <w:color w:val="000000"/>
                <w:sz w:val="24"/>
              </w:rPr>
              <w:t>James Cosgrove</w:t>
            </w:r>
          </w:p>
        </w:tc>
        <w:tc>
          <w:tcPr>
            <w:tcW w:w="2703" w:type="dxa"/>
            <w:vAlign w:val="center"/>
          </w:tcPr>
          <w:p>
            <w:pPr>
              <w:pStyle w:val="CaselawNormal"/>
              <w:spacing w:before="150" w:after="150"/>
              <w:ind w:left="600"/>
              <w:jc w:val="left"/>
            </w:pPr>
            <w:r>
              <w:rPr>
                <w:rFonts w:ascii="Arial"/>
                <w:color w:val="000000"/>
                <w:sz w:val="24"/>
              </w:rPr>
              <w:t>James Ellinson</w:t>
            </w:r>
          </w:p>
        </w:tc>
        <w:tc>
          <w:tcPr>
            <w:tcW w:w="3148" w:type="dxa"/>
            <w:vAlign w:val="center"/>
          </w:tcPr>
          <w:p>
            <w:pPr>
              <w:pStyle w:val="CaselawNormal"/>
              <w:spacing w:before="150" w:after="150"/>
              <w:ind w:left="600"/>
              <w:jc w:val="left"/>
            </w:pPr>
            <w:r>
              <w:rPr>
                <w:rFonts w:ascii="Arial"/>
                <w:color w:val="000000"/>
                <w:sz w:val="24"/>
              </w:rPr>
              <w:t xml:space="preserve">Ex </w:t>
            </w:r>
            <w:r>
              <w:rPr>
                <w:rFonts w:ascii="Arial"/>
                <w:color w:val="000000"/>
                <w:sz w:val="24"/>
              </w:rPr>
              <w:t>4</w:t>
            </w:r>
          </w:p>
        </w:tc>
      </w:tr>
      <w:tr>
        <w:trPr/>
        <w:tc>
          <w:tcPr>
            <w:tcW w:w="3915" w:type="dxa"/>
            <w:vAlign w:val="center"/>
          </w:tcPr>
          <w:p>
            <w:pPr>
              <w:pStyle w:val="CaselawNormal"/>
              <w:spacing w:before="150" w:after="150"/>
              <w:ind w:left="600"/>
              <w:jc w:val="left"/>
            </w:pPr>
            <w:r>
              <w:rPr>
                <w:rFonts w:ascii="Arial"/>
                <w:color w:val="000000"/>
                <w:sz w:val="24"/>
              </w:rPr>
              <w:t>Engineering</w:t>
            </w:r>
          </w:p>
        </w:tc>
        <w:tc>
          <w:tcPr>
            <w:tcW w:w="3256" w:type="dxa"/>
            <w:vAlign w:val="center"/>
          </w:tcPr>
          <w:p>
            <w:pPr>
              <w:pStyle w:val="CaselawNormal"/>
              <w:spacing w:before="150" w:after="150"/>
              <w:ind w:left="600"/>
              <w:jc w:val="left"/>
            </w:pPr>
            <w:r>
              <w:rPr>
                <w:rFonts w:ascii="Arial"/>
                <w:color w:val="000000"/>
                <w:sz w:val="24"/>
              </w:rPr>
              <w:t>Nick Wetzlar</w:t>
            </w:r>
          </w:p>
        </w:tc>
        <w:tc>
          <w:tcPr>
            <w:tcW w:w="2703" w:type="dxa"/>
            <w:vAlign w:val="center"/>
          </w:tcPr>
          <w:p>
            <w:pPr>
              <w:pStyle w:val="CaselawNormal"/>
              <w:spacing w:before="150" w:after="150"/>
              <w:ind w:left="600"/>
              <w:jc w:val="left"/>
            </w:pPr>
            <w:r>
              <w:rPr>
                <w:rFonts w:ascii="Arial"/>
                <w:color w:val="000000"/>
                <w:sz w:val="24"/>
              </w:rPr>
              <w:t>Daniel Hoang</w:t>
            </w:r>
          </w:p>
        </w:tc>
        <w:tc>
          <w:tcPr>
            <w:tcW w:w="3148" w:type="dxa"/>
            <w:vAlign w:val="center"/>
          </w:tcPr>
          <w:p>
            <w:pPr>
              <w:pStyle w:val="CaselawNormal"/>
              <w:spacing w:before="150" w:after="150"/>
              <w:ind w:left="600"/>
              <w:jc w:val="left"/>
            </w:pPr>
            <w:r>
              <w:rPr>
                <w:rFonts w:ascii="Arial"/>
                <w:color w:val="000000"/>
                <w:sz w:val="24"/>
              </w:rPr>
              <w:t xml:space="preserve">Ex </w:t>
            </w:r>
            <w:r>
              <w:rPr>
                <w:rFonts w:ascii="Arial"/>
                <w:color w:val="000000"/>
                <w:sz w:val="24"/>
              </w:rPr>
              <w:t>5</w:t>
            </w:r>
          </w:p>
        </w:tc>
      </w:tr>
      <w:tr>
        <w:trPr/>
        <w:tc>
          <w:tcPr>
            <w:tcW w:w="3915" w:type="dxa"/>
            <w:vAlign w:val="center"/>
          </w:tcPr>
          <w:p>
            <w:pPr>
              <w:pStyle w:val="CaselawNormal"/>
              <w:spacing w:before="150" w:after="150"/>
              <w:ind w:left="600"/>
              <w:jc w:val="left"/>
            </w:pPr>
            <w:r>
              <w:rPr>
                <w:rFonts w:ascii="Arial"/>
                <w:color w:val="000000"/>
                <w:sz w:val="24"/>
              </w:rPr>
              <w:t>Ecology</w:t>
            </w:r>
          </w:p>
        </w:tc>
        <w:tc>
          <w:tcPr>
            <w:tcW w:w="3256" w:type="dxa"/>
            <w:vAlign w:val="center"/>
          </w:tcPr>
          <w:p>
            <w:pPr>
              <w:pStyle w:val="CaselawNormal"/>
              <w:spacing w:before="150" w:after="150"/>
              <w:ind w:left="600"/>
              <w:jc w:val="left"/>
            </w:pPr>
            <w:r>
              <w:rPr>
                <w:rFonts w:ascii="Arial"/>
                <w:color w:val="000000"/>
                <w:sz w:val="24"/>
              </w:rPr>
              <w:t>Michael Sheather-Reid</w:t>
            </w:r>
          </w:p>
        </w:tc>
        <w:tc>
          <w:tcPr>
            <w:tcW w:w="2703" w:type="dxa"/>
            <w:vAlign w:val="center"/>
          </w:tcPr>
          <w:p>
            <w:pPr>
              <w:pStyle w:val="CaselawNormal"/>
              <w:spacing w:before="150" w:after="150"/>
              <w:ind w:left="600"/>
              <w:jc w:val="left"/>
            </w:pPr>
            <w:r>
              <w:rPr>
                <w:rFonts w:ascii="Arial"/>
                <w:color w:val="000000"/>
                <w:sz w:val="24"/>
              </w:rPr>
              <w:t>Cameron Crawford</w:t>
            </w:r>
          </w:p>
        </w:tc>
        <w:tc>
          <w:tcPr>
            <w:tcW w:w="3148" w:type="dxa"/>
            <w:vAlign w:val="center"/>
          </w:tcPr>
          <w:p>
            <w:pPr>
              <w:pStyle w:val="CaselawNormal"/>
              <w:spacing w:before="150" w:after="150"/>
              <w:ind w:left="600"/>
              <w:jc w:val="left"/>
            </w:pPr>
            <w:r>
              <w:rPr>
                <w:rFonts w:ascii="Arial"/>
                <w:color w:val="000000"/>
                <w:sz w:val="24"/>
              </w:rPr>
              <w:t xml:space="preserve">Ex </w:t>
            </w:r>
            <w:r>
              <w:rPr>
                <w:rFonts w:ascii="Arial"/>
                <w:color w:val="000000"/>
                <w:sz w:val="24"/>
              </w:rPr>
              <w:t>6</w:t>
            </w:r>
          </w:p>
          <w:p>
            <w:pPr>
              <w:pStyle w:val="CaselawNormal"/>
              <w:spacing w:before="150" w:after="150"/>
              <w:ind w:left="600"/>
              <w:jc w:val="left"/>
            </w:pPr>
            <w:r>
              <w:rPr>
                <w:rFonts w:ascii="Arial"/>
                <w:color w:val="000000"/>
                <w:sz w:val="24"/>
              </w:rPr>
              <w:t xml:space="preserve">Ex </w:t>
            </w:r>
            <w:r>
              <w:rPr>
                <w:rFonts w:ascii="Arial"/>
                <w:color w:val="000000"/>
                <w:sz w:val="24"/>
              </w:rPr>
              <w:t>18 (Suppl.)</w:t>
            </w:r>
          </w:p>
        </w:tc>
      </w:tr>
      <w:tr>
        <w:trPr/>
        <w:tc>
          <w:tcPr>
            <w:tcW w:w="3915" w:type="dxa"/>
            <w:vAlign w:val="center"/>
          </w:tcPr>
          <w:p>
            <w:pPr>
              <w:pStyle w:val="CaselawNormal"/>
              <w:spacing w:before="150" w:after="150"/>
              <w:ind w:left="600"/>
              <w:jc w:val="left"/>
            </w:pPr>
            <w:r>
              <w:rPr>
                <w:rFonts w:ascii="Arial"/>
                <w:color w:val="000000"/>
                <w:sz w:val="24"/>
              </w:rPr>
              <w:t>Landscaping</w:t>
            </w:r>
          </w:p>
        </w:tc>
        <w:tc>
          <w:tcPr>
            <w:tcW w:w="3256" w:type="dxa"/>
            <w:vAlign w:val="center"/>
          </w:tcPr>
          <w:p>
            <w:pPr>
              <w:pStyle w:val="CaselawNormal"/>
              <w:spacing w:before="150" w:after="150"/>
              <w:ind w:left="600"/>
              <w:jc w:val="left"/>
            </w:pPr>
            <w:r>
              <w:rPr>
                <w:rFonts w:ascii="Arial"/>
                <w:color w:val="000000"/>
                <w:sz w:val="24"/>
              </w:rPr>
              <w:t>Rod Iyer</w:t>
            </w:r>
          </w:p>
        </w:tc>
        <w:tc>
          <w:tcPr>
            <w:tcW w:w="2703" w:type="dxa"/>
            <w:vAlign w:val="center"/>
          </w:tcPr>
          <w:p>
            <w:pPr>
              <w:pStyle w:val="CaselawNormal"/>
              <w:spacing w:before="150" w:after="150"/>
              <w:ind w:left="600"/>
              <w:jc w:val="left"/>
            </w:pPr>
            <w:r>
              <w:rPr>
                <w:rFonts w:ascii="Arial"/>
                <w:color w:val="000000"/>
                <w:sz w:val="24"/>
              </w:rPr>
              <w:t>Cilla Mengee</w:t>
            </w:r>
          </w:p>
        </w:tc>
        <w:tc>
          <w:tcPr>
            <w:tcW w:w="3148" w:type="dxa"/>
            <w:vAlign w:val="center"/>
          </w:tcPr>
          <w:p>
            <w:pPr>
              <w:pStyle w:val="CaselawNormal"/>
              <w:spacing w:before="150" w:after="150"/>
              <w:ind w:left="600"/>
              <w:jc w:val="left"/>
            </w:pPr>
            <w:r>
              <w:rPr>
                <w:rFonts w:ascii="Arial"/>
                <w:color w:val="000000"/>
                <w:sz w:val="24"/>
              </w:rPr>
              <w:t xml:space="preserve">Ex </w:t>
            </w:r>
            <w:r>
              <w:rPr>
                <w:rFonts w:ascii="Arial"/>
                <w:color w:val="000000"/>
                <w:sz w:val="24"/>
              </w:rPr>
              <w:t>7</w:t>
            </w:r>
          </w:p>
        </w:tc>
      </w:tr>
      <w:tr>
        <w:trPr/>
        <w:tc>
          <w:tcPr>
            <w:tcW w:w="3915" w:type="dxa"/>
            <w:vAlign w:val="center"/>
          </w:tcPr>
          <w:p>
            <w:pPr>
              <w:pStyle w:val="CaselawNormal"/>
              <w:spacing w:before="150" w:after="150"/>
              <w:ind w:left="600"/>
              <w:jc w:val="left"/>
            </w:pPr>
            <w:r>
              <w:rPr>
                <w:rFonts w:ascii="Arial"/>
                <w:color w:val="000000"/>
                <w:sz w:val="24"/>
              </w:rPr>
              <w:t>Traffic</w:t>
            </w:r>
          </w:p>
        </w:tc>
        <w:tc>
          <w:tcPr>
            <w:tcW w:w="3256" w:type="dxa"/>
            <w:vAlign w:val="center"/>
          </w:tcPr>
          <w:p>
            <w:pPr>
              <w:pStyle w:val="CaselawNormal"/>
              <w:spacing w:before="150" w:after="150"/>
              <w:ind w:left="600"/>
              <w:jc w:val="left"/>
            </w:pPr>
            <w:r>
              <w:rPr>
                <w:rFonts w:ascii="Arial"/>
                <w:color w:val="000000"/>
                <w:sz w:val="24"/>
              </w:rPr>
              <w:t>Joshua Hollis</w:t>
            </w:r>
          </w:p>
        </w:tc>
        <w:tc>
          <w:tcPr>
            <w:tcW w:w="2703" w:type="dxa"/>
            <w:vAlign w:val="center"/>
          </w:tcPr>
          <w:p>
            <w:pPr>
              <w:pStyle w:val="CaselawNormal"/>
              <w:spacing w:before="150" w:after="150"/>
              <w:ind w:left="600"/>
              <w:jc w:val="left"/>
            </w:pPr>
            <w:r>
              <w:rPr>
                <w:rFonts w:ascii="Arial"/>
                <w:color w:val="000000"/>
                <w:sz w:val="24"/>
              </w:rPr>
              <w:t>Matthew McCarthy</w:t>
            </w:r>
          </w:p>
        </w:tc>
        <w:tc>
          <w:tcPr>
            <w:tcW w:w="3148" w:type="dxa"/>
            <w:vAlign w:val="center"/>
          </w:tcPr>
          <w:p>
            <w:pPr>
              <w:pStyle w:val="CaselawNormal"/>
              <w:spacing w:before="150" w:after="150"/>
              <w:ind w:left="600"/>
              <w:jc w:val="left"/>
            </w:pPr>
            <w:r>
              <w:rPr>
                <w:rFonts w:ascii="Arial"/>
                <w:color w:val="000000"/>
                <w:sz w:val="24"/>
              </w:rPr>
              <w:t xml:space="preserve">Ex 8 </w:t>
            </w:r>
          </w:p>
          <w:p>
            <w:pPr>
              <w:pStyle w:val="CaselawNormal"/>
              <w:spacing w:before="150" w:after="150"/>
              <w:ind w:left="600"/>
              <w:jc w:val="left"/>
            </w:pPr>
            <w:r>
              <w:rPr>
                <w:rFonts w:ascii="Arial"/>
                <w:color w:val="000000"/>
                <w:sz w:val="24"/>
              </w:rPr>
              <w:t xml:space="preserve">Ex </w:t>
            </w:r>
            <w:r>
              <w:rPr>
                <w:rFonts w:ascii="Arial"/>
                <w:color w:val="000000"/>
                <w:sz w:val="24"/>
              </w:rPr>
              <w:t>19 (Suppl.)</w:t>
            </w:r>
          </w:p>
        </w:tc>
      </w:tr>
      <w:tr>
        <w:trPr/>
        <w:tc>
          <w:tcPr>
            <w:tcW w:w="3915" w:type="dxa"/>
            <w:vAlign w:val="center"/>
          </w:tcPr>
          <w:p>
            <w:pPr>
              <w:pStyle w:val="CaselawNormal"/>
              <w:spacing w:before="150" w:after="150"/>
              <w:ind w:left="600"/>
              <w:jc w:val="left"/>
            </w:pPr>
            <w:r>
              <w:rPr>
                <w:rFonts w:ascii="Arial"/>
                <w:color w:val="000000"/>
                <w:sz w:val="24"/>
              </w:rPr>
              <w:t>Urban Design</w:t>
            </w:r>
          </w:p>
        </w:tc>
        <w:tc>
          <w:tcPr>
            <w:tcW w:w="3256" w:type="dxa"/>
            <w:vAlign w:val="center"/>
          </w:tcPr>
          <w:p>
            <w:pPr>
              <w:pStyle w:val="CaselawNormal"/>
              <w:spacing w:before="150" w:after="150"/>
              <w:ind w:left="600"/>
              <w:jc w:val="left"/>
            </w:pPr>
            <w:r>
              <w:rPr>
                <w:rFonts w:ascii="Arial"/>
                <w:color w:val="000000"/>
                <w:sz w:val="24"/>
              </w:rPr>
              <w:t>Shaun Carter</w:t>
            </w:r>
          </w:p>
        </w:tc>
        <w:tc>
          <w:tcPr>
            <w:tcW w:w="2703" w:type="dxa"/>
            <w:vAlign w:val="center"/>
          </w:tcPr>
          <w:p>
            <w:pPr>
              <w:pStyle w:val="CaselawNormal"/>
              <w:spacing w:before="150" w:after="150"/>
              <w:ind w:left="600"/>
              <w:jc w:val="left"/>
            </w:pPr>
            <w:r>
              <w:rPr>
                <w:rFonts w:ascii="Arial"/>
                <w:color w:val="000000"/>
                <w:sz w:val="24"/>
              </w:rPr>
              <w:t>Peter Smith</w:t>
            </w:r>
          </w:p>
        </w:tc>
        <w:tc>
          <w:tcPr>
            <w:tcW w:w="3148" w:type="dxa"/>
            <w:vAlign w:val="center"/>
          </w:tcPr>
          <w:p>
            <w:pPr>
              <w:pStyle w:val="CaselawNormal"/>
              <w:spacing w:before="150" w:after="150"/>
              <w:ind w:left="600"/>
              <w:jc w:val="left"/>
            </w:pPr>
            <w:r>
              <w:rPr>
                <w:rFonts w:ascii="Arial"/>
                <w:color w:val="000000"/>
                <w:sz w:val="24"/>
              </w:rPr>
              <w:t xml:space="preserve">Ex </w:t>
            </w:r>
            <w:r>
              <w:rPr>
                <w:rFonts w:ascii="Arial"/>
                <w:color w:val="000000"/>
                <w:sz w:val="24"/>
              </w:rPr>
              <w:t>9</w:t>
            </w:r>
          </w:p>
        </w:tc>
      </w:tr>
      <w:tr>
        <w:trPr/>
        <w:tc>
          <w:tcPr>
            <w:tcW w:w="3915" w:type="dxa"/>
            <w:vAlign w:val="center"/>
          </w:tcPr>
          <w:p>
            <w:pPr>
              <w:pStyle w:val="CaselawNormal"/>
              <w:spacing w:before="150" w:after="150"/>
              <w:ind w:left="600"/>
              <w:jc w:val="left"/>
            </w:pPr>
            <w:r>
              <w:rPr>
                <w:rFonts w:ascii="Arial"/>
                <w:color w:val="000000"/>
                <w:sz w:val="24"/>
              </w:rPr>
              <w:t>Planning</w:t>
            </w:r>
          </w:p>
        </w:tc>
        <w:tc>
          <w:tcPr>
            <w:tcW w:w="3256" w:type="dxa"/>
            <w:vAlign w:val="center"/>
          </w:tcPr>
          <w:p>
            <w:pPr>
              <w:pStyle w:val="CaselawNormal"/>
              <w:spacing w:before="150" w:after="150"/>
              <w:ind w:left="600"/>
              <w:jc w:val="left"/>
            </w:pPr>
            <w:r>
              <w:rPr>
                <w:rFonts w:ascii="Arial"/>
                <w:color w:val="000000"/>
                <w:sz w:val="24"/>
              </w:rPr>
              <w:t>David Ryan</w:t>
            </w:r>
          </w:p>
        </w:tc>
        <w:tc>
          <w:tcPr>
            <w:tcW w:w="2703" w:type="dxa"/>
            <w:vAlign w:val="center"/>
          </w:tcPr>
          <w:p>
            <w:pPr>
              <w:pStyle w:val="CaselawNormal"/>
              <w:spacing w:before="150" w:after="150"/>
              <w:ind w:left="600"/>
              <w:jc w:val="left"/>
            </w:pPr>
            <w:r>
              <w:rPr>
                <w:rFonts w:ascii="Arial"/>
                <w:color w:val="000000"/>
                <w:sz w:val="24"/>
              </w:rPr>
              <w:t>Kate Bartlett</w:t>
            </w:r>
          </w:p>
        </w:tc>
        <w:tc>
          <w:tcPr>
            <w:tcW w:w="3148" w:type="dxa"/>
            <w:vAlign w:val="center"/>
          </w:tcPr>
          <w:p>
            <w:pPr>
              <w:pStyle w:val="CaselawNormal"/>
              <w:spacing w:before="150" w:after="150"/>
              <w:ind w:left="600"/>
              <w:jc w:val="left"/>
            </w:pPr>
            <w:r>
              <w:rPr>
                <w:rFonts w:ascii="Arial"/>
                <w:color w:val="000000"/>
                <w:sz w:val="24"/>
              </w:rPr>
              <w:t xml:space="preserve">Ex </w:t>
            </w:r>
            <w:r>
              <w:rPr>
                <w:rFonts w:ascii="Arial"/>
                <w:color w:val="000000"/>
                <w:sz w:val="24"/>
              </w:rPr>
              <w:t>10</w:t>
            </w:r>
          </w:p>
        </w:tc>
      </w:tr>
      <w:tr>
        <w:trPr/>
        <w:tc>
          <w:tcPr>
            <w:tcW w:w="3915" w:type="dxa"/>
            <w:vAlign w:val="center"/>
          </w:tcPr>
          <w:p>
            <w:pPr>
              <w:pStyle w:val="CaselawNormal"/>
              <w:spacing w:before="150" w:after="150"/>
              <w:ind w:left="600"/>
              <w:jc w:val="left"/>
            </w:pPr>
            <w:r>
              <w:rPr>
                <w:rFonts w:ascii="Arial"/>
                <w:color w:val="000000"/>
                <w:sz w:val="24"/>
              </w:rPr>
              <w:t>Urban Design and Planning</w:t>
            </w:r>
          </w:p>
        </w:tc>
        <w:tc>
          <w:tcPr>
            <w:tcW w:w="3256" w:type="dxa"/>
            <w:vAlign w:val="center"/>
          </w:tcPr>
          <w:p>
            <w:pPr>
              <w:pStyle w:val="CaselawNormal"/>
              <w:spacing w:before="150" w:after="150"/>
              <w:ind w:left="600"/>
              <w:jc w:val="left"/>
            </w:pPr>
            <w:r>
              <w:rPr>
                <w:rFonts w:ascii="Arial"/>
                <w:color w:val="000000"/>
                <w:sz w:val="24"/>
              </w:rPr>
              <w:t>Shaun Carter</w:t>
            </w:r>
          </w:p>
          <w:p>
            <w:pPr>
              <w:pStyle w:val="CaselawNormal"/>
              <w:spacing w:before="150" w:after="150"/>
              <w:ind w:left="600"/>
              <w:jc w:val="left"/>
            </w:pPr>
            <w:r>
              <w:rPr>
                <w:rFonts w:ascii="Arial"/>
                <w:color w:val="000000"/>
                <w:sz w:val="24"/>
              </w:rPr>
              <w:t>David Ryan</w:t>
            </w:r>
          </w:p>
        </w:tc>
        <w:tc>
          <w:tcPr>
            <w:tcW w:w="2703" w:type="dxa"/>
            <w:vAlign w:val="center"/>
          </w:tcPr>
          <w:p>
            <w:pPr>
              <w:pStyle w:val="CaselawNormal"/>
              <w:spacing w:before="150" w:after="150"/>
              <w:ind w:left="600"/>
              <w:jc w:val="left"/>
            </w:pPr>
            <w:r>
              <w:rPr>
                <w:rFonts w:ascii="Arial"/>
                <w:color w:val="000000"/>
                <w:sz w:val="24"/>
              </w:rPr>
              <w:t>Peter Smith</w:t>
            </w:r>
          </w:p>
          <w:p>
            <w:pPr>
              <w:pStyle w:val="CaselawNormal"/>
              <w:spacing w:before="150" w:after="150"/>
              <w:ind w:left="600"/>
              <w:jc w:val="left"/>
            </w:pPr>
            <w:r>
              <w:rPr>
                <w:rFonts w:ascii="Arial"/>
                <w:color w:val="000000"/>
                <w:sz w:val="24"/>
              </w:rPr>
              <w:t>Kate Bartlett</w:t>
            </w:r>
          </w:p>
        </w:tc>
        <w:tc>
          <w:tcPr>
            <w:tcW w:w="3148" w:type="dxa"/>
            <w:vAlign w:val="center"/>
          </w:tcPr>
          <w:p>
            <w:pPr>
              <w:pStyle w:val="CaselawNormal"/>
              <w:spacing w:before="150" w:after="150"/>
              <w:ind w:left="600"/>
              <w:jc w:val="left"/>
            </w:pPr>
            <w:r>
              <w:rPr>
                <w:rFonts w:ascii="Arial"/>
                <w:color w:val="000000"/>
                <w:sz w:val="24"/>
              </w:rPr>
              <w:t xml:space="preserve">Ex </w:t>
            </w:r>
            <w:r>
              <w:rPr>
                <w:rFonts w:ascii="Arial"/>
                <w:color w:val="000000"/>
                <w:sz w:val="24"/>
              </w:rPr>
              <w:t>11</w:t>
            </w:r>
          </w:p>
          <w:p>
            <w:pPr>
              <w:pStyle w:val="CaselawNormal"/>
              <w:spacing w:before="150" w:after="150"/>
              <w:ind w:left="600"/>
              <w:jc w:val="left"/>
            </w:pPr>
            <w:r>
              <w:rPr>
                <w:rFonts w:ascii="Arial"/>
                <w:color w:val="000000"/>
                <w:sz w:val="24"/>
              </w:rPr>
              <w:t xml:space="preserve">Ex </w:t>
            </w:r>
            <w:r>
              <w:rPr>
                <w:rFonts w:ascii="Arial"/>
                <w:color w:val="000000"/>
                <w:sz w:val="24"/>
              </w:rPr>
              <w:t>20 (Suppl.)</w:t>
            </w:r>
          </w:p>
        </w:tc>
      </w:tr>
      <w:tr>
        <w:trPr/>
        <w:tc>
          <w:tcPr>
            <w:tcW w:w="3915" w:type="dxa"/>
            <w:vAlign w:val="center"/>
          </w:tcPr>
          <w:p>
            <w:pPr>
              <w:pStyle w:val="CaselawNormal"/>
              <w:spacing w:before="150" w:after="150"/>
              <w:ind w:left="600"/>
              <w:jc w:val="left"/>
            </w:pPr>
            <w:r>
              <w:rPr>
                <w:rFonts w:ascii="Arial"/>
                <w:color w:val="000000"/>
                <w:sz w:val="24"/>
              </w:rPr>
              <w:t>Economic and Planning</w:t>
            </w:r>
          </w:p>
        </w:tc>
        <w:tc>
          <w:tcPr>
            <w:tcW w:w="3256" w:type="dxa"/>
            <w:vAlign w:val="center"/>
          </w:tcPr>
          <w:p>
            <w:pPr>
              <w:pStyle w:val="CaselawNormal"/>
              <w:spacing w:before="150" w:after="150"/>
              <w:ind w:left="600"/>
              <w:jc w:val="left"/>
            </w:pPr>
            <w:r>
              <w:rPr>
                <w:rFonts w:ascii="Arial"/>
                <w:color w:val="000000"/>
                <w:sz w:val="24"/>
              </w:rPr>
              <w:t>Peter Leyshon</w:t>
            </w:r>
          </w:p>
          <w:p>
            <w:pPr>
              <w:pStyle w:val="CaselawNormal"/>
              <w:spacing w:before="150" w:after="150"/>
              <w:ind w:left="600"/>
              <w:jc w:val="left"/>
            </w:pPr>
            <w:r>
              <w:rPr>
                <w:rFonts w:ascii="Arial"/>
                <w:color w:val="000000"/>
                <w:sz w:val="24"/>
              </w:rPr>
              <w:t>David Ryan</w:t>
            </w:r>
          </w:p>
        </w:tc>
        <w:tc>
          <w:tcPr>
            <w:tcW w:w="2703" w:type="dxa"/>
            <w:vAlign w:val="center"/>
          </w:tcPr>
          <w:p>
            <w:pPr>
              <w:pStyle w:val="CaselawNormal"/>
              <w:spacing w:before="150" w:after="150"/>
              <w:ind w:left="600"/>
              <w:jc w:val="left"/>
            </w:pPr>
            <w:r>
              <w:rPr>
                <w:rFonts w:ascii="Arial"/>
                <w:color w:val="000000"/>
                <w:sz w:val="24"/>
              </w:rPr>
              <w:t>Brian Haratsis</w:t>
            </w:r>
          </w:p>
          <w:p>
            <w:pPr>
              <w:pStyle w:val="CaselawNormal"/>
              <w:spacing w:before="150" w:after="150"/>
              <w:ind w:left="600"/>
              <w:jc w:val="left"/>
            </w:pPr>
            <w:r>
              <w:rPr>
                <w:rFonts w:ascii="Arial"/>
                <w:color w:val="000000"/>
                <w:sz w:val="24"/>
              </w:rPr>
              <w:t>Kate Bartlett</w:t>
            </w:r>
          </w:p>
        </w:tc>
        <w:tc>
          <w:tcPr>
            <w:tcW w:w="3148" w:type="dxa"/>
            <w:vAlign w:val="center"/>
          </w:tcPr>
          <w:p>
            <w:pPr>
              <w:pStyle w:val="CaselawNormal"/>
              <w:spacing w:before="150" w:after="150"/>
              <w:ind w:left="600"/>
              <w:jc w:val="left"/>
            </w:pPr>
            <w:r>
              <w:rPr>
                <w:rFonts w:ascii="Arial"/>
                <w:color w:val="000000"/>
                <w:sz w:val="24"/>
              </w:rPr>
              <w:t xml:space="preserve">Ex </w:t>
            </w:r>
            <w:r>
              <w:rPr>
                <w:rFonts w:ascii="Arial"/>
                <w:color w:val="000000"/>
                <w:sz w:val="24"/>
              </w:rPr>
              <w:t>12</w:t>
            </w:r>
          </w:p>
        </w:tc>
      </w:tr>
    </w:tbl>
    <w:p>
      <w:pPr>
        <w:pStyle w:val="CaselawHeading2"/>
        <w:keepNext/>
        <w:spacing w:before="150" w:after="150" w:line="264"/>
        <w:ind w:left="0"/>
        <w:jc w:val="left"/>
      </w:pPr>
      <w:r>
        <w:rPr>
          <w:rFonts w:ascii="Arial"/>
        </w:rPr>
        <w:t>Contentions</w:t>
      </w:r>
      <w:r>
        <w:rPr>
          <w:rFonts w:ascii="Arial"/>
        </w:rPr>
        <w:t xml:space="preserve"> </w:t>
      </w:r>
    </w:p>
    <w:p>
      <w:pPr>
        <w:pStyle w:val="CaselawNumbered10"/>
        <w:numPr>
          <w:ilvl w:val="0"/>
          <w:numId w:val="42"/>
        </w:numPr>
        <w:spacing w:before="150" w:after="0"/>
        <w:ind w:left="600" w:hanging="600"/>
      </w:pPr>
      <w:r>
        <w:rPr>
          <w:rFonts w:ascii="Arial"/>
          <w:color w:val="000000"/>
          <w:sz w:val="24"/>
        </w:rPr>
        <w:t xml:space="preserve">In the </w:t>
      </w:r>
      <w:r>
        <w:rPr>
          <w:rFonts w:ascii="Arial"/>
          <w:color w:val="000000"/>
          <w:sz w:val="24"/>
        </w:rPr>
        <w:t>S</w:t>
      </w:r>
      <w:r>
        <w:rPr>
          <w:rFonts w:ascii="Arial"/>
          <w:color w:val="000000"/>
          <w:sz w:val="24"/>
        </w:rPr>
        <w:t>A</w:t>
      </w:r>
      <w:r>
        <w:rPr>
          <w:rFonts w:ascii="Arial"/>
          <w:color w:val="000000"/>
          <w:sz w:val="24"/>
        </w:rPr>
        <w:t>S</w:t>
      </w:r>
      <w:r>
        <w:rPr>
          <w:rFonts w:ascii="Arial"/>
          <w:color w:val="000000"/>
          <w:sz w:val="24"/>
        </w:rPr>
        <w:t>O</w:t>
      </w:r>
      <w:r>
        <w:rPr>
          <w:rFonts w:ascii="Arial"/>
          <w:color w:val="000000"/>
          <w:sz w:val="24"/>
        </w:rPr>
        <w:t>FC</w:t>
      </w:r>
      <w:r>
        <w:rPr>
          <w:rFonts w:ascii="Arial"/>
          <w:color w:val="000000"/>
          <w:sz w:val="24"/>
        </w:rPr>
        <w:t>,</w:t>
      </w:r>
      <w:r>
        <w:rPr>
          <w:rFonts w:ascii="Arial"/>
          <w:color w:val="000000"/>
          <w:sz w:val="24"/>
        </w:rPr>
        <w:t xml:space="preserve"> </w:t>
      </w:r>
      <w:r>
        <w:rPr>
          <w:rFonts w:ascii="Arial"/>
          <w:color w:val="000000"/>
          <w:sz w:val="24"/>
        </w:rPr>
        <w:t xml:space="preserve">the Council raises 19 contentions. Contentions 1-2 are jurisdictional, and the remainder are merit matters. </w:t>
      </w:r>
      <w:r>
        <w:rPr>
          <w:rFonts w:ascii="Arial"/>
          <w:color w:val="000000"/>
          <w:sz w:val="24"/>
        </w:rPr>
        <w:t>I will deal first with the jurisdictional issues.</w:t>
      </w:r>
    </w:p>
    <w:p>
      <w:pPr>
        <w:pStyle w:val="CaselawHeading2"/>
        <w:keepNext/>
        <w:spacing w:before="150" w:after="150" w:line="264"/>
        <w:ind w:left="0"/>
        <w:jc w:val="left"/>
      </w:pPr>
      <w:r>
        <w:rPr>
          <w:rFonts w:ascii="Arial"/>
        </w:rPr>
        <w:t>C</w:t>
      </w:r>
      <w:r>
        <w:rPr>
          <w:rFonts w:ascii="Arial"/>
        </w:rPr>
        <w:t xml:space="preserve">ontention 1 </w:t>
      </w:r>
      <w:r>
        <w:rPr>
          <w:rFonts w:ascii="Arial"/>
        </w:rPr>
        <w:t xml:space="preserve">– </w:t>
      </w:r>
      <w:r>
        <w:rPr>
          <w:rFonts w:ascii="Arial"/>
        </w:rPr>
        <w:t>T</w:t>
      </w:r>
      <w:r>
        <w:rPr>
          <w:rFonts w:ascii="Arial"/>
        </w:rPr>
        <w:t>he permissibility of the proposed road over 87 Norfolk Road</w:t>
      </w:r>
      <w:r>
        <w:rPr>
          <w:rFonts w:ascii="Arial"/>
        </w:rPr>
        <w:t xml:space="preserve"> </w:t>
      </w:r>
    </w:p>
    <w:p>
      <w:pPr>
        <w:pStyle w:val="CaselawHeading3"/>
        <w:keepNext/>
        <w:spacing w:before="150" w:after="150" w:line="264"/>
        <w:ind w:left="0"/>
        <w:jc w:val="left"/>
      </w:pPr>
      <w:r>
        <w:rPr>
          <w:rFonts w:ascii="Arial"/>
        </w:rPr>
        <w:t>Council</w:t>
      </w:r>
      <w:r>
        <w:rPr>
          <w:rFonts w:ascii="Arial"/>
        </w:rPr>
        <w:t>’</w:t>
      </w:r>
      <w:r>
        <w:rPr>
          <w:rFonts w:ascii="Arial"/>
        </w:rPr>
        <w:t>s position</w:t>
      </w:r>
      <w:r>
        <w:rPr>
          <w:rFonts w:ascii="Arial"/>
        </w:rPr>
        <w:t xml:space="preserve"> </w:t>
      </w:r>
    </w:p>
    <w:p>
      <w:pPr>
        <w:pStyle w:val="CaselawNumbered10"/>
        <w:numPr>
          <w:ilvl w:val="0"/>
          <w:numId w:val="43"/>
        </w:numPr>
        <w:spacing w:before="150" w:after="0"/>
        <w:ind w:left="600" w:hanging="600"/>
      </w:pPr>
      <w:r>
        <w:rPr>
          <w:rFonts w:ascii="Arial"/>
          <w:color w:val="000000"/>
          <w:sz w:val="24"/>
        </w:rPr>
        <w:t>The first jurisdictional issue is the permissibility of the proposed road over 87 Norfolk Road. In addressing this issue</w:t>
      </w:r>
      <w:r>
        <w:rPr>
          <w:rFonts w:ascii="Arial"/>
          <w:color w:val="000000"/>
          <w:sz w:val="24"/>
        </w:rPr>
        <w:t>, the</w:t>
      </w:r>
      <w:r>
        <w:rPr>
          <w:rFonts w:ascii="Arial"/>
          <w:color w:val="000000"/>
          <w:sz w:val="24"/>
        </w:rPr>
        <w:t xml:space="preserve"> </w:t>
      </w:r>
      <w:r>
        <w:rPr>
          <w:rFonts w:ascii="Arial"/>
          <w:color w:val="000000"/>
          <w:sz w:val="24"/>
        </w:rPr>
        <w:t xml:space="preserve">Council </w:t>
      </w:r>
      <w:r>
        <w:rPr>
          <w:rFonts w:ascii="Arial"/>
          <w:color w:val="000000"/>
          <w:sz w:val="24"/>
        </w:rPr>
        <w:t xml:space="preserve">invites me to consider </w:t>
      </w:r>
      <w:r>
        <w:rPr>
          <w:rFonts w:ascii="Arial"/>
          <w:color w:val="000000"/>
          <w:sz w:val="24"/>
        </w:rPr>
        <w:t>the relevant</w:t>
      </w:r>
      <w:r>
        <w:rPr>
          <w:rFonts w:ascii="Arial"/>
          <w:color w:val="000000"/>
          <w:sz w:val="24"/>
        </w:rPr>
        <w:t xml:space="preserve"> </w:t>
      </w:r>
      <w:r>
        <w:rPr>
          <w:rFonts w:ascii="Arial"/>
          <w:color w:val="000000"/>
          <w:sz w:val="24"/>
        </w:rPr>
        <w:t>zoning table</w:t>
      </w:r>
      <w:r>
        <w:rPr>
          <w:rFonts w:ascii="Arial"/>
          <w:color w:val="000000"/>
          <w:sz w:val="24"/>
        </w:rPr>
        <w:t>s</w:t>
      </w:r>
      <w:r>
        <w:rPr>
          <w:rFonts w:ascii="Arial"/>
          <w:color w:val="000000"/>
          <w:sz w:val="24"/>
        </w:rPr>
        <w:t xml:space="preserve"> </w:t>
      </w:r>
      <w:r>
        <w:rPr>
          <w:rFonts w:ascii="Arial"/>
          <w:color w:val="000000"/>
          <w:sz w:val="24"/>
        </w:rPr>
        <w:t xml:space="preserve">in the LEP and its Dictionary. </w:t>
      </w:r>
    </w:p>
    <w:p>
      <w:pPr>
        <w:pStyle w:val="CaselawNumbered10"/>
        <w:numPr>
          <w:ilvl w:val="0"/>
          <w:numId w:val="43"/>
        </w:numPr>
        <w:spacing w:before="150" w:after="0"/>
        <w:ind w:left="600" w:hanging="600"/>
      </w:pPr>
      <w:r>
        <w:rPr>
          <w:rFonts w:ascii="Arial"/>
          <w:color w:val="000000"/>
          <w:sz w:val="24"/>
        </w:rPr>
        <w:t xml:space="preserve">Relevantly, in </w:t>
      </w:r>
      <w:r>
        <w:rPr>
          <w:rFonts w:ascii="Arial"/>
          <w:color w:val="000000"/>
          <w:sz w:val="24"/>
        </w:rPr>
        <w:t>the R</w:t>
      </w:r>
      <w:r>
        <w:rPr>
          <w:rFonts w:ascii="Arial"/>
          <w:color w:val="000000"/>
          <w:sz w:val="24"/>
        </w:rPr>
        <w:t xml:space="preserve">2 zone </w:t>
      </w:r>
      <w:r>
        <w:rPr>
          <w:rFonts w:ascii="Arial"/>
          <w:color w:val="000000"/>
          <w:sz w:val="24"/>
        </w:rPr>
        <w:t>“</w:t>
      </w:r>
      <w:r>
        <w:rPr>
          <w:rFonts w:ascii="Arial"/>
          <w:color w:val="000000"/>
          <w:sz w:val="24"/>
        </w:rPr>
        <w:t>roads</w:t>
      </w:r>
      <w:r>
        <w:rPr>
          <w:rFonts w:ascii="Arial"/>
          <w:color w:val="000000"/>
          <w:sz w:val="24"/>
        </w:rPr>
        <w:t xml:space="preserve">” </w:t>
      </w:r>
      <w:r>
        <w:rPr>
          <w:rFonts w:ascii="Arial"/>
          <w:color w:val="000000"/>
          <w:sz w:val="24"/>
        </w:rPr>
        <w:t xml:space="preserve">are permitted with consent and </w:t>
      </w:r>
      <w:r>
        <w:rPr>
          <w:rFonts w:ascii="Arial"/>
          <w:color w:val="000000"/>
          <w:sz w:val="24"/>
        </w:rPr>
        <w:t>“</w:t>
      </w:r>
      <w:r>
        <w:rPr>
          <w:rFonts w:ascii="Arial"/>
          <w:color w:val="000000"/>
          <w:sz w:val="24"/>
        </w:rPr>
        <w:t>residential flat buildings</w:t>
      </w:r>
      <w:r>
        <w:rPr>
          <w:rFonts w:ascii="Arial"/>
          <w:color w:val="000000"/>
          <w:sz w:val="24"/>
        </w:rPr>
        <w:t>”</w:t>
      </w:r>
      <w:r>
        <w:rPr>
          <w:rFonts w:ascii="Arial"/>
          <w:color w:val="000000"/>
          <w:sz w:val="24"/>
        </w:rPr>
        <w:t xml:space="preserve"> </w:t>
      </w:r>
      <w:r>
        <w:rPr>
          <w:rFonts w:ascii="Arial"/>
          <w:color w:val="000000"/>
          <w:sz w:val="24"/>
        </w:rPr>
        <w:t xml:space="preserve">are an innominate prohibited use. </w:t>
      </w:r>
    </w:p>
    <w:p>
      <w:pPr>
        <w:pStyle w:val="CaselawNumbered10"/>
        <w:numPr>
          <w:ilvl w:val="0"/>
          <w:numId w:val="43"/>
        </w:numPr>
        <w:spacing w:before="150" w:after="0"/>
        <w:ind w:left="600" w:hanging="600"/>
      </w:pPr>
      <w:r>
        <w:rPr>
          <w:rFonts w:ascii="Arial"/>
          <w:color w:val="000000"/>
          <w:sz w:val="24"/>
        </w:rPr>
        <w:t xml:space="preserve">LEP 2015 defines the word </w:t>
      </w:r>
      <w:r>
        <w:rPr>
          <w:rFonts w:ascii="Arial"/>
          <w:color w:val="000000"/>
          <w:sz w:val="24"/>
        </w:rPr>
        <w:t>“</w:t>
      </w:r>
      <w:r>
        <w:rPr>
          <w:rFonts w:ascii="Arial"/>
          <w:color w:val="000000"/>
          <w:sz w:val="24"/>
        </w:rPr>
        <w:t>road</w:t>
      </w:r>
      <w:r>
        <w:rPr>
          <w:rFonts w:ascii="Arial"/>
          <w:color w:val="000000"/>
          <w:sz w:val="24"/>
        </w:rPr>
        <w:t xml:space="preserve">” </w:t>
      </w:r>
      <w:r>
        <w:rPr>
          <w:rFonts w:ascii="Arial"/>
          <w:color w:val="000000"/>
          <w:sz w:val="24"/>
        </w:rPr>
        <w:t xml:space="preserve">as meaning: </w:t>
      </w:r>
      <w:r>
        <w:rPr>
          <w:rFonts w:ascii="Arial"/>
          <w:color w:val="000000"/>
          <w:sz w:val="24"/>
        </w:rPr>
        <w:t>“</w:t>
      </w:r>
      <w:r>
        <w:rPr>
          <w:rFonts w:ascii="Arial"/>
          <w:color w:val="000000"/>
          <w:sz w:val="24"/>
        </w:rPr>
        <w:t>a public road</w:t>
      </w:r>
      <w:r>
        <w:rPr>
          <w:rFonts w:ascii="Arial"/>
          <w:color w:val="000000"/>
          <w:sz w:val="24"/>
        </w:rPr>
        <w:t>”</w:t>
      </w:r>
      <w:r>
        <w:rPr>
          <w:rFonts w:ascii="Arial"/>
          <w:color w:val="000000"/>
          <w:sz w:val="24"/>
        </w:rPr>
        <w:t xml:space="preserve"> </w:t>
      </w:r>
      <w:r>
        <w:rPr>
          <w:rFonts w:ascii="Arial"/>
          <w:color w:val="000000"/>
          <w:sz w:val="24"/>
        </w:rPr>
        <w:t xml:space="preserve">or </w:t>
      </w:r>
      <w:r>
        <w:rPr>
          <w:rFonts w:ascii="Arial"/>
          <w:color w:val="000000"/>
          <w:sz w:val="24"/>
        </w:rPr>
        <w:t>“</w:t>
      </w:r>
      <w:r>
        <w:rPr>
          <w:rFonts w:ascii="Arial"/>
          <w:color w:val="000000"/>
          <w:sz w:val="24"/>
        </w:rPr>
        <w:t>private road</w:t>
      </w:r>
      <w:r>
        <w:rPr>
          <w:rFonts w:ascii="Arial"/>
          <w:color w:val="000000"/>
          <w:sz w:val="24"/>
        </w:rPr>
        <w:t>”</w:t>
      </w:r>
      <w:r>
        <w:rPr>
          <w:rFonts w:ascii="Arial"/>
          <w:color w:val="000000"/>
          <w:sz w:val="24"/>
        </w:rPr>
        <w:t xml:space="preserve"> </w:t>
      </w:r>
      <w:r>
        <w:rPr>
          <w:rFonts w:ascii="Arial"/>
          <w:color w:val="000000"/>
          <w:sz w:val="24"/>
        </w:rPr>
        <w:t xml:space="preserve">within the meaning of the </w:t>
      </w:r>
      <w:r>
        <w:rPr>
          <w:rFonts w:ascii="Arial"/>
          <w:i/>
          <w:color w:val="000000"/>
          <w:sz w:val="24"/>
        </w:rPr>
        <w:t>Roads Act 1993</w:t>
      </w:r>
      <w:r>
        <w:rPr>
          <w:rFonts w:ascii="Arial"/>
          <w:color w:val="000000"/>
          <w:sz w:val="24"/>
        </w:rPr>
        <w:t xml:space="preserve"> </w:t>
      </w:r>
      <w:r>
        <w:rPr>
          <w:rFonts w:ascii="Arial"/>
          <w:color w:val="000000"/>
          <w:sz w:val="24"/>
        </w:rPr>
        <w:t xml:space="preserve">and includes </w:t>
      </w:r>
      <w:r>
        <w:rPr>
          <w:rFonts w:ascii="Arial"/>
          <w:color w:val="000000"/>
          <w:sz w:val="24"/>
        </w:rPr>
        <w:t>“</w:t>
      </w:r>
      <w:r>
        <w:rPr>
          <w:rFonts w:ascii="Arial"/>
          <w:color w:val="000000"/>
          <w:sz w:val="24"/>
        </w:rPr>
        <w:t>a classified road</w:t>
      </w:r>
      <w:r>
        <w:rPr>
          <w:rFonts w:ascii="Arial"/>
          <w:color w:val="000000"/>
          <w:sz w:val="24"/>
        </w:rPr>
        <w:t>”</w:t>
      </w:r>
      <w:r>
        <w:rPr>
          <w:rFonts w:ascii="Arial"/>
          <w:color w:val="000000"/>
          <w:sz w:val="24"/>
        </w:rPr>
        <w:t xml:space="preserve">. </w:t>
      </w:r>
    </w:p>
    <w:p>
      <w:pPr>
        <w:pStyle w:val="CaselawNumbered10"/>
        <w:numPr>
          <w:ilvl w:val="0"/>
          <w:numId w:val="43"/>
        </w:numPr>
        <w:spacing w:before="150" w:after="0"/>
        <w:ind w:left="600" w:hanging="600"/>
      </w:pPr>
      <w:r>
        <w:rPr>
          <w:rFonts w:ascii="Arial"/>
          <w:color w:val="000000"/>
          <w:sz w:val="24"/>
        </w:rPr>
        <w:t xml:space="preserve">The </w:t>
      </w:r>
      <w:r>
        <w:rPr>
          <w:rFonts w:ascii="Arial"/>
          <w:i/>
          <w:color w:val="000000"/>
          <w:sz w:val="24"/>
        </w:rPr>
        <w:t>Roads Act</w:t>
      </w:r>
      <w:r>
        <w:rPr>
          <w:rFonts w:ascii="Arial"/>
          <w:color w:val="000000"/>
          <w:sz w:val="24"/>
        </w:rPr>
        <w:t xml:space="preserve"> </w:t>
      </w:r>
      <w:r>
        <w:rPr>
          <w:rFonts w:ascii="Arial"/>
          <w:color w:val="000000"/>
          <w:sz w:val="24"/>
        </w:rPr>
        <w:t xml:space="preserve">defines </w:t>
      </w:r>
      <w:r>
        <w:rPr>
          <w:rFonts w:ascii="Arial"/>
          <w:color w:val="000000"/>
          <w:sz w:val="24"/>
        </w:rPr>
        <w:t>“</w:t>
      </w:r>
      <w:r>
        <w:rPr>
          <w:rFonts w:ascii="Arial"/>
          <w:color w:val="000000"/>
          <w:sz w:val="24"/>
        </w:rPr>
        <w:t>private road</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public road</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 xml:space="preserve">as follows: </w:t>
      </w:r>
    </w:p>
    <w:p>
      <w:pPr>
        <w:pStyle w:val="CaselawBullet"/>
        <w:numPr>
          <w:ilvl w:val="0"/>
          <w:numId w:val="44"/>
        </w:numPr>
        <w:spacing w:before="150" w:after="0"/>
        <w:ind w:left="600" w:hanging="250"/>
      </w:pPr>
      <w:r>
        <w:rPr>
          <w:rFonts w:ascii="Arial"/>
          <w:color w:val="000000"/>
          <w:sz w:val="24"/>
        </w:rPr>
        <w:t>“</w:t>
      </w:r>
      <w:r>
        <w:rPr>
          <w:rFonts w:ascii="Arial"/>
          <w:color w:val="000000"/>
          <w:sz w:val="24"/>
        </w:rPr>
        <w:t>private road</w:t>
      </w:r>
      <w:r>
        <w:rPr>
          <w:rFonts w:ascii="Arial"/>
          <w:color w:val="000000"/>
          <w:sz w:val="24"/>
        </w:rPr>
        <w:t>”</w:t>
      </w:r>
      <w:r>
        <w:rPr>
          <w:rFonts w:ascii="Arial"/>
          <w:color w:val="000000"/>
          <w:sz w:val="24"/>
        </w:rPr>
        <w:t xml:space="preserve"> </w:t>
      </w:r>
      <w:r>
        <w:rPr>
          <w:rFonts w:ascii="Arial"/>
          <w:color w:val="000000"/>
          <w:sz w:val="24"/>
        </w:rPr>
        <w:t xml:space="preserve">means any road that is not a public road; </w:t>
      </w:r>
    </w:p>
    <w:p>
      <w:pPr>
        <w:pStyle w:val="CaselawBullet"/>
        <w:numPr>
          <w:ilvl w:val="0"/>
          <w:numId w:val="44"/>
        </w:numPr>
        <w:spacing w:before="150" w:after="0"/>
        <w:ind w:left="600" w:hanging="250"/>
      </w:pPr>
      <w:r>
        <w:rPr>
          <w:rFonts w:ascii="Arial"/>
          <w:color w:val="000000"/>
          <w:sz w:val="24"/>
        </w:rPr>
        <w:t>“</w:t>
      </w:r>
      <w:r>
        <w:rPr>
          <w:rFonts w:ascii="Arial"/>
          <w:color w:val="000000"/>
          <w:sz w:val="24"/>
        </w:rPr>
        <w:t>public road</w:t>
      </w:r>
      <w:r>
        <w:rPr>
          <w:rFonts w:ascii="Arial"/>
          <w:color w:val="000000"/>
          <w:sz w:val="24"/>
        </w:rPr>
        <w:t>”</w:t>
      </w:r>
      <w:r>
        <w:rPr>
          <w:rFonts w:ascii="Arial"/>
          <w:color w:val="000000"/>
          <w:sz w:val="24"/>
        </w:rPr>
        <w:t xml:space="preserve"> </w:t>
      </w:r>
      <w:r>
        <w:rPr>
          <w:rFonts w:ascii="Arial"/>
          <w:color w:val="000000"/>
          <w:sz w:val="24"/>
        </w:rPr>
        <w:t>means</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(a) any road that is opened or dedicated as a public road, whether under this or any other Act or law, and</w:t>
      </w:r>
    </w:p>
    <w:p>
      <w:pPr>
        <w:pStyle w:val="CaselawQuote"/>
        <w:spacing w:before="150" w:after="150"/>
        <w:ind w:left="1350"/>
        <w:jc w:val="left"/>
      </w:pPr>
      <w:r>
        <w:rPr>
          <w:rFonts w:ascii="Arial"/>
          <w:color w:val="000000"/>
          <w:sz w:val="22"/>
        </w:rPr>
        <w:t>(b) any road that is declared to be a public road for the purposes of this Act.</w:t>
      </w:r>
    </w:p>
    <w:p>
      <w:pPr>
        <w:pStyle w:val="CaselawBullet"/>
        <w:numPr>
          <w:ilvl w:val="0"/>
          <w:numId w:val="45"/>
        </w:numPr>
        <w:spacing w:before="150" w:after="0"/>
        <w:ind w:left="600" w:hanging="250"/>
      </w:pPr>
      <w:r>
        <w:rPr>
          <w:rFonts w:ascii="Arial"/>
          <w:color w:val="000000"/>
          <w:sz w:val="24"/>
        </w:rPr>
        <w:t>“</w:t>
      </w:r>
      <w:r>
        <w:rPr>
          <w:rFonts w:ascii="Arial"/>
          <w:color w:val="000000"/>
          <w:sz w:val="24"/>
        </w:rPr>
        <w:t>road</w:t>
      </w:r>
      <w:r>
        <w:rPr>
          <w:rFonts w:ascii="Arial"/>
          <w:color w:val="000000"/>
          <w:sz w:val="24"/>
        </w:rPr>
        <w:t xml:space="preserve">” </w:t>
      </w:r>
      <w:r>
        <w:rPr>
          <w:rFonts w:ascii="Arial"/>
          <w:color w:val="000000"/>
          <w:sz w:val="24"/>
        </w:rPr>
        <w:t>includes:</w:t>
      </w:r>
    </w:p>
    <w:p>
      <w:pPr>
        <w:pStyle w:val="CaselawQuote0"/>
        <w:spacing w:before="150" w:after="150"/>
        <w:ind w:left="2100"/>
        <w:jc w:val="left"/>
      </w:pPr>
      <w:r>
        <w:rPr>
          <w:rFonts w:ascii="Arial"/>
          <w:color w:val="000000"/>
          <w:sz w:val="22"/>
        </w:rPr>
        <w:t>(a) the airspace above the surface of the road, and</w:t>
      </w:r>
    </w:p>
    <w:p>
      <w:pPr>
        <w:pStyle w:val="CaselawQuote0"/>
        <w:spacing w:before="150" w:after="150"/>
        <w:ind w:left="2100"/>
        <w:jc w:val="left"/>
      </w:pPr>
      <w:r>
        <w:rPr>
          <w:rFonts w:ascii="Arial"/>
          <w:color w:val="000000"/>
          <w:sz w:val="22"/>
        </w:rPr>
        <w:t>(b) the soil beneath the surface of the road, and</w:t>
      </w:r>
    </w:p>
    <w:p>
      <w:pPr>
        <w:pStyle w:val="CaselawQuote0"/>
        <w:spacing w:before="150" w:after="150"/>
        <w:ind w:left="2100"/>
        <w:jc w:val="left"/>
      </w:pPr>
      <w:r>
        <w:rPr>
          <w:rFonts w:ascii="Arial"/>
          <w:color w:val="000000"/>
          <w:sz w:val="22"/>
        </w:rPr>
        <w:t>(c) any bridge, tunnel, causeway, road-ferry, ford or other work or structure forming part of the road.</w:t>
      </w:r>
    </w:p>
    <w:p>
      <w:pPr>
        <w:pStyle w:val="CaselawNumbered10"/>
        <w:numPr>
          <w:ilvl w:val="0"/>
          <w:numId w:val="46"/>
        </w:numPr>
        <w:spacing w:before="150" w:after="0"/>
        <w:ind w:left="600" w:hanging="600"/>
      </w:pPr>
      <w:r>
        <w:rPr>
          <w:rFonts w:ascii="Arial"/>
          <w:color w:val="000000"/>
          <w:sz w:val="24"/>
        </w:rPr>
        <w:t xml:space="preserve">Having regard to the above </w:t>
      </w:r>
      <w:r>
        <w:rPr>
          <w:rFonts w:ascii="Arial"/>
          <w:color w:val="000000"/>
          <w:sz w:val="24"/>
        </w:rPr>
        <w:t>definitions</w:t>
      </w:r>
      <w:r>
        <w:rPr>
          <w:rFonts w:ascii="Arial"/>
          <w:color w:val="000000"/>
          <w:sz w:val="24"/>
        </w:rPr>
        <w:t>,</w:t>
      </w:r>
      <w:r>
        <w:rPr>
          <w:rFonts w:ascii="Arial"/>
          <w:color w:val="000000"/>
          <w:sz w:val="24"/>
        </w:rPr>
        <w:t xml:space="preserve"> </w:t>
      </w:r>
      <w:r>
        <w:rPr>
          <w:rFonts w:ascii="Arial"/>
          <w:color w:val="000000"/>
          <w:sz w:val="24"/>
        </w:rPr>
        <w:t xml:space="preserve">the Council submits that the proposed </w:t>
      </w:r>
      <w:r>
        <w:rPr>
          <w:rFonts w:ascii="Arial"/>
          <w:color w:val="000000"/>
          <w:sz w:val="24"/>
        </w:rPr>
        <w:t>development is</w:t>
      </w:r>
      <w:r>
        <w:rPr>
          <w:rFonts w:ascii="Arial"/>
          <w:color w:val="000000"/>
          <w:sz w:val="24"/>
        </w:rPr>
        <w:t xml:space="preserve"> </w:t>
      </w:r>
      <w:r>
        <w:rPr>
          <w:rFonts w:ascii="Arial"/>
          <w:color w:val="000000"/>
          <w:sz w:val="24"/>
        </w:rPr>
        <w:t xml:space="preserve">a </w:t>
      </w:r>
      <w:r>
        <w:rPr>
          <w:rFonts w:ascii="Arial"/>
          <w:color w:val="000000"/>
          <w:sz w:val="24"/>
        </w:rPr>
        <w:t>“</w:t>
      </w:r>
      <w:r>
        <w:rPr>
          <w:rFonts w:ascii="Arial"/>
          <w:color w:val="000000"/>
          <w:sz w:val="24"/>
        </w:rPr>
        <w:t>driveway</w:t>
      </w:r>
      <w:r>
        <w:rPr>
          <w:rFonts w:ascii="Arial"/>
          <w:color w:val="000000"/>
          <w:sz w:val="24"/>
        </w:rPr>
        <w:t>”</w:t>
      </w:r>
      <w:r>
        <w:rPr>
          <w:rFonts w:ascii="Arial"/>
          <w:color w:val="000000"/>
          <w:sz w:val="24"/>
        </w:rPr>
        <w:t xml:space="preserve">. It contends that the development </w:t>
      </w:r>
      <w:r>
        <w:rPr>
          <w:rFonts w:ascii="Arial"/>
          <w:color w:val="000000"/>
          <w:sz w:val="24"/>
        </w:rPr>
        <w:t xml:space="preserve">cannot be characterised as a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 xml:space="preserve">because it is for the purpose of a </w:t>
      </w:r>
      <w:r>
        <w:rPr>
          <w:rFonts w:ascii="Arial"/>
          <w:color w:val="000000"/>
          <w:sz w:val="24"/>
        </w:rPr>
        <w:t>“</w:t>
      </w:r>
      <w:r>
        <w:rPr>
          <w:rFonts w:ascii="Arial"/>
          <w:color w:val="000000"/>
          <w:sz w:val="24"/>
        </w:rPr>
        <w:t>residential flat building</w:t>
      </w:r>
      <w:r>
        <w:rPr>
          <w:rFonts w:ascii="Arial"/>
          <w:color w:val="000000"/>
          <w:sz w:val="24"/>
        </w:rPr>
        <w:t>”</w:t>
      </w:r>
      <w:r>
        <w:rPr>
          <w:rFonts w:ascii="Arial"/>
          <w:color w:val="000000"/>
          <w:sz w:val="24"/>
        </w:rPr>
        <w:t xml:space="preserve"> </w:t>
      </w:r>
      <w:r>
        <w:rPr>
          <w:rFonts w:ascii="Arial"/>
          <w:color w:val="000000"/>
          <w:sz w:val="24"/>
        </w:rPr>
        <w:t xml:space="preserve">which is an innominate prohibited use. Therefore, it cannot meet the definition of </w:t>
      </w:r>
      <w:r>
        <w:rPr>
          <w:rFonts w:ascii="Arial"/>
          <w:color w:val="000000"/>
          <w:sz w:val="24"/>
        </w:rPr>
        <w:t>“</w:t>
      </w:r>
      <w:r>
        <w:rPr>
          <w:rFonts w:ascii="Arial"/>
          <w:color w:val="000000"/>
          <w:sz w:val="24"/>
        </w:rPr>
        <w:t>private road</w:t>
      </w:r>
      <w:r>
        <w:rPr>
          <w:rFonts w:ascii="Arial"/>
          <w:color w:val="000000"/>
          <w:sz w:val="24"/>
        </w:rPr>
        <w:t>”</w:t>
      </w:r>
      <w:r>
        <w:rPr>
          <w:rFonts w:ascii="Arial"/>
          <w:color w:val="000000"/>
          <w:sz w:val="24"/>
        </w:rPr>
        <w:t>.</w:t>
      </w:r>
    </w:p>
    <w:p>
      <w:pPr>
        <w:pStyle w:val="CaselawNumbered10"/>
        <w:numPr>
          <w:ilvl w:val="0"/>
          <w:numId w:val="46"/>
        </w:numPr>
        <w:spacing w:before="150" w:after="0"/>
        <w:ind w:left="600" w:hanging="600"/>
      </w:pPr>
      <w:r>
        <w:rPr>
          <w:rFonts w:ascii="Arial"/>
          <w:color w:val="000000"/>
          <w:sz w:val="24"/>
        </w:rPr>
        <w:t>In support of its position</w:t>
      </w:r>
      <w:r>
        <w:rPr>
          <w:rFonts w:ascii="Arial"/>
          <w:color w:val="000000"/>
          <w:sz w:val="24"/>
        </w:rPr>
        <w:t>,</w:t>
      </w:r>
      <w:r>
        <w:rPr>
          <w:rFonts w:ascii="Arial"/>
          <w:color w:val="000000"/>
          <w:sz w:val="24"/>
        </w:rPr>
        <w:t xml:space="preserve"> </w:t>
      </w:r>
      <w:r>
        <w:rPr>
          <w:rFonts w:ascii="Arial"/>
          <w:color w:val="000000"/>
          <w:sz w:val="24"/>
        </w:rPr>
        <w:t xml:space="preserve">the Council </w:t>
      </w:r>
      <w:r>
        <w:rPr>
          <w:rFonts w:ascii="Arial"/>
          <w:color w:val="000000"/>
          <w:sz w:val="24"/>
        </w:rPr>
        <w:t xml:space="preserve">relies on </w:t>
      </w:r>
      <w:r>
        <w:rPr>
          <w:rFonts w:ascii="Arial"/>
          <w:color w:val="000000"/>
          <w:sz w:val="24"/>
        </w:rPr>
        <w:t xml:space="preserve">the often-cited </w:t>
      </w:r>
      <w:r>
        <w:rPr>
          <w:rFonts w:ascii="Arial"/>
          <w:color w:val="000000"/>
          <w:sz w:val="24"/>
        </w:rPr>
        <w:t xml:space="preserve">principles of characterisation in </w:t>
      </w:r>
      <w:r>
        <w:rPr>
          <w:rFonts w:ascii="Arial"/>
          <w:i/>
          <w:color w:val="000000"/>
          <w:sz w:val="24"/>
        </w:rPr>
        <w:t>Chamwell Pty Ltd v Strathfield Council</w:t>
      </w:r>
      <w:r>
        <w:rPr>
          <w:rFonts w:ascii="Arial"/>
          <w:color w:val="000000"/>
          <w:sz w:val="24"/>
        </w:rPr>
        <w:t xml:space="preserve"> </w:t>
      </w:r>
      <w:r>
        <w:rPr>
          <w:rFonts w:ascii="Arial"/>
          <w:color w:val="000000"/>
          <w:sz w:val="24"/>
        </w:rPr>
        <w:t>(2007) 151 LGERA 400; [2007] NSWLEC 114 (</w:t>
      </w:r>
      <w:r>
        <w:rPr>
          <w:rFonts w:ascii="Arial"/>
          <w:i/>
          <w:color w:val="000000"/>
          <w:sz w:val="24"/>
        </w:rPr>
        <w:t>Chamwell</w:t>
      </w:r>
      <w:r>
        <w:rPr>
          <w:rFonts w:ascii="Arial"/>
          <w:color w:val="000000"/>
          <w:sz w:val="24"/>
        </w:rPr>
        <w:t>) at [27]-[28], [34], [36]</w:t>
      </w:r>
      <w:r>
        <w:rPr>
          <w:rFonts w:ascii="Arial"/>
          <w:color w:val="000000"/>
          <w:sz w:val="24"/>
        </w:rPr>
        <w:t xml:space="preserve"> </w:t>
      </w:r>
      <w:r>
        <w:rPr>
          <w:rFonts w:ascii="Arial"/>
          <w:color w:val="000000"/>
          <w:sz w:val="24"/>
        </w:rPr>
        <w:t xml:space="preserve">and </w:t>
      </w:r>
      <w:r>
        <w:rPr>
          <w:rFonts w:ascii="Arial"/>
          <w:color w:val="000000"/>
          <w:sz w:val="24"/>
        </w:rPr>
        <w:t>[45]</w:t>
      </w:r>
      <w:r>
        <w:rPr>
          <w:rFonts w:ascii="Arial"/>
          <w:color w:val="000000"/>
          <w:sz w:val="24"/>
        </w:rPr>
        <w:t xml:space="preserve"> </w:t>
      </w:r>
      <w:r>
        <w:rPr>
          <w:rFonts w:ascii="Arial"/>
          <w:color w:val="000000"/>
          <w:sz w:val="24"/>
        </w:rPr>
        <w:t xml:space="preserve">which it summaries as follows: </w:t>
      </w:r>
      <w:r>
        <w:rPr>
          <w:rFonts w:ascii="Arial"/>
          <w:color w:val="000000"/>
          <w:sz w:val="24"/>
        </w:rPr>
        <w:t xml:space="preserve"> </w:t>
      </w:r>
    </w:p>
    <w:p>
      <w:pPr>
        <w:pStyle w:val="CaselawBullet"/>
        <w:numPr>
          <w:ilvl w:val="0"/>
          <w:numId w:val="47"/>
        </w:numPr>
        <w:spacing w:before="150" w:after="0"/>
        <w:ind w:left="600" w:hanging="250"/>
      </w:pPr>
      <w:r>
        <w:rPr>
          <w:rFonts w:ascii="Arial"/>
          <w:color w:val="000000"/>
          <w:sz w:val="24"/>
        </w:rPr>
        <w:t xml:space="preserve">In planning law, use must be for a purpose. The purpose is the end to which the land is seen to serve. It describes the character which is imparted to the land at which the use is pursued: </w:t>
      </w:r>
      <w:r>
        <w:rPr>
          <w:rFonts w:ascii="Arial"/>
          <w:i/>
          <w:color w:val="000000"/>
          <w:sz w:val="24"/>
        </w:rPr>
        <w:t>Chamwell</w:t>
      </w:r>
      <w:r>
        <w:rPr>
          <w:rFonts w:ascii="Arial"/>
          <w:color w:val="000000"/>
          <w:sz w:val="24"/>
        </w:rPr>
        <w:t xml:space="preserve"> </w:t>
      </w:r>
      <w:r>
        <w:rPr>
          <w:rFonts w:ascii="Arial"/>
          <w:color w:val="000000"/>
          <w:sz w:val="24"/>
        </w:rPr>
        <w:t>at [27].</w:t>
      </w:r>
    </w:p>
    <w:p>
      <w:pPr>
        <w:pStyle w:val="CaselawBullet"/>
        <w:numPr>
          <w:ilvl w:val="0"/>
          <w:numId w:val="47"/>
        </w:numPr>
        <w:spacing w:before="150" w:after="0"/>
        <w:ind w:left="600" w:hanging="250"/>
      </w:pPr>
      <w:r>
        <w:rPr>
          <w:rFonts w:ascii="Arial"/>
          <w:color w:val="000000"/>
          <w:sz w:val="24"/>
        </w:rPr>
        <w:t xml:space="preserve">In determining whether land is used for a particular purpose, an enquiry into how that purpose can be achieved is necessary. The use of land involves no more than the </w:t>
      </w:r>
      <w:r>
        <w:rPr>
          <w:rFonts w:ascii="Arial"/>
          <w:color w:val="000000"/>
          <w:sz w:val="24"/>
        </w:rPr>
        <w:t>“</w:t>
      </w:r>
      <w:r>
        <w:rPr>
          <w:rFonts w:ascii="Arial"/>
          <w:color w:val="000000"/>
          <w:sz w:val="24"/>
        </w:rPr>
        <w:t>physical acts by which the land is made to serve some purpose</w:t>
      </w:r>
      <w:r>
        <w:rPr>
          <w:rFonts w:ascii="Arial"/>
          <w:color w:val="000000"/>
          <w:sz w:val="24"/>
        </w:rPr>
        <w:t>”</w:t>
      </w:r>
      <w:r>
        <w:rPr>
          <w:rFonts w:ascii="Arial"/>
          <w:color w:val="000000"/>
          <w:sz w:val="24"/>
        </w:rPr>
        <w:t xml:space="preserve">: </w:t>
      </w:r>
      <w:r>
        <w:rPr>
          <w:rFonts w:ascii="Arial"/>
          <w:i/>
          <w:color w:val="000000"/>
          <w:sz w:val="24"/>
        </w:rPr>
        <w:t>Chamwell</w:t>
      </w:r>
      <w:r>
        <w:rPr>
          <w:rFonts w:ascii="Arial"/>
          <w:color w:val="000000"/>
          <w:sz w:val="24"/>
        </w:rPr>
        <w:t xml:space="preserve"> </w:t>
      </w:r>
      <w:r>
        <w:rPr>
          <w:rFonts w:ascii="Arial"/>
          <w:color w:val="000000"/>
          <w:sz w:val="24"/>
        </w:rPr>
        <w:t>at [28].</w:t>
      </w:r>
    </w:p>
    <w:p>
      <w:pPr>
        <w:pStyle w:val="CaselawNumbered10"/>
        <w:numPr>
          <w:ilvl w:val="0"/>
          <w:numId w:val="48"/>
        </w:numPr>
        <w:spacing w:before="150" w:after="0"/>
        <w:ind w:left="600" w:hanging="600"/>
      </w:pPr>
      <w:r>
        <w:rPr>
          <w:rFonts w:ascii="Arial"/>
          <w:color w:val="000000"/>
          <w:sz w:val="24"/>
        </w:rPr>
        <w:t xml:space="preserve">It also </w:t>
      </w:r>
      <w:r>
        <w:rPr>
          <w:rFonts w:ascii="Arial"/>
          <w:color w:val="000000"/>
          <w:sz w:val="24"/>
        </w:rPr>
        <w:t xml:space="preserve">relies on the reasoning in </w:t>
      </w:r>
      <w:r>
        <w:rPr>
          <w:rFonts w:ascii="Arial"/>
          <w:i/>
          <w:color w:val="000000"/>
          <w:sz w:val="24"/>
        </w:rPr>
        <w:t>Pet Carriers Botany Bay City Council v Pet Carriers International Pty Limited</w:t>
      </w:r>
      <w:r>
        <w:rPr>
          <w:rFonts w:ascii="Arial"/>
          <w:color w:val="000000"/>
          <w:sz w:val="24"/>
        </w:rPr>
        <w:t xml:space="preserve"> </w:t>
      </w:r>
      <w:r>
        <w:rPr>
          <w:rFonts w:ascii="Arial"/>
          <w:color w:val="000000"/>
          <w:sz w:val="24"/>
        </w:rPr>
        <w:t>[2013] NSWLEC 147 (</w:t>
      </w:r>
      <w:r>
        <w:rPr>
          <w:rFonts w:ascii="Arial"/>
          <w:i/>
          <w:color w:val="000000"/>
          <w:sz w:val="24"/>
        </w:rPr>
        <w:t>Pet Carriers</w:t>
      </w:r>
      <w:r>
        <w:rPr>
          <w:rFonts w:ascii="Arial"/>
          <w:color w:val="000000"/>
          <w:sz w:val="24"/>
        </w:rPr>
        <w:t xml:space="preserve">), </w:t>
      </w:r>
      <w:r>
        <w:rPr>
          <w:rFonts w:ascii="Arial"/>
          <w:color w:val="000000"/>
          <w:sz w:val="24"/>
        </w:rPr>
        <w:t xml:space="preserve">outlined by </w:t>
      </w:r>
      <w:r>
        <w:rPr>
          <w:rFonts w:ascii="Arial"/>
          <w:color w:val="000000"/>
          <w:sz w:val="24"/>
        </w:rPr>
        <w:t>Preston CJ, at [26], [28]</w:t>
      </w:r>
      <w:r>
        <w:rPr>
          <w:rFonts w:ascii="Arial"/>
          <w:color w:val="000000"/>
          <w:sz w:val="24"/>
        </w:rPr>
        <w:t>-[</w:t>
      </w:r>
      <w:r>
        <w:rPr>
          <w:rFonts w:ascii="Arial"/>
          <w:color w:val="000000"/>
          <w:sz w:val="24"/>
        </w:rPr>
        <w:t>30]</w:t>
      </w:r>
      <w:r>
        <w:rPr>
          <w:rFonts w:ascii="Arial"/>
          <w:color w:val="000000"/>
          <w:sz w:val="24"/>
        </w:rPr>
        <w:t>,</w:t>
      </w:r>
      <w:r>
        <w:rPr>
          <w:rFonts w:ascii="Arial"/>
          <w:color w:val="000000"/>
          <w:sz w:val="24"/>
        </w:rPr>
        <w:t xml:space="preserve"> </w:t>
      </w:r>
      <w:r>
        <w:rPr>
          <w:rFonts w:ascii="Arial"/>
          <w:color w:val="000000"/>
          <w:sz w:val="24"/>
        </w:rPr>
        <w:t xml:space="preserve">with </w:t>
      </w:r>
      <w:r>
        <w:rPr>
          <w:rFonts w:ascii="Arial"/>
          <w:color w:val="000000"/>
          <w:sz w:val="24"/>
        </w:rPr>
        <w:t>particular emphasis on the observation that</w:t>
      </w:r>
      <w:r>
        <w:rPr>
          <w:rFonts w:ascii="Arial"/>
          <w:color w:val="000000"/>
          <w:sz w:val="24"/>
        </w:rPr>
        <w:t xml:space="preserve">: </w:t>
      </w:r>
    </w:p>
    <w:p>
      <w:pPr>
        <w:pStyle w:val="CaselawQuote"/>
        <w:spacing w:before="150" w:after="150"/>
        <w:ind w:left="1350"/>
        <w:jc w:val="left"/>
      </w:pPr>
      <w:r>
        <w:rPr>
          <w:rFonts w:ascii="Arial"/>
          <w:color w:val="000000"/>
          <w:sz w:val="22"/>
        </w:rPr>
        <w:t>“The inquiry is whether the development can be characterised as being for a purpose that the EPI identifies as being permissible with consent and not for a purpose that the EPI identifies as being permissible without consent or as being prohibited.</w:t>
      </w:r>
      <w:r>
        <w:rPr>
          <w:rFonts w:ascii="Arial"/>
          <w:i/>
          <w:color w:val="000000"/>
          <w:sz w:val="22"/>
        </w:rPr>
        <w:t xml:space="preserve"> </w:t>
      </w:r>
      <w:r>
        <w:rPr>
          <w:rFonts w:ascii="Arial"/>
          <w:color w:val="000000"/>
          <w:sz w:val="22"/>
        </w:rPr>
        <w:t>The focus of the inquiry is whether the development is within a nominate or innominate purpose</w:t>
      </w:r>
      <w:r>
        <w:rPr>
          <w:rFonts w:ascii="Arial"/>
          <w:i/>
          <w:color w:val="000000"/>
          <w:sz w:val="22"/>
        </w:rPr>
        <w:t xml:space="preserve">. </w:t>
      </w:r>
      <w:r>
        <w:rPr>
          <w:rFonts w:ascii="Arial"/>
          <w:color w:val="000000"/>
          <w:sz w:val="22"/>
        </w:rPr>
        <w:t>[32]”</w:t>
      </w:r>
      <w:r>
        <w:rPr>
          <w:rFonts w:ascii="Arial"/>
          <w:color w:val="000000"/>
          <w:sz w:val="22"/>
        </w:rPr>
        <w:t xml:space="preserve"> (CFWS par 39).</w:t>
      </w:r>
    </w:p>
    <w:p>
      <w:pPr>
        <w:pStyle w:val="CaselawNumbered10"/>
        <w:numPr>
          <w:ilvl w:val="0"/>
          <w:numId w:val="49"/>
        </w:numPr>
        <w:spacing w:before="150" w:after="0"/>
        <w:ind w:left="600" w:hanging="600"/>
      </w:pPr>
      <w:r>
        <w:rPr>
          <w:rFonts w:ascii="Arial"/>
          <w:color w:val="000000"/>
          <w:sz w:val="24"/>
        </w:rPr>
        <w:t xml:space="preserve">Next, the </w:t>
      </w:r>
      <w:r>
        <w:rPr>
          <w:rFonts w:ascii="Arial"/>
          <w:color w:val="000000"/>
          <w:sz w:val="24"/>
        </w:rPr>
        <w:t xml:space="preserve">Council analyses </w:t>
      </w:r>
      <w:r>
        <w:rPr>
          <w:rFonts w:ascii="Arial"/>
          <w:color w:val="000000"/>
          <w:sz w:val="24"/>
        </w:rPr>
        <w:t>specific</w:t>
      </w:r>
      <w:r>
        <w:rPr>
          <w:rFonts w:ascii="Arial"/>
          <w:color w:val="000000"/>
          <w:sz w:val="24"/>
        </w:rPr>
        <w:t xml:space="preserve"> </w:t>
      </w:r>
      <w:r>
        <w:rPr>
          <w:rFonts w:ascii="Arial"/>
          <w:color w:val="000000"/>
          <w:sz w:val="24"/>
        </w:rPr>
        <w:t xml:space="preserve">cases </w:t>
      </w:r>
      <w:r>
        <w:rPr>
          <w:rFonts w:ascii="Arial"/>
          <w:color w:val="000000"/>
          <w:sz w:val="24"/>
        </w:rPr>
        <w:t>dealing with the characterisation of a road or access driveway</w:t>
      </w:r>
      <w:r>
        <w:rPr>
          <w:rFonts w:ascii="Arial"/>
          <w:color w:val="000000"/>
          <w:sz w:val="24"/>
        </w:rPr>
        <w:t>, s</w:t>
      </w:r>
      <w:r>
        <w:rPr>
          <w:rFonts w:ascii="Arial"/>
          <w:color w:val="000000"/>
          <w:sz w:val="24"/>
        </w:rPr>
        <w:t xml:space="preserve">tarting </w:t>
      </w:r>
      <w:r>
        <w:rPr>
          <w:rFonts w:ascii="Arial"/>
          <w:color w:val="000000"/>
          <w:sz w:val="24"/>
        </w:rPr>
        <w:t>with the outl</w:t>
      </w:r>
      <w:r>
        <w:rPr>
          <w:rFonts w:ascii="Arial"/>
          <w:color w:val="000000"/>
          <w:sz w:val="24"/>
        </w:rPr>
        <w:t>ier</w:t>
      </w:r>
      <w:r>
        <w:rPr>
          <w:rFonts w:ascii="Arial"/>
          <w:color w:val="000000"/>
          <w:sz w:val="24"/>
        </w:rPr>
        <w:t xml:space="preserve"> </w:t>
      </w:r>
      <w:r>
        <w:rPr>
          <w:rFonts w:ascii="Arial"/>
          <w:i/>
          <w:color w:val="000000"/>
          <w:sz w:val="24"/>
        </w:rPr>
        <w:t>Argyropoulos v Canterbury Municipal Council</w:t>
      </w:r>
      <w:r>
        <w:rPr>
          <w:rFonts w:ascii="Arial"/>
          <w:color w:val="000000"/>
          <w:sz w:val="24"/>
        </w:rPr>
        <w:t xml:space="preserve"> </w:t>
      </w:r>
      <w:r>
        <w:rPr>
          <w:rFonts w:ascii="Arial"/>
          <w:color w:val="000000"/>
          <w:sz w:val="24"/>
        </w:rPr>
        <w:t>(1988) 66 LGRA 202 (</w:t>
      </w:r>
      <w:r>
        <w:rPr>
          <w:rFonts w:ascii="Arial"/>
          <w:i/>
          <w:color w:val="000000"/>
          <w:sz w:val="24"/>
        </w:rPr>
        <w:t>Argyropoulos</w:t>
      </w:r>
      <w:r>
        <w:rPr>
          <w:rFonts w:ascii="Arial"/>
          <w:color w:val="000000"/>
          <w:sz w:val="24"/>
        </w:rPr>
        <w:t>)</w:t>
      </w:r>
      <w:r>
        <w:rPr>
          <w:rFonts w:ascii="Arial"/>
          <w:color w:val="000000"/>
          <w:sz w:val="24"/>
        </w:rPr>
        <w:t>. It then</w:t>
      </w:r>
      <w:r>
        <w:rPr>
          <w:rFonts w:ascii="Arial"/>
          <w:color w:val="000000"/>
          <w:sz w:val="24"/>
        </w:rPr>
        <w:t xml:space="preserve"> </w:t>
      </w:r>
      <w:r>
        <w:rPr>
          <w:rFonts w:ascii="Arial"/>
          <w:color w:val="000000"/>
          <w:sz w:val="24"/>
        </w:rPr>
        <w:t xml:space="preserve">invites me to distinguish </w:t>
      </w:r>
      <w:r>
        <w:rPr>
          <w:rFonts w:ascii="Arial"/>
          <w:i/>
          <w:color w:val="000000"/>
          <w:sz w:val="24"/>
        </w:rPr>
        <w:t>Argyropoulos</w:t>
      </w:r>
      <w:r>
        <w:rPr>
          <w:rFonts w:ascii="Arial"/>
          <w:color w:val="000000"/>
          <w:sz w:val="24"/>
        </w:rPr>
        <w:t xml:space="preserve"> </w:t>
      </w:r>
      <w:r>
        <w:rPr>
          <w:rFonts w:ascii="Arial"/>
          <w:color w:val="000000"/>
          <w:sz w:val="24"/>
        </w:rPr>
        <w:t xml:space="preserve">on </w:t>
      </w:r>
      <w:r>
        <w:rPr>
          <w:rFonts w:ascii="Arial"/>
          <w:color w:val="000000"/>
          <w:sz w:val="24"/>
        </w:rPr>
        <w:t>the</w:t>
      </w:r>
      <w:r>
        <w:rPr>
          <w:rFonts w:ascii="Arial"/>
          <w:color w:val="000000"/>
          <w:sz w:val="24"/>
        </w:rPr>
        <w:t xml:space="preserve"> </w:t>
      </w:r>
      <w:r>
        <w:rPr>
          <w:rFonts w:ascii="Arial"/>
          <w:color w:val="000000"/>
          <w:sz w:val="24"/>
        </w:rPr>
        <w:t xml:space="preserve">facts </w:t>
      </w:r>
      <w:r>
        <w:rPr>
          <w:rFonts w:ascii="Arial"/>
          <w:color w:val="000000"/>
          <w:sz w:val="24"/>
        </w:rPr>
        <w:t>for the following reasons</w:t>
      </w:r>
      <w:r>
        <w:rPr>
          <w:rFonts w:ascii="Arial"/>
          <w:color w:val="000000"/>
          <w:sz w:val="24"/>
        </w:rPr>
        <w:t>.</w:t>
      </w:r>
      <w:r>
        <w:rPr>
          <w:rFonts w:ascii="Arial"/>
          <w:color w:val="000000"/>
          <w:sz w:val="24"/>
        </w:rPr>
        <w:t xml:space="preserve"> </w:t>
      </w:r>
    </w:p>
    <w:p>
      <w:pPr>
        <w:pStyle w:val="CaselawNumbered10"/>
        <w:numPr>
          <w:ilvl w:val="0"/>
          <w:numId w:val="49"/>
        </w:numPr>
        <w:spacing w:before="150" w:after="0"/>
        <w:ind w:left="600" w:hanging="600"/>
      </w:pPr>
      <w:r>
        <w:rPr>
          <w:rFonts w:ascii="Arial"/>
          <w:color w:val="000000"/>
          <w:sz w:val="24"/>
        </w:rPr>
        <w:t xml:space="preserve">Firstly, </w:t>
      </w:r>
      <w:r>
        <w:rPr>
          <w:rFonts w:ascii="Arial"/>
          <w:color w:val="000000"/>
          <w:sz w:val="24"/>
        </w:rPr>
        <w:t xml:space="preserve">in </w:t>
      </w:r>
      <w:r>
        <w:rPr>
          <w:rFonts w:ascii="Arial"/>
          <w:i/>
          <w:color w:val="000000"/>
          <w:sz w:val="24"/>
        </w:rPr>
        <w:t>Argyropoulos</w:t>
      </w:r>
      <w:r>
        <w:rPr>
          <w:rFonts w:ascii="Arial"/>
          <w:color w:val="000000"/>
          <w:sz w:val="24"/>
        </w:rPr>
        <w:t xml:space="preserve">, </w:t>
      </w:r>
      <w:r>
        <w:rPr>
          <w:rFonts w:ascii="Arial"/>
          <w:color w:val="000000"/>
          <w:sz w:val="24"/>
        </w:rPr>
        <w:t>th</w:t>
      </w:r>
      <w:r>
        <w:rPr>
          <w:rFonts w:ascii="Arial"/>
          <w:color w:val="000000"/>
          <w:sz w:val="24"/>
        </w:rPr>
        <w:t xml:space="preserve">e access handle was constructed and used as a road within the ordinary meaning of that word citing </w:t>
      </w:r>
      <w:r>
        <w:rPr>
          <w:rFonts w:ascii="Arial"/>
          <w:i/>
          <w:color w:val="000000"/>
          <w:sz w:val="24"/>
        </w:rPr>
        <w:t>C</w:t>
      </w:r>
      <w:r>
        <w:rPr>
          <w:rFonts w:ascii="Arial"/>
          <w:i/>
          <w:color w:val="000000"/>
          <w:sz w:val="24"/>
        </w:rPr>
        <w:t>hamwell</w:t>
      </w:r>
      <w:r>
        <w:rPr>
          <w:rFonts w:ascii="Arial"/>
          <w:color w:val="000000"/>
          <w:sz w:val="24"/>
        </w:rPr>
        <w:t xml:space="preserve"> </w:t>
      </w:r>
      <w:r>
        <w:rPr>
          <w:rFonts w:ascii="Arial"/>
          <w:color w:val="000000"/>
          <w:sz w:val="24"/>
        </w:rPr>
        <w:t>at [47],</w:t>
      </w:r>
      <w:r>
        <w:rPr>
          <w:rFonts w:ascii="Arial"/>
          <w:color w:val="000000"/>
          <w:sz w:val="24"/>
        </w:rPr>
        <w:t xml:space="preserve"> </w:t>
      </w:r>
      <w:r>
        <w:rPr>
          <w:rFonts w:ascii="Arial"/>
          <w:color w:val="000000"/>
          <w:sz w:val="24"/>
        </w:rPr>
        <w:t>[49]</w:t>
      </w:r>
      <w:r>
        <w:rPr>
          <w:rFonts w:ascii="Arial"/>
          <w:color w:val="000000"/>
          <w:sz w:val="24"/>
        </w:rPr>
        <w:t xml:space="preserve"> </w:t>
      </w:r>
      <w:r>
        <w:rPr>
          <w:rFonts w:ascii="Arial"/>
          <w:color w:val="000000"/>
          <w:sz w:val="24"/>
        </w:rPr>
        <w:t>and [89]</w:t>
      </w:r>
      <w:r>
        <w:rPr>
          <w:rFonts w:ascii="Arial"/>
          <w:color w:val="000000"/>
          <w:sz w:val="24"/>
        </w:rPr>
        <w:t xml:space="preserve">. Whereas, in this case, the Council contends that </w:t>
      </w:r>
      <w:r>
        <w:rPr>
          <w:rFonts w:ascii="Arial"/>
          <w:color w:val="000000"/>
          <w:sz w:val="24"/>
        </w:rPr>
        <w:t xml:space="preserve">the </w:t>
      </w:r>
      <w:r>
        <w:rPr>
          <w:rFonts w:ascii="Arial"/>
          <w:color w:val="000000"/>
          <w:sz w:val="24"/>
        </w:rPr>
        <w:t>proposed access driveway along 87 Norfolk Road is not a road and has not been constructed as a road within the ordinary meaning of that word.</w:t>
      </w:r>
    </w:p>
    <w:p>
      <w:pPr>
        <w:pStyle w:val="CaselawNumbered10"/>
        <w:numPr>
          <w:ilvl w:val="0"/>
          <w:numId w:val="49"/>
        </w:numPr>
        <w:spacing w:before="150" w:after="0"/>
        <w:ind w:left="600" w:hanging="600"/>
      </w:pPr>
      <w:r>
        <w:rPr>
          <w:rFonts w:ascii="Arial"/>
          <w:color w:val="000000"/>
          <w:sz w:val="24"/>
        </w:rPr>
        <w:t>Secondly, the</w:t>
      </w:r>
      <w:r>
        <w:rPr>
          <w:rFonts w:ascii="Arial"/>
          <w:color w:val="000000"/>
          <w:sz w:val="24"/>
        </w:rPr>
        <w:t xml:space="preserve"> </w:t>
      </w:r>
      <w:r>
        <w:rPr>
          <w:rFonts w:ascii="Arial"/>
          <w:color w:val="000000"/>
          <w:sz w:val="24"/>
        </w:rPr>
        <w:t>Council identifies that</w:t>
      </w:r>
      <w:r>
        <w:rPr>
          <w:rFonts w:ascii="Arial"/>
          <w:color w:val="000000"/>
          <w:sz w:val="24"/>
        </w:rPr>
        <w:t xml:space="preserve"> </w:t>
      </w:r>
      <w:r>
        <w:rPr>
          <w:rFonts w:ascii="Arial"/>
          <w:color w:val="000000"/>
          <w:sz w:val="24"/>
        </w:rPr>
        <w:t xml:space="preserve">in </w:t>
      </w:r>
      <w:r>
        <w:rPr>
          <w:rFonts w:ascii="Arial"/>
          <w:i/>
          <w:color w:val="000000"/>
          <w:sz w:val="24"/>
        </w:rPr>
        <w:t>Argyropoulos</w:t>
      </w:r>
      <w:r>
        <w:rPr>
          <w:rFonts w:ascii="Arial"/>
          <w:color w:val="000000"/>
          <w:sz w:val="24"/>
        </w:rPr>
        <w:t xml:space="preserve">, the only means of access to the light industrial zoned land </w:t>
      </w:r>
      <w:r>
        <w:rPr>
          <w:rFonts w:ascii="Arial"/>
          <w:color w:val="000000"/>
          <w:sz w:val="24"/>
        </w:rPr>
        <w:t xml:space="preserve">was via the proposed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as is evident from the extracted plan below.</w:t>
      </w:r>
    </w:p>
    <w:p>
      <w:pPr>
        <w:pStyle w:val="CaselawNormal"/>
        <w:spacing w:before="150" w:after="150"/>
        <w:ind w:left="600"/>
        <w:jc w:val="left"/>
      </w:pPr>
      <w:r>
        <w:drawing>
          <wp:inline distT="0" distB="0" distL="0" distR="0">
            <wp:extent cx="4052286" cy="3365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19"/>
                    <a:stretch>
                      <a:fillRect/>
                    </a:stretch>
                  </pic:blipFill>
                  <pic:spPr>
                    <a:xfrm>
                      <a:off x="0" y="0"/>
                      <a:ext cx="4052286" cy="3365500"/>
                    </a:xfrm>
                    <a:prstGeom prst="rect">
                      <a:avLst/>
                    </a:prstGeom>
                  </pic:spPr>
                </pic:pic>
              </a:graphicData>
            </a:graphic>
          </wp:inline>
        </w:drawing>
      </w:r>
    </w:p>
    <w:p>
      <w:pPr>
        <w:pStyle w:val="CaselawNumbered10"/>
        <w:numPr>
          <w:ilvl w:val="0"/>
          <w:numId w:val="50"/>
        </w:numPr>
        <w:spacing w:before="150" w:after="0"/>
        <w:ind w:left="600" w:hanging="600"/>
      </w:pPr>
      <w:r>
        <w:rPr>
          <w:rFonts w:ascii="Arial"/>
          <w:color w:val="000000"/>
          <w:sz w:val="24"/>
        </w:rPr>
        <w:t>Whereas i</w:t>
      </w:r>
      <w:r>
        <w:rPr>
          <w:rFonts w:ascii="Arial"/>
          <w:color w:val="000000"/>
          <w:sz w:val="24"/>
        </w:rPr>
        <w:t xml:space="preserve">n the present case, the part of the </w:t>
      </w:r>
      <w:r>
        <w:rPr>
          <w:rFonts w:ascii="Arial"/>
          <w:color w:val="000000"/>
          <w:sz w:val="24"/>
        </w:rPr>
        <w:t>s</w:t>
      </w:r>
      <w:r>
        <w:rPr>
          <w:rFonts w:ascii="Arial"/>
          <w:color w:val="000000"/>
          <w:sz w:val="24"/>
        </w:rPr>
        <w:t xml:space="preserve">ite on which the existing Chullora Marketplace </w:t>
      </w:r>
      <w:r>
        <w:rPr>
          <w:rFonts w:ascii="Arial"/>
          <w:color w:val="000000"/>
          <w:sz w:val="24"/>
        </w:rPr>
        <w:t>is situated (</w:t>
      </w:r>
      <w:r>
        <w:rPr>
          <w:rFonts w:ascii="Arial"/>
          <w:color w:val="000000"/>
          <w:sz w:val="24"/>
        </w:rPr>
        <w:t xml:space="preserve">at </w:t>
      </w:r>
      <w:r>
        <w:rPr>
          <w:rFonts w:ascii="Arial"/>
          <w:color w:val="000000"/>
          <w:sz w:val="24"/>
        </w:rPr>
        <w:t>353-355 Waterloo Road</w:t>
      </w:r>
      <w:r>
        <w:rPr>
          <w:rFonts w:ascii="Arial"/>
          <w:color w:val="000000"/>
          <w:sz w:val="24"/>
        </w:rPr>
        <w:t>)</w:t>
      </w:r>
      <w:r>
        <w:rPr>
          <w:rFonts w:ascii="Arial"/>
          <w:color w:val="000000"/>
          <w:sz w:val="24"/>
        </w:rPr>
        <w:t xml:space="preserve"> </w:t>
      </w:r>
      <w:r>
        <w:rPr>
          <w:rFonts w:ascii="Arial"/>
          <w:color w:val="000000"/>
          <w:sz w:val="24"/>
        </w:rPr>
        <w:t xml:space="preserve">has direct access to Waterloo Road which is a regional public road. </w:t>
      </w:r>
      <w:r>
        <w:rPr>
          <w:rFonts w:ascii="Arial"/>
          <w:color w:val="000000"/>
          <w:sz w:val="24"/>
        </w:rPr>
        <w:t>Th</w:t>
      </w:r>
      <w:r>
        <w:rPr>
          <w:rFonts w:ascii="Arial"/>
          <w:color w:val="000000"/>
          <w:sz w:val="24"/>
        </w:rPr>
        <w:t>e subject site</w:t>
      </w:r>
      <w:r>
        <w:rPr>
          <w:rFonts w:ascii="Arial"/>
          <w:color w:val="000000"/>
          <w:sz w:val="24"/>
        </w:rPr>
        <w:t xml:space="preserve"> </w:t>
      </w:r>
      <w:r>
        <w:rPr>
          <w:rFonts w:ascii="Arial"/>
          <w:color w:val="000000"/>
          <w:sz w:val="24"/>
        </w:rPr>
        <w:t>is no</w:t>
      </w:r>
      <w:r>
        <w:rPr>
          <w:rFonts w:ascii="Arial"/>
          <w:color w:val="000000"/>
          <w:sz w:val="24"/>
        </w:rPr>
        <w:t>t a</w:t>
      </w:r>
      <w:r>
        <w:rPr>
          <w:rFonts w:ascii="Arial"/>
          <w:color w:val="000000"/>
          <w:sz w:val="24"/>
        </w:rPr>
        <w:t xml:space="preserve"> </w:t>
      </w:r>
      <w:r>
        <w:rPr>
          <w:rFonts w:ascii="Arial"/>
          <w:color w:val="000000"/>
          <w:sz w:val="24"/>
        </w:rPr>
        <w:t>land lock situation</w:t>
      </w:r>
      <w:r>
        <w:rPr>
          <w:rFonts w:ascii="Arial"/>
          <w:color w:val="000000"/>
          <w:sz w:val="24"/>
        </w:rPr>
        <w:t xml:space="preserve"> </w:t>
      </w:r>
      <w:r>
        <w:rPr>
          <w:rFonts w:ascii="Arial"/>
          <w:color w:val="000000"/>
          <w:sz w:val="24"/>
        </w:rPr>
        <w:t xml:space="preserve">as in </w:t>
      </w:r>
      <w:r>
        <w:rPr>
          <w:rFonts w:ascii="Arial"/>
          <w:color w:val="000000"/>
          <w:sz w:val="24"/>
        </w:rPr>
        <w:t xml:space="preserve">the case of </w:t>
      </w:r>
      <w:r>
        <w:rPr>
          <w:rFonts w:ascii="Arial"/>
          <w:i/>
          <w:color w:val="000000"/>
          <w:sz w:val="24"/>
        </w:rPr>
        <w:t>Argyropoulo</w:t>
      </w:r>
      <w:r>
        <w:rPr>
          <w:rFonts w:ascii="Arial"/>
          <w:i/>
          <w:color w:val="000000"/>
          <w:sz w:val="24"/>
        </w:rPr>
        <w:t>s</w:t>
      </w:r>
      <w:r>
        <w:rPr>
          <w:rFonts w:ascii="Arial"/>
          <w:i/>
          <w:color w:val="000000"/>
          <w:sz w:val="24"/>
        </w:rPr>
        <w:t>,</w:t>
      </w:r>
      <w:r>
        <w:rPr>
          <w:rFonts w:ascii="Arial"/>
          <w:i/>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this feature </w:t>
      </w:r>
      <w:r>
        <w:rPr>
          <w:rFonts w:ascii="Arial"/>
          <w:color w:val="000000"/>
          <w:sz w:val="24"/>
        </w:rPr>
        <w:t xml:space="preserve">is </w:t>
      </w:r>
      <w:r>
        <w:rPr>
          <w:rFonts w:ascii="Arial"/>
          <w:color w:val="000000"/>
          <w:sz w:val="24"/>
        </w:rPr>
        <w:t xml:space="preserve">significant </w:t>
      </w:r>
      <w:r>
        <w:rPr>
          <w:rFonts w:ascii="Arial"/>
          <w:color w:val="000000"/>
          <w:sz w:val="24"/>
        </w:rPr>
        <w:t xml:space="preserve">as an </w:t>
      </w:r>
      <w:r>
        <w:rPr>
          <w:rFonts w:ascii="Arial"/>
          <w:color w:val="000000"/>
          <w:sz w:val="24"/>
        </w:rPr>
        <w:t xml:space="preserve">approval of this DA </w:t>
      </w:r>
      <w:r>
        <w:rPr>
          <w:rFonts w:ascii="Arial"/>
          <w:color w:val="000000"/>
          <w:sz w:val="24"/>
        </w:rPr>
        <w:t xml:space="preserve">(and </w:t>
      </w:r>
      <w:r>
        <w:rPr>
          <w:rFonts w:ascii="Arial"/>
          <w:color w:val="000000"/>
          <w:sz w:val="24"/>
        </w:rPr>
        <w:t>certainly,</w:t>
      </w:r>
      <w:r>
        <w:rPr>
          <w:rFonts w:ascii="Arial"/>
          <w:color w:val="000000"/>
          <w:sz w:val="24"/>
        </w:rPr>
        <w:t xml:space="preserve"> </w:t>
      </w:r>
      <w:r>
        <w:rPr>
          <w:rFonts w:ascii="Arial"/>
          <w:color w:val="000000"/>
          <w:sz w:val="24"/>
        </w:rPr>
        <w:t>in Stage 1)</w:t>
      </w:r>
      <w:r>
        <w:rPr>
          <w:rFonts w:ascii="Arial"/>
          <w:color w:val="000000"/>
          <w:sz w:val="24"/>
        </w:rPr>
        <w:t xml:space="preserve"> </w:t>
      </w:r>
      <w:r>
        <w:rPr>
          <w:rFonts w:ascii="Arial"/>
          <w:color w:val="000000"/>
          <w:sz w:val="24"/>
        </w:rPr>
        <w:t xml:space="preserve">will mean that </w:t>
      </w:r>
      <w:r>
        <w:rPr>
          <w:rFonts w:ascii="Arial"/>
          <w:color w:val="000000"/>
          <w:sz w:val="24"/>
        </w:rPr>
        <w:t xml:space="preserve">the </w:t>
      </w:r>
      <w:r>
        <w:rPr>
          <w:rFonts w:ascii="Arial"/>
          <w:color w:val="000000"/>
          <w:sz w:val="24"/>
        </w:rPr>
        <w:t xml:space="preserve">proposed </w:t>
      </w:r>
      <w:r>
        <w:rPr>
          <w:rFonts w:ascii="Arial"/>
          <w:color w:val="000000"/>
          <w:sz w:val="24"/>
        </w:rPr>
        <w:t xml:space="preserve">residential apartments will only be able to be accessed via 87 </w:t>
      </w:r>
      <w:r>
        <w:rPr>
          <w:rFonts w:ascii="Arial"/>
          <w:color w:val="000000"/>
          <w:sz w:val="24"/>
        </w:rPr>
        <w:t>Norfolk Road and</w:t>
      </w:r>
      <w:r>
        <w:rPr>
          <w:rFonts w:ascii="Arial"/>
          <w:color w:val="000000"/>
          <w:sz w:val="24"/>
        </w:rPr>
        <w:t xml:space="preserve"> </w:t>
      </w:r>
      <w:r>
        <w:rPr>
          <w:rFonts w:ascii="Arial"/>
          <w:color w:val="000000"/>
          <w:sz w:val="24"/>
        </w:rPr>
        <w:t>be known by that separate address (</w:t>
      </w:r>
      <w:r>
        <w:rPr>
          <w:rFonts w:ascii="Arial"/>
          <w:color w:val="000000"/>
          <w:sz w:val="24"/>
        </w:rPr>
        <w:t>i.e.</w:t>
      </w:r>
      <w:r>
        <w:rPr>
          <w:rFonts w:ascii="Arial"/>
          <w:color w:val="000000"/>
          <w:sz w:val="24"/>
        </w:rPr>
        <w:t xml:space="preserve"> </w:t>
      </w:r>
      <w:r>
        <w:rPr>
          <w:rFonts w:ascii="Arial"/>
          <w:color w:val="000000"/>
          <w:sz w:val="24"/>
        </w:rPr>
        <w:t>being the location of the driveway)</w:t>
      </w:r>
      <w:r>
        <w:rPr>
          <w:rFonts w:ascii="Arial"/>
          <w:color w:val="000000"/>
          <w:sz w:val="24"/>
        </w:rPr>
        <w:t>.</w:t>
      </w:r>
    </w:p>
    <w:p>
      <w:pPr>
        <w:pStyle w:val="CaselawNumbered10"/>
        <w:numPr>
          <w:ilvl w:val="0"/>
          <w:numId w:val="50"/>
        </w:numPr>
        <w:spacing w:before="150" w:after="0"/>
        <w:ind w:left="600" w:hanging="600"/>
      </w:pPr>
      <w:r>
        <w:rPr>
          <w:rFonts w:ascii="Arial"/>
          <w:color w:val="000000"/>
          <w:sz w:val="24"/>
        </w:rPr>
        <w:t>I</w:t>
      </w:r>
      <w:r>
        <w:rPr>
          <w:rFonts w:ascii="Arial"/>
          <w:color w:val="000000"/>
          <w:sz w:val="24"/>
        </w:rPr>
        <w:t>t is also submitted that</w:t>
      </w:r>
      <w:r>
        <w:rPr>
          <w:rFonts w:ascii="Arial"/>
          <w:color w:val="000000"/>
          <w:sz w:val="24"/>
        </w:rPr>
        <w:t xml:space="preserve"> </w:t>
      </w:r>
      <w:r>
        <w:rPr>
          <w:rFonts w:ascii="Arial"/>
          <w:color w:val="000000"/>
          <w:sz w:val="24"/>
        </w:rPr>
        <w:t xml:space="preserve">the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 xml:space="preserve">in </w:t>
      </w:r>
      <w:r>
        <w:rPr>
          <w:rFonts w:ascii="Arial"/>
          <w:i/>
          <w:color w:val="000000"/>
          <w:sz w:val="24"/>
        </w:rPr>
        <w:t>Argyropoulos</w:t>
      </w:r>
      <w:r>
        <w:rPr>
          <w:rFonts w:ascii="Arial"/>
          <w:color w:val="000000"/>
          <w:sz w:val="24"/>
        </w:rPr>
        <w:t xml:space="preserve"> </w:t>
      </w:r>
      <w:r>
        <w:rPr>
          <w:rFonts w:ascii="Arial"/>
          <w:color w:val="000000"/>
          <w:sz w:val="24"/>
        </w:rPr>
        <w:t xml:space="preserve">was </w:t>
      </w:r>
      <w:r>
        <w:rPr>
          <w:rFonts w:ascii="Arial"/>
          <w:color w:val="000000"/>
          <w:sz w:val="24"/>
        </w:rPr>
        <w:t>“</w:t>
      </w:r>
      <w:r>
        <w:rPr>
          <w:rFonts w:ascii="Arial"/>
          <w:color w:val="000000"/>
          <w:sz w:val="24"/>
        </w:rPr>
        <w:t>linear and separate/severable from the light industrial development</w:t>
      </w:r>
      <w:r>
        <w:rPr>
          <w:rFonts w:ascii="Arial"/>
          <w:color w:val="000000"/>
          <w:sz w:val="24"/>
        </w:rPr>
        <w:t>”</w:t>
      </w:r>
      <w:r>
        <w:rPr>
          <w:rFonts w:ascii="Arial"/>
          <w:color w:val="000000"/>
          <w:sz w:val="24"/>
        </w:rPr>
        <w:t xml:space="preserve">. </w:t>
      </w:r>
      <w:r>
        <w:rPr>
          <w:rFonts w:ascii="Arial"/>
          <w:color w:val="000000"/>
          <w:sz w:val="24"/>
        </w:rPr>
        <w:t xml:space="preserve">Whereas, in this case </w:t>
      </w:r>
      <w:r>
        <w:rPr>
          <w:rFonts w:ascii="Arial"/>
          <w:color w:val="000000"/>
          <w:sz w:val="24"/>
        </w:rPr>
        <w:t xml:space="preserve">the access driveway is not separable/severable from the proposed residential flat building the subject of the Stage 1 DA. Its design is integral to the design of the development, particularly the residential flat building. As such, the access driveway is commingled with and indivisible from the residential flat building in the </w:t>
      </w:r>
      <w:r>
        <w:rPr>
          <w:rFonts w:ascii="Arial"/>
          <w:i/>
          <w:color w:val="000000"/>
          <w:sz w:val="24"/>
        </w:rPr>
        <w:t>Chamwell</w:t>
      </w:r>
      <w:r>
        <w:rPr>
          <w:rFonts w:ascii="Arial"/>
          <w:color w:val="000000"/>
          <w:sz w:val="24"/>
        </w:rPr>
        <w:t xml:space="preserve"> </w:t>
      </w:r>
      <w:r>
        <w:rPr>
          <w:rFonts w:ascii="Arial"/>
          <w:color w:val="000000"/>
          <w:sz w:val="24"/>
        </w:rPr>
        <w:t xml:space="preserve">sense: </w:t>
      </w:r>
      <w:r>
        <w:rPr>
          <w:rFonts w:ascii="Arial"/>
          <w:i/>
          <w:color w:val="000000"/>
          <w:sz w:val="24"/>
        </w:rPr>
        <w:t>Chamwell</w:t>
      </w:r>
      <w:r>
        <w:rPr>
          <w:rFonts w:ascii="Arial"/>
          <w:color w:val="000000"/>
          <w:sz w:val="24"/>
        </w:rPr>
        <w:t xml:space="preserve"> </w:t>
      </w:r>
      <w:r>
        <w:rPr>
          <w:rFonts w:ascii="Arial"/>
          <w:color w:val="000000"/>
          <w:sz w:val="24"/>
        </w:rPr>
        <w:t>at [40].</w:t>
      </w:r>
    </w:p>
    <w:p>
      <w:pPr>
        <w:pStyle w:val="CaselawNumbered10"/>
        <w:numPr>
          <w:ilvl w:val="0"/>
          <w:numId w:val="50"/>
        </w:numPr>
        <w:spacing w:before="150" w:after="0"/>
        <w:ind w:left="600" w:hanging="600"/>
      </w:pPr>
      <w:r>
        <w:rPr>
          <w:rFonts w:ascii="Arial"/>
          <w:color w:val="000000"/>
          <w:sz w:val="24"/>
        </w:rPr>
        <w:t>Lastly</w:t>
      </w:r>
      <w:r>
        <w:rPr>
          <w:rFonts w:ascii="Arial"/>
          <w:color w:val="000000"/>
          <w:sz w:val="24"/>
        </w:rPr>
        <w:t xml:space="preserve">, </w:t>
      </w:r>
      <w:r>
        <w:rPr>
          <w:rFonts w:ascii="Arial"/>
          <w:color w:val="000000"/>
          <w:sz w:val="24"/>
        </w:rPr>
        <w:t xml:space="preserve">it is submitted that </w:t>
      </w:r>
      <w:r>
        <w:rPr>
          <w:rFonts w:ascii="Arial"/>
          <w:i/>
          <w:color w:val="000000"/>
          <w:sz w:val="24"/>
        </w:rPr>
        <w:t>Argyropoulos</w:t>
      </w:r>
      <w:r>
        <w:rPr>
          <w:rFonts w:ascii="Arial"/>
          <w:color w:val="000000"/>
          <w:sz w:val="24"/>
        </w:rPr>
        <w:t xml:space="preserve"> </w:t>
      </w:r>
      <w:r>
        <w:rPr>
          <w:rFonts w:ascii="Arial"/>
          <w:color w:val="000000"/>
          <w:sz w:val="24"/>
        </w:rPr>
        <w:t xml:space="preserve">does not stand for the proposition that the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 xml:space="preserve">must be characterised as a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 xml:space="preserve">under the scheme. The </w:t>
      </w:r>
      <w:r>
        <w:rPr>
          <w:rFonts w:ascii="Arial"/>
          <w:color w:val="000000"/>
          <w:sz w:val="24"/>
        </w:rPr>
        <w:t xml:space="preserve">Council submits that the </w:t>
      </w:r>
      <w:r>
        <w:rPr>
          <w:rFonts w:ascii="Arial"/>
          <w:color w:val="000000"/>
          <w:sz w:val="24"/>
        </w:rPr>
        <w:t>Court held that the</w:t>
      </w:r>
      <w:r>
        <w:rPr>
          <w:rFonts w:ascii="Arial"/>
          <w:color w:val="000000"/>
          <w:sz w:val="24"/>
        </w:rPr>
        <w:t xml:space="preserve"> </w:t>
      </w:r>
      <w:r>
        <w:rPr>
          <w:rFonts w:ascii="Arial"/>
          <w:color w:val="000000"/>
          <w:sz w:val="24"/>
        </w:rPr>
        <w:t>respondent council in that appeal</w:t>
      </w:r>
      <w:r>
        <w:rPr>
          <w:rFonts w:ascii="Arial"/>
          <w:color w:val="000000"/>
          <w:sz w:val="24"/>
        </w:rPr>
        <w:t xml:space="preserve"> </w:t>
      </w:r>
      <w:r>
        <w:rPr>
          <w:rFonts w:ascii="Arial"/>
          <w:color w:val="000000"/>
          <w:sz w:val="24"/>
        </w:rPr>
        <w:t xml:space="preserve">had the power to approve or refuse consent and, in determining the application, may consider the manner of use of the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As such, it was a matter of fact to be determined by the </w:t>
      </w:r>
      <w:r>
        <w:rPr>
          <w:rFonts w:ascii="Arial"/>
          <w:color w:val="000000"/>
          <w:sz w:val="24"/>
        </w:rPr>
        <w:t xml:space="preserve">respondent </w:t>
      </w:r>
      <w:r>
        <w:rPr>
          <w:rFonts w:ascii="Arial"/>
          <w:color w:val="000000"/>
          <w:sz w:val="24"/>
        </w:rPr>
        <w:t>council.</w:t>
      </w:r>
    </w:p>
    <w:p>
      <w:pPr>
        <w:pStyle w:val="CaselawNumbered10"/>
        <w:numPr>
          <w:ilvl w:val="0"/>
          <w:numId w:val="50"/>
        </w:numPr>
        <w:spacing w:before="150" w:after="0"/>
        <w:ind w:left="600" w:hanging="600"/>
      </w:pPr>
      <w:r>
        <w:rPr>
          <w:rFonts w:ascii="Arial"/>
          <w:color w:val="000000"/>
          <w:sz w:val="24"/>
        </w:rPr>
        <w:t xml:space="preserve">Ultimately, the </w:t>
      </w:r>
      <w:r>
        <w:rPr>
          <w:rFonts w:ascii="Arial"/>
          <w:color w:val="000000"/>
          <w:sz w:val="24"/>
        </w:rPr>
        <w:t xml:space="preserve">Council </w:t>
      </w:r>
      <w:r>
        <w:rPr>
          <w:rFonts w:ascii="Arial"/>
          <w:color w:val="000000"/>
          <w:sz w:val="24"/>
        </w:rPr>
        <w:t xml:space="preserve">submits </w:t>
      </w:r>
      <w:r>
        <w:rPr>
          <w:rFonts w:ascii="Arial"/>
          <w:color w:val="000000"/>
          <w:sz w:val="24"/>
        </w:rPr>
        <w:t xml:space="preserve">that </w:t>
      </w:r>
      <w:r>
        <w:rPr>
          <w:rFonts w:ascii="Arial"/>
          <w:color w:val="000000"/>
          <w:sz w:val="24"/>
        </w:rPr>
        <w:t xml:space="preserve">the </w:t>
      </w:r>
      <w:r>
        <w:rPr>
          <w:rFonts w:ascii="Arial"/>
          <w:color w:val="000000"/>
          <w:sz w:val="24"/>
        </w:rPr>
        <w:t xml:space="preserve">facts in </w:t>
      </w:r>
      <w:r>
        <w:rPr>
          <w:rFonts w:ascii="Arial"/>
          <w:i/>
          <w:color w:val="000000"/>
          <w:sz w:val="24"/>
        </w:rPr>
        <w:t>Chamwell</w:t>
      </w:r>
      <w:r>
        <w:rPr>
          <w:rFonts w:ascii="Arial"/>
          <w:color w:val="000000"/>
          <w:sz w:val="24"/>
        </w:rPr>
        <w:t xml:space="preserve"> </w:t>
      </w:r>
      <w:r>
        <w:rPr>
          <w:rFonts w:ascii="Arial"/>
          <w:color w:val="000000"/>
          <w:sz w:val="24"/>
        </w:rPr>
        <w:t xml:space="preserve">are </w:t>
      </w:r>
      <w:r>
        <w:rPr>
          <w:rFonts w:ascii="Arial"/>
          <w:color w:val="000000"/>
          <w:sz w:val="24"/>
        </w:rPr>
        <w:t xml:space="preserve">closer </w:t>
      </w:r>
      <w:r>
        <w:rPr>
          <w:rFonts w:ascii="Arial"/>
          <w:color w:val="000000"/>
          <w:sz w:val="24"/>
        </w:rPr>
        <w:t>to the case</w:t>
      </w:r>
      <w:r>
        <w:rPr>
          <w:rFonts w:ascii="Arial"/>
          <w:color w:val="000000"/>
          <w:sz w:val="24"/>
        </w:rPr>
        <w:t xml:space="preserve"> </w:t>
      </w:r>
      <w:r>
        <w:rPr>
          <w:rFonts w:ascii="Arial"/>
          <w:color w:val="000000"/>
          <w:sz w:val="24"/>
        </w:rPr>
        <w:t>at hand</w:t>
      </w:r>
      <w:r>
        <w:rPr>
          <w:rFonts w:ascii="Arial"/>
          <w:color w:val="000000"/>
          <w:sz w:val="24"/>
        </w:rPr>
        <w:t xml:space="preserve">. </w:t>
      </w:r>
      <w:r>
        <w:rPr>
          <w:rFonts w:ascii="Arial"/>
          <w:color w:val="000000"/>
          <w:sz w:val="24"/>
        </w:rPr>
        <w:t xml:space="preserve">In </w:t>
      </w:r>
      <w:r>
        <w:rPr>
          <w:rFonts w:ascii="Arial"/>
          <w:i/>
          <w:color w:val="000000"/>
          <w:sz w:val="24"/>
        </w:rPr>
        <w:t>Chamwell</w:t>
      </w:r>
      <w:r>
        <w:rPr>
          <w:rFonts w:ascii="Arial"/>
          <w:color w:val="000000"/>
          <w:sz w:val="24"/>
        </w:rPr>
        <w:t xml:space="preserve">, the applicant sought development consent for the erection and use of a building as a </w:t>
      </w:r>
      <w:r>
        <w:rPr>
          <w:rFonts w:ascii="Arial"/>
          <w:color w:val="000000"/>
          <w:sz w:val="24"/>
        </w:rPr>
        <w:t>mixed-use</w:t>
      </w:r>
      <w:r>
        <w:rPr>
          <w:rFonts w:ascii="Arial"/>
          <w:color w:val="000000"/>
          <w:sz w:val="24"/>
        </w:rPr>
        <w:t xml:space="preserve"> </w:t>
      </w:r>
      <w:r>
        <w:rPr>
          <w:rFonts w:ascii="Arial"/>
          <w:color w:val="000000"/>
          <w:sz w:val="24"/>
        </w:rPr>
        <w:t xml:space="preserve">development comprising a supermarket and multiple-unit housing with basement car parking: at [1]. The </w:t>
      </w:r>
      <w:r>
        <w:rPr>
          <w:rFonts w:ascii="Arial"/>
          <w:color w:val="000000"/>
          <w:sz w:val="24"/>
        </w:rPr>
        <w:t xml:space="preserve">respondent </w:t>
      </w:r>
      <w:r>
        <w:rPr>
          <w:rFonts w:ascii="Arial"/>
          <w:color w:val="000000"/>
          <w:sz w:val="24"/>
        </w:rPr>
        <w:t>council submitted that the following parts of a building were to be used for the purpose of the retail development of the supermarket which was prohibited on the relevant land (at [18] and [20]):</w:t>
      </w:r>
    </w:p>
    <w:p>
      <w:pPr>
        <w:pStyle w:val="CaselawBullet"/>
        <w:numPr>
          <w:ilvl w:val="0"/>
          <w:numId w:val="51"/>
        </w:numPr>
        <w:spacing w:before="150" w:after="0"/>
        <w:ind w:left="600" w:hanging="250"/>
      </w:pPr>
      <w:r>
        <w:rPr>
          <w:rFonts w:ascii="Arial"/>
          <w:color w:val="000000"/>
          <w:sz w:val="24"/>
        </w:rPr>
        <w:t>entry and exit driveways at ground level;</w:t>
      </w:r>
    </w:p>
    <w:p>
      <w:pPr>
        <w:pStyle w:val="CaselawBullet"/>
        <w:numPr>
          <w:ilvl w:val="0"/>
          <w:numId w:val="51"/>
        </w:numPr>
        <w:spacing w:before="150" w:after="0"/>
        <w:ind w:left="600" w:hanging="250"/>
      </w:pPr>
      <w:r>
        <w:rPr>
          <w:rFonts w:ascii="Arial"/>
          <w:color w:val="000000"/>
          <w:sz w:val="24"/>
        </w:rPr>
        <w:t>pedestrian ramps at ground level and basement car park;</w:t>
      </w:r>
    </w:p>
    <w:p>
      <w:pPr>
        <w:pStyle w:val="CaselawBullet"/>
        <w:numPr>
          <w:ilvl w:val="0"/>
          <w:numId w:val="51"/>
        </w:numPr>
        <w:spacing w:before="150" w:after="0"/>
        <w:ind w:left="600" w:hanging="250"/>
      </w:pPr>
      <w:r>
        <w:rPr>
          <w:rFonts w:ascii="Arial"/>
          <w:color w:val="000000"/>
          <w:sz w:val="24"/>
        </w:rPr>
        <w:t>a pond and recreation area at ground level;</w:t>
      </w:r>
    </w:p>
    <w:p>
      <w:pPr>
        <w:pStyle w:val="CaselawBullet"/>
        <w:numPr>
          <w:ilvl w:val="0"/>
          <w:numId w:val="51"/>
        </w:numPr>
        <w:spacing w:before="150" w:after="0"/>
        <w:ind w:left="600" w:hanging="250"/>
      </w:pPr>
      <w:r>
        <w:rPr>
          <w:rFonts w:ascii="Arial"/>
          <w:color w:val="000000"/>
          <w:sz w:val="24"/>
        </w:rPr>
        <w:t>travelators at ground level and basement car park; and</w:t>
      </w:r>
    </w:p>
    <w:p>
      <w:pPr>
        <w:pStyle w:val="CaselawBullet"/>
        <w:numPr>
          <w:ilvl w:val="0"/>
          <w:numId w:val="51"/>
        </w:numPr>
        <w:spacing w:before="150" w:after="0"/>
        <w:ind w:left="600" w:hanging="250"/>
      </w:pPr>
      <w:r>
        <w:rPr>
          <w:rFonts w:ascii="Arial"/>
          <w:color w:val="000000"/>
          <w:sz w:val="24"/>
        </w:rPr>
        <w:t>circulation isles in the basement car park.</w:t>
      </w:r>
    </w:p>
    <w:p>
      <w:pPr>
        <w:pStyle w:val="CaselawNumbered10"/>
        <w:numPr>
          <w:ilvl w:val="0"/>
          <w:numId w:val="52"/>
        </w:numPr>
        <w:spacing w:before="150" w:after="0"/>
        <w:ind w:left="600" w:hanging="600"/>
      </w:pPr>
      <w:r>
        <w:rPr>
          <w:rFonts w:ascii="Arial"/>
          <w:color w:val="000000"/>
          <w:sz w:val="24"/>
        </w:rPr>
        <w:t>While those parts might be utilised for the proposed residential uses in the building, they were anticipated to be used significantly for and were a fundamental means of access to both the commercial retail space and the commercial car parking spaces: at [19]</w:t>
      </w:r>
      <w:r>
        <w:rPr>
          <w:rFonts w:ascii="Arial"/>
          <w:color w:val="000000"/>
          <w:sz w:val="24"/>
        </w:rPr>
        <w:t>. The applicant argue</w:t>
      </w:r>
      <w:r>
        <w:rPr>
          <w:rFonts w:ascii="Arial"/>
          <w:color w:val="000000"/>
          <w:sz w:val="24"/>
        </w:rPr>
        <w:t>d</w:t>
      </w:r>
      <w:r>
        <w:rPr>
          <w:rFonts w:ascii="Arial"/>
          <w:color w:val="000000"/>
          <w:sz w:val="24"/>
        </w:rPr>
        <w:t xml:space="preserve"> </w:t>
      </w:r>
      <w:r>
        <w:rPr>
          <w:rFonts w:ascii="Arial"/>
          <w:color w:val="000000"/>
          <w:sz w:val="24"/>
        </w:rPr>
        <w:t xml:space="preserve">that those parts were properly characterised as </w:t>
      </w:r>
      <w:r>
        <w:rPr>
          <w:rFonts w:ascii="Arial"/>
          <w:color w:val="000000"/>
          <w:sz w:val="24"/>
        </w:rPr>
        <w:t>“</w:t>
      </w:r>
      <w:r>
        <w:rPr>
          <w:rFonts w:ascii="Arial"/>
          <w:color w:val="000000"/>
          <w:sz w:val="24"/>
        </w:rPr>
        <w:t>roads</w:t>
      </w:r>
      <w:r>
        <w:rPr>
          <w:rFonts w:ascii="Arial"/>
          <w:color w:val="000000"/>
          <w:sz w:val="24"/>
        </w:rPr>
        <w:t>”</w:t>
      </w:r>
      <w:r>
        <w:rPr>
          <w:rFonts w:ascii="Arial"/>
          <w:color w:val="000000"/>
          <w:sz w:val="24"/>
        </w:rPr>
        <w:t xml:space="preserve"> </w:t>
      </w:r>
      <w:r>
        <w:rPr>
          <w:rFonts w:ascii="Arial"/>
          <w:color w:val="000000"/>
          <w:sz w:val="24"/>
        </w:rPr>
        <w:t xml:space="preserve">which were permitted with consent: at [21] and [23]. </w:t>
      </w:r>
      <w:r>
        <w:rPr>
          <w:rFonts w:ascii="Arial"/>
          <w:color w:val="000000"/>
          <w:sz w:val="24"/>
        </w:rPr>
        <w:t>It submitted that t</w:t>
      </w:r>
      <w:r>
        <w:rPr>
          <w:rFonts w:ascii="Arial"/>
          <w:color w:val="000000"/>
          <w:sz w:val="24"/>
        </w:rPr>
        <w:t xml:space="preserve">he </w:t>
      </w:r>
      <w:r>
        <w:rPr>
          <w:rFonts w:ascii="Arial"/>
          <w:color w:val="000000"/>
          <w:sz w:val="24"/>
        </w:rPr>
        <w:t>fact that parts of the building would be used by pedestrians and vehicles to access the retail components of the building did not cause the purpose to become a shop</w:t>
      </w:r>
      <w:r>
        <w:rPr>
          <w:rFonts w:ascii="Arial"/>
          <w:color w:val="000000"/>
          <w:sz w:val="24"/>
        </w:rPr>
        <w:t>,</w:t>
      </w:r>
      <w:r>
        <w:rPr>
          <w:rFonts w:ascii="Arial"/>
          <w:color w:val="000000"/>
          <w:sz w:val="24"/>
        </w:rPr>
        <w:t xml:space="preserve"> </w:t>
      </w:r>
      <w:r>
        <w:rPr>
          <w:rFonts w:ascii="Arial"/>
          <w:color w:val="000000"/>
          <w:sz w:val="24"/>
        </w:rPr>
        <w:t xml:space="preserve">and thereby prohibited, relying on the findings in </w:t>
      </w:r>
      <w:r>
        <w:rPr>
          <w:rFonts w:ascii="Arial"/>
          <w:i/>
          <w:color w:val="000000"/>
          <w:sz w:val="24"/>
        </w:rPr>
        <w:t>Argyropoulos</w:t>
      </w:r>
      <w:r>
        <w:rPr>
          <w:rFonts w:ascii="Arial"/>
          <w:color w:val="000000"/>
          <w:sz w:val="24"/>
        </w:rPr>
        <w:t>: at [24].</w:t>
      </w:r>
      <w:r>
        <w:rPr>
          <w:rFonts w:ascii="Arial"/>
          <w:color w:val="000000"/>
          <w:sz w:val="24"/>
        </w:rPr>
        <w:t xml:space="preserve"> </w:t>
      </w:r>
    </w:p>
    <w:p>
      <w:pPr>
        <w:pStyle w:val="CaselawNumbered10"/>
        <w:numPr>
          <w:ilvl w:val="0"/>
          <w:numId w:val="52"/>
        </w:numPr>
        <w:spacing w:before="150" w:after="0"/>
        <w:ind w:left="600" w:hanging="600"/>
      </w:pPr>
      <w:r>
        <w:rPr>
          <w:rFonts w:ascii="Arial"/>
          <w:color w:val="000000"/>
          <w:sz w:val="24"/>
        </w:rPr>
        <w:t>Relevantly, Preston CJ held that:</w:t>
      </w:r>
    </w:p>
    <w:p>
      <w:pPr>
        <w:pStyle w:val="CaselawNumbered1"/>
        <w:numPr>
          <w:ilvl w:val="0"/>
          <w:numId w:val="53"/>
        </w:numPr>
        <w:spacing w:before="150" w:after="0"/>
        <w:ind w:left="1350" w:hanging="750"/>
      </w:pPr>
      <w:r>
        <w:rPr>
          <w:rFonts w:ascii="Arial"/>
          <w:color w:val="000000"/>
          <w:sz w:val="24"/>
        </w:rPr>
        <w:t>The purpose of retail development (in that case, a supermarket) could only be achieved by the physical acts of constructing not only the space in which the retailing takes place but also the spaces for the associated activities: at [29].</w:t>
      </w:r>
    </w:p>
    <w:p>
      <w:pPr>
        <w:pStyle w:val="CaselawNumbered1"/>
        <w:numPr>
          <w:ilvl w:val="0"/>
          <w:numId w:val="53"/>
        </w:numPr>
        <w:spacing w:before="150" w:after="0"/>
        <w:ind w:left="1350" w:hanging="750"/>
      </w:pPr>
      <w:r>
        <w:rPr>
          <w:rFonts w:ascii="Arial"/>
          <w:color w:val="000000"/>
          <w:sz w:val="24"/>
        </w:rPr>
        <w:t>The use of the land for the supermarket involved the construction of (at [30]):</w:t>
      </w:r>
    </w:p>
    <w:p>
      <w:pPr>
        <w:pStyle w:val="CaselawNumbereda"/>
        <w:numPr>
          <w:ilvl w:val="0"/>
          <w:numId w:val="54"/>
        </w:numPr>
        <w:spacing w:before="150" w:after="0"/>
        <w:ind w:left="2100" w:hanging="750"/>
      </w:pPr>
      <w:r>
        <w:rPr>
          <w:rFonts w:ascii="Arial"/>
          <w:color w:val="000000"/>
          <w:sz w:val="24"/>
        </w:rPr>
        <w:t>the building in which the supermarket and its associated stock room and loading dock can be provided;</w:t>
      </w:r>
    </w:p>
    <w:p>
      <w:pPr>
        <w:pStyle w:val="CaselawNumbereda"/>
        <w:numPr>
          <w:ilvl w:val="0"/>
          <w:numId w:val="54"/>
        </w:numPr>
        <w:spacing w:before="150" w:after="0"/>
        <w:ind w:left="2100" w:hanging="750"/>
      </w:pPr>
      <w:r>
        <w:rPr>
          <w:rFonts w:ascii="Arial"/>
          <w:color w:val="000000"/>
          <w:sz w:val="24"/>
        </w:rPr>
        <w:t>basement car parking for customers who wish to shop at the supermarket;</w:t>
      </w:r>
    </w:p>
    <w:p>
      <w:pPr>
        <w:pStyle w:val="CaselawNumbereda"/>
        <w:numPr>
          <w:ilvl w:val="0"/>
          <w:numId w:val="54"/>
        </w:numPr>
        <w:spacing w:before="150" w:after="0"/>
        <w:ind w:left="2100" w:hanging="750"/>
      </w:pPr>
      <w:r>
        <w:rPr>
          <w:rFonts w:ascii="Arial"/>
          <w:color w:val="000000"/>
          <w:sz w:val="24"/>
        </w:rPr>
        <w:t>driveways providing vehicular access from the public road to the basement car park and passageways, travelators and pedestrian ramps providing pedestrian access between the public road, the car park and the supermarket; and</w:t>
      </w:r>
    </w:p>
    <w:p>
      <w:pPr>
        <w:pStyle w:val="CaselawNumbereda"/>
        <w:numPr>
          <w:ilvl w:val="0"/>
          <w:numId w:val="54"/>
        </w:numPr>
        <w:spacing w:before="150" w:after="0"/>
        <w:ind w:left="2100" w:hanging="750"/>
      </w:pPr>
      <w:r>
        <w:rPr>
          <w:rFonts w:ascii="Arial"/>
          <w:color w:val="000000"/>
          <w:sz w:val="24"/>
        </w:rPr>
        <w:t>the landscaped, supermarket forecourt area that provides passive recreation and access for customers.</w:t>
      </w:r>
    </w:p>
    <w:p>
      <w:pPr>
        <w:pStyle w:val="CaselawNumbered1"/>
        <w:numPr>
          <w:ilvl w:val="0"/>
          <w:numId w:val="55"/>
        </w:numPr>
        <w:spacing w:before="150" w:after="0"/>
        <w:ind w:left="1350" w:hanging="750"/>
      </w:pPr>
      <w:r>
        <w:rPr>
          <w:rFonts w:ascii="Arial"/>
          <w:color w:val="000000"/>
          <w:sz w:val="24"/>
        </w:rPr>
        <w:t>The physical acts involved in the erection of the building including the construction of the car park, driveways, access ways and landscaped forecourt were the means by which the land is made to serve the retail purpose of the supermarket - which could not function on the land without the car park, driveways, access ways and landscaped forecourt: at [31].</w:t>
      </w:r>
    </w:p>
    <w:p>
      <w:pPr>
        <w:pStyle w:val="CaselawNumbered1"/>
        <w:numPr>
          <w:ilvl w:val="0"/>
          <w:numId w:val="55"/>
        </w:numPr>
        <w:spacing w:before="150" w:after="0"/>
        <w:ind w:left="1350" w:hanging="750"/>
      </w:pPr>
      <w:r>
        <w:rPr>
          <w:rFonts w:ascii="Arial"/>
          <w:color w:val="000000"/>
          <w:sz w:val="24"/>
        </w:rPr>
        <w:t>The car park, driveways, access ways and landscaped forecourt were each designed to serve the end of enabling the supermarket to be carried on: at [35].</w:t>
      </w:r>
    </w:p>
    <w:p>
      <w:pPr>
        <w:pStyle w:val="CaselawNumbered1"/>
        <w:numPr>
          <w:ilvl w:val="0"/>
          <w:numId w:val="55"/>
        </w:numPr>
        <w:spacing w:before="150" w:after="0"/>
        <w:ind w:left="1350" w:hanging="750"/>
      </w:pPr>
      <w:r>
        <w:rPr>
          <w:rFonts w:ascii="Arial"/>
          <w:color w:val="000000"/>
          <w:sz w:val="24"/>
        </w:rPr>
        <w:t>The retail development of the supermarket constitutes one integrated and indivisible business or activity. It was not capable of subdivision or sectionalisation into the retail section (comprising the supermarket and its associated stockroom and loading dock) and the non-retail section (comprising parts of the building used by customers of the retail section): at [38].</w:t>
      </w:r>
    </w:p>
    <w:p>
      <w:pPr>
        <w:pStyle w:val="CaselawNumbered1"/>
        <w:numPr>
          <w:ilvl w:val="0"/>
          <w:numId w:val="55"/>
        </w:numPr>
        <w:spacing w:before="150" w:after="0"/>
        <w:ind w:left="1350" w:hanging="750"/>
      </w:pPr>
      <w:r>
        <w:rPr>
          <w:rFonts w:ascii="Arial"/>
          <w:color w:val="000000"/>
          <w:sz w:val="24"/>
        </w:rPr>
        <w:t>The activities that would be carried on by the retail customers in those parts of the building (such as parking their cars in the basement) were day</w:t>
      </w:r>
      <w:r>
        <w:rPr>
          <w:rFonts w:ascii="Arial"/>
          <w:color w:val="000000"/>
          <w:sz w:val="24"/>
        </w:rPr>
        <w:t>-</w:t>
      </w:r>
      <w:r>
        <w:rPr>
          <w:rFonts w:ascii="Arial"/>
          <w:color w:val="000000"/>
          <w:sz w:val="24"/>
        </w:rPr>
        <w:t>to</w:t>
      </w:r>
      <w:r>
        <w:rPr>
          <w:rFonts w:ascii="Arial"/>
          <w:color w:val="000000"/>
          <w:sz w:val="24"/>
        </w:rPr>
        <w:t>-</w:t>
      </w:r>
      <w:r>
        <w:rPr>
          <w:rFonts w:ascii="Arial"/>
          <w:color w:val="000000"/>
          <w:sz w:val="24"/>
        </w:rPr>
        <w:t xml:space="preserve">day activities of the supermarket and they were impossible to treat as separate or severable from the retail business. Rather those activities were </w:t>
      </w:r>
      <w:r>
        <w:rPr>
          <w:rFonts w:ascii="Arial"/>
          <w:color w:val="000000"/>
          <w:sz w:val="24"/>
        </w:rPr>
        <w:t>“</w:t>
      </w:r>
      <w:r>
        <w:rPr>
          <w:rFonts w:ascii="Arial"/>
          <w:color w:val="000000"/>
          <w:sz w:val="24"/>
        </w:rPr>
        <w:t>so commingled in time, place or circumstances with the actual exercise or carrying on</w:t>
      </w:r>
      <w:r>
        <w:rPr>
          <w:rFonts w:ascii="Arial"/>
          <w:color w:val="000000"/>
          <w:sz w:val="24"/>
        </w:rPr>
        <w:t>”</w:t>
      </w:r>
      <w:r>
        <w:rPr>
          <w:rFonts w:ascii="Arial"/>
          <w:color w:val="000000"/>
          <w:sz w:val="24"/>
        </w:rPr>
        <w:t xml:space="preserve"> </w:t>
      </w:r>
      <w:r>
        <w:rPr>
          <w:rFonts w:ascii="Arial"/>
          <w:color w:val="000000"/>
          <w:sz w:val="24"/>
        </w:rPr>
        <w:t xml:space="preserve">of the retail uses of supermarket </w:t>
      </w:r>
      <w:r>
        <w:rPr>
          <w:rFonts w:ascii="Arial"/>
          <w:color w:val="000000"/>
          <w:sz w:val="24"/>
        </w:rPr>
        <w:t>“</w:t>
      </w:r>
      <w:r>
        <w:rPr>
          <w:rFonts w:ascii="Arial"/>
          <w:color w:val="000000"/>
          <w:sz w:val="24"/>
        </w:rPr>
        <w:t>that in a practical sense one cannot conceive of the one being carried out without the other</w:t>
      </w:r>
      <w:r>
        <w:rPr>
          <w:rFonts w:ascii="Arial"/>
          <w:color w:val="000000"/>
          <w:sz w:val="24"/>
        </w:rPr>
        <w:t>”</w:t>
      </w:r>
      <w:r>
        <w:rPr>
          <w:rFonts w:ascii="Arial"/>
          <w:color w:val="000000"/>
          <w:sz w:val="24"/>
        </w:rPr>
        <w:t>: at [40].</w:t>
      </w:r>
    </w:p>
    <w:p>
      <w:pPr>
        <w:pStyle w:val="CaselawNumbered1"/>
        <w:numPr>
          <w:ilvl w:val="0"/>
          <w:numId w:val="55"/>
        </w:numPr>
        <w:spacing w:before="150" w:after="0"/>
        <w:ind w:left="1350" w:hanging="750"/>
      </w:pPr>
      <w:r>
        <w:rPr>
          <w:rFonts w:ascii="Arial"/>
          <w:color w:val="000000"/>
          <w:sz w:val="24"/>
        </w:rPr>
        <w:t>The integral relationship between those parts of the building and the supermarket meant that it was not appropriate to characterise the uses as being for the purpose of roads: at [42].</w:t>
      </w:r>
    </w:p>
    <w:p>
      <w:pPr>
        <w:pStyle w:val="CaselawNumbered1"/>
        <w:numPr>
          <w:ilvl w:val="0"/>
          <w:numId w:val="55"/>
        </w:numPr>
        <w:spacing w:before="150" w:after="0"/>
        <w:ind w:left="1350" w:hanging="750"/>
      </w:pPr>
      <w:r>
        <w:rPr>
          <w:rFonts w:ascii="Arial"/>
          <w:color w:val="000000"/>
          <w:sz w:val="24"/>
        </w:rPr>
        <w:t>Even if those parts of the building could be seen to be for the purpose of roads, that purpose would be subordinate to the purposes of shop and multiple-unit housing: at [42].</w:t>
      </w:r>
    </w:p>
    <w:p>
      <w:pPr>
        <w:pStyle w:val="CaselawNumbered1"/>
        <w:numPr>
          <w:ilvl w:val="0"/>
          <w:numId w:val="55"/>
        </w:numPr>
        <w:spacing w:before="150" w:after="0"/>
        <w:ind w:left="1350" w:hanging="750"/>
      </w:pPr>
      <w:r>
        <w:rPr>
          <w:rFonts w:ascii="Arial"/>
          <w:color w:val="000000"/>
          <w:sz w:val="24"/>
        </w:rPr>
        <w:t xml:space="preserve">It was unnecessary to determine if </w:t>
      </w:r>
      <w:r>
        <w:rPr>
          <w:rFonts w:ascii="Arial"/>
          <w:i/>
          <w:color w:val="000000"/>
          <w:sz w:val="24"/>
        </w:rPr>
        <w:t>Argyropoulos</w:t>
      </w:r>
      <w:r>
        <w:rPr>
          <w:rFonts w:ascii="Arial"/>
          <w:color w:val="000000"/>
          <w:sz w:val="24"/>
        </w:rPr>
        <w:t xml:space="preserve"> </w:t>
      </w:r>
      <w:r>
        <w:rPr>
          <w:rFonts w:ascii="Arial"/>
          <w:color w:val="000000"/>
          <w:sz w:val="24"/>
        </w:rPr>
        <w:t>had been incorrectly decided as it was distinguishable on the facts. In that case, the access handle was constructed and used as a road in the ordinary meaning of that word</w:t>
      </w:r>
      <w:r>
        <w:rPr>
          <w:rFonts w:ascii="Arial"/>
          <w:b/>
          <w:color w:val="000000"/>
          <w:sz w:val="24"/>
        </w:rPr>
        <w:t>. The access handle was separate to the land on which the light industrial use was to be carried on</w:t>
      </w:r>
      <w:r>
        <w:rPr>
          <w:rFonts w:ascii="Arial"/>
          <w:color w:val="000000"/>
          <w:sz w:val="24"/>
        </w:rPr>
        <w:t>: at [49].</w:t>
      </w:r>
    </w:p>
    <w:p>
      <w:pPr>
        <w:pStyle w:val="CaselawNumbered10"/>
        <w:numPr>
          <w:ilvl w:val="0"/>
          <w:numId w:val="56"/>
        </w:numPr>
        <w:spacing w:before="150" w:after="0"/>
        <w:ind w:left="600" w:hanging="600"/>
      </w:pPr>
      <w:r>
        <w:rPr>
          <w:rFonts w:ascii="Arial"/>
          <w:color w:val="000000"/>
          <w:sz w:val="24"/>
        </w:rPr>
        <w:t>The Council contends that the Court</w:t>
      </w:r>
      <w:r>
        <w:rPr>
          <w:rFonts w:ascii="Arial"/>
          <w:color w:val="000000"/>
          <w:sz w:val="24"/>
        </w:rPr>
        <w:t>’</w:t>
      </w:r>
      <w:r>
        <w:rPr>
          <w:rFonts w:ascii="Arial"/>
          <w:color w:val="000000"/>
          <w:sz w:val="24"/>
        </w:rPr>
        <w:t xml:space="preserve">s findings in </w:t>
      </w:r>
      <w:r>
        <w:rPr>
          <w:rFonts w:ascii="Arial"/>
          <w:i/>
          <w:color w:val="000000"/>
          <w:sz w:val="24"/>
        </w:rPr>
        <w:t xml:space="preserve">Chamwell </w:t>
      </w:r>
      <w:r>
        <w:rPr>
          <w:rFonts w:ascii="Arial"/>
          <w:color w:val="000000"/>
          <w:sz w:val="24"/>
        </w:rPr>
        <w:t>reproduced above demonstrate</w:t>
      </w:r>
      <w:r>
        <w:rPr>
          <w:rFonts w:ascii="Arial"/>
          <w:color w:val="000000"/>
          <w:sz w:val="24"/>
        </w:rPr>
        <w:t xml:space="preserve"> </w:t>
      </w:r>
      <w:r>
        <w:rPr>
          <w:rFonts w:ascii="Arial"/>
          <w:color w:val="000000"/>
          <w:sz w:val="24"/>
        </w:rPr>
        <w:t xml:space="preserve">the similarity </w:t>
      </w:r>
      <w:r>
        <w:rPr>
          <w:rFonts w:ascii="Arial"/>
          <w:color w:val="000000"/>
          <w:sz w:val="24"/>
        </w:rPr>
        <w:t xml:space="preserve">between how the structures associated with the supermarket were to be used in that case, to the access driveway </w:t>
      </w:r>
      <w:r>
        <w:rPr>
          <w:rFonts w:ascii="Arial"/>
          <w:color w:val="000000"/>
          <w:sz w:val="24"/>
        </w:rPr>
        <w:t>in the present case.</w:t>
      </w:r>
      <w:r>
        <w:rPr>
          <w:rFonts w:ascii="Arial"/>
          <w:color w:val="000000"/>
          <w:sz w:val="24"/>
        </w:rPr>
        <w:t xml:space="preserve"> </w:t>
      </w:r>
      <w:r>
        <w:rPr>
          <w:rFonts w:ascii="Arial"/>
          <w:color w:val="000000"/>
          <w:sz w:val="24"/>
        </w:rPr>
        <w:t xml:space="preserve">The access driveway is commingled with and indivisible from the residential flat building in the </w:t>
      </w:r>
      <w:r>
        <w:rPr>
          <w:rFonts w:ascii="Arial"/>
          <w:i/>
          <w:color w:val="000000"/>
          <w:sz w:val="24"/>
        </w:rPr>
        <w:t>Chamwell</w:t>
      </w:r>
      <w:r>
        <w:rPr>
          <w:rFonts w:ascii="Arial"/>
          <w:color w:val="000000"/>
          <w:sz w:val="24"/>
        </w:rPr>
        <w:t xml:space="preserve"> </w:t>
      </w:r>
      <w:r>
        <w:rPr>
          <w:rFonts w:ascii="Arial"/>
          <w:color w:val="000000"/>
          <w:sz w:val="24"/>
        </w:rPr>
        <w:t xml:space="preserve">sense: </w:t>
      </w:r>
      <w:r>
        <w:rPr>
          <w:rFonts w:ascii="Arial"/>
          <w:i/>
          <w:color w:val="000000"/>
          <w:sz w:val="24"/>
        </w:rPr>
        <w:t>Chamwell</w:t>
      </w:r>
      <w:r>
        <w:rPr>
          <w:rFonts w:ascii="Arial"/>
          <w:color w:val="000000"/>
          <w:sz w:val="24"/>
        </w:rPr>
        <w:t xml:space="preserve"> </w:t>
      </w:r>
      <w:r>
        <w:rPr>
          <w:rFonts w:ascii="Arial"/>
          <w:color w:val="000000"/>
          <w:sz w:val="24"/>
        </w:rPr>
        <w:t>at [40].</w:t>
      </w:r>
    </w:p>
    <w:p>
      <w:pPr>
        <w:pStyle w:val="CaselawNumbered10"/>
        <w:numPr>
          <w:ilvl w:val="0"/>
          <w:numId w:val="56"/>
        </w:numPr>
        <w:spacing w:before="150" w:after="0"/>
        <w:ind w:left="600" w:hanging="600"/>
      </w:pPr>
      <w:r>
        <w:rPr>
          <w:rFonts w:ascii="Arial"/>
          <w:color w:val="000000"/>
          <w:sz w:val="24"/>
        </w:rPr>
        <w:t xml:space="preserve">The </w:t>
      </w:r>
      <w:r>
        <w:rPr>
          <w:rFonts w:ascii="Arial"/>
          <w:color w:val="000000"/>
          <w:sz w:val="24"/>
        </w:rPr>
        <w:t xml:space="preserve">Council </w:t>
      </w:r>
      <w:r>
        <w:rPr>
          <w:rFonts w:ascii="Arial"/>
          <w:color w:val="000000"/>
          <w:sz w:val="24"/>
        </w:rPr>
        <w:t>distinguish</w:t>
      </w:r>
      <w:r>
        <w:rPr>
          <w:rFonts w:ascii="Arial"/>
          <w:color w:val="000000"/>
          <w:sz w:val="24"/>
        </w:rPr>
        <w:t>es the decision in</w:t>
      </w:r>
      <w:r>
        <w:rPr>
          <w:rFonts w:ascii="Arial"/>
          <w:color w:val="000000"/>
          <w:sz w:val="24"/>
        </w:rPr>
        <w:t xml:space="preserve"> </w:t>
      </w:r>
      <w:r>
        <w:rPr>
          <w:rFonts w:ascii="Arial"/>
          <w:i/>
          <w:color w:val="000000"/>
          <w:sz w:val="24"/>
        </w:rPr>
        <w:t>Goldberg v Waverl</w:t>
      </w:r>
      <w:r>
        <w:rPr>
          <w:rFonts w:ascii="Arial"/>
          <w:i/>
          <w:color w:val="000000"/>
          <w:sz w:val="24"/>
        </w:rPr>
        <w:t>e</w:t>
      </w:r>
      <w:r>
        <w:rPr>
          <w:rFonts w:ascii="Arial"/>
          <w:i/>
          <w:color w:val="000000"/>
          <w:sz w:val="24"/>
        </w:rPr>
        <w:t>y Council</w:t>
      </w:r>
      <w:r>
        <w:rPr>
          <w:rFonts w:ascii="Arial"/>
          <w:color w:val="000000"/>
          <w:sz w:val="24"/>
        </w:rPr>
        <w:t xml:space="preserve"> </w:t>
      </w:r>
      <w:r>
        <w:rPr>
          <w:rFonts w:ascii="Arial"/>
          <w:color w:val="000000"/>
          <w:sz w:val="24"/>
        </w:rPr>
        <w:t>[2008] NSWLEC 49 (</w:t>
      </w:r>
      <w:r>
        <w:rPr>
          <w:rFonts w:ascii="Arial"/>
          <w:i/>
          <w:color w:val="000000"/>
          <w:sz w:val="24"/>
        </w:rPr>
        <w:t>Goldberg</w:t>
      </w:r>
      <w:r>
        <w:rPr>
          <w:rFonts w:ascii="Arial"/>
          <w:color w:val="000000"/>
          <w:sz w:val="24"/>
        </w:rPr>
        <w:t>)</w:t>
      </w:r>
      <w:r>
        <w:rPr>
          <w:rFonts w:ascii="Arial"/>
          <w:color w:val="000000"/>
          <w:sz w:val="24"/>
        </w:rPr>
        <w:t xml:space="preserve">, </w:t>
      </w:r>
      <w:r>
        <w:rPr>
          <w:rFonts w:ascii="Arial"/>
          <w:color w:val="000000"/>
          <w:sz w:val="24"/>
        </w:rPr>
        <w:t xml:space="preserve">which adopted the reasoning in </w:t>
      </w:r>
      <w:r>
        <w:rPr>
          <w:rFonts w:ascii="Arial"/>
          <w:i/>
          <w:color w:val="000000"/>
          <w:sz w:val="24"/>
        </w:rPr>
        <w:t>Argyropoulos</w:t>
      </w:r>
      <w:r>
        <w:rPr>
          <w:rFonts w:ascii="Arial"/>
          <w:i/>
          <w:color w:val="000000"/>
          <w:sz w:val="24"/>
        </w:rPr>
        <w:t xml:space="preserve">, </w:t>
      </w:r>
      <w:r>
        <w:rPr>
          <w:rFonts w:ascii="Arial"/>
          <w:color w:val="000000"/>
          <w:sz w:val="24"/>
        </w:rPr>
        <w:t>on its particular</w:t>
      </w:r>
      <w:r>
        <w:rPr>
          <w:rFonts w:ascii="Arial"/>
          <w:color w:val="000000"/>
          <w:sz w:val="24"/>
        </w:rPr>
        <w:t xml:space="preserve"> </w:t>
      </w:r>
      <w:r>
        <w:rPr>
          <w:rFonts w:ascii="Arial"/>
          <w:color w:val="000000"/>
          <w:sz w:val="24"/>
        </w:rPr>
        <w:t xml:space="preserve">facts. In </w:t>
      </w:r>
      <w:r>
        <w:rPr>
          <w:rFonts w:ascii="Arial"/>
          <w:i/>
          <w:color w:val="000000"/>
          <w:sz w:val="24"/>
        </w:rPr>
        <w:t>Gold</w:t>
      </w:r>
      <w:r>
        <w:rPr>
          <w:rFonts w:ascii="Arial"/>
          <w:i/>
          <w:color w:val="000000"/>
          <w:sz w:val="24"/>
        </w:rPr>
        <w:t>b</w:t>
      </w:r>
      <w:r>
        <w:rPr>
          <w:rFonts w:ascii="Arial"/>
          <w:i/>
          <w:color w:val="000000"/>
          <w:sz w:val="24"/>
        </w:rPr>
        <w:t>erg</w:t>
      </w:r>
      <w:r>
        <w:rPr>
          <w:rFonts w:ascii="Arial"/>
          <w:color w:val="000000"/>
          <w:sz w:val="24"/>
        </w:rPr>
        <w:t>,</w:t>
      </w:r>
      <w:r>
        <w:rPr>
          <w:rFonts w:ascii="Arial"/>
          <w:color w:val="000000"/>
          <w:sz w:val="24"/>
        </w:rPr>
        <w:t xml:space="preserve"> </w:t>
      </w:r>
      <w:r>
        <w:rPr>
          <w:rFonts w:ascii="Arial"/>
          <w:color w:val="000000"/>
          <w:sz w:val="24"/>
        </w:rPr>
        <w:t>the applicant</w:t>
      </w:r>
      <w:r>
        <w:rPr>
          <w:rFonts w:ascii="Arial"/>
          <w:i/>
          <w:color w:val="000000"/>
          <w:sz w:val="24"/>
        </w:rPr>
        <w:t xml:space="preserve"> </w:t>
      </w:r>
      <w:r>
        <w:rPr>
          <w:rFonts w:ascii="Arial"/>
          <w:color w:val="000000"/>
          <w:sz w:val="24"/>
        </w:rPr>
        <w:t xml:space="preserve">sought consent to </w:t>
      </w:r>
      <w:r>
        <w:rPr>
          <w:rFonts w:ascii="Arial"/>
          <w:color w:val="000000"/>
          <w:sz w:val="24"/>
        </w:rPr>
        <w:t xml:space="preserve">subdivide the land into two allotments, and to construct a driveway on an unmade section of public road to provide access to the land: at [1]. The land was zoned </w:t>
      </w:r>
      <w:r>
        <w:rPr>
          <w:rFonts w:ascii="Arial"/>
          <w:color w:val="000000"/>
          <w:sz w:val="24"/>
        </w:rPr>
        <w:t>residential,</w:t>
      </w:r>
      <w:r>
        <w:rPr>
          <w:rFonts w:ascii="Arial"/>
          <w:color w:val="000000"/>
          <w:sz w:val="24"/>
        </w:rPr>
        <w:t xml:space="preserve"> </w:t>
      </w:r>
      <w:r>
        <w:rPr>
          <w:rFonts w:ascii="Arial"/>
          <w:color w:val="000000"/>
          <w:sz w:val="24"/>
        </w:rPr>
        <w:t xml:space="preserve">and the unmade section of public road was zoned open space: at [2]-[3]. The unmade section of public road already provided pedestrian access to the land and two other properties: at [3]. The </w:t>
      </w:r>
      <w:r>
        <w:rPr>
          <w:rFonts w:ascii="Arial"/>
          <w:color w:val="000000"/>
          <w:sz w:val="24"/>
        </w:rPr>
        <w:t xml:space="preserve">respondent </w:t>
      </w:r>
      <w:r>
        <w:rPr>
          <w:rFonts w:ascii="Arial"/>
          <w:color w:val="000000"/>
          <w:sz w:val="24"/>
        </w:rPr>
        <w:t xml:space="preserve">council contended that the </w:t>
      </w:r>
      <w:r>
        <w:rPr>
          <w:rFonts w:ascii="Arial"/>
          <w:color w:val="000000"/>
          <w:sz w:val="24"/>
        </w:rPr>
        <w:t>development was</w:t>
      </w:r>
      <w:r>
        <w:rPr>
          <w:rFonts w:ascii="Arial"/>
          <w:color w:val="000000"/>
          <w:sz w:val="24"/>
        </w:rPr>
        <w:t xml:space="preserve"> </w:t>
      </w:r>
      <w:r>
        <w:rPr>
          <w:rFonts w:ascii="Arial"/>
          <w:color w:val="000000"/>
          <w:sz w:val="24"/>
        </w:rPr>
        <w:t xml:space="preserve">not a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 xml:space="preserve">but rather a </w:t>
      </w:r>
      <w:r>
        <w:rPr>
          <w:rFonts w:ascii="Arial"/>
          <w:color w:val="000000"/>
          <w:sz w:val="24"/>
        </w:rPr>
        <w:t>“</w:t>
      </w:r>
      <w:r>
        <w:rPr>
          <w:rFonts w:ascii="Arial"/>
          <w:color w:val="000000"/>
          <w:sz w:val="24"/>
        </w:rPr>
        <w:t>driveway</w:t>
      </w:r>
      <w:r>
        <w:rPr>
          <w:rFonts w:ascii="Arial"/>
          <w:color w:val="000000"/>
          <w:sz w:val="24"/>
        </w:rPr>
        <w:t>”</w:t>
      </w:r>
      <w:r>
        <w:rPr>
          <w:rFonts w:ascii="Arial"/>
          <w:color w:val="000000"/>
          <w:sz w:val="24"/>
        </w:rPr>
        <w:t xml:space="preserve"> </w:t>
      </w:r>
      <w:r>
        <w:rPr>
          <w:rFonts w:ascii="Arial"/>
          <w:color w:val="000000"/>
          <w:sz w:val="24"/>
        </w:rPr>
        <w:t>to provide access to the residential subdivision which was for a purpose that was prohibited in the open space zone: at [4].</w:t>
      </w:r>
      <w:r>
        <w:rPr>
          <w:rFonts w:ascii="Arial"/>
          <w:color w:val="000000"/>
          <w:sz w:val="24"/>
        </w:rPr>
        <w:t xml:space="preserve"> </w:t>
      </w:r>
      <w:r>
        <w:rPr>
          <w:rFonts w:ascii="Arial"/>
          <w:color w:val="000000"/>
          <w:sz w:val="24"/>
        </w:rPr>
        <w:t xml:space="preserve">However, </w:t>
      </w:r>
      <w:r>
        <w:rPr>
          <w:rFonts w:ascii="Arial"/>
          <w:color w:val="000000"/>
          <w:sz w:val="24"/>
        </w:rPr>
        <w:t>Lloyd J</w:t>
      </w:r>
      <w:r>
        <w:rPr>
          <w:rFonts w:ascii="Arial"/>
          <w:color w:val="000000"/>
          <w:sz w:val="24"/>
        </w:rPr>
        <w:t xml:space="preserve"> </w:t>
      </w:r>
      <w:r>
        <w:rPr>
          <w:rFonts w:ascii="Arial"/>
          <w:color w:val="000000"/>
          <w:sz w:val="24"/>
        </w:rPr>
        <w:t xml:space="preserve">did follow </w:t>
      </w:r>
      <w:r>
        <w:rPr>
          <w:rFonts w:ascii="Arial"/>
          <w:i/>
          <w:color w:val="000000"/>
          <w:sz w:val="24"/>
        </w:rPr>
        <w:t>Argyropoulos</w:t>
      </w:r>
      <w:r>
        <w:rPr>
          <w:rFonts w:ascii="Arial"/>
          <w:color w:val="000000"/>
          <w:sz w:val="24"/>
        </w:rPr>
        <w:t xml:space="preserve"> </w:t>
      </w:r>
      <w:r>
        <w:rPr>
          <w:rFonts w:ascii="Arial"/>
          <w:color w:val="000000"/>
          <w:sz w:val="24"/>
        </w:rPr>
        <w:t xml:space="preserve">and held: </w:t>
      </w:r>
    </w:p>
    <w:p>
      <w:pPr>
        <w:pStyle w:val="CaselawQuote"/>
        <w:spacing w:before="150" w:after="150"/>
        <w:ind w:left="1350"/>
        <w:jc w:val="left"/>
      </w:pPr>
      <w:r>
        <w:rPr>
          <w:rFonts w:ascii="Arial"/>
          <w:color w:val="000000"/>
          <w:sz w:val="22"/>
        </w:rPr>
        <w:t>“50</w:t>
      </w:r>
      <w:r>
        <w:rPr>
          <w:rFonts w:ascii="Arial"/>
          <w:color w:val="000000"/>
          <w:sz w:val="22"/>
        </w:rPr>
        <w:t xml:space="preserve"> On the basis of the decision in </w:t>
      </w:r>
      <w:r>
        <w:rPr>
          <w:rFonts w:ascii="Arial"/>
          <w:i/>
          <w:color w:val="000000"/>
          <w:sz w:val="22"/>
        </w:rPr>
        <w:t>Argyropoulos</w:t>
      </w:r>
      <w:r>
        <w:rPr>
          <w:rFonts w:ascii="Arial"/>
          <w:color w:val="000000"/>
          <w:sz w:val="22"/>
        </w:rPr>
        <w:t xml:space="preserve">, Mr Galasso SC submits that a road use is contemplated by the LEP as a separate use and that the use of the local road reserve for a road, being an exempted use under cl 43 and Sch 4, does not become a prohibited use because the start and/or destination of vehicles passing over the road is residential land. Conversely, the LEP does not require a council, when determining an application for use of land, to conclude that if the users of the road are proceeding to or from land zoned as residential there is such a nexus between the use of the local road reserve and the use of the residential land that the council has no power to grant its consent to the application. I respectfully agree with these submissions. Indeed, the decision in </w:t>
      </w:r>
      <w:r>
        <w:rPr>
          <w:rFonts w:ascii="Arial"/>
          <w:i/>
          <w:color w:val="000000"/>
          <w:sz w:val="22"/>
        </w:rPr>
        <w:t>Argyropoulos</w:t>
      </w:r>
      <w:r>
        <w:rPr>
          <w:rFonts w:ascii="Arial"/>
          <w:color w:val="000000"/>
          <w:sz w:val="22"/>
        </w:rPr>
        <w:t xml:space="preserve"> compels such a conclusion.</w:t>
      </w:r>
    </w:p>
    <w:p>
      <w:pPr>
        <w:pStyle w:val="CaselawQuote"/>
        <w:spacing w:before="150" w:after="150"/>
        <w:ind w:left="1350"/>
        <w:jc w:val="left"/>
      </w:pPr>
      <w:r>
        <w:rPr>
          <w:rFonts w:ascii="Arial"/>
          <w:b/>
          <w:color w:val="000000"/>
          <w:sz w:val="22"/>
        </w:rPr>
        <w:t>51 The proposition that the use of a road is separate and not ancillary to its end use is reinforced in the present case by the fact that the land on which the driveway is to be constructed is legally separate from the residential land and is a road within the meaning of the Roads Act.</w:t>
      </w:r>
    </w:p>
    <w:p>
      <w:pPr>
        <w:pStyle w:val="CaselawQuote"/>
        <w:spacing w:before="150" w:after="150"/>
        <w:ind w:left="1350"/>
        <w:jc w:val="left"/>
      </w:pPr>
      <w:r>
        <w:rPr>
          <w:rFonts w:ascii="Arial"/>
          <w:color w:val="000000"/>
          <w:sz w:val="22"/>
        </w:rPr>
        <w:t>52</w:t>
      </w:r>
      <w:r>
        <w:rPr>
          <w:rFonts w:ascii="Arial"/>
          <w:color w:val="000000"/>
          <w:sz w:val="22"/>
        </w:rPr>
        <w:t xml:space="preserve"> …</w:t>
      </w:r>
      <w:r>
        <w:rPr>
          <w:rFonts w:ascii="Arial"/>
          <w:color w:val="000000"/>
          <w:sz w:val="22"/>
        </w:rPr>
        <w:t>      </w:t>
      </w:r>
    </w:p>
    <w:p>
      <w:pPr>
        <w:pStyle w:val="CaselawQuote"/>
        <w:spacing w:before="150" w:after="150"/>
        <w:ind w:left="1350"/>
        <w:jc w:val="left"/>
      </w:pPr>
      <w:r>
        <w:rPr>
          <w:rFonts w:ascii="Arial"/>
          <w:color w:val="000000"/>
          <w:sz w:val="22"/>
        </w:rPr>
        <w:t xml:space="preserve">59 I concur with Mr Galasso SC that the present factual circumstances are very different from those in </w:t>
      </w:r>
      <w:r>
        <w:rPr>
          <w:rFonts w:ascii="Arial"/>
          <w:i/>
          <w:color w:val="000000"/>
          <w:sz w:val="22"/>
        </w:rPr>
        <w:t>Chamwell</w:t>
      </w:r>
      <w:r>
        <w:rPr>
          <w:rFonts w:ascii="Arial"/>
          <w:color w:val="000000"/>
          <w:sz w:val="22"/>
        </w:rPr>
        <w:t xml:space="preserve">. The latter presented a situation where there were two distinct uses served by the car park and its other features, namely the supermarket and the multi-unit housing. The Court was thus confronted with deciding which of these uses was predominantly served by the car park. </w:t>
      </w:r>
      <w:r>
        <w:rPr>
          <w:rFonts w:ascii="Arial"/>
          <w:b/>
          <w:color w:val="000000"/>
          <w:sz w:val="22"/>
        </w:rPr>
        <w:t xml:space="preserve">In the present case, akin to </w:t>
      </w:r>
      <w:r>
        <w:rPr>
          <w:rFonts w:ascii="Arial"/>
          <w:b/>
          <w:i/>
          <w:color w:val="000000"/>
          <w:sz w:val="22"/>
        </w:rPr>
        <w:t>Argyropoulos</w:t>
      </w:r>
      <w:r>
        <w:rPr>
          <w:rFonts w:ascii="Arial"/>
          <w:b/>
          <w:color w:val="000000"/>
          <w:sz w:val="22"/>
        </w:rPr>
        <w:t>, the driveway is the single feature and its only purpose is to serve the abutting land.</w:t>
      </w:r>
      <w:r>
        <w:rPr>
          <w:rFonts w:ascii="Arial"/>
          <w:color w:val="000000"/>
          <w:sz w:val="22"/>
        </w:rPr>
        <w:t xml:space="preserve">” </w:t>
      </w:r>
    </w:p>
    <w:p>
      <w:pPr>
        <w:pStyle w:val="CaselawQuote"/>
        <w:spacing w:before="150" w:after="150"/>
        <w:ind w:left="1350"/>
        <w:jc w:val="left"/>
      </w:pPr>
      <w:r>
        <w:rPr>
          <w:rFonts w:ascii="Arial"/>
          <w:color w:val="000000"/>
          <w:sz w:val="22"/>
        </w:rPr>
        <w:t>(Emphasis added)</w:t>
      </w:r>
    </w:p>
    <w:p>
      <w:pPr>
        <w:pStyle w:val="CaselawNumbered10"/>
        <w:numPr>
          <w:ilvl w:val="0"/>
          <w:numId w:val="57"/>
        </w:numPr>
        <w:spacing w:before="150" w:after="0"/>
        <w:ind w:left="600" w:hanging="600"/>
      </w:pPr>
      <w:r>
        <w:rPr>
          <w:rFonts w:ascii="Arial"/>
          <w:color w:val="000000"/>
          <w:sz w:val="24"/>
        </w:rPr>
        <w:t>T</w:t>
      </w:r>
      <w:r>
        <w:rPr>
          <w:rFonts w:ascii="Arial"/>
          <w:color w:val="000000"/>
          <w:sz w:val="24"/>
        </w:rPr>
        <w:t xml:space="preserve">he Council submits that in </w:t>
      </w:r>
      <w:r>
        <w:rPr>
          <w:rFonts w:ascii="Arial"/>
          <w:i/>
          <w:color w:val="000000"/>
          <w:sz w:val="24"/>
        </w:rPr>
        <w:t>Goldberg</w:t>
      </w:r>
      <w:r>
        <w:rPr>
          <w:rFonts w:ascii="Arial"/>
          <w:color w:val="000000"/>
          <w:sz w:val="24"/>
        </w:rPr>
        <w:t xml:space="preserve">, the </w:t>
      </w:r>
      <w:r>
        <w:rPr>
          <w:rFonts w:ascii="Arial"/>
          <w:color w:val="000000"/>
          <w:sz w:val="24"/>
        </w:rPr>
        <w:t xml:space="preserve">fact that the </w:t>
      </w:r>
      <w:r>
        <w:rPr>
          <w:rFonts w:ascii="Arial"/>
          <w:color w:val="000000"/>
          <w:sz w:val="24"/>
        </w:rPr>
        <w:t xml:space="preserve">new driveway would be constructed </w:t>
      </w:r>
      <w:r>
        <w:rPr>
          <w:rFonts w:ascii="Arial"/>
          <w:color w:val="000000"/>
          <w:sz w:val="24"/>
        </w:rPr>
        <w:t xml:space="preserve">on </w:t>
      </w:r>
      <w:r>
        <w:rPr>
          <w:rFonts w:ascii="Arial"/>
          <w:color w:val="000000"/>
          <w:sz w:val="24"/>
        </w:rPr>
        <w:t xml:space="preserve">an existing public road </w:t>
      </w:r>
      <w:r>
        <w:rPr>
          <w:rFonts w:ascii="Arial"/>
          <w:color w:val="000000"/>
          <w:sz w:val="24"/>
        </w:rPr>
        <w:t xml:space="preserve">meant it clearly fell </w:t>
      </w:r>
      <w:r>
        <w:rPr>
          <w:rFonts w:ascii="Arial"/>
          <w:color w:val="000000"/>
          <w:sz w:val="24"/>
        </w:rPr>
        <w:t xml:space="preserve">within the meaning of the </w:t>
      </w:r>
      <w:r>
        <w:rPr>
          <w:rFonts w:ascii="Arial"/>
          <w:i/>
          <w:color w:val="000000"/>
          <w:sz w:val="24"/>
        </w:rPr>
        <w:t>Roads Act</w:t>
      </w:r>
      <w:r>
        <w:rPr>
          <w:rFonts w:ascii="Arial"/>
          <w:color w:val="000000"/>
          <w:sz w:val="24"/>
        </w:rPr>
        <w:t xml:space="preserve">. </w:t>
      </w:r>
      <w:r>
        <w:rPr>
          <w:rFonts w:ascii="Arial"/>
          <w:color w:val="000000"/>
          <w:sz w:val="24"/>
        </w:rPr>
        <w:t>Whereas</w:t>
      </w:r>
      <w:r>
        <w:rPr>
          <w:rFonts w:ascii="Arial"/>
          <w:color w:val="000000"/>
          <w:sz w:val="24"/>
        </w:rPr>
        <w:t xml:space="preserve"> </w:t>
      </w:r>
      <w:r>
        <w:rPr>
          <w:rFonts w:ascii="Arial"/>
          <w:color w:val="000000"/>
          <w:sz w:val="24"/>
        </w:rPr>
        <w:t>i</w:t>
      </w:r>
      <w:r>
        <w:rPr>
          <w:rFonts w:ascii="Arial"/>
          <w:color w:val="000000"/>
          <w:sz w:val="24"/>
        </w:rPr>
        <w:t>n the present case, the access driveway on 87 Norfolk Road is not proposed on</w:t>
      </w:r>
      <w:r>
        <w:rPr>
          <w:rFonts w:ascii="Arial"/>
          <w:color w:val="000000"/>
          <w:sz w:val="24"/>
        </w:rPr>
        <w:t xml:space="preserve"> </w:t>
      </w:r>
      <w:r>
        <w:rPr>
          <w:rFonts w:ascii="Arial"/>
          <w:color w:val="000000"/>
          <w:sz w:val="24"/>
        </w:rPr>
        <w:t xml:space="preserve">an </w:t>
      </w:r>
      <w:r>
        <w:rPr>
          <w:rFonts w:ascii="Arial"/>
          <w:color w:val="000000"/>
          <w:sz w:val="24"/>
        </w:rPr>
        <w:t>existing public road. Further</w:t>
      </w:r>
      <w:r>
        <w:rPr>
          <w:rFonts w:ascii="Arial"/>
          <w:color w:val="000000"/>
          <w:sz w:val="24"/>
        </w:rPr>
        <w:t>more</w:t>
      </w:r>
      <w:r>
        <w:rPr>
          <w:rFonts w:ascii="Arial"/>
          <w:color w:val="000000"/>
          <w:sz w:val="24"/>
        </w:rPr>
        <w:t xml:space="preserve">, </w:t>
      </w:r>
      <w:r>
        <w:rPr>
          <w:rFonts w:ascii="Arial"/>
          <w:color w:val="000000"/>
          <w:sz w:val="24"/>
        </w:rPr>
        <w:t>if approved, the</w:t>
      </w:r>
      <w:r>
        <w:rPr>
          <w:rFonts w:ascii="Arial"/>
          <w:color w:val="000000"/>
          <w:sz w:val="24"/>
        </w:rPr>
        <w:t xml:space="preserve"> </w:t>
      </w:r>
      <w:r>
        <w:rPr>
          <w:rFonts w:ascii="Arial"/>
          <w:color w:val="000000"/>
          <w:sz w:val="24"/>
        </w:rPr>
        <w:t xml:space="preserve">address for the residential flat building </w:t>
      </w:r>
      <w:r>
        <w:rPr>
          <w:rFonts w:ascii="Arial"/>
          <w:color w:val="000000"/>
          <w:sz w:val="24"/>
        </w:rPr>
        <w:t xml:space="preserve">will </w:t>
      </w:r>
      <w:r>
        <w:rPr>
          <w:rFonts w:ascii="Arial"/>
          <w:color w:val="000000"/>
          <w:sz w:val="24"/>
        </w:rPr>
        <w:t>relate to 87 Norfolk Road</w:t>
      </w:r>
      <w:r>
        <w:rPr>
          <w:rFonts w:ascii="Arial"/>
          <w:color w:val="000000"/>
          <w:sz w:val="24"/>
        </w:rPr>
        <w:t xml:space="preserve"> </w:t>
      </w:r>
      <w:r>
        <w:rPr>
          <w:rFonts w:ascii="Arial"/>
          <w:color w:val="000000"/>
          <w:sz w:val="24"/>
        </w:rPr>
        <w:t xml:space="preserve">– </w:t>
      </w:r>
      <w:r>
        <w:rPr>
          <w:rFonts w:ascii="Arial"/>
          <w:color w:val="000000"/>
          <w:sz w:val="24"/>
        </w:rPr>
        <w:t>being another public road</w:t>
      </w:r>
      <w:r>
        <w:rPr>
          <w:rFonts w:ascii="Arial"/>
          <w:color w:val="000000"/>
          <w:sz w:val="24"/>
        </w:rPr>
        <w:t>.</w:t>
      </w:r>
    </w:p>
    <w:p>
      <w:pPr>
        <w:pStyle w:val="CaselawNumbered10"/>
        <w:numPr>
          <w:ilvl w:val="0"/>
          <w:numId w:val="57"/>
        </w:numPr>
        <w:spacing w:before="150" w:after="0"/>
        <w:ind w:left="600" w:hanging="600"/>
      </w:pPr>
      <w:r>
        <w:rPr>
          <w:rFonts w:ascii="Arial"/>
          <w:color w:val="000000"/>
          <w:sz w:val="24"/>
        </w:rPr>
        <w:t xml:space="preserve">Another distinguishing feature </w:t>
      </w:r>
      <w:r>
        <w:rPr>
          <w:rFonts w:ascii="Arial"/>
          <w:color w:val="000000"/>
          <w:sz w:val="24"/>
        </w:rPr>
        <w:t xml:space="preserve">between the present appeal and </w:t>
      </w:r>
      <w:r>
        <w:rPr>
          <w:rFonts w:ascii="Arial"/>
          <w:color w:val="000000"/>
          <w:sz w:val="24"/>
        </w:rPr>
        <w:t xml:space="preserve">in </w:t>
      </w:r>
      <w:r>
        <w:rPr>
          <w:rFonts w:ascii="Arial"/>
          <w:i/>
          <w:color w:val="000000"/>
          <w:sz w:val="24"/>
        </w:rPr>
        <w:t>Goldberg</w:t>
      </w:r>
      <w:r>
        <w:rPr>
          <w:rFonts w:ascii="Arial"/>
          <w:color w:val="000000"/>
          <w:sz w:val="24"/>
        </w:rPr>
        <w:t>,</w:t>
      </w:r>
      <w:r>
        <w:rPr>
          <w:rFonts w:ascii="Arial"/>
          <w:color w:val="000000"/>
          <w:sz w:val="24"/>
        </w:rPr>
        <w:t xml:space="preserve"> </w:t>
      </w:r>
      <w:r>
        <w:rPr>
          <w:rFonts w:ascii="Arial"/>
          <w:color w:val="000000"/>
          <w:sz w:val="24"/>
        </w:rPr>
        <w:t xml:space="preserve">is </w:t>
      </w:r>
      <w:r>
        <w:rPr>
          <w:rFonts w:ascii="Arial"/>
          <w:color w:val="000000"/>
          <w:sz w:val="24"/>
        </w:rPr>
        <w:t xml:space="preserve">said to be </w:t>
      </w:r>
      <w:r>
        <w:rPr>
          <w:rFonts w:ascii="Arial"/>
          <w:color w:val="000000"/>
          <w:sz w:val="24"/>
        </w:rPr>
        <w:t>the fact that</w:t>
      </w:r>
      <w:r>
        <w:rPr>
          <w:rFonts w:ascii="Arial"/>
          <w:color w:val="000000"/>
          <w:sz w:val="24"/>
        </w:rPr>
        <w:t xml:space="preserve"> </w:t>
      </w:r>
      <w:r>
        <w:rPr>
          <w:rFonts w:ascii="Arial"/>
          <w:color w:val="000000"/>
          <w:sz w:val="24"/>
        </w:rPr>
        <w:t xml:space="preserve">the unmade section of public road </w:t>
      </w:r>
      <w:r>
        <w:rPr>
          <w:rFonts w:ascii="Arial"/>
          <w:color w:val="000000"/>
          <w:sz w:val="24"/>
        </w:rPr>
        <w:t xml:space="preserve">where the new road </w:t>
      </w:r>
      <w:r>
        <w:rPr>
          <w:rFonts w:ascii="Arial"/>
          <w:color w:val="000000"/>
          <w:sz w:val="24"/>
        </w:rPr>
        <w:t xml:space="preserve">was </w:t>
      </w:r>
      <w:r>
        <w:rPr>
          <w:rFonts w:ascii="Arial"/>
          <w:color w:val="000000"/>
          <w:sz w:val="24"/>
        </w:rPr>
        <w:t xml:space="preserve">proposed already </w:t>
      </w:r>
      <w:r>
        <w:rPr>
          <w:rFonts w:ascii="Arial"/>
          <w:color w:val="000000"/>
          <w:sz w:val="24"/>
        </w:rPr>
        <w:t xml:space="preserve">provided pedestrian access to the land and two other properties. </w:t>
      </w:r>
      <w:r>
        <w:rPr>
          <w:rFonts w:ascii="Arial"/>
          <w:color w:val="000000"/>
          <w:sz w:val="24"/>
        </w:rPr>
        <w:t>Whereas i</w:t>
      </w:r>
      <w:r>
        <w:rPr>
          <w:rFonts w:ascii="Arial"/>
          <w:color w:val="000000"/>
          <w:sz w:val="24"/>
        </w:rPr>
        <w:t xml:space="preserve">n </w:t>
      </w:r>
      <w:r>
        <w:rPr>
          <w:rFonts w:ascii="Arial"/>
          <w:color w:val="000000"/>
          <w:sz w:val="24"/>
        </w:rPr>
        <w:t xml:space="preserve">this </w:t>
      </w:r>
      <w:r>
        <w:rPr>
          <w:rFonts w:ascii="Arial"/>
          <w:color w:val="000000"/>
          <w:sz w:val="24"/>
        </w:rPr>
        <w:t xml:space="preserve">case, the land on which the access driveway is proposed </w:t>
      </w:r>
      <w:r>
        <w:rPr>
          <w:rFonts w:ascii="Arial"/>
          <w:color w:val="000000"/>
          <w:sz w:val="24"/>
        </w:rPr>
        <w:t xml:space="preserve">has </w:t>
      </w:r>
      <w:r>
        <w:rPr>
          <w:rFonts w:ascii="Arial"/>
          <w:color w:val="000000"/>
          <w:sz w:val="24"/>
        </w:rPr>
        <w:t>a separate dwelling, with boundary fencing and provid</w:t>
      </w:r>
      <w:r>
        <w:rPr>
          <w:rFonts w:ascii="Arial"/>
          <w:color w:val="000000"/>
          <w:sz w:val="24"/>
        </w:rPr>
        <w:t>es</w:t>
      </w:r>
      <w:r>
        <w:rPr>
          <w:rFonts w:ascii="Arial"/>
          <w:color w:val="000000"/>
          <w:sz w:val="24"/>
        </w:rPr>
        <w:t xml:space="preserve"> </w:t>
      </w:r>
      <w:r>
        <w:rPr>
          <w:rFonts w:ascii="Arial"/>
          <w:color w:val="000000"/>
          <w:sz w:val="24"/>
        </w:rPr>
        <w:t xml:space="preserve">no </w:t>
      </w:r>
      <w:r>
        <w:rPr>
          <w:rFonts w:ascii="Arial"/>
          <w:color w:val="000000"/>
          <w:sz w:val="24"/>
        </w:rPr>
        <w:t xml:space="preserve">direct </w:t>
      </w:r>
      <w:r>
        <w:rPr>
          <w:rFonts w:ascii="Arial"/>
          <w:color w:val="000000"/>
          <w:sz w:val="24"/>
        </w:rPr>
        <w:t xml:space="preserve">access to </w:t>
      </w:r>
      <w:r>
        <w:rPr>
          <w:rFonts w:ascii="Arial"/>
          <w:color w:val="000000"/>
          <w:sz w:val="24"/>
        </w:rPr>
        <w:t xml:space="preserve">the site at </w:t>
      </w:r>
      <w:r>
        <w:rPr>
          <w:rFonts w:ascii="Arial"/>
          <w:color w:val="000000"/>
          <w:sz w:val="24"/>
        </w:rPr>
        <w:t xml:space="preserve">353-355 Waterloo Road. </w:t>
      </w:r>
    </w:p>
    <w:p>
      <w:pPr>
        <w:pStyle w:val="CaselawNumbered10"/>
        <w:numPr>
          <w:ilvl w:val="0"/>
          <w:numId w:val="57"/>
        </w:numPr>
        <w:spacing w:before="150" w:after="0"/>
        <w:ind w:left="600" w:hanging="600"/>
      </w:pPr>
      <w:r>
        <w:rPr>
          <w:rFonts w:ascii="Arial"/>
          <w:color w:val="000000"/>
          <w:sz w:val="24"/>
        </w:rPr>
        <w:t xml:space="preserve">The Council also relies on </w:t>
      </w:r>
      <w:r>
        <w:rPr>
          <w:rFonts w:ascii="Arial"/>
          <w:i/>
          <w:color w:val="000000"/>
          <w:sz w:val="24"/>
        </w:rPr>
        <w:t xml:space="preserve">Site Plus Pty Limited v Wollongong City Council </w:t>
      </w:r>
      <w:r>
        <w:rPr>
          <w:rFonts w:ascii="Arial"/>
          <w:color w:val="000000"/>
          <w:sz w:val="24"/>
        </w:rPr>
        <w:t>[2011] NSWLEC 1371 (</w:t>
      </w:r>
      <w:r>
        <w:rPr>
          <w:rFonts w:ascii="Arial"/>
          <w:i/>
          <w:color w:val="000000"/>
          <w:sz w:val="24"/>
        </w:rPr>
        <w:t>Site Plus</w:t>
      </w:r>
      <w:r>
        <w:rPr>
          <w:rFonts w:ascii="Arial"/>
          <w:color w:val="000000"/>
          <w:sz w:val="24"/>
        </w:rPr>
        <w:t xml:space="preserve">), </w:t>
      </w:r>
      <w:r>
        <w:rPr>
          <w:rFonts w:ascii="Arial"/>
          <w:color w:val="000000"/>
          <w:sz w:val="24"/>
        </w:rPr>
        <w:t>to support its case. In that appeal</w:t>
      </w:r>
      <w:r>
        <w:rPr>
          <w:rFonts w:ascii="Arial"/>
          <w:color w:val="000000"/>
          <w:sz w:val="24"/>
        </w:rPr>
        <w:t>,</w:t>
      </w:r>
      <w:r>
        <w:rPr>
          <w:rFonts w:ascii="Arial"/>
          <w:color w:val="000000"/>
          <w:sz w:val="24"/>
        </w:rPr>
        <w:t xml:space="preserve"> </w:t>
      </w:r>
      <w:r>
        <w:rPr>
          <w:rFonts w:ascii="Arial"/>
          <w:color w:val="000000"/>
          <w:sz w:val="24"/>
        </w:rPr>
        <w:t xml:space="preserve">the Court </w:t>
      </w:r>
      <w:r>
        <w:rPr>
          <w:rFonts w:ascii="Arial"/>
          <w:color w:val="000000"/>
          <w:sz w:val="24"/>
        </w:rPr>
        <w:t>held th</w:t>
      </w:r>
      <w:r>
        <w:rPr>
          <w:rFonts w:ascii="Arial"/>
          <w:color w:val="000000"/>
          <w:sz w:val="24"/>
        </w:rPr>
        <w:t xml:space="preserve">at </w:t>
      </w:r>
      <w:r>
        <w:rPr>
          <w:rFonts w:ascii="Arial"/>
          <w:color w:val="000000"/>
          <w:sz w:val="24"/>
        </w:rPr>
        <w:t>the nature of access over the two other lots was to serve th</w:t>
      </w:r>
      <w:r>
        <w:rPr>
          <w:rFonts w:ascii="Arial"/>
          <w:color w:val="000000"/>
          <w:sz w:val="24"/>
        </w:rPr>
        <w:t>e industrial</w:t>
      </w:r>
      <w:r>
        <w:rPr>
          <w:rFonts w:ascii="Arial"/>
          <w:color w:val="000000"/>
          <w:sz w:val="24"/>
        </w:rPr>
        <w:t xml:space="preserve"> </w:t>
      </w:r>
      <w:r>
        <w:rPr>
          <w:rFonts w:ascii="Arial"/>
          <w:color w:val="000000"/>
          <w:sz w:val="24"/>
        </w:rPr>
        <w:t xml:space="preserve">purpose rather than as a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at [35]. In so finding, the Commissioner held that the use of the two other lots had similar characteristics to that in </w:t>
      </w:r>
      <w:r>
        <w:rPr>
          <w:rFonts w:ascii="Arial"/>
          <w:i/>
          <w:color w:val="000000"/>
          <w:sz w:val="24"/>
        </w:rPr>
        <w:t>Chamwell</w:t>
      </w:r>
      <w:r>
        <w:rPr>
          <w:rFonts w:ascii="Arial"/>
          <w:color w:val="000000"/>
          <w:sz w:val="24"/>
        </w:rPr>
        <w:t xml:space="preserve"> </w:t>
      </w:r>
      <w:r>
        <w:rPr>
          <w:rFonts w:ascii="Arial"/>
          <w:color w:val="000000"/>
          <w:sz w:val="24"/>
        </w:rPr>
        <w:t xml:space="preserve">and that </w:t>
      </w:r>
      <w:r>
        <w:rPr>
          <w:rFonts w:ascii="Arial"/>
          <w:i/>
          <w:color w:val="000000"/>
          <w:sz w:val="24"/>
        </w:rPr>
        <w:t>Argyropoulos</w:t>
      </w:r>
      <w:r>
        <w:rPr>
          <w:rFonts w:ascii="Arial"/>
          <w:color w:val="000000"/>
          <w:sz w:val="24"/>
        </w:rPr>
        <w:t xml:space="preserve"> </w:t>
      </w:r>
      <w:r>
        <w:rPr>
          <w:rFonts w:ascii="Arial"/>
          <w:color w:val="000000"/>
          <w:sz w:val="24"/>
        </w:rPr>
        <w:t>could be distinguished: at [36].</w:t>
      </w:r>
      <w:r>
        <w:rPr>
          <w:rFonts w:ascii="Arial"/>
          <w:color w:val="000000"/>
          <w:sz w:val="24"/>
        </w:rPr>
        <w:t xml:space="preserve"> </w:t>
      </w:r>
    </w:p>
    <w:p>
      <w:pPr>
        <w:pStyle w:val="CaselawNumbered10"/>
        <w:numPr>
          <w:ilvl w:val="0"/>
          <w:numId w:val="57"/>
        </w:numPr>
        <w:spacing w:before="150" w:after="0"/>
        <w:ind w:left="600" w:hanging="600"/>
      </w:pPr>
      <w:r>
        <w:rPr>
          <w:rFonts w:ascii="Arial"/>
          <w:color w:val="000000"/>
          <w:sz w:val="24"/>
        </w:rPr>
        <w:t xml:space="preserve">On </w:t>
      </w:r>
      <w:r>
        <w:rPr>
          <w:rFonts w:ascii="Arial"/>
          <w:color w:val="000000"/>
          <w:sz w:val="24"/>
        </w:rPr>
        <w:t xml:space="preserve">a 56A appeal </w:t>
      </w:r>
      <w:r>
        <w:rPr>
          <w:rFonts w:ascii="Arial"/>
          <w:color w:val="000000"/>
          <w:sz w:val="24"/>
        </w:rPr>
        <w:t xml:space="preserve">in </w:t>
      </w:r>
      <w:r>
        <w:rPr>
          <w:rFonts w:ascii="Arial"/>
          <w:i/>
          <w:color w:val="000000"/>
          <w:sz w:val="24"/>
        </w:rPr>
        <w:t>Site Plus Pty Ltd v Wollongong City Council</w:t>
      </w:r>
      <w:r>
        <w:rPr>
          <w:rFonts w:ascii="Arial"/>
          <w:color w:val="000000"/>
          <w:sz w:val="24"/>
        </w:rPr>
        <w:t xml:space="preserve"> </w:t>
      </w:r>
      <w:r>
        <w:rPr>
          <w:rFonts w:ascii="Arial"/>
          <w:color w:val="000000"/>
          <w:sz w:val="24"/>
        </w:rPr>
        <w:t>[2014] NSWLEC 125</w:t>
      </w:r>
      <w:r>
        <w:rPr>
          <w:rFonts w:ascii="Arial"/>
          <w:color w:val="000000"/>
          <w:sz w:val="24"/>
        </w:rPr>
        <w:t>,</w:t>
      </w:r>
      <w:r>
        <w:rPr>
          <w:rFonts w:ascii="Arial"/>
          <w:color w:val="000000"/>
          <w:sz w:val="24"/>
        </w:rPr>
        <w:t xml:space="preserve"> </w:t>
      </w:r>
      <w:r>
        <w:rPr>
          <w:rFonts w:ascii="Arial"/>
          <w:color w:val="000000"/>
          <w:sz w:val="24"/>
        </w:rPr>
        <w:t>Craig J held:</w:t>
      </w:r>
    </w:p>
    <w:p>
      <w:pPr>
        <w:pStyle w:val="CaselawQuote"/>
        <w:spacing w:before="150" w:after="150"/>
        <w:ind w:left="1350"/>
        <w:jc w:val="left"/>
      </w:pPr>
      <w:r>
        <w:rPr>
          <w:rFonts w:ascii="Arial"/>
          <w:color w:val="000000"/>
          <w:sz w:val="22"/>
        </w:rPr>
        <w:t>“63</w:t>
      </w:r>
      <w:r>
        <w:rPr>
          <w:rFonts w:ascii="Arial"/>
          <w:color w:val="000000"/>
          <w:sz w:val="22"/>
        </w:rPr>
        <w:t>   </w:t>
      </w:r>
      <w:r>
        <w:rPr>
          <w:rFonts w:ascii="Arial"/>
          <w:color w:val="000000"/>
          <w:sz w:val="22"/>
        </w:rPr>
        <w:t xml:space="preserve">Related to its reliance upon the decision in </w:t>
      </w:r>
      <w:r>
        <w:rPr>
          <w:rFonts w:ascii="Arial"/>
          <w:i/>
          <w:color w:val="000000"/>
          <w:sz w:val="22"/>
        </w:rPr>
        <w:t>Argyropoulos</w:t>
      </w:r>
      <w:r>
        <w:rPr>
          <w:rFonts w:ascii="Arial"/>
          <w:color w:val="000000"/>
          <w:sz w:val="22"/>
        </w:rPr>
        <w:t>, the Applicant submits that the Commissioner erred when he characterised the use of Lots 41 and 42 by reference to the use of Lot 2. According to the submission, this involved a failure to consider the present and permissible use of part of Lots 41 and 42 as a road.</w:t>
      </w:r>
    </w:p>
    <w:p>
      <w:pPr>
        <w:pStyle w:val="CaselawQuote"/>
        <w:spacing w:before="150" w:after="150"/>
        <w:ind w:left="1350"/>
        <w:jc w:val="left"/>
      </w:pPr>
      <w:r>
        <w:rPr>
          <w:rFonts w:ascii="Arial"/>
          <w:color w:val="000000"/>
          <w:sz w:val="22"/>
        </w:rPr>
        <w:t>64</w:t>
      </w:r>
      <w:r>
        <w:rPr>
          <w:rFonts w:ascii="Arial"/>
          <w:color w:val="000000"/>
          <w:sz w:val="22"/>
        </w:rPr>
        <w:t>   </w:t>
      </w:r>
      <w:r>
        <w:rPr>
          <w:rFonts w:ascii="Arial"/>
          <w:color w:val="000000"/>
          <w:sz w:val="22"/>
        </w:rPr>
        <w:t>That submission, so it seems to me, fails to take into account the relevant provisions of LEP 2009. By cl 2.3(3) it is provided that reference in the Land Use Table "to a type of building or other thing is a reference to development for the purposes of that type of building</w:t>
      </w:r>
      <w:r>
        <w:rPr>
          <w:rFonts w:ascii="Arial"/>
          <w:color w:val="000000"/>
          <w:sz w:val="22"/>
        </w:rPr>
        <w:t xml:space="preserve"> </w:t>
      </w:r>
      <w:r>
        <w:rPr>
          <w:rFonts w:ascii="Arial"/>
          <w:color w:val="000000"/>
          <w:sz w:val="22"/>
        </w:rPr>
        <w:t>or other thing" (emphasis added). Further, while the Land Use Table for the E3 Zone nominates "roads" as being permissible with consent, it also nominates "industries" as a prohibited form of land use.</w:t>
      </w:r>
    </w:p>
    <w:p>
      <w:pPr>
        <w:pStyle w:val="CaselawQuote"/>
        <w:spacing w:before="150" w:after="150"/>
        <w:ind w:left="1350"/>
        <w:jc w:val="left"/>
      </w:pPr>
      <w:r>
        <w:rPr>
          <w:rFonts w:ascii="Arial"/>
          <w:color w:val="000000"/>
          <w:sz w:val="22"/>
        </w:rPr>
        <w:t xml:space="preserve">Applying these provisions to the development being assessed necessitated consideration of both forms of land use in order to determine whether they were, in truth, independent purposes or, in the language of </w:t>
      </w:r>
      <w:r>
        <w:rPr>
          <w:rFonts w:ascii="Arial"/>
          <w:i/>
          <w:color w:val="000000"/>
          <w:sz w:val="22"/>
        </w:rPr>
        <w:t>Foodbarn</w:t>
      </w:r>
      <w:r>
        <w:rPr>
          <w:rFonts w:ascii="Arial"/>
          <w:color w:val="000000"/>
          <w:sz w:val="22"/>
        </w:rPr>
        <w:t xml:space="preserve"> one subserved the other so that the dominant purpose became the purpose relevant to be considered in accordance with the Land Use Table.</w:t>
      </w:r>
      <w:r>
        <w:rPr>
          <w:rFonts w:ascii="Arial"/>
          <w:color w:val="000000"/>
          <w:sz w:val="22"/>
        </w:rPr>
        <w:t>”</w:t>
      </w:r>
    </w:p>
    <w:p>
      <w:pPr>
        <w:pStyle w:val="CaselawNumbered10"/>
        <w:numPr>
          <w:ilvl w:val="0"/>
          <w:numId w:val="58"/>
        </w:numPr>
        <w:spacing w:before="150" w:after="0"/>
        <w:ind w:left="600" w:hanging="600"/>
      </w:pPr>
      <w:r>
        <w:rPr>
          <w:rFonts w:ascii="Arial"/>
          <w:color w:val="000000"/>
          <w:sz w:val="24"/>
        </w:rPr>
        <w:t>T</w:t>
      </w:r>
      <w:r>
        <w:rPr>
          <w:rFonts w:ascii="Arial"/>
          <w:color w:val="000000"/>
          <w:sz w:val="24"/>
        </w:rPr>
        <w:t xml:space="preserve">he Council distinguishes the decision in </w:t>
      </w:r>
      <w:r>
        <w:rPr>
          <w:rFonts w:ascii="Arial"/>
          <w:i/>
          <w:color w:val="000000"/>
          <w:sz w:val="24"/>
        </w:rPr>
        <w:t>Ballina Shire Council v Palm Lake Works Pty Ltd</w:t>
      </w:r>
      <w:r>
        <w:rPr>
          <w:rFonts w:ascii="Arial"/>
          <w:color w:val="000000"/>
          <w:sz w:val="24"/>
        </w:rPr>
        <w:t xml:space="preserve"> </w:t>
      </w:r>
      <w:r>
        <w:rPr>
          <w:rFonts w:ascii="Arial"/>
          <w:color w:val="000000"/>
          <w:sz w:val="24"/>
        </w:rPr>
        <w:t>[2020]</w:t>
      </w:r>
      <w:r>
        <w:rPr>
          <w:rFonts w:ascii="Arial"/>
          <w:color w:val="000000"/>
          <w:sz w:val="24"/>
        </w:rPr>
        <w:t xml:space="preserve"> </w:t>
      </w:r>
      <w:r>
        <w:rPr>
          <w:rFonts w:ascii="Arial"/>
          <w:color w:val="000000"/>
          <w:sz w:val="24"/>
        </w:rPr>
        <w:t>NSWLEC 41</w:t>
      </w:r>
      <w:r>
        <w:rPr>
          <w:rFonts w:ascii="Arial"/>
          <w:color w:val="000000"/>
          <w:sz w:val="24"/>
        </w:rPr>
        <w:t xml:space="preserve"> </w:t>
      </w:r>
      <w:r>
        <w:rPr>
          <w:rFonts w:ascii="Arial"/>
          <w:color w:val="000000"/>
          <w:sz w:val="24"/>
        </w:rPr>
        <w:t xml:space="preserve">which adopted the reasoning in </w:t>
      </w:r>
      <w:r>
        <w:rPr>
          <w:rFonts w:ascii="Arial"/>
          <w:i/>
          <w:color w:val="000000"/>
          <w:sz w:val="24"/>
        </w:rPr>
        <w:t>Argyropolous</w:t>
      </w:r>
      <w:r>
        <w:rPr>
          <w:rFonts w:ascii="Arial"/>
          <w:color w:val="000000"/>
          <w:sz w:val="24"/>
        </w:rPr>
        <w:t xml:space="preserve"> </w:t>
      </w:r>
      <w:r>
        <w:rPr>
          <w:rFonts w:ascii="Arial"/>
          <w:color w:val="000000"/>
          <w:sz w:val="24"/>
        </w:rPr>
        <w:t xml:space="preserve">- on the basis that the Court at first instance had relied upon the fact </w:t>
      </w:r>
      <w:r>
        <w:rPr>
          <w:rFonts w:ascii="Arial"/>
          <w:color w:val="000000"/>
          <w:sz w:val="24"/>
        </w:rPr>
        <w:t>“</w:t>
      </w:r>
      <w:r>
        <w:rPr>
          <w:rFonts w:ascii="Arial"/>
          <w:color w:val="000000"/>
          <w:sz w:val="24"/>
        </w:rPr>
        <w:t xml:space="preserve">the Council had accepted that </w:t>
      </w:r>
      <w:r>
        <w:rPr>
          <w:rFonts w:ascii="Arial"/>
          <w:color w:val="000000"/>
          <w:sz w:val="24"/>
        </w:rPr>
        <w:t>‘</w:t>
      </w:r>
      <w:r>
        <w:rPr>
          <w:rFonts w:ascii="Arial"/>
          <w:color w:val="000000"/>
          <w:sz w:val="24"/>
        </w:rPr>
        <w:t>any type of access way on private land could be categorised as a private road</w:t>
      </w:r>
      <w:r>
        <w:rPr>
          <w:rFonts w:ascii="Arial"/>
          <w:color w:val="000000"/>
          <w:sz w:val="24"/>
        </w:rPr>
        <w:t>’”</w:t>
      </w:r>
      <w:r>
        <w:rPr>
          <w:rFonts w:ascii="Arial"/>
          <w:color w:val="000000"/>
          <w:sz w:val="24"/>
        </w:rPr>
        <w:t xml:space="preserve">: at [77]. </w:t>
      </w:r>
      <w:r>
        <w:rPr>
          <w:rFonts w:ascii="Arial"/>
          <w:color w:val="000000"/>
          <w:sz w:val="24"/>
        </w:rPr>
        <w:t xml:space="preserve"> </w:t>
      </w:r>
      <w:r>
        <w:rPr>
          <w:rFonts w:ascii="Arial"/>
          <w:color w:val="000000"/>
          <w:sz w:val="24"/>
        </w:rPr>
        <w:t>Albeit, emphasising</w:t>
      </w:r>
      <w:r>
        <w:rPr>
          <w:rFonts w:ascii="Arial"/>
          <w:color w:val="000000"/>
          <w:sz w:val="24"/>
        </w:rPr>
        <w:t xml:space="preserve"> </w:t>
      </w:r>
      <w:r>
        <w:rPr>
          <w:rFonts w:ascii="Arial"/>
          <w:color w:val="000000"/>
          <w:sz w:val="24"/>
        </w:rPr>
        <w:t>that the Council makes no such concession in this case.</w:t>
      </w:r>
    </w:p>
    <w:p>
      <w:pPr>
        <w:pStyle w:val="CaselawNumbered10"/>
        <w:numPr>
          <w:ilvl w:val="0"/>
          <w:numId w:val="58"/>
        </w:numPr>
        <w:spacing w:before="150" w:after="0"/>
        <w:ind w:left="600" w:hanging="600"/>
      </w:pPr>
      <w:r>
        <w:rPr>
          <w:rFonts w:ascii="Arial"/>
          <w:color w:val="000000"/>
          <w:sz w:val="24"/>
        </w:rPr>
        <w:t xml:space="preserve">The Council also relies on the decision in </w:t>
      </w:r>
      <w:r>
        <w:rPr>
          <w:rFonts w:ascii="Arial"/>
          <w:i/>
          <w:color w:val="000000"/>
          <w:sz w:val="24"/>
        </w:rPr>
        <w:t>Alramon Pty Ltd v City of Ryde Council</w:t>
      </w:r>
      <w:r>
        <w:rPr>
          <w:rFonts w:ascii="Arial"/>
          <w:color w:val="000000"/>
          <w:sz w:val="24"/>
        </w:rPr>
        <w:t xml:space="preserve"> </w:t>
      </w:r>
      <w:r>
        <w:rPr>
          <w:rFonts w:ascii="Arial"/>
          <w:color w:val="000000"/>
          <w:sz w:val="24"/>
        </w:rPr>
        <w:t>[2022] NSWLEC 108 (</w:t>
      </w:r>
      <w:r>
        <w:rPr>
          <w:rFonts w:ascii="Arial"/>
          <w:i/>
          <w:color w:val="000000"/>
          <w:sz w:val="24"/>
        </w:rPr>
        <w:t>Alramon</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In </w:t>
      </w:r>
      <w:r>
        <w:rPr>
          <w:rFonts w:ascii="Arial"/>
          <w:color w:val="000000"/>
          <w:sz w:val="24"/>
        </w:rPr>
        <w:t>that case</w:t>
      </w:r>
      <w:r>
        <w:rPr>
          <w:rFonts w:ascii="Arial"/>
          <w:color w:val="000000"/>
          <w:sz w:val="24"/>
        </w:rPr>
        <w:t>,</w:t>
      </w:r>
      <w:r>
        <w:rPr>
          <w:rFonts w:ascii="Arial"/>
          <w:color w:val="000000"/>
          <w:sz w:val="24"/>
        </w:rPr>
        <w:t xml:space="preserve"> </w:t>
      </w:r>
      <w:r>
        <w:rPr>
          <w:rFonts w:ascii="Arial"/>
          <w:color w:val="000000"/>
          <w:sz w:val="24"/>
        </w:rPr>
        <w:t xml:space="preserve">the Court considered a development application for a </w:t>
      </w:r>
      <w:r>
        <w:rPr>
          <w:rFonts w:ascii="Arial"/>
          <w:color w:val="000000"/>
          <w:sz w:val="24"/>
        </w:rPr>
        <w:t>chil</w:t>
      </w:r>
      <w:r>
        <w:rPr>
          <w:rFonts w:ascii="Arial"/>
          <w:color w:val="000000"/>
          <w:sz w:val="24"/>
        </w:rPr>
        <w:t>dcare centre (in Class 1 proceedings)</w:t>
      </w:r>
      <w:r>
        <w:rPr>
          <w:rFonts w:ascii="Arial"/>
          <w:color w:val="000000"/>
          <w:sz w:val="24"/>
        </w:rPr>
        <w:t>,</w:t>
      </w:r>
      <w:r>
        <w:rPr>
          <w:rFonts w:ascii="Arial"/>
          <w:color w:val="000000"/>
          <w:sz w:val="24"/>
        </w:rPr>
        <w:t xml:space="preserve"> </w:t>
      </w:r>
      <w:r>
        <w:rPr>
          <w:rFonts w:ascii="Arial"/>
          <w:color w:val="000000"/>
          <w:sz w:val="24"/>
        </w:rPr>
        <w:t>and an application for an easement under s</w:t>
      </w:r>
      <w:r>
        <w:rPr>
          <w:rFonts w:ascii="Arial"/>
          <w:color w:val="000000"/>
          <w:sz w:val="24"/>
        </w:rPr>
        <w:t xml:space="preserve"> </w:t>
      </w:r>
      <w:r>
        <w:rPr>
          <w:rFonts w:ascii="Arial"/>
          <w:color w:val="000000"/>
          <w:sz w:val="24"/>
        </w:rPr>
        <w:t xml:space="preserve">88K of the </w:t>
      </w:r>
      <w:r>
        <w:rPr>
          <w:rFonts w:ascii="Arial"/>
          <w:i/>
          <w:color w:val="000000"/>
          <w:sz w:val="24"/>
        </w:rPr>
        <w:t>Conveyancing Act 1919</w:t>
      </w:r>
      <w:r>
        <w:rPr>
          <w:rFonts w:ascii="Arial"/>
          <w:color w:val="000000"/>
          <w:sz w:val="24"/>
        </w:rPr>
        <w:t xml:space="preserve"> </w:t>
      </w:r>
      <w:r>
        <w:rPr>
          <w:rFonts w:ascii="Arial"/>
          <w:color w:val="000000"/>
          <w:sz w:val="24"/>
        </w:rPr>
        <w:t xml:space="preserve">(in Class 4 proceedings): at [1]. The development application relied on access </w:t>
      </w:r>
      <w:r>
        <w:rPr>
          <w:rFonts w:ascii="Arial"/>
          <w:color w:val="000000"/>
          <w:sz w:val="24"/>
        </w:rPr>
        <w:t xml:space="preserve">from </w:t>
      </w:r>
      <w:r>
        <w:rPr>
          <w:rFonts w:ascii="Arial"/>
          <w:color w:val="000000"/>
          <w:sz w:val="24"/>
        </w:rPr>
        <w:t xml:space="preserve">the </w:t>
      </w:r>
      <w:r>
        <w:rPr>
          <w:rFonts w:ascii="Arial"/>
          <w:color w:val="000000"/>
          <w:sz w:val="24"/>
        </w:rPr>
        <w:t xml:space="preserve">respondent </w:t>
      </w:r>
      <w:r>
        <w:rPr>
          <w:rFonts w:ascii="Arial"/>
          <w:color w:val="000000"/>
          <w:sz w:val="24"/>
        </w:rPr>
        <w:t>council</w:t>
      </w:r>
      <w:r>
        <w:rPr>
          <w:rFonts w:ascii="Arial"/>
          <w:color w:val="000000"/>
          <w:sz w:val="24"/>
        </w:rPr>
        <w:t>’</w:t>
      </w:r>
      <w:r>
        <w:rPr>
          <w:rFonts w:ascii="Arial"/>
          <w:color w:val="000000"/>
          <w:sz w:val="24"/>
        </w:rPr>
        <w:t>s car park which adjoined the applicant</w:t>
      </w:r>
      <w:r>
        <w:rPr>
          <w:rFonts w:ascii="Arial"/>
          <w:color w:val="000000"/>
          <w:sz w:val="24"/>
        </w:rPr>
        <w:t>’</w:t>
      </w:r>
      <w:r>
        <w:rPr>
          <w:rFonts w:ascii="Arial"/>
          <w:color w:val="000000"/>
          <w:sz w:val="24"/>
        </w:rPr>
        <w:t xml:space="preserve">s land: at [1]. The applicant sought an easement in the form of a right of carriageway over the </w:t>
      </w:r>
      <w:r>
        <w:rPr>
          <w:rFonts w:ascii="Arial"/>
          <w:color w:val="000000"/>
          <w:sz w:val="24"/>
        </w:rPr>
        <w:t xml:space="preserve">respondent </w:t>
      </w:r>
      <w:r>
        <w:rPr>
          <w:rFonts w:ascii="Arial"/>
          <w:color w:val="000000"/>
          <w:sz w:val="24"/>
        </w:rPr>
        <w:t>council</w:t>
      </w:r>
      <w:r>
        <w:rPr>
          <w:rFonts w:ascii="Arial"/>
          <w:color w:val="000000"/>
          <w:sz w:val="24"/>
        </w:rPr>
        <w:t>’</w:t>
      </w:r>
      <w:r>
        <w:rPr>
          <w:rFonts w:ascii="Arial"/>
          <w:color w:val="000000"/>
          <w:sz w:val="24"/>
        </w:rPr>
        <w:t xml:space="preserve">s car park for the purpose of access to its land: at [1]. The </w:t>
      </w:r>
      <w:r>
        <w:rPr>
          <w:rFonts w:ascii="Arial"/>
          <w:color w:val="000000"/>
          <w:sz w:val="24"/>
        </w:rPr>
        <w:t xml:space="preserve">respondent </w:t>
      </w:r>
      <w:r>
        <w:rPr>
          <w:rFonts w:ascii="Arial"/>
          <w:color w:val="000000"/>
          <w:sz w:val="24"/>
        </w:rPr>
        <w:t>council</w:t>
      </w:r>
      <w:r>
        <w:rPr>
          <w:rFonts w:ascii="Arial"/>
          <w:color w:val="000000"/>
          <w:sz w:val="24"/>
        </w:rPr>
        <w:t>’</w:t>
      </w:r>
      <w:r>
        <w:rPr>
          <w:rFonts w:ascii="Arial"/>
          <w:color w:val="000000"/>
          <w:sz w:val="24"/>
        </w:rPr>
        <w:t xml:space="preserve">s car park was zoned SP2 Infrastructure in which roads were permitted with consent and development that was not permitted with or without consent was prohibited: at [16] and [153]. As such, a centre-based </w:t>
      </w:r>
      <w:r>
        <w:rPr>
          <w:rFonts w:ascii="Arial"/>
          <w:color w:val="000000"/>
          <w:sz w:val="24"/>
        </w:rPr>
        <w:t>childcare</w:t>
      </w:r>
      <w:r>
        <w:rPr>
          <w:rFonts w:ascii="Arial"/>
          <w:color w:val="000000"/>
          <w:sz w:val="24"/>
        </w:rPr>
        <w:t xml:space="preserve"> </w:t>
      </w:r>
      <w:r>
        <w:rPr>
          <w:rFonts w:ascii="Arial"/>
          <w:color w:val="000000"/>
          <w:sz w:val="24"/>
        </w:rPr>
        <w:t xml:space="preserve">facility was an innominate prohibited use on the </w:t>
      </w:r>
      <w:r>
        <w:rPr>
          <w:rFonts w:ascii="Arial"/>
          <w:color w:val="000000"/>
          <w:sz w:val="24"/>
        </w:rPr>
        <w:t xml:space="preserve">respondent </w:t>
      </w:r>
      <w:r>
        <w:rPr>
          <w:rFonts w:ascii="Arial"/>
          <w:color w:val="000000"/>
          <w:sz w:val="24"/>
        </w:rPr>
        <w:t>council</w:t>
      </w:r>
      <w:r>
        <w:rPr>
          <w:rFonts w:ascii="Arial"/>
          <w:color w:val="000000"/>
          <w:sz w:val="24"/>
        </w:rPr>
        <w:t>’</w:t>
      </w:r>
      <w:r>
        <w:rPr>
          <w:rFonts w:ascii="Arial"/>
          <w:color w:val="000000"/>
          <w:sz w:val="24"/>
        </w:rPr>
        <w:t>s car park: at [153].</w:t>
      </w:r>
    </w:p>
    <w:p>
      <w:pPr>
        <w:pStyle w:val="CaselawNumbered10"/>
        <w:numPr>
          <w:ilvl w:val="0"/>
          <w:numId w:val="58"/>
        </w:numPr>
        <w:spacing w:before="150" w:after="0"/>
        <w:ind w:left="600" w:hanging="600"/>
      </w:pPr>
      <w:r>
        <w:rPr>
          <w:rFonts w:ascii="Arial"/>
          <w:color w:val="000000"/>
          <w:sz w:val="24"/>
        </w:rPr>
        <w:t>The Court</w:t>
      </w:r>
      <w:r>
        <w:rPr>
          <w:rFonts w:ascii="Arial"/>
          <w:color w:val="000000"/>
          <w:sz w:val="24"/>
        </w:rPr>
        <w:t xml:space="preserve"> </w:t>
      </w:r>
      <w:r>
        <w:rPr>
          <w:rFonts w:ascii="Arial"/>
          <w:color w:val="000000"/>
          <w:sz w:val="24"/>
        </w:rPr>
        <w:t>held that the primary purpose of the easement was to serve the purpose of the proposed childcare centre and the applicant</w:t>
      </w:r>
      <w:r>
        <w:rPr>
          <w:rFonts w:ascii="Arial"/>
          <w:color w:val="000000"/>
          <w:sz w:val="24"/>
        </w:rPr>
        <w:t>’</w:t>
      </w:r>
      <w:r>
        <w:rPr>
          <w:rFonts w:ascii="Arial"/>
          <w:color w:val="000000"/>
          <w:sz w:val="24"/>
        </w:rPr>
        <w:t>s land generally: at [164]. In the circumstances, the use fell within the category of prohibited development: at [164]. In so doing, her Honour held that:</w:t>
      </w:r>
    </w:p>
    <w:p>
      <w:pPr>
        <w:pStyle w:val="CaselawNumbered1"/>
        <w:numPr>
          <w:ilvl w:val="0"/>
          <w:numId w:val="59"/>
        </w:numPr>
        <w:spacing w:before="150" w:after="0"/>
        <w:ind w:left="1350" w:hanging="750"/>
      </w:pPr>
      <w:r>
        <w:rPr>
          <w:rFonts w:ascii="Arial"/>
          <w:color w:val="000000"/>
          <w:sz w:val="24"/>
        </w:rPr>
        <w:t xml:space="preserve">The decision in </w:t>
      </w:r>
      <w:r>
        <w:rPr>
          <w:rFonts w:ascii="Arial"/>
          <w:i/>
          <w:color w:val="000000"/>
          <w:sz w:val="24"/>
        </w:rPr>
        <w:t>Argyropoulos</w:t>
      </w:r>
      <w:r>
        <w:rPr>
          <w:rFonts w:ascii="Arial"/>
          <w:color w:val="000000"/>
          <w:sz w:val="24"/>
        </w:rPr>
        <w:t xml:space="preserve"> </w:t>
      </w:r>
      <w:r>
        <w:rPr>
          <w:rFonts w:ascii="Arial"/>
          <w:color w:val="000000"/>
          <w:sz w:val="24"/>
        </w:rPr>
        <w:t xml:space="preserve">was distinguishable because the </w:t>
      </w:r>
      <w:r>
        <w:rPr>
          <w:rFonts w:ascii="Arial"/>
          <w:color w:val="000000"/>
          <w:sz w:val="24"/>
        </w:rPr>
        <w:t xml:space="preserve">respondent </w:t>
      </w:r>
      <w:r>
        <w:rPr>
          <w:rFonts w:ascii="Arial"/>
          <w:color w:val="000000"/>
          <w:sz w:val="24"/>
        </w:rPr>
        <w:t>council car park was not a road and was never constructed as a road within the ordinary meaning of that word: at [165] and [173].</w:t>
      </w:r>
    </w:p>
    <w:p>
      <w:pPr>
        <w:pStyle w:val="CaselawNumbered1"/>
        <w:numPr>
          <w:ilvl w:val="0"/>
          <w:numId w:val="59"/>
        </w:numPr>
        <w:spacing w:before="150" w:after="0"/>
        <w:ind w:left="1350" w:hanging="750"/>
      </w:pPr>
      <w:r>
        <w:rPr>
          <w:rFonts w:ascii="Arial"/>
          <w:color w:val="000000"/>
          <w:sz w:val="24"/>
        </w:rPr>
        <w:t xml:space="preserve">The purpose of the </w:t>
      </w:r>
      <w:r>
        <w:rPr>
          <w:rFonts w:ascii="Arial"/>
          <w:color w:val="000000"/>
          <w:sz w:val="24"/>
        </w:rPr>
        <w:t>childcare</w:t>
      </w:r>
      <w:r>
        <w:rPr>
          <w:rFonts w:ascii="Arial"/>
          <w:color w:val="000000"/>
          <w:sz w:val="24"/>
        </w:rPr>
        <w:t xml:space="preserve"> </w:t>
      </w:r>
      <w:r>
        <w:rPr>
          <w:rFonts w:ascii="Arial"/>
          <w:color w:val="000000"/>
          <w:sz w:val="24"/>
        </w:rPr>
        <w:t xml:space="preserve">facility could only be achieved by the physical acts of constructing not only the space in which the </w:t>
      </w:r>
      <w:r>
        <w:rPr>
          <w:rFonts w:ascii="Arial"/>
          <w:color w:val="000000"/>
          <w:sz w:val="24"/>
        </w:rPr>
        <w:t>childcare</w:t>
      </w:r>
      <w:r>
        <w:rPr>
          <w:rFonts w:ascii="Arial"/>
          <w:color w:val="000000"/>
          <w:sz w:val="24"/>
        </w:rPr>
        <w:t xml:space="preserve"> </w:t>
      </w:r>
      <w:r>
        <w:rPr>
          <w:rFonts w:ascii="Arial"/>
          <w:color w:val="000000"/>
          <w:sz w:val="24"/>
        </w:rPr>
        <w:t>would take place but also the spaces for the associated activities, such as parking and vehicular access: at [165].</w:t>
      </w:r>
    </w:p>
    <w:p>
      <w:pPr>
        <w:pStyle w:val="CaselawNumbered1"/>
        <w:numPr>
          <w:ilvl w:val="0"/>
          <w:numId w:val="59"/>
        </w:numPr>
        <w:spacing w:before="150" w:after="0"/>
        <w:ind w:left="1350" w:hanging="750"/>
      </w:pPr>
      <w:r>
        <w:rPr>
          <w:rFonts w:ascii="Arial"/>
          <w:color w:val="000000"/>
          <w:sz w:val="24"/>
        </w:rPr>
        <w:t xml:space="preserve">The physical acts involved the erection of the </w:t>
      </w:r>
      <w:r>
        <w:rPr>
          <w:rFonts w:ascii="Arial"/>
          <w:color w:val="000000"/>
          <w:sz w:val="24"/>
        </w:rPr>
        <w:t>childcare</w:t>
      </w:r>
      <w:r>
        <w:rPr>
          <w:rFonts w:ascii="Arial"/>
          <w:color w:val="000000"/>
          <w:sz w:val="24"/>
        </w:rPr>
        <w:t xml:space="preserve"> </w:t>
      </w:r>
      <w:r>
        <w:rPr>
          <w:rFonts w:ascii="Arial"/>
          <w:color w:val="000000"/>
          <w:sz w:val="24"/>
        </w:rPr>
        <w:t xml:space="preserve">centre including the construction of the car park, driveways and access ways are a means by which the land is made to serve the </w:t>
      </w:r>
      <w:r>
        <w:rPr>
          <w:rFonts w:ascii="Arial"/>
          <w:color w:val="000000"/>
          <w:sz w:val="24"/>
        </w:rPr>
        <w:t>childcare</w:t>
      </w:r>
      <w:r>
        <w:rPr>
          <w:rFonts w:ascii="Arial"/>
          <w:color w:val="000000"/>
          <w:sz w:val="24"/>
        </w:rPr>
        <w:t xml:space="preserve"> </w:t>
      </w:r>
      <w:r>
        <w:rPr>
          <w:rFonts w:ascii="Arial"/>
          <w:color w:val="000000"/>
          <w:sz w:val="24"/>
        </w:rPr>
        <w:t>purpose: at [165].</w:t>
      </w:r>
    </w:p>
    <w:p>
      <w:pPr>
        <w:pStyle w:val="CaselawNumbered1"/>
        <w:numPr>
          <w:ilvl w:val="0"/>
          <w:numId w:val="59"/>
        </w:numPr>
        <w:spacing w:before="150" w:after="0"/>
        <w:ind w:left="1350" w:hanging="750"/>
      </w:pPr>
      <w:r>
        <w:rPr>
          <w:rFonts w:ascii="Arial"/>
          <w:color w:val="000000"/>
          <w:sz w:val="24"/>
        </w:rPr>
        <w:t xml:space="preserve">The </w:t>
      </w:r>
      <w:r>
        <w:rPr>
          <w:rFonts w:ascii="Arial"/>
          <w:color w:val="000000"/>
          <w:sz w:val="24"/>
        </w:rPr>
        <w:t>childcare</w:t>
      </w:r>
      <w:r>
        <w:rPr>
          <w:rFonts w:ascii="Arial"/>
          <w:color w:val="000000"/>
          <w:sz w:val="24"/>
        </w:rPr>
        <w:t xml:space="preserve"> </w:t>
      </w:r>
      <w:r>
        <w:rPr>
          <w:rFonts w:ascii="Arial"/>
          <w:color w:val="000000"/>
          <w:sz w:val="24"/>
        </w:rPr>
        <w:t>could not function without the car park, driveways and access ways: at [165].</w:t>
      </w:r>
    </w:p>
    <w:p>
      <w:pPr>
        <w:pStyle w:val="CaselawNumbered1"/>
        <w:numPr>
          <w:ilvl w:val="0"/>
          <w:numId w:val="59"/>
        </w:numPr>
        <w:spacing w:before="150" w:after="0"/>
        <w:ind w:left="1350" w:hanging="750"/>
      </w:pPr>
      <w:r>
        <w:rPr>
          <w:rFonts w:ascii="Arial"/>
          <w:color w:val="000000"/>
          <w:sz w:val="24"/>
        </w:rPr>
        <w:t xml:space="preserve">The end to which the right of carriageway was to serve was not a road and, as such, was integrated and indivisible from that of the </w:t>
      </w:r>
      <w:r>
        <w:rPr>
          <w:rFonts w:ascii="Arial"/>
          <w:color w:val="000000"/>
          <w:sz w:val="24"/>
        </w:rPr>
        <w:t>childcare</w:t>
      </w:r>
      <w:r>
        <w:rPr>
          <w:rFonts w:ascii="Arial"/>
          <w:color w:val="000000"/>
          <w:sz w:val="24"/>
        </w:rPr>
        <w:t xml:space="preserve"> </w:t>
      </w:r>
      <w:r>
        <w:rPr>
          <w:rFonts w:ascii="Arial"/>
          <w:color w:val="000000"/>
          <w:sz w:val="24"/>
        </w:rPr>
        <w:t>centre: at [165].</w:t>
      </w:r>
    </w:p>
    <w:p>
      <w:pPr>
        <w:pStyle w:val="CaselawNumbered1"/>
        <w:numPr>
          <w:ilvl w:val="0"/>
          <w:numId w:val="59"/>
        </w:numPr>
        <w:spacing w:before="150" w:after="0"/>
        <w:ind w:left="1350" w:hanging="750"/>
      </w:pPr>
      <w:r>
        <w:rPr>
          <w:rFonts w:ascii="Arial"/>
          <w:i/>
          <w:color w:val="000000"/>
          <w:sz w:val="24"/>
        </w:rPr>
        <w:t>Palm Lake</w:t>
      </w:r>
      <w:r>
        <w:rPr>
          <w:rFonts w:ascii="Arial"/>
          <w:color w:val="000000"/>
          <w:sz w:val="24"/>
        </w:rPr>
        <w:t xml:space="preserve"> </w:t>
      </w:r>
      <w:r>
        <w:rPr>
          <w:rFonts w:ascii="Arial"/>
          <w:color w:val="000000"/>
          <w:sz w:val="24"/>
        </w:rPr>
        <w:t xml:space="preserve">did not assist the applicant because, in that case, the </w:t>
      </w:r>
      <w:r>
        <w:rPr>
          <w:rFonts w:ascii="Arial"/>
          <w:color w:val="000000"/>
          <w:sz w:val="24"/>
        </w:rPr>
        <w:t xml:space="preserve">respondent </w:t>
      </w:r>
      <w:r>
        <w:rPr>
          <w:rFonts w:ascii="Arial"/>
          <w:color w:val="000000"/>
          <w:sz w:val="24"/>
        </w:rPr>
        <w:t xml:space="preserve">council accepted that any type of access way on private land could be categorised as a private road and conceded that the access could be for a road - with no such concession given by the </w:t>
      </w:r>
      <w:r>
        <w:rPr>
          <w:rFonts w:ascii="Arial"/>
          <w:color w:val="000000"/>
          <w:sz w:val="24"/>
        </w:rPr>
        <w:t xml:space="preserve">respondent </w:t>
      </w:r>
      <w:r>
        <w:rPr>
          <w:rFonts w:ascii="Arial"/>
          <w:color w:val="000000"/>
          <w:sz w:val="24"/>
        </w:rPr>
        <w:t xml:space="preserve">council in </w:t>
      </w:r>
      <w:r>
        <w:rPr>
          <w:rFonts w:ascii="Arial"/>
          <w:i/>
          <w:color w:val="000000"/>
          <w:sz w:val="24"/>
        </w:rPr>
        <w:t>Alramon</w:t>
      </w:r>
      <w:r>
        <w:rPr>
          <w:rFonts w:ascii="Arial"/>
          <w:color w:val="000000"/>
          <w:sz w:val="24"/>
        </w:rPr>
        <w:t>: at [172].</w:t>
      </w:r>
    </w:p>
    <w:p>
      <w:pPr>
        <w:pStyle w:val="CaselawNumbered1"/>
        <w:numPr>
          <w:ilvl w:val="0"/>
          <w:numId w:val="59"/>
        </w:numPr>
        <w:spacing w:before="150" w:after="0"/>
        <w:ind w:left="1350" w:hanging="750"/>
      </w:pPr>
      <w:r>
        <w:rPr>
          <w:rFonts w:ascii="Arial"/>
          <w:color w:val="000000"/>
          <w:sz w:val="24"/>
        </w:rPr>
        <w:t xml:space="preserve">The easement was designed to serve the </w:t>
      </w:r>
      <w:r>
        <w:rPr>
          <w:rFonts w:ascii="Arial"/>
          <w:color w:val="000000"/>
          <w:sz w:val="24"/>
        </w:rPr>
        <w:t>childcare</w:t>
      </w:r>
      <w:r>
        <w:rPr>
          <w:rFonts w:ascii="Arial"/>
          <w:color w:val="000000"/>
          <w:sz w:val="24"/>
        </w:rPr>
        <w:t xml:space="preserve"> </w:t>
      </w:r>
      <w:r>
        <w:rPr>
          <w:rFonts w:ascii="Arial"/>
          <w:color w:val="000000"/>
          <w:sz w:val="24"/>
        </w:rPr>
        <w:t xml:space="preserve">centre unlike a regular road: at [174]. Her Honour accepted the </w:t>
      </w:r>
      <w:r>
        <w:rPr>
          <w:rFonts w:ascii="Arial"/>
          <w:color w:val="000000"/>
          <w:sz w:val="24"/>
        </w:rPr>
        <w:t xml:space="preserve">respondent </w:t>
      </w:r>
      <w:r>
        <w:rPr>
          <w:rFonts w:ascii="Arial"/>
          <w:color w:val="000000"/>
          <w:sz w:val="24"/>
        </w:rPr>
        <w:t>council</w:t>
      </w:r>
      <w:r>
        <w:rPr>
          <w:rFonts w:ascii="Arial"/>
          <w:color w:val="000000"/>
          <w:sz w:val="24"/>
        </w:rPr>
        <w:t>’</w:t>
      </w:r>
      <w:r>
        <w:rPr>
          <w:rFonts w:ascii="Arial"/>
          <w:color w:val="000000"/>
          <w:sz w:val="24"/>
        </w:rPr>
        <w:t xml:space="preserve">s submission that there was no physical definition of the area intended to be a road and the design, shape, intended use and terms of the easement are not reflective of a road use, rather it is a carriageway serving the </w:t>
      </w:r>
      <w:r>
        <w:rPr>
          <w:rFonts w:ascii="Arial"/>
          <w:color w:val="000000"/>
          <w:sz w:val="24"/>
        </w:rPr>
        <w:t>childcare</w:t>
      </w:r>
      <w:r>
        <w:rPr>
          <w:rFonts w:ascii="Arial"/>
          <w:color w:val="000000"/>
          <w:sz w:val="24"/>
        </w:rPr>
        <w:t xml:space="preserve"> </w:t>
      </w:r>
      <w:r>
        <w:rPr>
          <w:rFonts w:ascii="Arial"/>
          <w:color w:val="000000"/>
          <w:sz w:val="24"/>
        </w:rPr>
        <w:t>centre: at [174].</w:t>
      </w:r>
    </w:p>
    <w:p>
      <w:pPr>
        <w:pStyle w:val="CaselawNumbered10"/>
        <w:numPr>
          <w:ilvl w:val="0"/>
          <w:numId w:val="60"/>
        </w:numPr>
        <w:spacing w:before="150" w:after="0"/>
        <w:ind w:left="600" w:hanging="600"/>
      </w:pPr>
      <w:r>
        <w:rPr>
          <w:rFonts w:ascii="Arial"/>
          <w:color w:val="000000"/>
          <w:sz w:val="24"/>
        </w:rPr>
        <w:t xml:space="preserve">The </w:t>
      </w:r>
      <w:r>
        <w:rPr>
          <w:rFonts w:ascii="Arial"/>
          <w:color w:val="000000"/>
          <w:sz w:val="24"/>
        </w:rPr>
        <w:t xml:space="preserve">Council </w:t>
      </w:r>
      <w:r>
        <w:rPr>
          <w:rFonts w:ascii="Arial"/>
          <w:color w:val="000000"/>
          <w:sz w:val="24"/>
        </w:rPr>
        <w:t>contend</w:t>
      </w:r>
      <w:r>
        <w:rPr>
          <w:rFonts w:ascii="Arial"/>
          <w:color w:val="000000"/>
          <w:sz w:val="24"/>
        </w:rPr>
        <w:t>s</w:t>
      </w:r>
      <w:r>
        <w:rPr>
          <w:rFonts w:ascii="Arial"/>
          <w:color w:val="000000"/>
          <w:sz w:val="24"/>
        </w:rPr>
        <w:t xml:space="preserve"> </w:t>
      </w:r>
      <w:r>
        <w:rPr>
          <w:rFonts w:ascii="Arial"/>
          <w:color w:val="000000"/>
          <w:sz w:val="24"/>
        </w:rPr>
        <w:t xml:space="preserve">that the </w:t>
      </w:r>
      <w:r>
        <w:rPr>
          <w:rFonts w:ascii="Arial"/>
          <w:color w:val="000000"/>
          <w:sz w:val="24"/>
        </w:rPr>
        <w:t xml:space="preserve">proposed access driveway on 87 Norfolk Road in the Stage 1 DA serves the purpose of the residential flat building rather than a separate purpose of road for the same reasons that the access </w:t>
      </w:r>
      <w:r>
        <w:rPr>
          <w:rFonts w:ascii="Arial"/>
          <w:color w:val="000000"/>
          <w:sz w:val="24"/>
        </w:rPr>
        <w:t>drive</w:t>
      </w:r>
      <w:r>
        <w:rPr>
          <w:rFonts w:ascii="Arial"/>
          <w:color w:val="000000"/>
          <w:sz w:val="24"/>
        </w:rPr>
        <w:t xml:space="preserve">way in </w:t>
      </w:r>
      <w:r>
        <w:rPr>
          <w:rFonts w:ascii="Arial"/>
          <w:i/>
          <w:color w:val="000000"/>
          <w:sz w:val="24"/>
        </w:rPr>
        <w:t>Alramon</w:t>
      </w:r>
      <w:r>
        <w:rPr>
          <w:rFonts w:ascii="Arial"/>
          <w:color w:val="000000"/>
          <w:sz w:val="24"/>
        </w:rPr>
        <w:t xml:space="preserve"> </w:t>
      </w:r>
      <w:r>
        <w:rPr>
          <w:rFonts w:ascii="Arial"/>
          <w:color w:val="000000"/>
          <w:sz w:val="24"/>
        </w:rPr>
        <w:t xml:space="preserve">served a </w:t>
      </w:r>
      <w:r>
        <w:rPr>
          <w:rFonts w:ascii="Arial"/>
          <w:color w:val="000000"/>
          <w:sz w:val="24"/>
        </w:rPr>
        <w:t>childcare</w:t>
      </w:r>
      <w:r>
        <w:rPr>
          <w:rFonts w:ascii="Arial"/>
          <w:color w:val="000000"/>
          <w:sz w:val="24"/>
        </w:rPr>
        <w:t xml:space="preserve"> </w:t>
      </w:r>
      <w:r>
        <w:rPr>
          <w:rFonts w:ascii="Arial"/>
          <w:color w:val="000000"/>
          <w:sz w:val="24"/>
        </w:rPr>
        <w:t xml:space="preserve">centre. </w:t>
      </w:r>
      <w:r>
        <w:rPr>
          <w:rFonts w:ascii="Arial"/>
          <w:color w:val="000000"/>
          <w:sz w:val="24"/>
        </w:rPr>
        <w:t xml:space="preserve">It submits </w:t>
      </w:r>
      <w:r>
        <w:rPr>
          <w:rFonts w:ascii="Arial"/>
          <w:color w:val="000000"/>
          <w:sz w:val="24"/>
        </w:rPr>
        <w:t>th</w:t>
      </w:r>
      <w:r>
        <w:rPr>
          <w:rFonts w:ascii="Arial"/>
          <w:color w:val="000000"/>
          <w:sz w:val="24"/>
        </w:rPr>
        <w:t>at the</w:t>
      </w:r>
      <w:r>
        <w:rPr>
          <w:rFonts w:ascii="Arial"/>
          <w:color w:val="000000"/>
          <w:sz w:val="24"/>
        </w:rPr>
        <w:t xml:space="preserve"> </w:t>
      </w:r>
      <w:r>
        <w:rPr>
          <w:rFonts w:ascii="Arial"/>
          <w:color w:val="000000"/>
          <w:sz w:val="24"/>
        </w:rPr>
        <w:t xml:space="preserve">access driveway </w:t>
      </w:r>
      <w:r>
        <w:rPr>
          <w:rFonts w:ascii="Arial"/>
          <w:color w:val="000000"/>
          <w:sz w:val="24"/>
        </w:rPr>
        <w:t xml:space="preserve">only </w:t>
      </w:r>
      <w:r>
        <w:rPr>
          <w:rFonts w:ascii="Arial"/>
          <w:color w:val="000000"/>
          <w:sz w:val="24"/>
        </w:rPr>
        <w:t xml:space="preserve">serves the residential flat building and has been designed </w:t>
      </w:r>
      <w:r>
        <w:rPr>
          <w:rFonts w:ascii="Arial"/>
          <w:color w:val="000000"/>
          <w:sz w:val="24"/>
        </w:rPr>
        <w:t xml:space="preserve">only </w:t>
      </w:r>
      <w:r>
        <w:rPr>
          <w:rFonts w:ascii="Arial"/>
          <w:color w:val="000000"/>
          <w:sz w:val="24"/>
        </w:rPr>
        <w:t>for that purpose.</w:t>
      </w:r>
      <w:r>
        <w:rPr>
          <w:rFonts w:ascii="Arial"/>
          <w:color w:val="000000"/>
          <w:sz w:val="24"/>
        </w:rPr>
        <w:t xml:space="preserve"> </w:t>
      </w:r>
      <w:r>
        <w:rPr>
          <w:rFonts w:ascii="Arial"/>
          <w:color w:val="000000"/>
          <w:sz w:val="24"/>
        </w:rPr>
        <w:t>T</w:t>
      </w:r>
      <w:r>
        <w:rPr>
          <w:rFonts w:ascii="Arial"/>
          <w:color w:val="000000"/>
          <w:sz w:val="24"/>
        </w:rPr>
        <w:t xml:space="preserve">he roadway </w:t>
      </w:r>
      <w:r>
        <w:rPr>
          <w:rFonts w:ascii="Arial"/>
          <w:color w:val="000000"/>
          <w:sz w:val="24"/>
        </w:rPr>
        <w:t xml:space="preserve">is </w:t>
      </w:r>
      <w:r>
        <w:rPr>
          <w:rFonts w:ascii="Arial"/>
          <w:color w:val="000000"/>
          <w:sz w:val="24"/>
        </w:rPr>
        <w:t xml:space="preserve">essential to enabling the proposed residential flat building development because, without the physical act of constructing </w:t>
      </w:r>
      <w:r>
        <w:rPr>
          <w:rFonts w:ascii="Arial"/>
          <w:color w:val="000000"/>
          <w:sz w:val="24"/>
        </w:rPr>
        <w:t xml:space="preserve">the </w:t>
      </w:r>
      <w:r>
        <w:rPr>
          <w:rFonts w:ascii="Arial"/>
          <w:color w:val="000000"/>
          <w:sz w:val="24"/>
        </w:rPr>
        <w:t>roadway, the development could not be achieved.</w:t>
      </w:r>
    </w:p>
    <w:p>
      <w:pPr>
        <w:pStyle w:val="CaselawNumbered10"/>
        <w:numPr>
          <w:ilvl w:val="0"/>
          <w:numId w:val="60"/>
        </w:numPr>
        <w:spacing w:before="150" w:after="0"/>
        <w:ind w:left="600" w:hanging="600"/>
      </w:pPr>
      <w:r>
        <w:rPr>
          <w:rFonts w:ascii="Arial"/>
          <w:color w:val="000000"/>
          <w:sz w:val="24"/>
        </w:rPr>
        <w:t>T</w:t>
      </w:r>
      <w:r>
        <w:rPr>
          <w:rFonts w:ascii="Arial"/>
          <w:color w:val="000000"/>
          <w:sz w:val="24"/>
        </w:rPr>
        <w:t xml:space="preserve">he decision </w:t>
      </w:r>
      <w:r>
        <w:rPr>
          <w:rFonts w:ascii="Arial"/>
          <w:color w:val="000000"/>
          <w:sz w:val="24"/>
        </w:rPr>
        <w:t xml:space="preserve">in </w:t>
      </w:r>
      <w:r>
        <w:rPr>
          <w:rFonts w:ascii="Arial"/>
          <w:i/>
          <w:color w:val="000000"/>
          <w:sz w:val="24"/>
        </w:rPr>
        <w:t>Rockliff Estate Pty Ltd v Liverpool City Council</w:t>
      </w:r>
      <w:r>
        <w:rPr>
          <w:rFonts w:ascii="Arial"/>
          <w:color w:val="000000"/>
          <w:sz w:val="24"/>
        </w:rPr>
        <w:t xml:space="preserve"> </w:t>
      </w:r>
      <w:r>
        <w:rPr>
          <w:rFonts w:ascii="Arial"/>
          <w:color w:val="000000"/>
          <w:sz w:val="24"/>
        </w:rPr>
        <w:t>[2023] NSWLEC 1725 (</w:t>
      </w:r>
      <w:r>
        <w:rPr>
          <w:rFonts w:ascii="Arial"/>
          <w:i/>
          <w:color w:val="000000"/>
          <w:sz w:val="24"/>
        </w:rPr>
        <w:t>Rockliff</w:t>
      </w:r>
      <w:r>
        <w:rPr>
          <w:rFonts w:ascii="Arial"/>
          <w:color w:val="000000"/>
          <w:sz w:val="24"/>
        </w:rPr>
        <w:t>)</w:t>
      </w:r>
      <w:r>
        <w:rPr>
          <w:rFonts w:ascii="Arial"/>
          <w:color w:val="000000"/>
          <w:sz w:val="24"/>
        </w:rPr>
        <w:t xml:space="preserve"> </w:t>
      </w:r>
      <w:r>
        <w:rPr>
          <w:rFonts w:ascii="Arial"/>
          <w:color w:val="000000"/>
          <w:sz w:val="24"/>
        </w:rPr>
        <w:t>is also said to be of assistance</w:t>
      </w:r>
      <w:r>
        <w:rPr>
          <w:rFonts w:ascii="Arial"/>
          <w:color w:val="000000"/>
          <w:sz w:val="24"/>
        </w:rPr>
        <w:t xml:space="preserve"> </w:t>
      </w:r>
      <w:r>
        <w:rPr>
          <w:rFonts w:ascii="Arial"/>
          <w:color w:val="000000"/>
          <w:sz w:val="24"/>
        </w:rPr>
        <w:t>to the Council</w:t>
      </w:r>
      <w:r>
        <w:rPr>
          <w:rFonts w:ascii="Arial"/>
          <w:color w:val="000000"/>
          <w:sz w:val="24"/>
        </w:rPr>
        <w:t>’</w:t>
      </w:r>
      <w:r>
        <w:rPr>
          <w:rFonts w:ascii="Arial"/>
          <w:color w:val="000000"/>
          <w:sz w:val="24"/>
        </w:rPr>
        <w:t>s case</w:t>
      </w:r>
      <w:r>
        <w:rPr>
          <w:rFonts w:ascii="Arial"/>
          <w:color w:val="000000"/>
          <w:sz w:val="24"/>
        </w:rPr>
        <w:t xml:space="preserve">. In that </w:t>
      </w:r>
      <w:r>
        <w:rPr>
          <w:rFonts w:ascii="Arial"/>
          <w:color w:val="000000"/>
          <w:sz w:val="24"/>
        </w:rPr>
        <w:t>appeal</w:t>
      </w:r>
      <w:r>
        <w:rPr>
          <w:rFonts w:ascii="Arial"/>
          <w:color w:val="000000"/>
          <w:sz w:val="24"/>
        </w:rPr>
        <w:t>,</w:t>
      </w:r>
      <w:r>
        <w:rPr>
          <w:rFonts w:ascii="Arial"/>
          <w:color w:val="000000"/>
          <w:sz w:val="24"/>
        </w:rPr>
        <w:t xml:space="preserve"> </w:t>
      </w:r>
      <w:r>
        <w:rPr>
          <w:rFonts w:ascii="Arial"/>
          <w:color w:val="000000"/>
          <w:sz w:val="24"/>
        </w:rPr>
        <w:t xml:space="preserve">the Court considered whether a roadway, which provided access to a proposed industrial and warehouse estate, was characterised as a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 xml:space="preserve">(which was a nominate permissible use) or </w:t>
      </w:r>
      <w:r>
        <w:rPr>
          <w:rFonts w:ascii="Arial"/>
          <w:color w:val="000000"/>
          <w:sz w:val="24"/>
        </w:rPr>
        <w:t>“</w:t>
      </w:r>
      <w:r>
        <w:rPr>
          <w:rFonts w:ascii="Arial"/>
          <w:color w:val="000000"/>
          <w:sz w:val="24"/>
        </w:rPr>
        <w:t>warehouse and or distribution centre</w:t>
      </w:r>
      <w:r>
        <w:rPr>
          <w:rFonts w:ascii="Arial"/>
          <w:color w:val="000000"/>
          <w:sz w:val="24"/>
        </w:rPr>
        <w:t>”</w:t>
      </w:r>
      <w:r>
        <w:rPr>
          <w:rFonts w:ascii="Arial"/>
          <w:color w:val="000000"/>
          <w:sz w:val="24"/>
        </w:rPr>
        <w:t xml:space="preserve"> </w:t>
      </w:r>
      <w:r>
        <w:rPr>
          <w:rFonts w:ascii="Arial"/>
          <w:color w:val="000000"/>
          <w:sz w:val="24"/>
        </w:rPr>
        <w:t>(which was a nominate prohibited use</w:t>
      </w:r>
      <w:r>
        <w:rPr>
          <w:rFonts w:ascii="Arial"/>
          <w:color w:val="000000"/>
          <w:sz w:val="24"/>
        </w:rPr>
        <w:t>)</w:t>
      </w:r>
      <w:r>
        <w:rPr>
          <w:rFonts w:ascii="Arial"/>
          <w:color w:val="000000"/>
          <w:sz w:val="24"/>
        </w:rPr>
        <w:t>: at [11].</w:t>
      </w:r>
    </w:p>
    <w:p>
      <w:pPr>
        <w:pStyle w:val="CaselawNumbered10"/>
        <w:numPr>
          <w:ilvl w:val="0"/>
          <w:numId w:val="60"/>
        </w:numPr>
        <w:spacing w:before="150" w:after="0"/>
        <w:ind w:left="600" w:hanging="600"/>
      </w:pPr>
      <w:r>
        <w:rPr>
          <w:rFonts w:ascii="Arial"/>
          <w:color w:val="000000"/>
          <w:sz w:val="24"/>
        </w:rPr>
        <w:t xml:space="preserve">Commissioner Walsh held that the roadway was not a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 xml:space="preserve">because it served the purpose of providing access to the warehouse buildings - being </w:t>
      </w:r>
      <w:r>
        <w:rPr>
          <w:rFonts w:ascii="Arial"/>
          <w:color w:val="000000"/>
          <w:sz w:val="24"/>
        </w:rPr>
        <w:t>“</w:t>
      </w:r>
      <w:r>
        <w:rPr>
          <w:rFonts w:ascii="Arial"/>
          <w:color w:val="000000"/>
          <w:sz w:val="24"/>
        </w:rPr>
        <w:t>the end</w:t>
      </w:r>
      <w:r>
        <w:rPr>
          <w:rFonts w:ascii="Arial"/>
          <w:color w:val="000000"/>
          <w:sz w:val="24"/>
        </w:rPr>
        <w:t>”</w:t>
      </w:r>
      <w:r>
        <w:rPr>
          <w:rFonts w:ascii="Arial"/>
          <w:color w:val="000000"/>
          <w:sz w:val="24"/>
        </w:rPr>
        <w:t xml:space="preserve"> </w:t>
      </w:r>
      <w:r>
        <w:rPr>
          <w:rFonts w:ascii="Arial"/>
          <w:color w:val="000000"/>
          <w:sz w:val="24"/>
        </w:rPr>
        <w:t>to which the roadway served: at [37]. Further, th</w:t>
      </w:r>
      <w:r>
        <w:rPr>
          <w:rFonts w:ascii="Arial"/>
          <w:color w:val="000000"/>
          <w:sz w:val="24"/>
        </w:rPr>
        <w:t>at the</w:t>
      </w:r>
      <w:r>
        <w:rPr>
          <w:rFonts w:ascii="Arial"/>
          <w:color w:val="000000"/>
          <w:sz w:val="24"/>
        </w:rPr>
        <w:t xml:space="preserve"> </w:t>
      </w:r>
      <w:r>
        <w:rPr>
          <w:rFonts w:ascii="Arial"/>
          <w:color w:val="000000"/>
          <w:sz w:val="24"/>
        </w:rPr>
        <w:t>roadway was essential to enabling the proposed industrial and warehouse development because, without the physical act of constructing roadway, the development could not be achieved: at [37].</w:t>
      </w:r>
    </w:p>
    <w:p>
      <w:pPr>
        <w:pStyle w:val="CaselawNumbered10"/>
        <w:numPr>
          <w:ilvl w:val="0"/>
          <w:numId w:val="60"/>
        </w:numPr>
        <w:spacing w:before="150" w:after="0"/>
        <w:ind w:left="600" w:hanging="600"/>
      </w:pPr>
      <w:r>
        <w:rPr>
          <w:rFonts w:ascii="Arial"/>
          <w:color w:val="000000"/>
          <w:sz w:val="24"/>
        </w:rPr>
        <w:t xml:space="preserve">The </w:t>
      </w:r>
      <w:r>
        <w:rPr>
          <w:rFonts w:ascii="Arial"/>
          <w:color w:val="000000"/>
          <w:sz w:val="24"/>
        </w:rPr>
        <w:t xml:space="preserve">Council submits that the </w:t>
      </w:r>
      <w:r>
        <w:rPr>
          <w:rFonts w:ascii="Arial"/>
          <w:color w:val="000000"/>
          <w:sz w:val="24"/>
        </w:rPr>
        <w:t xml:space="preserve">findings in </w:t>
      </w:r>
      <w:r>
        <w:rPr>
          <w:rFonts w:ascii="Arial"/>
          <w:i/>
          <w:color w:val="000000"/>
          <w:sz w:val="24"/>
        </w:rPr>
        <w:t>Rockliff</w:t>
      </w:r>
      <w:r>
        <w:rPr>
          <w:rFonts w:ascii="Arial"/>
          <w:color w:val="000000"/>
          <w:sz w:val="24"/>
        </w:rPr>
        <w:t xml:space="preserve"> </w:t>
      </w:r>
      <w:r>
        <w:rPr>
          <w:rFonts w:ascii="Arial"/>
          <w:color w:val="000000"/>
          <w:sz w:val="24"/>
        </w:rPr>
        <w:t xml:space="preserve">support a conclusion in this case that the proposed access driveway on 87 Norfolk Road the subject of the Stage 1 DA is not a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but rather serves the purpose of a residential flat building which is prohibited in the R2 zone.</w:t>
      </w:r>
      <w:r>
        <w:rPr>
          <w:rFonts w:ascii="Arial"/>
          <w:color w:val="000000"/>
          <w:sz w:val="24"/>
        </w:rPr>
        <w:t xml:space="preserve"> </w:t>
      </w:r>
      <w:r>
        <w:rPr>
          <w:rFonts w:ascii="Arial"/>
          <w:color w:val="000000"/>
          <w:sz w:val="24"/>
        </w:rPr>
        <w:t xml:space="preserve">The Council </w:t>
      </w:r>
      <w:r>
        <w:rPr>
          <w:rFonts w:ascii="Arial"/>
          <w:color w:val="000000"/>
          <w:sz w:val="24"/>
        </w:rPr>
        <w:t>argu</w:t>
      </w:r>
      <w:r>
        <w:rPr>
          <w:rFonts w:ascii="Arial"/>
          <w:color w:val="000000"/>
          <w:sz w:val="24"/>
        </w:rPr>
        <w:t>ing</w:t>
      </w:r>
      <w:r>
        <w:rPr>
          <w:rFonts w:ascii="Arial"/>
          <w:color w:val="000000"/>
          <w:sz w:val="24"/>
        </w:rPr>
        <w:t xml:space="preserve"> </w:t>
      </w:r>
      <w:r>
        <w:rPr>
          <w:rFonts w:ascii="Arial"/>
          <w:color w:val="000000"/>
          <w:sz w:val="24"/>
        </w:rPr>
        <w:t xml:space="preserve">that </w:t>
      </w:r>
      <w:r>
        <w:rPr>
          <w:rFonts w:ascii="Arial"/>
          <w:color w:val="000000"/>
          <w:sz w:val="24"/>
        </w:rPr>
        <w:t>the physical attributes/physical acts on</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87 Norfolk Road </w:t>
      </w:r>
      <w:r>
        <w:rPr>
          <w:rFonts w:ascii="Arial"/>
          <w:color w:val="000000"/>
          <w:sz w:val="24"/>
        </w:rPr>
        <w:t xml:space="preserve">site </w:t>
      </w:r>
      <w:r>
        <w:rPr>
          <w:rFonts w:ascii="Arial"/>
          <w:color w:val="000000"/>
          <w:sz w:val="24"/>
        </w:rPr>
        <w:t xml:space="preserve">demonstrate attributes/acts </w:t>
      </w:r>
      <w:r>
        <w:rPr>
          <w:rFonts w:ascii="Arial"/>
          <w:color w:val="000000"/>
          <w:sz w:val="24"/>
        </w:rPr>
        <w:t xml:space="preserve">which </w:t>
      </w:r>
      <w:r>
        <w:rPr>
          <w:rFonts w:ascii="Arial"/>
          <w:color w:val="000000"/>
          <w:sz w:val="24"/>
        </w:rPr>
        <w:t>serve the purpose of a residential flat building on 355 Waterloo Road</w:t>
      </w:r>
      <w:r>
        <w:rPr>
          <w:rFonts w:ascii="Arial"/>
          <w:color w:val="000000"/>
          <w:sz w:val="24"/>
        </w:rPr>
        <w:t xml:space="preserve"> </w:t>
      </w:r>
      <w:r>
        <w:rPr>
          <w:rFonts w:ascii="Arial"/>
          <w:color w:val="000000"/>
          <w:sz w:val="24"/>
        </w:rPr>
        <w:t>namely</w:t>
      </w:r>
      <w:r>
        <w:rPr>
          <w:rFonts w:ascii="Arial"/>
          <w:color w:val="000000"/>
          <w:sz w:val="24"/>
        </w:rPr>
        <w:t>:</w:t>
      </w:r>
    </w:p>
    <w:p>
      <w:pPr>
        <w:pStyle w:val="CaselawNumbered1"/>
        <w:numPr>
          <w:ilvl w:val="0"/>
          <w:numId w:val="61"/>
        </w:numPr>
        <w:spacing w:before="150" w:after="0"/>
        <w:ind w:left="1350" w:hanging="750"/>
      </w:pPr>
      <w:r>
        <w:rPr>
          <w:rFonts w:ascii="Arial"/>
          <w:color w:val="000000"/>
          <w:sz w:val="24"/>
        </w:rPr>
        <w:t xml:space="preserve">The </w:t>
      </w:r>
      <w:r>
        <w:rPr>
          <w:rFonts w:ascii="Arial"/>
          <w:b/>
          <w:color w:val="000000"/>
          <w:sz w:val="24"/>
        </w:rPr>
        <w:t>original</w:t>
      </w:r>
      <w:r>
        <w:rPr>
          <w:rFonts w:ascii="Arial"/>
          <w:color w:val="000000"/>
          <w:sz w:val="24"/>
        </w:rPr>
        <w:t xml:space="preserve"> </w:t>
      </w:r>
      <w:r>
        <w:rPr>
          <w:rFonts w:ascii="Arial"/>
          <w:color w:val="000000"/>
          <w:sz w:val="24"/>
        </w:rPr>
        <w:t>Ground Level Architectural Plan contains the following details for the proposed driveway (see Ex 17, Concept Development GA Plans, Ground Level, Drawing DA-030-004 Rev 1):</w:t>
      </w:r>
    </w:p>
    <w:p>
      <w:pPr>
        <w:pStyle w:val="CaselawNumbereda"/>
        <w:numPr>
          <w:ilvl w:val="0"/>
          <w:numId w:val="62"/>
        </w:numPr>
        <w:spacing w:before="150" w:after="0"/>
        <w:ind w:left="2100" w:hanging="750"/>
      </w:pPr>
      <w:r>
        <w:rPr>
          <w:rFonts w:ascii="Arial"/>
          <w:color w:val="000000"/>
          <w:sz w:val="24"/>
        </w:rPr>
        <w:t xml:space="preserve">The words </w:t>
      </w:r>
      <w:r>
        <w:rPr>
          <w:rFonts w:ascii="Arial"/>
          <w:color w:val="000000"/>
          <w:sz w:val="24"/>
        </w:rPr>
        <w:t>“</w:t>
      </w:r>
      <w:r>
        <w:rPr>
          <w:rFonts w:ascii="Arial"/>
          <w:color w:val="000000"/>
          <w:sz w:val="24"/>
        </w:rPr>
        <w:t>Residential Carpark Entry and Exit</w:t>
      </w:r>
      <w:r>
        <w:rPr>
          <w:rFonts w:ascii="Arial"/>
          <w:color w:val="000000"/>
          <w:sz w:val="24"/>
        </w:rPr>
        <w:t>”</w:t>
      </w:r>
      <w:r>
        <w:rPr>
          <w:rFonts w:ascii="Arial"/>
          <w:color w:val="000000"/>
          <w:sz w:val="24"/>
        </w:rPr>
        <w:t xml:space="preserve"> </w:t>
      </w:r>
      <w:r>
        <w:rPr>
          <w:rFonts w:ascii="Arial"/>
          <w:color w:val="000000"/>
          <w:sz w:val="24"/>
        </w:rPr>
        <w:t>at the southern boundary of 87 Norfolk Road where it connects to Norfolk Road</w:t>
      </w:r>
      <w:r>
        <w:rPr>
          <w:rFonts w:ascii="Arial"/>
          <w:color w:val="000000"/>
          <w:sz w:val="24"/>
        </w:rPr>
        <w:t xml:space="preserve"> </w:t>
      </w:r>
      <w:r>
        <w:rPr>
          <w:rFonts w:ascii="Arial"/>
          <w:color w:val="000000"/>
          <w:sz w:val="24"/>
        </w:rPr>
        <w:t>(Ex 17 is superseded by subsequent plans).</w:t>
      </w:r>
    </w:p>
    <w:p>
      <w:pPr>
        <w:pStyle w:val="CaselawNumbereda"/>
        <w:numPr>
          <w:ilvl w:val="0"/>
          <w:numId w:val="62"/>
        </w:numPr>
        <w:spacing w:before="150" w:after="0"/>
        <w:ind w:left="2100" w:hanging="750"/>
      </w:pPr>
      <w:r>
        <w:rPr>
          <w:rFonts w:ascii="Arial"/>
          <w:color w:val="000000"/>
          <w:sz w:val="24"/>
        </w:rPr>
        <w:t xml:space="preserve">A </w:t>
      </w:r>
      <w:r>
        <w:rPr>
          <w:rFonts w:ascii="Arial"/>
          <w:color w:val="000000"/>
          <w:sz w:val="24"/>
        </w:rPr>
        <w:t>“</w:t>
      </w:r>
      <w:r>
        <w:rPr>
          <w:rFonts w:ascii="Arial"/>
          <w:color w:val="000000"/>
          <w:sz w:val="24"/>
        </w:rPr>
        <w:t>Hydrant Booster</w:t>
      </w:r>
      <w:r>
        <w:rPr>
          <w:rFonts w:ascii="Arial"/>
          <w:color w:val="000000"/>
          <w:sz w:val="24"/>
        </w:rPr>
        <w:t>”</w:t>
      </w:r>
      <w:r>
        <w:rPr>
          <w:rFonts w:ascii="Arial"/>
          <w:color w:val="000000"/>
          <w:sz w:val="24"/>
        </w:rPr>
        <w:t xml:space="preserve"> </w:t>
      </w:r>
      <w:r>
        <w:rPr>
          <w:rFonts w:ascii="Arial"/>
          <w:color w:val="000000"/>
          <w:sz w:val="24"/>
        </w:rPr>
        <w:t>is shown inside that boundary.</w:t>
      </w:r>
    </w:p>
    <w:p>
      <w:pPr>
        <w:pStyle w:val="CaselawNormal"/>
        <w:spacing w:before="150" w:after="150"/>
        <w:ind w:left="1350"/>
        <w:jc w:val="left"/>
      </w:pPr>
      <w:r>
        <w:rPr>
          <w:rFonts w:ascii="Arial"/>
          <w:color w:val="000000"/>
          <w:sz w:val="24"/>
        </w:rPr>
        <w:t>(A</w:t>
      </w:r>
      <w:r>
        <w:rPr>
          <w:rFonts w:ascii="Arial"/>
          <w:color w:val="000000"/>
          <w:sz w:val="24"/>
        </w:rPr>
        <w:t xml:space="preserve">nd, while it concedes that the current set of architectural plans does not contain an equivalent plan showing the above </w:t>
      </w:r>
      <w:r>
        <w:rPr>
          <w:rFonts w:ascii="Arial"/>
          <w:color w:val="000000"/>
          <w:sz w:val="24"/>
        </w:rPr>
        <w:t>details</w:t>
      </w:r>
      <w:r>
        <w:rPr>
          <w:rFonts w:ascii="Arial"/>
          <w:color w:val="000000"/>
          <w:sz w:val="24"/>
        </w:rPr>
        <w:t xml:space="preserve"> the Council </w:t>
      </w:r>
      <w:r>
        <w:rPr>
          <w:rFonts w:ascii="Arial"/>
          <w:color w:val="000000"/>
          <w:sz w:val="24"/>
        </w:rPr>
        <w:t>relies on the evidence of Mr Ryan i</w:t>
      </w:r>
      <w:r>
        <w:rPr>
          <w:rFonts w:ascii="Arial"/>
          <w:color w:val="000000"/>
          <w:sz w:val="24"/>
        </w:rPr>
        <w:t xml:space="preserve">n cross-examination, when he said that </w:t>
      </w:r>
      <w:r>
        <w:rPr>
          <w:rFonts w:ascii="Arial"/>
          <w:color w:val="000000"/>
          <w:sz w:val="24"/>
        </w:rPr>
        <w:t>it was his understanding that the plan remained current in terms of showing the interface between the proposed access driveway and Norfolk Road</w:t>
      </w:r>
      <w:r>
        <w:rPr>
          <w:rFonts w:ascii="Arial"/>
          <w:color w:val="000000"/>
          <w:sz w:val="24"/>
        </w:rPr>
        <w:t xml:space="preserve"> (Tcpt, 20 June 2024, pp 151(5)-152(6)</w:t>
      </w:r>
      <w:r>
        <w:rPr>
          <w:rFonts w:ascii="Arial"/>
          <w:color w:val="000000"/>
          <w:sz w:val="24"/>
        </w:rPr>
        <w:t>).</w:t>
      </w:r>
    </w:p>
    <w:p>
      <w:pPr>
        <w:pStyle w:val="CaselawNumbered1"/>
        <w:numPr>
          <w:ilvl w:val="0"/>
          <w:numId w:val="63"/>
        </w:numPr>
        <w:spacing w:before="150" w:after="0"/>
        <w:ind w:left="1350" w:hanging="750"/>
      </w:pPr>
      <w:r>
        <w:rPr>
          <w:rFonts w:ascii="Arial"/>
          <w:color w:val="000000"/>
          <w:sz w:val="24"/>
        </w:rPr>
        <w:t xml:space="preserve">The </w:t>
      </w:r>
      <w:r>
        <w:rPr>
          <w:rFonts w:ascii="Arial"/>
          <w:color w:val="000000"/>
          <w:sz w:val="24"/>
        </w:rPr>
        <w:t>SEE</w:t>
      </w:r>
      <w:r>
        <w:rPr>
          <w:rFonts w:ascii="Arial"/>
          <w:color w:val="000000"/>
          <w:sz w:val="24"/>
        </w:rPr>
        <w:t xml:space="preserve"> </w:t>
      </w:r>
      <w:r>
        <w:rPr>
          <w:rFonts w:ascii="Arial"/>
          <w:color w:val="000000"/>
          <w:sz w:val="24"/>
        </w:rPr>
        <w:t>relevantly states (see Ex E, Class 1 Application, Vol 1, Tab 4):</w:t>
      </w:r>
    </w:p>
    <w:p>
      <w:pPr>
        <w:pStyle w:val="CaselawNumbereda"/>
        <w:numPr>
          <w:ilvl w:val="0"/>
          <w:numId w:val="64"/>
        </w:numPr>
        <w:spacing w:before="150" w:after="0"/>
        <w:ind w:left="2100" w:hanging="750"/>
      </w:pPr>
      <w:r>
        <w:rPr>
          <w:rFonts w:ascii="Arial"/>
          <w:color w:val="000000"/>
          <w:sz w:val="24"/>
        </w:rPr>
        <w:t>“</w:t>
      </w:r>
      <w:r>
        <w:rPr>
          <w:rFonts w:ascii="Arial"/>
          <w:color w:val="000000"/>
          <w:sz w:val="24"/>
        </w:rPr>
        <w:t>A new road, Norfolk Land, will be created through no. 87 Norfolk Road to provide a new entry/exit point for the residential apartments proposed</w:t>
      </w:r>
      <w:r>
        <w:rPr>
          <w:rFonts w:ascii="Arial"/>
          <w:color w:val="000000"/>
          <w:sz w:val="24"/>
        </w:rPr>
        <w:t xml:space="preserve"> </w:t>
      </w:r>
      <w:r>
        <w:rPr>
          <w:rFonts w:ascii="Arial"/>
          <w:color w:val="000000"/>
          <w:sz w:val="24"/>
        </w:rPr>
        <w:t>in Stages 1 &amp; 2. This road will have the visual appearance of a</w:t>
      </w:r>
      <w:r>
        <w:rPr>
          <w:rFonts w:ascii="Arial"/>
          <w:color w:val="000000"/>
          <w:sz w:val="24"/>
        </w:rPr>
        <w:t xml:space="preserve"> </w:t>
      </w:r>
      <w:r>
        <w:rPr>
          <w:rFonts w:ascii="Arial"/>
          <w:color w:val="000000"/>
          <w:sz w:val="24"/>
        </w:rPr>
        <w:t>‘</w:t>
      </w:r>
      <w:r>
        <w:rPr>
          <w:rFonts w:ascii="Arial"/>
          <w:color w:val="000000"/>
          <w:sz w:val="24"/>
        </w:rPr>
        <w:t>driveway</w:t>
      </w:r>
      <w:r>
        <w:rPr>
          <w:rFonts w:ascii="Arial"/>
          <w:color w:val="000000"/>
          <w:sz w:val="24"/>
        </w:rPr>
        <w:t>’</w:t>
      </w:r>
      <w:r>
        <w:rPr>
          <w:rFonts w:ascii="Arial"/>
          <w:color w:val="000000"/>
          <w:sz w:val="24"/>
        </w:rPr>
        <w:t xml:space="preserve">, which will deter </w:t>
      </w:r>
      <w:r>
        <w:rPr>
          <w:rFonts w:ascii="Arial"/>
          <w:color w:val="000000"/>
          <w:sz w:val="24"/>
        </w:rPr>
        <w:t>retail shoppers</w:t>
      </w:r>
      <w:r>
        <w:rPr>
          <w:rFonts w:ascii="Arial"/>
          <w:color w:val="000000"/>
          <w:sz w:val="24"/>
        </w:rPr>
        <w:t xml:space="preserve"> </w:t>
      </w:r>
      <w:r>
        <w:rPr>
          <w:rFonts w:ascii="Arial"/>
          <w:color w:val="000000"/>
          <w:sz w:val="24"/>
        </w:rPr>
        <w:t>and childcare users from accessing the site from this new access point</w:t>
      </w:r>
      <w:r>
        <w:rPr>
          <w:rFonts w:ascii="Arial"/>
          <w:color w:val="000000"/>
          <w:sz w:val="24"/>
        </w:rPr>
        <w:t>”</w:t>
      </w:r>
      <w:r>
        <w:rPr>
          <w:rFonts w:ascii="Arial"/>
          <w:color w:val="000000"/>
          <w:sz w:val="24"/>
        </w:rPr>
        <w:t xml:space="preserve"> </w:t>
      </w:r>
      <w:r>
        <w:rPr>
          <w:rFonts w:ascii="Arial"/>
          <w:color w:val="000000"/>
          <w:sz w:val="24"/>
        </w:rPr>
        <w:t>(see Section 2.11.2).</w:t>
      </w:r>
    </w:p>
    <w:p>
      <w:pPr>
        <w:pStyle w:val="CaselawNumbereda"/>
        <w:numPr>
          <w:ilvl w:val="0"/>
          <w:numId w:val="64"/>
        </w:numPr>
        <w:spacing w:before="150" w:after="0"/>
        <w:ind w:left="2100" w:hanging="750"/>
      </w:pPr>
      <w:r>
        <w:rPr>
          <w:rFonts w:ascii="Arial"/>
          <w:color w:val="000000"/>
          <w:sz w:val="24"/>
        </w:rPr>
        <w:t>“</w:t>
      </w:r>
      <w:r>
        <w:rPr>
          <w:rFonts w:ascii="Arial"/>
          <w:color w:val="000000"/>
          <w:sz w:val="24"/>
        </w:rPr>
        <w:t>Norfolk Lane will have the appearance of a driveway, which will be consistent with the appearance, form and function of the adjoining residential dwellings on Norfolk Road</w:t>
      </w:r>
      <w:r>
        <w:rPr>
          <w:rFonts w:ascii="Arial"/>
          <w:color w:val="000000"/>
          <w:sz w:val="24"/>
        </w:rPr>
        <w:t>”</w:t>
      </w:r>
      <w:r>
        <w:rPr>
          <w:rFonts w:ascii="Arial"/>
          <w:color w:val="000000"/>
          <w:sz w:val="24"/>
        </w:rPr>
        <w:t xml:space="preserve"> </w:t>
      </w:r>
      <w:r>
        <w:rPr>
          <w:rFonts w:ascii="Arial"/>
          <w:color w:val="000000"/>
          <w:sz w:val="24"/>
        </w:rPr>
        <w:t>(see Section 6.5.1).</w:t>
      </w:r>
    </w:p>
    <w:p>
      <w:pPr>
        <w:pStyle w:val="CaselawNumbered1"/>
        <w:numPr>
          <w:ilvl w:val="0"/>
          <w:numId w:val="65"/>
        </w:numPr>
        <w:spacing w:before="150" w:after="0"/>
        <w:ind w:left="1350" w:hanging="750"/>
      </w:pPr>
      <w:r>
        <w:rPr>
          <w:rFonts w:ascii="Arial"/>
          <w:color w:val="000000"/>
          <w:sz w:val="24"/>
        </w:rPr>
        <w:t xml:space="preserve">The legal advice of Mills Oakley </w:t>
      </w:r>
      <w:r>
        <w:rPr>
          <w:rFonts w:ascii="Arial"/>
          <w:color w:val="000000"/>
          <w:sz w:val="24"/>
        </w:rPr>
        <w:t xml:space="preserve">which </w:t>
      </w:r>
      <w:r>
        <w:rPr>
          <w:rFonts w:ascii="Arial"/>
          <w:color w:val="000000"/>
          <w:sz w:val="24"/>
        </w:rPr>
        <w:t xml:space="preserve">is premised on the basis that the proposed driveway would be constructed on 87 Norfolk Road </w:t>
      </w:r>
      <w:r>
        <w:rPr>
          <w:rFonts w:ascii="Arial"/>
          <w:color w:val="000000"/>
          <w:sz w:val="24"/>
        </w:rPr>
        <w:t>“</w:t>
      </w:r>
      <w:r>
        <w:rPr>
          <w:rFonts w:ascii="Arial"/>
          <w:color w:val="000000"/>
          <w:sz w:val="24"/>
        </w:rPr>
        <w:t>for access to the also proposed residential flat building development at the adjoining Chu</w:t>
      </w:r>
      <w:r>
        <w:rPr>
          <w:rFonts w:ascii="Arial"/>
          <w:color w:val="000000"/>
          <w:sz w:val="24"/>
        </w:rPr>
        <w:t>llor</w:t>
      </w:r>
      <w:r>
        <w:rPr>
          <w:rFonts w:ascii="Arial"/>
          <w:color w:val="000000"/>
          <w:sz w:val="24"/>
        </w:rPr>
        <w:t>a Marketplace land at 353-355 Waterloo Road, Greenacre</w:t>
      </w:r>
      <w:r>
        <w:rPr>
          <w:rFonts w:ascii="Arial"/>
          <w:color w:val="000000"/>
          <w:sz w:val="24"/>
        </w:rPr>
        <w:t>”</w:t>
      </w:r>
      <w:r>
        <w:rPr>
          <w:rFonts w:ascii="Arial"/>
          <w:color w:val="000000"/>
          <w:sz w:val="24"/>
        </w:rPr>
        <w:t>: Ex G, Class 1 Application, Vol 3, Tab 33, p 1.</w:t>
      </w:r>
    </w:p>
    <w:p>
      <w:pPr>
        <w:pStyle w:val="CaselawNumbered1"/>
        <w:numPr>
          <w:ilvl w:val="0"/>
          <w:numId w:val="65"/>
        </w:numPr>
        <w:spacing w:before="150" w:after="0"/>
        <w:ind w:left="1350" w:hanging="750"/>
      </w:pPr>
      <w:r>
        <w:rPr>
          <w:rFonts w:ascii="Arial"/>
          <w:color w:val="000000"/>
          <w:sz w:val="24"/>
        </w:rPr>
        <w:t>The Civil Engineering Plans for the Stage 1 DA before the Court show:</w:t>
      </w:r>
    </w:p>
    <w:p>
      <w:pPr>
        <w:pStyle w:val="CaselawNumbereda"/>
        <w:numPr>
          <w:ilvl w:val="0"/>
          <w:numId w:val="66"/>
        </w:numPr>
        <w:spacing w:before="150" w:after="0"/>
        <w:ind w:left="2100" w:hanging="750"/>
      </w:pPr>
      <w:r>
        <w:rPr>
          <w:rFonts w:ascii="Arial"/>
          <w:color w:val="000000"/>
          <w:sz w:val="24"/>
        </w:rPr>
        <w:t>A substantial below ground on-site detention system, including a rainwater tank, with a volume of 90m</w:t>
      </w:r>
      <w:r>
        <w:rPr>
          <w:rFonts w:ascii="Arial"/>
          <w:color w:val="000000"/>
          <w:sz w:val="24"/>
        </w:rPr>
        <w:t>3</w:t>
      </w:r>
      <w:r>
        <w:rPr>
          <w:rFonts w:ascii="Arial"/>
          <w:color w:val="000000"/>
          <w:sz w:val="24"/>
        </w:rPr>
        <w:t xml:space="preserve"> </w:t>
      </w:r>
      <w:r>
        <w:rPr>
          <w:rFonts w:ascii="Arial"/>
          <w:color w:val="000000"/>
          <w:sz w:val="24"/>
        </w:rPr>
        <w:t>on 87 Norfolk Road:</w:t>
      </w:r>
      <w:r>
        <w:rPr>
          <w:rFonts w:ascii="Arial"/>
          <w:color w:val="000000"/>
          <w:sz w:val="24"/>
        </w:rPr>
        <w:t xml:space="preserve"> </w:t>
      </w:r>
      <w:r>
        <w:rPr>
          <w:rFonts w:ascii="Arial"/>
          <w:color w:val="000000"/>
          <w:sz w:val="24"/>
        </w:rPr>
        <w:t>Ex A, Ex M-03, Tab 4, Drawings 22J17_DA_C102 Rev 7, 22J17_DA_C103 Rev 7 and 22J17_DA_C202 Rev 4. This stormwater infrastructure is serving the proposed residential flat building (at least).</w:t>
      </w:r>
    </w:p>
    <w:p>
      <w:pPr>
        <w:pStyle w:val="CaselawNumbereda"/>
        <w:numPr>
          <w:ilvl w:val="0"/>
          <w:numId w:val="66"/>
        </w:numPr>
        <w:spacing w:before="150" w:after="0"/>
        <w:ind w:left="2100" w:hanging="750"/>
      </w:pPr>
      <w:r>
        <w:rPr>
          <w:rFonts w:ascii="Arial"/>
          <w:color w:val="000000"/>
          <w:sz w:val="24"/>
        </w:rPr>
        <w:t xml:space="preserve">The proposed driveway is to </w:t>
      </w:r>
      <w:r>
        <w:rPr>
          <w:rFonts w:ascii="Arial"/>
          <w:color w:val="000000"/>
          <w:sz w:val="24"/>
        </w:rPr>
        <w:t>“</w:t>
      </w:r>
      <w:r>
        <w:rPr>
          <w:rFonts w:ascii="Arial"/>
          <w:color w:val="000000"/>
          <w:sz w:val="24"/>
        </w:rPr>
        <w:t>match existing footpath level and width</w:t>
      </w:r>
      <w:r>
        <w:rPr>
          <w:rFonts w:ascii="Arial"/>
          <w:color w:val="000000"/>
          <w:sz w:val="24"/>
        </w:rPr>
        <w:t>”</w:t>
      </w:r>
      <w:r>
        <w:rPr>
          <w:rFonts w:ascii="Arial"/>
          <w:color w:val="000000"/>
          <w:sz w:val="24"/>
        </w:rPr>
        <w:t xml:space="preserve"> </w:t>
      </w:r>
      <w:r>
        <w:rPr>
          <w:rFonts w:ascii="Arial"/>
          <w:color w:val="000000"/>
          <w:sz w:val="24"/>
        </w:rPr>
        <w:t>on the other side of the southern boundary of 87 Norfolk Road: Ex A, Ex M-03, Tab 4, Drawing 22J17_DA_C103 Rev 7.</w:t>
      </w:r>
    </w:p>
    <w:p>
      <w:pPr>
        <w:pStyle w:val="CaselawNumbereda"/>
        <w:numPr>
          <w:ilvl w:val="0"/>
          <w:numId w:val="66"/>
        </w:numPr>
        <w:spacing w:before="150" w:after="0"/>
        <w:ind w:left="2100" w:hanging="750"/>
      </w:pPr>
      <w:r>
        <w:rPr>
          <w:rFonts w:ascii="Arial"/>
          <w:color w:val="000000"/>
          <w:sz w:val="24"/>
        </w:rPr>
        <w:t xml:space="preserve">The proposed vehicular footway crossing (VFC) where the proposed driveway adjoins Norfolk Road is to be </w:t>
      </w:r>
      <w:r>
        <w:rPr>
          <w:rFonts w:ascii="Arial"/>
          <w:color w:val="000000"/>
          <w:sz w:val="24"/>
        </w:rPr>
        <w:t>“</w:t>
      </w:r>
      <w:r>
        <w:rPr>
          <w:rFonts w:ascii="Arial"/>
          <w:color w:val="000000"/>
          <w:sz w:val="24"/>
        </w:rPr>
        <w:t>in accordance with Bankstown City Council's Standard Drawing S-008, refer C150 for details</w:t>
      </w:r>
      <w:r>
        <w:rPr>
          <w:rFonts w:ascii="Arial"/>
          <w:color w:val="000000"/>
          <w:sz w:val="24"/>
        </w:rPr>
        <w:t>”</w:t>
      </w:r>
      <w:r>
        <w:rPr>
          <w:rFonts w:ascii="Arial"/>
          <w:color w:val="000000"/>
          <w:sz w:val="24"/>
        </w:rPr>
        <w:t>: Ex A, Ex M-03, Tab 4, Drawing 22J17_DA_C103 Rev 7. The details of Council's Standard Drawing S-008 are set out in a later plan and relate to a standard medium duty VFC: Ex A, Ex M-03, Tab 4, Drawing 22J17_DA_C150 Rev 2.</w:t>
      </w:r>
    </w:p>
    <w:p>
      <w:pPr>
        <w:pStyle w:val="CaselawNumbereda"/>
        <w:numPr>
          <w:ilvl w:val="0"/>
          <w:numId w:val="66"/>
        </w:numPr>
        <w:spacing w:before="150" w:after="0"/>
        <w:ind w:left="2100" w:hanging="750"/>
      </w:pPr>
      <w:r>
        <w:rPr>
          <w:rFonts w:ascii="Arial"/>
          <w:color w:val="000000"/>
          <w:sz w:val="24"/>
        </w:rPr>
        <w:t>The Council</w:t>
      </w:r>
      <w:r>
        <w:rPr>
          <w:rFonts w:ascii="Arial"/>
          <w:color w:val="000000"/>
          <w:sz w:val="24"/>
        </w:rPr>
        <w:t>’</w:t>
      </w:r>
      <w:r>
        <w:rPr>
          <w:rFonts w:ascii="Arial"/>
          <w:color w:val="000000"/>
          <w:sz w:val="24"/>
        </w:rPr>
        <w:t xml:space="preserve">s Development Engineering Standards provides that the </w:t>
      </w:r>
      <w:r>
        <w:rPr>
          <w:rFonts w:ascii="Arial"/>
          <w:color w:val="000000"/>
          <w:sz w:val="24"/>
        </w:rPr>
        <w:t>“</w:t>
      </w:r>
      <w:r>
        <w:rPr>
          <w:rFonts w:ascii="Arial"/>
          <w:color w:val="000000"/>
          <w:sz w:val="24"/>
        </w:rPr>
        <w:t>minimum pavement thickness design for the driveway within the development must be in accordance with Council</w:t>
      </w:r>
      <w:r>
        <w:rPr>
          <w:rFonts w:ascii="Arial"/>
          <w:color w:val="000000"/>
          <w:sz w:val="24"/>
        </w:rPr>
        <w:t>’</w:t>
      </w:r>
      <w:r>
        <w:rPr>
          <w:rFonts w:ascii="Arial"/>
          <w:color w:val="000000"/>
          <w:sz w:val="24"/>
        </w:rPr>
        <w:t>s VFC Standard Drawings S-007 to S-009, whichever is required by the development consent</w:t>
      </w:r>
      <w:r>
        <w:rPr>
          <w:rFonts w:ascii="Arial"/>
          <w:color w:val="000000"/>
          <w:sz w:val="24"/>
        </w:rPr>
        <w:t>”</w:t>
      </w:r>
      <w:r>
        <w:rPr>
          <w:rFonts w:ascii="Arial"/>
          <w:color w:val="000000"/>
          <w:sz w:val="24"/>
        </w:rPr>
        <w:t>: Council</w:t>
      </w:r>
      <w:r>
        <w:rPr>
          <w:rFonts w:ascii="Arial"/>
          <w:color w:val="000000"/>
          <w:sz w:val="24"/>
        </w:rPr>
        <w:t>’</w:t>
      </w:r>
      <w:r>
        <w:rPr>
          <w:rFonts w:ascii="Arial"/>
          <w:color w:val="000000"/>
          <w:sz w:val="24"/>
        </w:rPr>
        <w:t>s Bundle, Item 14, 796. Clause 8.7 of the Standards contains the requirements for VFC design and construction which applies to the following uses: residential and dual occupancy; medium density residential; high density residential (flats); commercial, industrial and institutional development: Council</w:t>
      </w:r>
      <w:r>
        <w:rPr>
          <w:rFonts w:ascii="Arial"/>
          <w:color w:val="000000"/>
          <w:sz w:val="24"/>
        </w:rPr>
        <w:t>’</w:t>
      </w:r>
      <w:r>
        <w:rPr>
          <w:rFonts w:ascii="Arial"/>
          <w:color w:val="000000"/>
          <w:sz w:val="24"/>
        </w:rPr>
        <w:t>s Bundle, Item 14, 791. Table</w:t>
      </w:r>
      <w:r>
        <w:rPr>
          <w:rFonts w:ascii="Arial"/>
          <w:color w:val="000000"/>
          <w:sz w:val="24"/>
        </w:rPr>
        <w:t xml:space="preserve"> </w:t>
      </w:r>
      <w:r>
        <w:rPr>
          <w:rFonts w:ascii="Arial"/>
          <w:color w:val="000000"/>
          <w:sz w:val="24"/>
        </w:rPr>
        <w:t xml:space="preserve">8.1 of the Standards provides the following requirements for medium and </w:t>
      </w:r>
      <w:r>
        <w:rPr>
          <w:rFonts w:ascii="Arial"/>
          <w:color w:val="000000"/>
          <w:sz w:val="24"/>
        </w:rPr>
        <w:t>high-density</w:t>
      </w:r>
      <w:r>
        <w:rPr>
          <w:rFonts w:ascii="Arial"/>
          <w:color w:val="000000"/>
          <w:sz w:val="24"/>
        </w:rPr>
        <w:t xml:space="preserve"> </w:t>
      </w:r>
      <w:r>
        <w:rPr>
          <w:rFonts w:ascii="Arial"/>
          <w:color w:val="000000"/>
          <w:sz w:val="24"/>
        </w:rPr>
        <w:t>residential developments: minimum width of VFC at boundary of 3.5m; maximum width of</w:t>
      </w:r>
      <w:r>
        <w:rPr>
          <w:rFonts w:ascii="Arial"/>
          <w:color w:val="000000"/>
          <w:sz w:val="24"/>
        </w:rPr>
        <w:t xml:space="preserve"> </w:t>
      </w:r>
      <w:r>
        <w:rPr>
          <w:rFonts w:ascii="Arial"/>
          <w:color w:val="000000"/>
          <w:sz w:val="24"/>
        </w:rPr>
        <w:t>VFC at boundary of 6m; minimum standard of VFC as heavy duty.</w:t>
      </w:r>
    </w:p>
    <w:p>
      <w:pPr>
        <w:pStyle w:val="CaselawNumbereda"/>
        <w:numPr>
          <w:ilvl w:val="0"/>
          <w:numId w:val="66"/>
        </w:numPr>
        <w:spacing w:before="150" w:after="0"/>
        <w:ind w:left="2100" w:hanging="750"/>
      </w:pPr>
      <w:r>
        <w:rPr>
          <w:rFonts w:ascii="Arial"/>
          <w:color w:val="000000"/>
          <w:sz w:val="24"/>
        </w:rPr>
        <w:t>On the other hand, Table 8.1 of the Standards provides the following requirements for a dual occupancy (with single access to both dwellings): minimum width of</w:t>
      </w:r>
      <w:r>
        <w:rPr>
          <w:rFonts w:ascii="Arial"/>
          <w:color w:val="000000"/>
          <w:sz w:val="24"/>
        </w:rPr>
        <w:t xml:space="preserve"> </w:t>
      </w:r>
      <w:r>
        <w:rPr>
          <w:rFonts w:ascii="Arial"/>
          <w:color w:val="000000"/>
          <w:sz w:val="24"/>
        </w:rPr>
        <w:t xml:space="preserve">VFC at boundary of 3.5m; maximum width of VFC at boundary of 5.5m; minimum standard of VFC as medium duty. </w:t>
      </w:r>
    </w:p>
    <w:p>
      <w:pPr>
        <w:pStyle w:val="CaselawNumbereda"/>
        <w:numPr>
          <w:ilvl w:val="0"/>
          <w:numId w:val="66"/>
        </w:numPr>
        <w:spacing w:before="150" w:after="0"/>
        <w:ind w:left="2100" w:hanging="750"/>
      </w:pPr>
      <w:r>
        <w:rPr>
          <w:rFonts w:ascii="Arial"/>
          <w:color w:val="000000"/>
          <w:sz w:val="24"/>
        </w:rPr>
        <w:t xml:space="preserve">The Council says that the Civil Engineering Plans have used the incorrect requirements in Table 8.1 by using the requirements for dual occupancies rather than medium and </w:t>
      </w:r>
      <w:r>
        <w:rPr>
          <w:rFonts w:ascii="Arial"/>
          <w:color w:val="000000"/>
          <w:sz w:val="24"/>
        </w:rPr>
        <w:t>high-density</w:t>
      </w:r>
      <w:r>
        <w:rPr>
          <w:rFonts w:ascii="Arial"/>
          <w:color w:val="000000"/>
          <w:sz w:val="24"/>
        </w:rPr>
        <w:t xml:space="preserve"> </w:t>
      </w:r>
      <w:r>
        <w:rPr>
          <w:rFonts w:ascii="Arial"/>
          <w:color w:val="000000"/>
          <w:sz w:val="24"/>
        </w:rPr>
        <w:t>residential developments. This discrepancy has been corrected in the conditions. In any event, the use for which the VFC is being designed is for a residential use (as distinct from the design of a road).</w:t>
      </w:r>
    </w:p>
    <w:p>
      <w:pPr>
        <w:pStyle w:val="CaselawNumbered1"/>
        <w:numPr>
          <w:ilvl w:val="0"/>
          <w:numId w:val="67"/>
        </w:numPr>
        <w:spacing w:before="150" w:after="0"/>
        <w:ind w:left="1350" w:hanging="750"/>
      </w:pPr>
      <w:r>
        <w:rPr>
          <w:rFonts w:ascii="Arial"/>
          <w:color w:val="000000"/>
          <w:sz w:val="24"/>
        </w:rPr>
        <w:t xml:space="preserve">The Landscape Plans for the Stage 1 DA before the Court show trees on both sides of the access driveway on 87 Norfolk Road with a notation </w:t>
      </w:r>
      <w:r>
        <w:rPr>
          <w:rFonts w:ascii="Arial"/>
          <w:color w:val="000000"/>
          <w:sz w:val="24"/>
        </w:rPr>
        <w:t>“</w:t>
      </w:r>
      <w:r>
        <w:rPr>
          <w:rFonts w:ascii="Arial"/>
          <w:color w:val="000000"/>
          <w:sz w:val="24"/>
        </w:rPr>
        <w:t>mass planting in deep soil to provide visual privacy and screening to adjacent properties</w:t>
      </w:r>
      <w:r>
        <w:rPr>
          <w:rFonts w:ascii="Arial"/>
          <w:color w:val="000000"/>
          <w:sz w:val="24"/>
        </w:rPr>
        <w:t>”</w:t>
      </w:r>
      <w:r>
        <w:rPr>
          <w:rFonts w:ascii="Arial"/>
          <w:color w:val="000000"/>
          <w:sz w:val="24"/>
        </w:rPr>
        <w:t xml:space="preserve">: Ex A, Ex AA-03, Tab 3, Drawing 2022020-LD-DA020 Rev 4. In those Plans, the access driveway on 87 Norfolk Road is marked as a </w:t>
      </w:r>
      <w:r>
        <w:rPr>
          <w:rFonts w:ascii="Arial"/>
          <w:color w:val="000000"/>
          <w:sz w:val="24"/>
        </w:rPr>
        <w:t>“</w:t>
      </w:r>
      <w:r>
        <w:rPr>
          <w:rFonts w:ascii="Arial"/>
          <w:color w:val="000000"/>
          <w:sz w:val="24"/>
        </w:rPr>
        <w:t>new driveway</w:t>
      </w:r>
      <w:r>
        <w:rPr>
          <w:rFonts w:ascii="Arial"/>
          <w:color w:val="000000"/>
          <w:sz w:val="24"/>
        </w:rPr>
        <w:t>”</w:t>
      </w:r>
      <w:r>
        <w:rPr>
          <w:rFonts w:ascii="Arial"/>
          <w:color w:val="000000"/>
          <w:sz w:val="24"/>
        </w:rPr>
        <w:t xml:space="preserve"> </w:t>
      </w:r>
      <w:r>
        <w:rPr>
          <w:rFonts w:ascii="Arial"/>
          <w:color w:val="000000"/>
          <w:sz w:val="24"/>
        </w:rPr>
        <w:t>and being 6m wide: Ex A, Ex AA-03, Tab 3, Drawing 2022030-LD-DA411 Rev 3. The width is inconsistent with the Civil Engineering Plans which show the access driveway as being 5.5m wide.</w:t>
      </w:r>
      <w:r>
        <w:rPr>
          <w:rFonts w:ascii="Arial"/>
          <w:color w:val="000000"/>
          <w:sz w:val="24"/>
        </w:rPr>
        <w:t xml:space="preserve"> </w:t>
      </w:r>
      <w:r>
        <w:rPr>
          <w:rFonts w:ascii="Arial"/>
          <w:color w:val="000000"/>
          <w:sz w:val="24"/>
        </w:rPr>
        <w:t>(</w:t>
      </w:r>
      <w:r>
        <w:rPr>
          <w:rFonts w:ascii="Arial"/>
          <w:color w:val="000000"/>
          <w:sz w:val="24"/>
        </w:rPr>
        <w:t>C</w:t>
      </w:r>
      <w:r>
        <w:rPr>
          <w:rFonts w:ascii="Arial"/>
          <w:color w:val="000000"/>
          <w:sz w:val="24"/>
        </w:rPr>
        <w:t>F</w:t>
      </w:r>
      <w:r>
        <w:rPr>
          <w:rFonts w:ascii="Arial"/>
          <w:color w:val="000000"/>
          <w:sz w:val="24"/>
        </w:rPr>
        <w:t>WS par 77</w:t>
      </w:r>
      <w:r>
        <w:rPr>
          <w:rFonts w:ascii="Arial"/>
          <w:color w:val="000000"/>
          <w:sz w:val="24"/>
        </w:rPr>
        <w:t xml:space="preserve">) </w:t>
      </w:r>
    </w:p>
    <w:p>
      <w:pPr>
        <w:pStyle w:val="CaselawNumbered10"/>
        <w:numPr>
          <w:ilvl w:val="0"/>
          <w:numId w:val="68"/>
        </w:numPr>
        <w:spacing w:before="150" w:after="0"/>
        <w:ind w:left="600" w:hanging="600"/>
      </w:pPr>
      <w:r>
        <w:rPr>
          <w:rFonts w:ascii="Arial"/>
          <w:color w:val="000000"/>
          <w:sz w:val="24"/>
        </w:rPr>
        <w:t>P</w:t>
      </w:r>
      <w:r>
        <w:rPr>
          <w:rFonts w:ascii="Arial"/>
          <w:color w:val="000000"/>
          <w:sz w:val="24"/>
        </w:rPr>
        <w:t>araphras</w:t>
      </w:r>
      <w:r>
        <w:rPr>
          <w:rFonts w:ascii="Arial"/>
          <w:color w:val="000000"/>
          <w:sz w:val="24"/>
        </w:rPr>
        <w:t xml:space="preserve">ing </w:t>
      </w:r>
      <w:r>
        <w:rPr>
          <w:rFonts w:ascii="Arial"/>
          <w:color w:val="000000"/>
          <w:sz w:val="24"/>
        </w:rPr>
        <w:t>the reasoning of Pain J</w:t>
      </w:r>
      <w:r>
        <w:rPr>
          <w:rFonts w:ascii="Arial"/>
          <w:color w:val="000000"/>
          <w:sz w:val="24"/>
        </w:rPr>
        <w:t xml:space="preserve"> </w:t>
      </w:r>
      <w:r>
        <w:rPr>
          <w:rFonts w:ascii="Arial"/>
          <w:color w:val="000000"/>
          <w:sz w:val="24"/>
        </w:rPr>
        <w:t xml:space="preserve">in </w:t>
      </w:r>
      <w:r>
        <w:rPr>
          <w:rFonts w:ascii="Arial"/>
          <w:i/>
          <w:color w:val="000000"/>
          <w:sz w:val="24"/>
        </w:rPr>
        <w:t>Alramon</w:t>
      </w:r>
      <w:r>
        <w:rPr>
          <w:rFonts w:ascii="Arial"/>
          <w:color w:val="000000"/>
          <w:sz w:val="24"/>
        </w:rPr>
        <w:t>,</w:t>
      </w:r>
      <w:r>
        <w:rPr>
          <w:rFonts w:ascii="Arial"/>
          <w:color w:val="000000"/>
          <w:sz w:val="24"/>
        </w:rPr>
        <w:t xml:space="preserve"> </w:t>
      </w:r>
      <w:r>
        <w:rPr>
          <w:rFonts w:ascii="Arial"/>
          <w:color w:val="000000"/>
          <w:sz w:val="24"/>
        </w:rPr>
        <w:t>the Council submits</w:t>
      </w:r>
      <w:r>
        <w:rPr>
          <w:rFonts w:ascii="Arial"/>
          <w:color w:val="000000"/>
          <w:sz w:val="24"/>
        </w:rPr>
        <w:t>:</w:t>
      </w:r>
    </w:p>
    <w:p>
      <w:pPr>
        <w:pStyle w:val="CaselawNumbered1"/>
        <w:numPr>
          <w:ilvl w:val="0"/>
          <w:numId w:val="69"/>
        </w:numPr>
        <w:spacing w:before="150" w:after="0"/>
        <w:ind w:left="1350" w:hanging="750"/>
      </w:pPr>
      <w:r>
        <w:rPr>
          <w:rFonts w:ascii="Arial"/>
          <w:color w:val="000000"/>
          <w:sz w:val="24"/>
        </w:rPr>
        <w:t xml:space="preserve">The decision in </w:t>
      </w:r>
      <w:r>
        <w:rPr>
          <w:rFonts w:ascii="Arial"/>
          <w:i/>
          <w:color w:val="000000"/>
          <w:sz w:val="24"/>
        </w:rPr>
        <w:t>Argyropoulos</w:t>
      </w:r>
      <w:r>
        <w:rPr>
          <w:rFonts w:ascii="Arial"/>
          <w:color w:val="000000"/>
          <w:sz w:val="24"/>
        </w:rPr>
        <w:t xml:space="preserve"> </w:t>
      </w:r>
      <w:r>
        <w:rPr>
          <w:rFonts w:ascii="Arial"/>
          <w:color w:val="000000"/>
          <w:sz w:val="24"/>
        </w:rPr>
        <w:t xml:space="preserve">was distinguishable because the dwelling house in this case was never a road and was never constructed as a road within the ordinary meaning of that word, rather, Henroth seeks to repurpose an ordinary house block to achieve a new street (Norfolk Lane) address for its proposed residential flat building: see [165] and [173] of </w:t>
      </w:r>
      <w:r>
        <w:rPr>
          <w:rFonts w:ascii="Arial"/>
          <w:i/>
          <w:color w:val="000000"/>
          <w:sz w:val="24"/>
        </w:rPr>
        <w:t>Alramon</w:t>
      </w:r>
      <w:r>
        <w:rPr>
          <w:rFonts w:ascii="Arial"/>
          <w:color w:val="000000"/>
          <w:sz w:val="24"/>
        </w:rPr>
        <w:t>.</w:t>
      </w:r>
    </w:p>
    <w:p>
      <w:pPr>
        <w:pStyle w:val="CaselawNumbered1"/>
        <w:numPr>
          <w:ilvl w:val="0"/>
          <w:numId w:val="69"/>
        </w:numPr>
        <w:spacing w:before="150" w:after="0"/>
        <w:ind w:left="1350" w:hanging="750"/>
      </w:pPr>
      <w:r>
        <w:rPr>
          <w:rFonts w:ascii="Arial"/>
          <w:color w:val="000000"/>
          <w:sz w:val="24"/>
        </w:rPr>
        <w:t xml:space="preserve">The purpose of that residential flat building can only be achieved by the physical acts of constructing not only the residential flat building, including its parking but also vehicular access to that parking: at [165] of </w:t>
      </w:r>
      <w:r>
        <w:rPr>
          <w:rFonts w:ascii="Arial"/>
          <w:i/>
          <w:color w:val="000000"/>
          <w:sz w:val="24"/>
        </w:rPr>
        <w:t>Alramon</w:t>
      </w:r>
      <w:r>
        <w:rPr>
          <w:rFonts w:ascii="Arial"/>
          <w:color w:val="000000"/>
          <w:sz w:val="24"/>
        </w:rPr>
        <w:t>.</w:t>
      </w:r>
    </w:p>
    <w:p>
      <w:pPr>
        <w:pStyle w:val="CaselawNumbered1"/>
        <w:numPr>
          <w:ilvl w:val="0"/>
          <w:numId w:val="69"/>
        </w:numPr>
        <w:spacing w:before="150" w:after="0"/>
        <w:ind w:left="1350" w:hanging="750"/>
      </w:pPr>
      <w:r>
        <w:rPr>
          <w:rFonts w:ascii="Arial"/>
          <w:color w:val="000000"/>
          <w:sz w:val="24"/>
        </w:rPr>
        <w:t xml:space="preserve">The physical acts involved the erection of the residential flat building included the construction of the driveway/access ways, being a means by which the land is made to serve the residential flat building purpose: at [165] of </w:t>
      </w:r>
      <w:r>
        <w:rPr>
          <w:rFonts w:ascii="Arial"/>
          <w:i/>
          <w:color w:val="000000"/>
          <w:sz w:val="24"/>
        </w:rPr>
        <w:t>Alramon</w:t>
      </w:r>
      <w:r>
        <w:rPr>
          <w:rFonts w:ascii="Arial"/>
          <w:color w:val="000000"/>
          <w:sz w:val="24"/>
        </w:rPr>
        <w:t>.</w:t>
      </w:r>
    </w:p>
    <w:p>
      <w:pPr>
        <w:pStyle w:val="CaselawNumbered1"/>
        <w:numPr>
          <w:ilvl w:val="0"/>
          <w:numId w:val="69"/>
        </w:numPr>
        <w:spacing w:before="150" w:after="0"/>
        <w:ind w:left="1350" w:hanging="750"/>
      </w:pPr>
      <w:r>
        <w:rPr>
          <w:rFonts w:ascii="Arial"/>
          <w:color w:val="000000"/>
          <w:sz w:val="24"/>
        </w:rPr>
        <w:t xml:space="preserve">The residential flat building could not function without the access ways: at [165] of </w:t>
      </w:r>
      <w:r>
        <w:rPr>
          <w:rFonts w:ascii="Arial"/>
          <w:i/>
          <w:color w:val="000000"/>
          <w:sz w:val="24"/>
        </w:rPr>
        <w:t>Alramon</w:t>
      </w:r>
      <w:r>
        <w:rPr>
          <w:rFonts w:ascii="Arial"/>
          <w:color w:val="000000"/>
          <w:sz w:val="24"/>
        </w:rPr>
        <w:t>.</w:t>
      </w:r>
    </w:p>
    <w:p>
      <w:pPr>
        <w:pStyle w:val="CaselawNumbered1"/>
        <w:numPr>
          <w:ilvl w:val="0"/>
          <w:numId w:val="69"/>
        </w:numPr>
        <w:spacing w:before="150" w:after="0"/>
        <w:ind w:left="1350" w:hanging="750"/>
      </w:pPr>
      <w:r>
        <w:rPr>
          <w:rFonts w:ascii="Arial"/>
          <w:color w:val="000000"/>
          <w:sz w:val="24"/>
        </w:rPr>
        <w:t xml:space="preserve">The end to which the right of carriageway was to serve was not a road and, as such, was integrated and indivisible from that of the residential flat building: at [165] of </w:t>
      </w:r>
      <w:r>
        <w:rPr>
          <w:rFonts w:ascii="Arial"/>
          <w:i/>
          <w:color w:val="000000"/>
          <w:sz w:val="24"/>
        </w:rPr>
        <w:t>Alramon</w:t>
      </w:r>
      <w:r>
        <w:rPr>
          <w:rFonts w:ascii="Arial"/>
          <w:color w:val="000000"/>
          <w:sz w:val="24"/>
        </w:rPr>
        <w:t>.</w:t>
      </w:r>
    </w:p>
    <w:p>
      <w:pPr>
        <w:pStyle w:val="CaselawNumbered1"/>
        <w:numPr>
          <w:ilvl w:val="0"/>
          <w:numId w:val="69"/>
        </w:numPr>
        <w:spacing w:before="150" w:after="0"/>
        <w:ind w:left="1350" w:hanging="750"/>
      </w:pPr>
      <w:r>
        <w:rPr>
          <w:rFonts w:ascii="Arial"/>
          <w:i/>
          <w:color w:val="000000"/>
          <w:sz w:val="24"/>
        </w:rPr>
        <w:t>Palm Lake</w:t>
      </w:r>
      <w:r>
        <w:rPr>
          <w:rFonts w:ascii="Arial"/>
          <w:color w:val="000000"/>
          <w:sz w:val="24"/>
        </w:rPr>
        <w:t xml:space="preserve"> </w:t>
      </w:r>
      <w:r>
        <w:rPr>
          <w:rFonts w:ascii="Arial"/>
          <w:color w:val="000000"/>
          <w:sz w:val="24"/>
        </w:rPr>
        <w:t xml:space="preserve">did not assist the applicant because, in that case, the </w:t>
      </w:r>
      <w:r>
        <w:rPr>
          <w:rFonts w:ascii="Arial"/>
          <w:color w:val="000000"/>
          <w:sz w:val="24"/>
        </w:rPr>
        <w:t xml:space="preserve">respondent </w:t>
      </w:r>
      <w:r>
        <w:rPr>
          <w:rFonts w:ascii="Arial"/>
          <w:color w:val="000000"/>
          <w:sz w:val="24"/>
        </w:rPr>
        <w:t xml:space="preserve">council accepted that any type of access way on private land could be categorised as a private road and conceded that the access could be for a road - with no such concession given by the council in </w:t>
      </w:r>
      <w:r>
        <w:rPr>
          <w:rFonts w:ascii="Arial"/>
          <w:i/>
          <w:color w:val="000000"/>
          <w:sz w:val="24"/>
        </w:rPr>
        <w:t>Alramon</w:t>
      </w:r>
      <w:r>
        <w:rPr>
          <w:rFonts w:ascii="Arial"/>
          <w:color w:val="000000"/>
          <w:sz w:val="24"/>
        </w:rPr>
        <w:t xml:space="preserve">, nor here: at [172] of </w:t>
      </w:r>
      <w:r>
        <w:rPr>
          <w:rFonts w:ascii="Arial"/>
          <w:i/>
          <w:color w:val="000000"/>
          <w:sz w:val="24"/>
        </w:rPr>
        <w:t>Alramon</w:t>
      </w:r>
      <w:r>
        <w:rPr>
          <w:rFonts w:ascii="Arial"/>
          <w:color w:val="000000"/>
          <w:sz w:val="24"/>
        </w:rPr>
        <w:t>.</w:t>
      </w:r>
    </w:p>
    <w:p>
      <w:pPr>
        <w:pStyle w:val="CaselawNumbered1"/>
        <w:numPr>
          <w:ilvl w:val="0"/>
          <w:numId w:val="69"/>
        </w:numPr>
        <w:spacing w:before="150" w:after="0"/>
        <w:ind w:left="1350" w:hanging="750"/>
      </w:pPr>
      <w:r>
        <w:rPr>
          <w:rFonts w:ascii="Arial"/>
          <w:color w:val="000000"/>
          <w:sz w:val="24"/>
        </w:rPr>
        <w:t xml:space="preserve">The easement in </w:t>
      </w:r>
      <w:r>
        <w:rPr>
          <w:rFonts w:ascii="Arial"/>
          <w:i/>
          <w:color w:val="000000"/>
          <w:sz w:val="24"/>
        </w:rPr>
        <w:t>Alramon</w:t>
      </w:r>
      <w:r>
        <w:rPr>
          <w:rFonts w:ascii="Arial"/>
          <w:color w:val="000000"/>
          <w:sz w:val="24"/>
        </w:rPr>
        <w:t xml:space="preserve"> </w:t>
      </w:r>
      <w:r>
        <w:rPr>
          <w:rFonts w:ascii="Arial"/>
          <w:color w:val="000000"/>
          <w:sz w:val="24"/>
        </w:rPr>
        <w:t xml:space="preserve">was designed to serve the </w:t>
      </w:r>
      <w:r>
        <w:rPr>
          <w:rFonts w:ascii="Arial"/>
          <w:color w:val="000000"/>
          <w:sz w:val="24"/>
        </w:rPr>
        <w:t>childcare</w:t>
      </w:r>
      <w:r>
        <w:rPr>
          <w:rFonts w:ascii="Arial"/>
          <w:color w:val="000000"/>
          <w:sz w:val="24"/>
        </w:rPr>
        <w:t xml:space="preserve"> </w:t>
      </w:r>
      <w:r>
        <w:rPr>
          <w:rFonts w:ascii="Arial"/>
          <w:color w:val="000000"/>
          <w:sz w:val="24"/>
        </w:rPr>
        <w:t xml:space="preserve">centre unlike a regular road: at [174]. In this case, a different entity owns 87 Norfolk Road, and that property cannot be consolidated with the shopping centre lot in any event. Henroth has not explained by what right the occupiers of the residential flat building will use the adjoining Lot 24. Here the Court would accept that, although there is a physical definition of the area to be used here, the design including the VFC, the OSD, and the tree-lined access, all demonstrate the intended use is not reflective of a road use, rather it is a carriageway serving the residential flat building: at [174] of </w:t>
      </w:r>
      <w:r>
        <w:rPr>
          <w:rFonts w:ascii="Arial"/>
          <w:i/>
          <w:color w:val="000000"/>
          <w:sz w:val="24"/>
        </w:rPr>
        <w:t>Alramon</w:t>
      </w:r>
      <w:r>
        <w:rPr>
          <w:rFonts w:ascii="Arial"/>
          <w:color w:val="000000"/>
          <w:sz w:val="24"/>
        </w:rPr>
        <w:t>.</w:t>
      </w:r>
    </w:p>
    <w:p>
      <w:pPr>
        <w:pStyle w:val="CaselawNumbered10"/>
        <w:numPr>
          <w:ilvl w:val="0"/>
          <w:numId w:val="70"/>
        </w:numPr>
        <w:spacing w:before="150" w:after="0"/>
        <w:ind w:left="600" w:hanging="600"/>
      </w:pPr>
      <w:r>
        <w:rPr>
          <w:rFonts w:ascii="Arial"/>
          <w:color w:val="000000"/>
          <w:sz w:val="24"/>
        </w:rPr>
        <w:t>For all those reasons</w:t>
      </w:r>
      <w:r>
        <w:rPr>
          <w:rFonts w:ascii="Arial"/>
          <w:color w:val="000000"/>
          <w:sz w:val="24"/>
        </w:rPr>
        <w:t>,</w:t>
      </w:r>
      <w:r>
        <w:rPr>
          <w:rFonts w:ascii="Arial"/>
          <w:color w:val="000000"/>
          <w:sz w:val="24"/>
        </w:rPr>
        <w:t xml:space="preserve"> </w:t>
      </w:r>
      <w:r>
        <w:rPr>
          <w:rFonts w:ascii="Arial"/>
          <w:color w:val="000000"/>
          <w:sz w:val="24"/>
        </w:rPr>
        <w:t xml:space="preserve">the Council submits the access driveway is integrated and indivisible from the residential flat building, and plainly serves the sole purpose of a residential flat building which is prohibited in the R2 zone. </w:t>
      </w:r>
      <w:r>
        <w:rPr>
          <w:rFonts w:ascii="Arial"/>
          <w:color w:val="000000"/>
          <w:sz w:val="24"/>
        </w:rPr>
        <w:t>Therefore,</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DA should be refused. </w:t>
      </w:r>
      <w:r>
        <w:rPr>
          <w:rFonts w:ascii="Arial"/>
          <w:color w:val="000000"/>
          <w:sz w:val="24"/>
        </w:rPr>
        <w:t>It is also submitted that t</w:t>
      </w:r>
      <w:r>
        <w:rPr>
          <w:rFonts w:ascii="Arial"/>
          <w:color w:val="000000"/>
          <w:sz w:val="24"/>
        </w:rPr>
        <w:t xml:space="preserve">his outcome is </w:t>
      </w:r>
      <w:r>
        <w:rPr>
          <w:rFonts w:ascii="Arial"/>
          <w:color w:val="000000"/>
          <w:sz w:val="24"/>
        </w:rPr>
        <w:t xml:space="preserve">consistent with the DCP, which proposes </w:t>
      </w:r>
      <w:r>
        <w:rPr>
          <w:rFonts w:ascii="Arial"/>
          <w:color w:val="000000"/>
          <w:sz w:val="24"/>
        </w:rPr>
        <w:t xml:space="preserve">all </w:t>
      </w:r>
      <w:r>
        <w:rPr>
          <w:rFonts w:ascii="Arial"/>
          <w:color w:val="000000"/>
          <w:sz w:val="24"/>
        </w:rPr>
        <w:t>residential access for new development on 353-355 Waterloo Road from Waterloo Road.</w:t>
      </w:r>
      <w:r>
        <w:rPr>
          <w:rFonts w:ascii="Arial"/>
          <w:color w:val="000000"/>
          <w:sz w:val="24"/>
        </w:rPr>
        <w:t xml:space="preserve"> </w:t>
      </w:r>
      <w:r>
        <w:rPr>
          <w:rFonts w:ascii="Arial"/>
          <w:color w:val="000000"/>
          <w:sz w:val="24"/>
        </w:rPr>
        <w:t xml:space="preserve">I will deal with this merit issue in due course. </w:t>
      </w:r>
    </w:p>
    <w:p>
      <w:pPr>
        <w:pStyle w:val="CaselawHeading3"/>
        <w:keepNext/>
        <w:spacing w:before="150" w:after="150" w:line="264"/>
        <w:ind w:left="0"/>
        <w:jc w:val="left"/>
      </w:pPr>
      <w:r>
        <w:rPr>
          <w:rFonts w:ascii="Arial"/>
        </w:rPr>
        <w:t>H</w:t>
      </w:r>
      <w:r>
        <w:rPr>
          <w:rFonts w:ascii="Arial"/>
        </w:rPr>
        <w:t>enroth</w:t>
      </w:r>
      <w:r>
        <w:rPr>
          <w:rFonts w:ascii="Arial"/>
        </w:rPr>
        <w:t>’</w:t>
      </w:r>
      <w:r>
        <w:rPr>
          <w:rFonts w:ascii="Arial"/>
        </w:rPr>
        <w:t>s</w:t>
      </w:r>
      <w:r>
        <w:rPr>
          <w:rFonts w:ascii="Arial"/>
        </w:rPr>
        <w:t xml:space="preserve"> </w:t>
      </w:r>
      <w:r>
        <w:rPr>
          <w:rFonts w:ascii="Arial"/>
        </w:rPr>
        <w:t>position</w:t>
      </w:r>
      <w:r>
        <w:rPr>
          <w:rFonts w:ascii="Arial"/>
        </w:rPr>
        <w:t xml:space="preserve"> </w:t>
      </w:r>
    </w:p>
    <w:p>
      <w:pPr>
        <w:pStyle w:val="CaselawNumbered10"/>
        <w:numPr>
          <w:ilvl w:val="0"/>
          <w:numId w:val="71"/>
        </w:numPr>
        <w:spacing w:before="150" w:after="0"/>
        <w:ind w:left="600" w:hanging="600"/>
      </w:pPr>
      <w:r>
        <w:rPr>
          <w:rFonts w:ascii="Arial"/>
          <w:color w:val="000000"/>
          <w:sz w:val="24"/>
        </w:rPr>
        <w:t>Henroth</w:t>
      </w:r>
      <w:r>
        <w:rPr>
          <w:rFonts w:ascii="Arial"/>
          <w:color w:val="000000"/>
          <w:sz w:val="24"/>
        </w:rPr>
        <w:t xml:space="preserve"> </w:t>
      </w:r>
      <w:r>
        <w:rPr>
          <w:rFonts w:ascii="Arial"/>
          <w:color w:val="000000"/>
          <w:sz w:val="24"/>
        </w:rPr>
        <w:t xml:space="preserve">describes </w:t>
      </w:r>
      <w:r>
        <w:rPr>
          <w:rFonts w:ascii="Arial"/>
          <w:color w:val="000000"/>
          <w:sz w:val="24"/>
        </w:rPr>
        <w:t xml:space="preserve">the </w:t>
      </w:r>
      <w:r>
        <w:rPr>
          <w:rFonts w:ascii="Arial"/>
          <w:color w:val="000000"/>
          <w:sz w:val="24"/>
        </w:rPr>
        <w:t xml:space="preserve">development </w:t>
      </w:r>
      <w:r>
        <w:rPr>
          <w:rFonts w:ascii="Arial"/>
          <w:color w:val="000000"/>
          <w:sz w:val="24"/>
        </w:rPr>
        <w:t>over 87 Norfolk Road</w:t>
      </w:r>
      <w:r>
        <w:rPr>
          <w:rFonts w:ascii="Arial"/>
          <w:color w:val="000000"/>
          <w:sz w:val="24"/>
        </w:rPr>
        <w:t xml:space="preserve"> </w:t>
      </w:r>
      <w:r>
        <w:rPr>
          <w:rFonts w:ascii="Arial"/>
          <w:color w:val="000000"/>
          <w:sz w:val="24"/>
        </w:rPr>
        <w:t xml:space="preserve">as a new </w:t>
      </w:r>
      <w:r>
        <w:rPr>
          <w:rFonts w:ascii="Arial"/>
          <w:color w:val="000000"/>
          <w:sz w:val="24"/>
        </w:rPr>
        <w:t>“</w:t>
      </w:r>
      <w:r>
        <w:rPr>
          <w:rFonts w:ascii="Arial"/>
          <w:color w:val="000000"/>
          <w:sz w:val="24"/>
        </w:rPr>
        <w:t xml:space="preserve">private </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cautions </w:t>
      </w:r>
      <w:r>
        <w:rPr>
          <w:rFonts w:ascii="Arial"/>
          <w:color w:val="000000"/>
          <w:sz w:val="24"/>
        </w:rPr>
        <w:t xml:space="preserve">against </w:t>
      </w:r>
      <w:r>
        <w:rPr>
          <w:rFonts w:ascii="Arial"/>
          <w:color w:val="000000"/>
          <w:sz w:val="24"/>
        </w:rPr>
        <w:t xml:space="preserve">any reliance on labels </w:t>
      </w:r>
      <w:r>
        <w:rPr>
          <w:rFonts w:ascii="Arial"/>
          <w:color w:val="000000"/>
          <w:sz w:val="24"/>
        </w:rPr>
        <w:t>in the plans</w:t>
      </w:r>
      <w:r>
        <w:rPr>
          <w:rFonts w:ascii="Arial"/>
          <w:color w:val="000000"/>
          <w:sz w:val="24"/>
        </w:rPr>
        <w:t xml:space="preserve"> </w:t>
      </w:r>
      <w:r>
        <w:rPr>
          <w:rFonts w:ascii="Arial"/>
          <w:color w:val="000000"/>
          <w:sz w:val="24"/>
        </w:rPr>
        <w:t>or documents before the Court</w:t>
      </w:r>
      <w:r>
        <w:rPr>
          <w:rFonts w:ascii="Arial"/>
          <w:color w:val="000000"/>
          <w:sz w:val="24"/>
        </w:rPr>
        <w:t xml:space="preserve">. </w:t>
      </w:r>
    </w:p>
    <w:p>
      <w:pPr>
        <w:pStyle w:val="CaselawNumbered10"/>
        <w:numPr>
          <w:ilvl w:val="0"/>
          <w:numId w:val="71"/>
        </w:numPr>
        <w:spacing w:before="150" w:after="0"/>
        <w:ind w:left="600" w:hanging="600"/>
      </w:pPr>
      <w:r>
        <w:rPr>
          <w:rFonts w:ascii="Arial"/>
          <w:color w:val="000000"/>
          <w:sz w:val="24"/>
        </w:rPr>
        <w:t>I</w:t>
      </w:r>
      <w:r>
        <w:rPr>
          <w:rFonts w:ascii="Arial"/>
          <w:color w:val="000000"/>
          <w:sz w:val="24"/>
        </w:rPr>
        <w:t>nstead, i</w:t>
      </w:r>
      <w:r>
        <w:rPr>
          <w:rFonts w:ascii="Arial"/>
          <w:color w:val="000000"/>
          <w:sz w:val="24"/>
        </w:rPr>
        <w:t xml:space="preserve">t </w:t>
      </w:r>
      <w:r>
        <w:rPr>
          <w:rFonts w:ascii="Arial"/>
          <w:color w:val="000000"/>
          <w:sz w:val="24"/>
        </w:rPr>
        <w:t>invite</w:t>
      </w:r>
      <w:r>
        <w:rPr>
          <w:rFonts w:ascii="Arial"/>
          <w:color w:val="000000"/>
          <w:sz w:val="24"/>
        </w:rPr>
        <w:t>s</w:t>
      </w:r>
      <w:r>
        <w:rPr>
          <w:rFonts w:ascii="Arial"/>
          <w:color w:val="000000"/>
          <w:sz w:val="24"/>
        </w:rPr>
        <w:t xml:space="preserve"> </w:t>
      </w:r>
      <w:r>
        <w:rPr>
          <w:rFonts w:ascii="Arial"/>
          <w:color w:val="000000"/>
          <w:sz w:val="24"/>
        </w:rPr>
        <w:t xml:space="preserve">an interrogation of </w:t>
      </w:r>
      <w:r>
        <w:rPr>
          <w:rFonts w:ascii="Arial"/>
          <w:color w:val="000000"/>
          <w:sz w:val="24"/>
        </w:rPr>
        <w:t xml:space="preserve">the </w:t>
      </w:r>
      <w:r>
        <w:rPr>
          <w:rFonts w:ascii="Arial"/>
          <w:color w:val="000000"/>
          <w:sz w:val="24"/>
        </w:rPr>
        <w:t xml:space="preserve">physical </w:t>
      </w:r>
      <w:r>
        <w:rPr>
          <w:rFonts w:ascii="Arial"/>
          <w:color w:val="000000"/>
          <w:sz w:val="24"/>
        </w:rPr>
        <w:t>form of the development</w:t>
      </w:r>
      <w:r>
        <w:rPr>
          <w:rFonts w:ascii="Arial"/>
          <w:color w:val="000000"/>
          <w:sz w:val="24"/>
        </w:rPr>
        <w:t xml:space="preserve"> </w:t>
      </w:r>
      <w:r>
        <w:rPr>
          <w:rFonts w:ascii="Arial"/>
          <w:color w:val="000000"/>
          <w:sz w:val="24"/>
        </w:rPr>
        <w:t xml:space="preserve">and </w:t>
      </w:r>
      <w:r>
        <w:rPr>
          <w:rFonts w:ascii="Arial"/>
          <w:color w:val="000000"/>
          <w:sz w:val="24"/>
        </w:rPr>
        <w:t xml:space="preserve">submits that </w:t>
      </w:r>
      <w:r>
        <w:rPr>
          <w:rFonts w:ascii="Arial"/>
          <w:color w:val="000000"/>
          <w:sz w:val="24"/>
        </w:rPr>
        <w:t>the proposed development is</w:t>
      </w:r>
      <w:r>
        <w:rPr>
          <w:rFonts w:ascii="Arial"/>
          <w:color w:val="000000"/>
          <w:sz w:val="24"/>
        </w:rPr>
        <w:t>,</w:t>
      </w:r>
      <w:r>
        <w:rPr>
          <w:rFonts w:ascii="Arial"/>
          <w:color w:val="000000"/>
          <w:sz w:val="24"/>
        </w:rPr>
        <w:t xml:space="preserve"> </w:t>
      </w:r>
      <w:r>
        <w:rPr>
          <w:rFonts w:ascii="Arial"/>
          <w:color w:val="000000"/>
          <w:sz w:val="24"/>
        </w:rPr>
        <w:t xml:space="preserve">by its form (architectural and engineering </w:t>
      </w:r>
      <w:r>
        <w:rPr>
          <w:rFonts w:ascii="Arial"/>
          <w:color w:val="000000"/>
          <w:sz w:val="24"/>
        </w:rPr>
        <w:t>detail),</w:t>
      </w:r>
      <w:r>
        <w:rPr>
          <w:rFonts w:ascii="Arial"/>
          <w:color w:val="000000"/>
          <w:sz w:val="24"/>
        </w:rPr>
        <w:t xml:space="preserve"> </w:t>
      </w:r>
      <w:r>
        <w:rPr>
          <w:rFonts w:ascii="Arial"/>
          <w:color w:val="000000"/>
          <w:sz w:val="24"/>
        </w:rPr>
        <w:t xml:space="preserve">a road that falls within the definition of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 xml:space="preserve">under </w:t>
      </w:r>
      <w:r>
        <w:rPr>
          <w:rFonts w:ascii="Arial"/>
          <w:color w:val="000000"/>
          <w:sz w:val="24"/>
        </w:rPr>
        <w:t>LEP</w:t>
      </w:r>
      <w:r>
        <w:rPr>
          <w:rFonts w:ascii="Arial"/>
          <w:color w:val="000000"/>
          <w:sz w:val="24"/>
        </w:rPr>
        <w:t xml:space="preserve"> </w:t>
      </w:r>
      <w:r>
        <w:rPr>
          <w:rFonts w:ascii="Arial"/>
          <w:color w:val="000000"/>
          <w:sz w:val="24"/>
        </w:rPr>
        <w:t>2015</w:t>
      </w:r>
      <w:r>
        <w:rPr>
          <w:rFonts w:ascii="Arial"/>
          <w:color w:val="000000"/>
          <w:sz w:val="24"/>
        </w:rPr>
        <w:t xml:space="preserve">. </w:t>
      </w:r>
      <w:r>
        <w:rPr>
          <w:rFonts w:ascii="Arial"/>
          <w:color w:val="000000"/>
          <w:sz w:val="24"/>
        </w:rPr>
        <w:t xml:space="preserve">A form that </w:t>
      </w:r>
      <w:r>
        <w:rPr>
          <w:rFonts w:ascii="Arial"/>
          <w:color w:val="000000"/>
          <w:sz w:val="24"/>
        </w:rPr>
        <w:t xml:space="preserve">it submits </w:t>
      </w:r>
      <w:r>
        <w:rPr>
          <w:rFonts w:ascii="Arial"/>
          <w:color w:val="000000"/>
          <w:sz w:val="24"/>
        </w:rPr>
        <w:t xml:space="preserve">can be understood from </w:t>
      </w:r>
      <w:r>
        <w:rPr>
          <w:rFonts w:ascii="Arial"/>
          <w:color w:val="000000"/>
          <w:sz w:val="24"/>
        </w:rPr>
        <w:t xml:space="preserve">the plans in </w:t>
      </w:r>
      <w:r>
        <w:rPr>
          <w:rFonts w:ascii="Arial"/>
          <w:color w:val="000000"/>
          <w:sz w:val="24"/>
        </w:rPr>
        <w:t xml:space="preserve">Ex 17 </w:t>
      </w:r>
      <w:r>
        <w:rPr>
          <w:rFonts w:ascii="Arial"/>
          <w:color w:val="000000"/>
          <w:sz w:val="24"/>
        </w:rPr>
        <w:t xml:space="preserve">– </w:t>
      </w:r>
      <w:r>
        <w:rPr>
          <w:rFonts w:ascii="Arial"/>
          <w:color w:val="000000"/>
          <w:sz w:val="24"/>
        </w:rPr>
        <w:t>which shows the extent of the road to Norfolk Road</w:t>
      </w:r>
      <w:r>
        <w:rPr>
          <w:rFonts w:ascii="Arial"/>
          <w:color w:val="000000"/>
          <w:sz w:val="24"/>
        </w:rPr>
        <w:t>, and</w:t>
      </w:r>
      <w:r>
        <w:rPr>
          <w:rFonts w:ascii="Arial"/>
          <w:color w:val="000000"/>
          <w:sz w:val="24"/>
        </w:rPr>
        <w:t xml:space="preserve"> </w:t>
      </w:r>
      <w:r>
        <w:rPr>
          <w:rFonts w:ascii="Arial"/>
          <w:color w:val="000000"/>
          <w:sz w:val="24"/>
        </w:rPr>
        <w:t xml:space="preserve">the engineering detail </w:t>
      </w:r>
      <w:r>
        <w:rPr>
          <w:rFonts w:ascii="Arial"/>
          <w:color w:val="000000"/>
          <w:sz w:val="24"/>
        </w:rPr>
        <w:t xml:space="preserve">in plan </w:t>
      </w:r>
      <w:r>
        <w:rPr>
          <w:rFonts w:ascii="Arial"/>
          <w:color w:val="000000"/>
          <w:sz w:val="24"/>
        </w:rPr>
        <w:t>DA</w:t>
      </w:r>
      <w:r>
        <w:rPr>
          <w:rFonts w:ascii="Arial"/>
          <w:color w:val="000000"/>
          <w:sz w:val="24"/>
        </w:rPr>
        <w:t xml:space="preserve"> </w:t>
      </w:r>
      <w:r>
        <w:rPr>
          <w:rFonts w:ascii="Arial"/>
          <w:color w:val="000000"/>
          <w:sz w:val="24"/>
        </w:rPr>
        <w:t>C103</w:t>
      </w:r>
      <w:r>
        <w:rPr>
          <w:rFonts w:ascii="Arial"/>
          <w:color w:val="000000"/>
          <w:sz w:val="24"/>
        </w:rPr>
        <w:t xml:space="preserve">, </w:t>
      </w:r>
      <w:r>
        <w:rPr>
          <w:rFonts w:ascii="Arial"/>
          <w:color w:val="000000"/>
          <w:sz w:val="24"/>
        </w:rPr>
        <w:t>and the landscape plan DA 200 which picks up the footpath.</w:t>
      </w:r>
      <w:r>
        <w:rPr>
          <w:rFonts w:ascii="Arial"/>
          <w:color w:val="000000"/>
          <w:sz w:val="24"/>
        </w:rPr>
        <w:t xml:space="preserve"> </w:t>
      </w:r>
    </w:p>
    <w:p>
      <w:pPr>
        <w:pStyle w:val="CaselawNumbered10"/>
        <w:numPr>
          <w:ilvl w:val="0"/>
          <w:numId w:val="71"/>
        </w:numPr>
        <w:spacing w:before="150" w:after="0"/>
        <w:ind w:left="600" w:hanging="600"/>
      </w:pPr>
      <w:r>
        <w:rPr>
          <w:rFonts w:ascii="Arial"/>
          <w:color w:val="000000"/>
          <w:sz w:val="24"/>
        </w:rPr>
        <w:t>Henroth</w:t>
      </w:r>
      <w:r>
        <w:rPr>
          <w:rFonts w:ascii="Arial"/>
          <w:color w:val="000000"/>
          <w:sz w:val="24"/>
        </w:rPr>
        <w:t xml:space="preserve"> </w:t>
      </w:r>
      <w:r>
        <w:rPr>
          <w:rFonts w:ascii="Arial"/>
          <w:color w:val="000000"/>
          <w:sz w:val="24"/>
        </w:rPr>
        <w:t xml:space="preserve">contends </w:t>
      </w:r>
      <w:r>
        <w:rPr>
          <w:rFonts w:ascii="Arial"/>
          <w:color w:val="000000"/>
          <w:sz w:val="24"/>
        </w:rPr>
        <w:t>that the relevant facts in this case are</w:t>
      </w:r>
      <w:r>
        <w:rPr>
          <w:rFonts w:ascii="Arial"/>
          <w:color w:val="000000"/>
          <w:sz w:val="24"/>
        </w:rPr>
        <w:t xml:space="preserve"> </w:t>
      </w:r>
      <w:r>
        <w:rPr>
          <w:rFonts w:ascii="Arial"/>
          <w:color w:val="000000"/>
          <w:sz w:val="24"/>
        </w:rPr>
        <w:t xml:space="preserve">analogous to those in </w:t>
      </w:r>
      <w:r>
        <w:rPr>
          <w:rFonts w:ascii="Arial"/>
          <w:i/>
          <w:color w:val="000000"/>
          <w:sz w:val="24"/>
        </w:rPr>
        <w:t>Argyropo</w:t>
      </w:r>
      <w:r>
        <w:rPr>
          <w:rFonts w:ascii="Arial"/>
          <w:i/>
          <w:color w:val="000000"/>
          <w:sz w:val="24"/>
        </w:rPr>
        <w:t>u</w:t>
      </w:r>
      <w:r>
        <w:rPr>
          <w:rFonts w:ascii="Arial"/>
          <w:i/>
          <w:color w:val="000000"/>
          <w:sz w:val="24"/>
        </w:rPr>
        <w:t>los</w:t>
      </w:r>
      <w:r>
        <w:rPr>
          <w:rFonts w:ascii="Arial"/>
          <w:color w:val="000000"/>
          <w:sz w:val="24"/>
        </w:rPr>
        <w:t xml:space="preserve"> </w:t>
      </w:r>
      <w:r>
        <w:rPr>
          <w:rFonts w:ascii="Arial"/>
          <w:color w:val="000000"/>
          <w:sz w:val="24"/>
        </w:rPr>
        <w:t xml:space="preserve">and </w:t>
      </w:r>
      <w:r>
        <w:rPr>
          <w:rFonts w:ascii="Arial"/>
          <w:i/>
          <w:color w:val="000000"/>
          <w:sz w:val="24"/>
        </w:rPr>
        <w:t>Palm Lake</w:t>
      </w:r>
      <w:r>
        <w:rPr>
          <w:rFonts w:ascii="Arial"/>
          <w:color w:val="000000"/>
          <w:sz w:val="24"/>
        </w:rPr>
        <w:t xml:space="preserve"> </w:t>
      </w:r>
      <w:r>
        <w:rPr>
          <w:rFonts w:ascii="Arial"/>
          <w:color w:val="000000"/>
          <w:sz w:val="24"/>
        </w:rPr>
        <w:t xml:space="preserve">and are different to </w:t>
      </w:r>
      <w:r>
        <w:rPr>
          <w:rFonts w:ascii="Arial"/>
          <w:color w:val="000000"/>
          <w:sz w:val="24"/>
        </w:rPr>
        <w:t xml:space="preserve">the facts </w:t>
      </w:r>
      <w:r>
        <w:rPr>
          <w:rFonts w:ascii="Arial"/>
          <w:color w:val="000000"/>
          <w:sz w:val="24"/>
        </w:rPr>
        <w:t>considered by the Court in</w:t>
      </w:r>
      <w:r>
        <w:rPr>
          <w:rFonts w:ascii="Arial"/>
          <w:i/>
          <w:color w:val="000000"/>
          <w:sz w:val="24"/>
        </w:rPr>
        <w:t xml:space="preserve"> Chamwell </w:t>
      </w:r>
      <w:r>
        <w:rPr>
          <w:rFonts w:ascii="Arial"/>
          <w:color w:val="000000"/>
          <w:sz w:val="24"/>
        </w:rPr>
        <w:t>and</w:t>
      </w:r>
      <w:r>
        <w:rPr>
          <w:rFonts w:ascii="Arial"/>
          <w:i/>
          <w:color w:val="000000"/>
          <w:sz w:val="24"/>
        </w:rPr>
        <w:t xml:space="preserve"> </w:t>
      </w:r>
      <w:r>
        <w:rPr>
          <w:rFonts w:ascii="Arial"/>
          <w:i/>
          <w:color w:val="000000"/>
          <w:sz w:val="24"/>
        </w:rPr>
        <w:t>Site Plus</w:t>
      </w:r>
      <w:r>
        <w:rPr>
          <w:rFonts w:ascii="Arial"/>
          <w:color w:val="000000"/>
          <w:sz w:val="24"/>
        </w:rPr>
        <w:t xml:space="preserve">. </w:t>
      </w:r>
      <w:r>
        <w:rPr>
          <w:rFonts w:ascii="Arial"/>
          <w:color w:val="000000"/>
          <w:sz w:val="24"/>
        </w:rPr>
        <w:t xml:space="preserve"> </w:t>
      </w:r>
      <w:r>
        <w:rPr>
          <w:rFonts w:ascii="Arial"/>
          <w:color w:val="000000"/>
          <w:sz w:val="24"/>
        </w:rPr>
        <w:t>A</w:t>
      </w:r>
      <w:r>
        <w:rPr>
          <w:rFonts w:ascii="Arial"/>
          <w:color w:val="000000"/>
          <w:sz w:val="24"/>
        </w:rPr>
        <w:t xml:space="preserve">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which </w:t>
      </w:r>
      <w:r>
        <w:rPr>
          <w:rFonts w:ascii="Arial"/>
          <w:color w:val="000000"/>
          <w:sz w:val="24"/>
        </w:rPr>
        <w:t xml:space="preserve">includes </w:t>
      </w:r>
      <w:r>
        <w:rPr>
          <w:rFonts w:ascii="Arial"/>
          <w:color w:val="000000"/>
          <w:sz w:val="24"/>
        </w:rPr>
        <w:t>a</w:t>
      </w:r>
      <w:r>
        <w:rPr>
          <w:rFonts w:ascii="Arial"/>
          <w:color w:val="000000"/>
          <w:sz w:val="24"/>
        </w:rPr>
        <w:t xml:space="preserve"> </w:t>
      </w:r>
      <w:r>
        <w:rPr>
          <w:rFonts w:ascii="Arial"/>
          <w:color w:val="000000"/>
          <w:sz w:val="24"/>
        </w:rPr>
        <w:t>“</w:t>
      </w:r>
      <w:r>
        <w:rPr>
          <w:rFonts w:ascii="Arial"/>
          <w:color w:val="000000"/>
          <w:sz w:val="24"/>
        </w:rPr>
        <w:t>private road</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is a nominated permissible use </w:t>
      </w:r>
      <w:r>
        <w:rPr>
          <w:rFonts w:ascii="Arial"/>
          <w:color w:val="000000"/>
          <w:sz w:val="24"/>
        </w:rPr>
        <w:t xml:space="preserve">under </w:t>
      </w:r>
      <w:r>
        <w:rPr>
          <w:rFonts w:ascii="Arial"/>
          <w:color w:val="000000"/>
          <w:sz w:val="24"/>
        </w:rPr>
        <w:t xml:space="preserve">the </w:t>
      </w:r>
      <w:r>
        <w:rPr>
          <w:rFonts w:ascii="Arial"/>
          <w:color w:val="000000"/>
          <w:sz w:val="24"/>
        </w:rPr>
        <w:t>L</w:t>
      </w:r>
      <w:r>
        <w:rPr>
          <w:rFonts w:ascii="Arial"/>
          <w:color w:val="000000"/>
          <w:sz w:val="24"/>
        </w:rPr>
        <w:t xml:space="preserve">and </w:t>
      </w:r>
      <w:r>
        <w:rPr>
          <w:rFonts w:ascii="Arial"/>
          <w:color w:val="000000"/>
          <w:sz w:val="24"/>
        </w:rPr>
        <w:t>U</w:t>
      </w:r>
      <w:r>
        <w:rPr>
          <w:rFonts w:ascii="Arial"/>
          <w:color w:val="000000"/>
          <w:sz w:val="24"/>
        </w:rPr>
        <w:t xml:space="preserve">se </w:t>
      </w:r>
      <w:r>
        <w:rPr>
          <w:rFonts w:ascii="Arial"/>
          <w:color w:val="000000"/>
          <w:sz w:val="24"/>
        </w:rPr>
        <w:t>T</w:t>
      </w:r>
      <w:r>
        <w:rPr>
          <w:rFonts w:ascii="Arial"/>
          <w:color w:val="000000"/>
          <w:sz w:val="24"/>
        </w:rPr>
        <w:t xml:space="preserve">able for the R2 </w:t>
      </w:r>
      <w:r>
        <w:rPr>
          <w:rFonts w:ascii="Arial"/>
          <w:color w:val="000000"/>
          <w:sz w:val="24"/>
        </w:rPr>
        <w:t xml:space="preserve">zoned </w:t>
      </w:r>
      <w:r>
        <w:rPr>
          <w:rFonts w:ascii="Arial"/>
          <w:color w:val="000000"/>
          <w:sz w:val="24"/>
        </w:rPr>
        <w:t>Norfolk Road Lot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r</w:t>
      </w:r>
      <w:r>
        <w:rPr>
          <w:rFonts w:ascii="Arial"/>
          <w:color w:val="000000"/>
          <w:sz w:val="24"/>
        </w:rPr>
        <w:t xml:space="preserve">esidential </w:t>
      </w:r>
      <w:r>
        <w:rPr>
          <w:rFonts w:ascii="Arial"/>
          <w:color w:val="000000"/>
          <w:sz w:val="24"/>
        </w:rPr>
        <w:t>f</w:t>
      </w:r>
      <w:r>
        <w:rPr>
          <w:rFonts w:ascii="Arial"/>
          <w:color w:val="000000"/>
          <w:sz w:val="24"/>
        </w:rPr>
        <w:t>lat buildings</w:t>
      </w:r>
      <w:r>
        <w:rPr>
          <w:rFonts w:ascii="Arial"/>
          <w:color w:val="000000"/>
          <w:sz w:val="24"/>
        </w:rPr>
        <w:t>”</w:t>
      </w:r>
      <w:r>
        <w:rPr>
          <w:rFonts w:ascii="Arial"/>
          <w:color w:val="000000"/>
          <w:sz w:val="24"/>
        </w:rPr>
        <w:t xml:space="preserve"> </w:t>
      </w:r>
      <w:r>
        <w:rPr>
          <w:rFonts w:ascii="Arial"/>
          <w:color w:val="000000"/>
          <w:sz w:val="24"/>
        </w:rPr>
        <w:t xml:space="preserve">are </w:t>
      </w:r>
      <w:r>
        <w:rPr>
          <w:rFonts w:ascii="Arial"/>
          <w:color w:val="000000"/>
          <w:sz w:val="24"/>
        </w:rPr>
        <w:t xml:space="preserve">an </w:t>
      </w:r>
      <w:r>
        <w:rPr>
          <w:rFonts w:ascii="Arial"/>
          <w:color w:val="000000"/>
          <w:sz w:val="24"/>
        </w:rPr>
        <w:t xml:space="preserve">innominate prohibited use </w:t>
      </w:r>
      <w:r>
        <w:rPr>
          <w:rFonts w:ascii="Arial"/>
          <w:color w:val="000000"/>
          <w:sz w:val="24"/>
        </w:rPr>
        <w:t>in that zone</w:t>
      </w:r>
      <w:r>
        <w:rPr>
          <w:rFonts w:ascii="Arial"/>
          <w:color w:val="000000"/>
          <w:sz w:val="24"/>
        </w:rPr>
        <w:t xml:space="preserve">. </w:t>
      </w:r>
      <w:r>
        <w:rPr>
          <w:rFonts w:ascii="Arial"/>
          <w:color w:val="000000"/>
          <w:sz w:val="24"/>
        </w:rPr>
        <w:t>Both roads and residential flat buildings are a permissible us</w:t>
      </w:r>
      <w:r>
        <w:rPr>
          <w:rFonts w:ascii="Arial"/>
          <w:color w:val="000000"/>
          <w:sz w:val="24"/>
        </w:rPr>
        <w:t>e</w:t>
      </w:r>
      <w:r>
        <w:rPr>
          <w:rFonts w:ascii="Arial"/>
          <w:color w:val="000000"/>
          <w:sz w:val="24"/>
        </w:rPr>
        <w:t xml:space="preserve"> </w:t>
      </w:r>
      <w:r>
        <w:rPr>
          <w:rFonts w:ascii="Arial"/>
          <w:color w:val="000000"/>
          <w:sz w:val="24"/>
        </w:rPr>
        <w:t>in the adjoin</w:t>
      </w:r>
      <w:r>
        <w:rPr>
          <w:rFonts w:ascii="Arial"/>
          <w:color w:val="000000"/>
          <w:sz w:val="24"/>
        </w:rPr>
        <w:t>ing</w:t>
      </w:r>
      <w:r>
        <w:rPr>
          <w:rFonts w:ascii="Arial"/>
          <w:color w:val="000000"/>
          <w:sz w:val="24"/>
        </w:rPr>
        <w:t xml:space="preserve"> </w:t>
      </w:r>
      <w:r>
        <w:rPr>
          <w:rFonts w:ascii="Arial"/>
          <w:color w:val="000000"/>
          <w:sz w:val="24"/>
        </w:rPr>
        <w:t xml:space="preserve">B2 Chullora Marketplace site. </w:t>
      </w:r>
      <w:r>
        <w:rPr>
          <w:rFonts w:ascii="Arial"/>
          <w:color w:val="000000"/>
          <w:sz w:val="24"/>
        </w:rPr>
        <w:t xml:space="preserve">The </w:t>
      </w:r>
      <w:r>
        <w:rPr>
          <w:rFonts w:ascii="Arial"/>
          <w:color w:val="000000"/>
          <w:sz w:val="24"/>
        </w:rPr>
        <w:t xml:space="preserve">purpose of </w:t>
      </w:r>
      <w:r>
        <w:rPr>
          <w:rFonts w:ascii="Arial"/>
          <w:color w:val="000000"/>
          <w:sz w:val="24"/>
        </w:rPr>
        <w:t xml:space="preserve">the proposed </w:t>
      </w:r>
      <w:r>
        <w:rPr>
          <w:rFonts w:ascii="Arial"/>
          <w:color w:val="000000"/>
          <w:sz w:val="24"/>
        </w:rPr>
        <w:t xml:space="preserve">road is as </w:t>
      </w:r>
      <w:r>
        <w:rPr>
          <w:rFonts w:ascii="Arial"/>
          <w:color w:val="000000"/>
          <w:sz w:val="24"/>
        </w:rPr>
        <w:t xml:space="preserve">described in </w:t>
      </w:r>
      <w:r>
        <w:rPr>
          <w:rFonts w:ascii="Arial"/>
          <w:i/>
          <w:color w:val="000000"/>
          <w:sz w:val="24"/>
        </w:rPr>
        <w:t>Argyropoulos</w:t>
      </w:r>
      <w:r>
        <w:rPr>
          <w:rFonts w:ascii="Arial"/>
          <w:b/>
          <w:i/>
          <w:color w:val="000000"/>
          <w:sz w:val="24"/>
        </w:rPr>
        <w:t xml:space="preserve"> </w:t>
      </w:r>
      <w:r>
        <w:rPr>
          <w:rFonts w:ascii="Arial"/>
          <w:color w:val="000000"/>
          <w:sz w:val="24"/>
        </w:rPr>
        <w:t>“</w:t>
      </w:r>
      <w:r>
        <w:rPr>
          <w:rFonts w:ascii="Arial"/>
          <w:color w:val="000000"/>
          <w:sz w:val="24"/>
        </w:rPr>
        <w:t>for the re-passing of vehicles</w:t>
      </w:r>
      <w:r>
        <w:rPr>
          <w:rFonts w:ascii="Arial"/>
          <w:color w:val="000000"/>
          <w:sz w:val="24"/>
        </w:rPr>
        <w:t xml:space="preserve">” </w:t>
      </w:r>
      <w:r>
        <w:rPr>
          <w:rFonts w:ascii="Arial"/>
          <w:color w:val="000000"/>
          <w:sz w:val="24"/>
        </w:rPr>
        <w:t>to another permitted land use</w:t>
      </w:r>
      <w:r>
        <w:rPr>
          <w:rFonts w:ascii="Arial"/>
          <w:color w:val="000000"/>
          <w:sz w:val="24"/>
        </w:rPr>
        <w:t>.</w:t>
      </w:r>
      <w:r>
        <w:rPr>
          <w:rFonts w:ascii="Arial"/>
          <w:color w:val="000000"/>
          <w:sz w:val="24"/>
        </w:rPr>
        <w:t xml:space="preserve"> </w:t>
      </w:r>
    </w:p>
    <w:p>
      <w:pPr>
        <w:pStyle w:val="CaselawNumbered10"/>
        <w:numPr>
          <w:ilvl w:val="0"/>
          <w:numId w:val="71"/>
        </w:numPr>
        <w:spacing w:before="150" w:after="0"/>
        <w:ind w:left="600" w:hanging="600"/>
      </w:pPr>
      <w:r>
        <w:rPr>
          <w:rFonts w:ascii="Arial"/>
          <w:color w:val="000000"/>
          <w:sz w:val="24"/>
        </w:rPr>
        <w:t>The development</w:t>
      </w:r>
      <w:r>
        <w:rPr>
          <w:rFonts w:ascii="Arial"/>
          <w:color w:val="000000"/>
          <w:sz w:val="24"/>
        </w:rPr>
        <w:t xml:space="preserve">, </w:t>
      </w:r>
      <w:r>
        <w:rPr>
          <w:rFonts w:ascii="Arial"/>
          <w:color w:val="000000"/>
          <w:sz w:val="24"/>
        </w:rPr>
        <w:t xml:space="preserve">by its </w:t>
      </w:r>
      <w:r>
        <w:rPr>
          <w:rFonts w:ascii="Arial"/>
          <w:color w:val="000000"/>
          <w:sz w:val="24"/>
        </w:rPr>
        <w:t>engineering and design</w:t>
      </w:r>
      <w:r>
        <w:rPr>
          <w:rFonts w:ascii="Arial"/>
          <w:color w:val="000000"/>
          <w:sz w:val="24"/>
        </w:rPr>
        <w:t>,</w:t>
      </w:r>
      <w:r>
        <w:rPr>
          <w:rFonts w:ascii="Arial"/>
          <w:color w:val="000000"/>
          <w:sz w:val="24"/>
        </w:rPr>
        <w:t xml:space="preserve"> </w:t>
      </w:r>
      <w:r>
        <w:rPr>
          <w:rFonts w:ascii="Arial"/>
          <w:color w:val="000000"/>
          <w:sz w:val="24"/>
        </w:rPr>
        <w:t>appears as a road in the ordinary sense</w:t>
      </w:r>
      <w:r>
        <w:rPr>
          <w:rFonts w:ascii="Arial"/>
          <w:color w:val="000000"/>
          <w:sz w:val="24"/>
        </w:rPr>
        <w:t xml:space="preserve">. </w:t>
      </w:r>
      <w:r>
        <w:rPr>
          <w:rFonts w:ascii="Arial"/>
          <w:color w:val="000000"/>
          <w:sz w:val="24"/>
        </w:rPr>
        <w:t>It is no</w:t>
      </w:r>
      <w:r>
        <w:rPr>
          <w:rFonts w:ascii="Arial"/>
          <w:color w:val="000000"/>
          <w:sz w:val="24"/>
        </w:rPr>
        <w:t>t</w:t>
      </w:r>
      <w:r>
        <w:rPr>
          <w:rFonts w:ascii="Arial"/>
          <w:color w:val="000000"/>
          <w:sz w:val="24"/>
        </w:rPr>
        <w:t xml:space="preserve"> </w:t>
      </w:r>
      <w:r>
        <w:rPr>
          <w:rFonts w:ascii="Arial"/>
          <w:color w:val="000000"/>
          <w:sz w:val="24"/>
        </w:rPr>
        <w:t xml:space="preserve">integrated and indivisible from the proposed residential flat building </w:t>
      </w:r>
      <w:r>
        <w:rPr>
          <w:rFonts w:ascii="Arial"/>
          <w:color w:val="000000"/>
          <w:sz w:val="24"/>
        </w:rPr>
        <w:t xml:space="preserve">– </w:t>
      </w:r>
      <w:r>
        <w:rPr>
          <w:rFonts w:ascii="Arial"/>
          <w:color w:val="000000"/>
          <w:sz w:val="24"/>
        </w:rPr>
        <w:t>co</w:t>
      </w:r>
      <w:r>
        <w:rPr>
          <w:rFonts w:ascii="Arial"/>
          <w:color w:val="000000"/>
          <w:sz w:val="24"/>
        </w:rPr>
        <w:t>m</w:t>
      </w:r>
      <w:r>
        <w:rPr>
          <w:rFonts w:ascii="Arial"/>
          <w:color w:val="000000"/>
          <w:sz w:val="24"/>
        </w:rPr>
        <w:t xml:space="preserve">mingled on the same lot </w:t>
      </w:r>
      <w:r>
        <w:rPr>
          <w:rFonts w:ascii="Arial"/>
          <w:color w:val="000000"/>
          <w:sz w:val="24"/>
        </w:rPr>
        <w:t xml:space="preserve">as was the case in </w:t>
      </w:r>
      <w:r>
        <w:rPr>
          <w:rFonts w:ascii="Arial"/>
          <w:i/>
          <w:color w:val="000000"/>
          <w:sz w:val="24"/>
        </w:rPr>
        <w:t>Chamwell</w:t>
      </w:r>
      <w:r>
        <w:rPr>
          <w:rFonts w:ascii="Arial"/>
          <w:color w:val="000000"/>
          <w:sz w:val="24"/>
        </w:rPr>
        <w:t xml:space="preserve">. </w:t>
      </w:r>
      <w:r>
        <w:rPr>
          <w:rFonts w:ascii="Arial"/>
          <w:color w:val="000000"/>
          <w:sz w:val="24"/>
        </w:rPr>
        <w:t>The proposed road is on a separate lot</w:t>
      </w:r>
      <w:r>
        <w:rPr>
          <w:rFonts w:ascii="Arial"/>
          <w:color w:val="000000"/>
          <w:sz w:val="24"/>
        </w:rPr>
        <w:t xml:space="preserve">. It is a permissible use. </w:t>
      </w:r>
      <w:r>
        <w:rPr>
          <w:rFonts w:ascii="Arial"/>
          <w:color w:val="000000"/>
          <w:sz w:val="24"/>
        </w:rPr>
        <w:t xml:space="preserve"> </w:t>
      </w:r>
      <w:r>
        <w:rPr>
          <w:rFonts w:ascii="Arial"/>
          <w:color w:val="000000"/>
          <w:sz w:val="24"/>
        </w:rPr>
        <w:t xml:space="preserve">As such, it is </w:t>
      </w:r>
      <w:r>
        <w:rPr>
          <w:rFonts w:ascii="Arial"/>
          <w:color w:val="000000"/>
          <w:sz w:val="24"/>
        </w:rPr>
        <w:t>distinct and separate from the proposed residential flat building standing on the adjoining Chullora Marketplace lot.</w:t>
      </w:r>
      <w:r>
        <w:rPr>
          <w:rFonts w:ascii="Arial"/>
          <w:color w:val="000000"/>
          <w:sz w:val="24"/>
        </w:rPr>
        <w:t xml:space="preserve"> </w:t>
      </w:r>
      <w:r>
        <w:rPr>
          <w:rFonts w:ascii="Arial"/>
          <w:color w:val="000000"/>
          <w:sz w:val="24"/>
        </w:rPr>
        <w:t>Therefore,</w:t>
      </w:r>
      <w:r>
        <w:rPr>
          <w:rFonts w:ascii="Arial"/>
          <w:color w:val="000000"/>
          <w:sz w:val="24"/>
        </w:rPr>
        <w:t xml:space="preserve"> </w:t>
      </w:r>
      <w:r>
        <w:rPr>
          <w:rFonts w:ascii="Arial"/>
          <w:color w:val="000000"/>
          <w:sz w:val="24"/>
        </w:rPr>
        <w:t>it</w:t>
      </w:r>
      <w:r>
        <w:rPr>
          <w:rFonts w:ascii="Arial"/>
          <w:color w:val="000000"/>
          <w:sz w:val="24"/>
        </w:rPr>
        <w:t xml:space="preserve"> </w:t>
      </w:r>
      <w:r>
        <w:rPr>
          <w:rFonts w:ascii="Arial"/>
          <w:color w:val="000000"/>
          <w:sz w:val="24"/>
        </w:rPr>
        <w:t xml:space="preserve">is </w:t>
      </w:r>
      <w:r>
        <w:rPr>
          <w:rFonts w:ascii="Arial"/>
          <w:color w:val="000000"/>
          <w:sz w:val="24"/>
        </w:rPr>
        <w:t xml:space="preserve">appropriate to characterise the proposed road on </w:t>
      </w:r>
      <w:r>
        <w:rPr>
          <w:rFonts w:ascii="Arial"/>
          <w:color w:val="000000"/>
          <w:sz w:val="24"/>
        </w:rPr>
        <w:t xml:space="preserve">the </w:t>
      </w:r>
      <w:r>
        <w:rPr>
          <w:rFonts w:ascii="Arial"/>
          <w:color w:val="000000"/>
          <w:sz w:val="24"/>
        </w:rPr>
        <w:t xml:space="preserve">Norfolk Road Lot as an independent use as a road. The fact that the road might be characterised as serving the residential flat building in the development </w:t>
      </w:r>
      <w:r>
        <w:rPr>
          <w:rFonts w:ascii="Arial"/>
          <w:color w:val="000000"/>
          <w:sz w:val="24"/>
        </w:rPr>
        <w:t xml:space="preserve">or providing access to the limited public car parking spaces on Norfolk Lane fronting the townhouses </w:t>
      </w:r>
      <w:r>
        <w:rPr>
          <w:rFonts w:ascii="Arial"/>
          <w:color w:val="000000"/>
          <w:sz w:val="24"/>
        </w:rPr>
        <w:t xml:space="preserve">is irrelevant. </w:t>
      </w:r>
      <w:r>
        <w:rPr>
          <w:rFonts w:ascii="Arial"/>
          <w:color w:val="000000"/>
          <w:sz w:val="24"/>
        </w:rPr>
        <w:t xml:space="preserve">The fact </w:t>
      </w:r>
      <w:r>
        <w:rPr>
          <w:rFonts w:ascii="Arial"/>
          <w:color w:val="000000"/>
          <w:sz w:val="24"/>
        </w:rPr>
        <w:t>that the</w:t>
      </w:r>
      <w:r>
        <w:rPr>
          <w:rFonts w:ascii="Arial"/>
          <w:color w:val="000000"/>
          <w:sz w:val="24"/>
        </w:rPr>
        <w:t xml:space="preserve"> </w:t>
      </w:r>
      <w:r>
        <w:rPr>
          <w:rFonts w:ascii="Arial"/>
          <w:color w:val="000000"/>
          <w:sz w:val="24"/>
        </w:rPr>
        <w:t>road</w:t>
      </w:r>
      <w:r>
        <w:rPr>
          <w:rFonts w:ascii="Arial"/>
          <w:color w:val="000000"/>
          <w:sz w:val="24"/>
        </w:rPr>
        <w:t xml:space="preserve"> </w:t>
      </w:r>
      <w:r>
        <w:rPr>
          <w:rFonts w:ascii="Arial"/>
          <w:color w:val="000000"/>
          <w:sz w:val="24"/>
        </w:rPr>
        <w:t xml:space="preserve">may </w:t>
      </w:r>
      <w:r>
        <w:rPr>
          <w:rFonts w:ascii="Arial"/>
          <w:color w:val="000000"/>
          <w:sz w:val="24"/>
        </w:rPr>
        <w:t xml:space="preserve">facilitate </w:t>
      </w:r>
      <w:r>
        <w:rPr>
          <w:rFonts w:ascii="Arial"/>
          <w:color w:val="000000"/>
          <w:sz w:val="24"/>
        </w:rPr>
        <w:t>drainage</w:t>
      </w:r>
      <w:r>
        <w:rPr>
          <w:rFonts w:ascii="Arial"/>
          <w:color w:val="000000"/>
          <w:sz w:val="24"/>
        </w:rPr>
        <w:t xml:space="preserve"> </w:t>
      </w:r>
      <w:r>
        <w:rPr>
          <w:rFonts w:ascii="Arial"/>
          <w:color w:val="000000"/>
          <w:sz w:val="24"/>
        </w:rPr>
        <w:t xml:space="preserve">from the </w:t>
      </w:r>
      <w:r>
        <w:rPr>
          <w:rFonts w:ascii="Arial"/>
          <w:color w:val="000000"/>
          <w:sz w:val="24"/>
        </w:rPr>
        <w:t xml:space="preserve">residential flat </w:t>
      </w:r>
      <w:r>
        <w:rPr>
          <w:rFonts w:ascii="Arial"/>
          <w:color w:val="000000"/>
          <w:sz w:val="24"/>
        </w:rPr>
        <w:t xml:space="preserve">building </w:t>
      </w:r>
      <w:r>
        <w:rPr>
          <w:rFonts w:ascii="Arial"/>
          <w:color w:val="000000"/>
          <w:sz w:val="24"/>
        </w:rPr>
        <w:t xml:space="preserve">development to the public drainage system, </w:t>
      </w:r>
      <w:r>
        <w:rPr>
          <w:rFonts w:ascii="Arial"/>
          <w:color w:val="000000"/>
          <w:sz w:val="24"/>
        </w:rPr>
        <w:t>has guttering</w:t>
      </w:r>
      <w:r>
        <w:rPr>
          <w:rFonts w:ascii="Arial"/>
          <w:color w:val="000000"/>
          <w:sz w:val="24"/>
        </w:rPr>
        <w:t>, a</w:t>
      </w:r>
      <w:r>
        <w:rPr>
          <w:rFonts w:ascii="Arial"/>
          <w:color w:val="000000"/>
          <w:sz w:val="24"/>
        </w:rPr>
        <w:t>nd contains a</w:t>
      </w:r>
      <w:r>
        <w:rPr>
          <w:rFonts w:ascii="Arial"/>
          <w:color w:val="000000"/>
          <w:sz w:val="24"/>
        </w:rPr>
        <w:t xml:space="preserve"> </w:t>
      </w:r>
      <w:r>
        <w:rPr>
          <w:rFonts w:ascii="Arial"/>
          <w:color w:val="000000"/>
          <w:sz w:val="24"/>
        </w:rPr>
        <w:t xml:space="preserve">fire hydron </w:t>
      </w:r>
      <w:r>
        <w:rPr>
          <w:rFonts w:ascii="Arial"/>
          <w:color w:val="000000"/>
          <w:sz w:val="24"/>
        </w:rPr>
        <w:t xml:space="preserve">at the frontage </w:t>
      </w:r>
      <w:r>
        <w:rPr>
          <w:rFonts w:ascii="Arial"/>
          <w:color w:val="000000"/>
          <w:sz w:val="24"/>
        </w:rPr>
        <w:t xml:space="preserve">and </w:t>
      </w:r>
      <w:r>
        <w:rPr>
          <w:rFonts w:ascii="Arial"/>
          <w:color w:val="000000"/>
          <w:sz w:val="24"/>
        </w:rPr>
        <w:t xml:space="preserve">landscaping or not is </w:t>
      </w:r>
      <w:r>
        <w:rPr>
          <w:rFonts w:ascii="Arial"/>
          <w:color w:val="000000"/>
          <w:sz w:val="24"/>
        </w:rPr>
        <w:t xml:space="preserve">also </w:t>
      </w:r>
      <w:r>
        <w:rPr>
          <w:rFonts w:ascii="Arial"/>
          <w:color w:val="000000"/>
          <w:sz w:val="24"/>
        </w:rPr>
        <w:t xml:space="preserve">irrelevant to its characterisation. So too are the rights attached to the road. It is not an ancillary use to a primary residential flat building use in the </w:t>
      </w:r>
      <w:r>
        <w:rPr>
          <w:rFonts w:ascii="Arial"/>
          <w:color w:val="000000"/>
          <w:sz w:val="24"/>
        </w:rPr>
        <w:t xml:space="preserve">sense argued in </w:t>
      </w:r>
      <w:r>
        <w:rPr>
          <w:rFonts w:ascii="Arial"/>
          <w:i/>
          <w:color w:val="000000"/>
          <w:sz w:val="24"/>
        </w:rPr>
        <w:t>Baulkham Hills Shire Council v O’Donnell</w:t>
      </w:r>
      <w:r>
        <w:rPr>
          <w:rFonts w:ascii="Arial"/>
          <w:color w:val="000000"/>
          <w:sz w:val="24"/>
        </w:rPr>
        <w:t xml:space="preserve"> </w:t>
      </w:r>
      <w:r>
        <w:rPr>
          <w:rFonts w:ascii="Arial"/>
          <w:color w:val="000000"/>
          <w:sz w:val="24"/>
        </w:rPr>
        <w:t>(1990) 69 LGRA 404 (</w:t>
      </w:r>
      <w:r>
        <w:rPr>
          <w:rFonts w:ascii="Arial"/>
          <w:i/>
          <w:color w:val="000000"/>
          <w:sz w:val="24"/>
        </w:rPr>
        <w:t>O’Donnell</w:t>
      </w:r>
      <w:r>
        <w:rPr>
          <w:rFonts w:ascii="Arial"/>
          <w:color w:val="000000"/>
          <w:sz w:val="24"/>
        </w:rPr>
        <w:t>)</w:t>
      </w:r>
      <w:r>
        <w:rPr>
          <w:rFonts w:ascii="Arial"/>
          <w:color w:val="000000"/>
          <w:sz w:val="24"/>
        </w:rPr>
        <w:t>.</w:t>
      </w:r>
      <w:r>
        <w:rPr>
          <w:rFonts w:ascii="Arial"/>
          <w:color w:val="000000"/>
          <w:sz w:val="24"/>
        </w:rPr>
        <w:t xml:space="preserve"> </w:t>
      </w:r>
    </w:p>
    <w:p>
      <w:pPr>
        <w:pStyle w:val="CaselawNumbered10"/>
        <w:numPr>
          <w:ilvl w:val="0"/>
          <w:numId w:val="71"/>
        </w:numPr>
        <w:spacing w:before="150" w:after="0"/>
        <w:ind w:left="600" w:hanging="600"/>
      </w:pPr>
      <w:r>
        <w:rPr>
          <w:rFonts w:ascii="Arial"/>
          <w:color w:val="000000"/>
          <w:sz w:val="24"/>
        </w:rPr>
        <w:t>Henroth</w:t>
      </w:r>
      <w:r>
        <w:rPr>
          <w:rFonts w:ascii="Arial"/>
          <w:color w:val="000000"/>
          <w:sz w:val="24"/>
        </w:rPr>
        <w:t xml:space="preserve"> </w:t>
      </w:r>
      <w:r>
        <w:rPr>
          <w:rFonts w:ascii="Arial"/>
          <w:color w:val="000000"/>
          <w:sz w:val="24"/>
        </w:rPr>
        <w:t xml:space="preserve">points out that </w:t>
      </w:r>
      <w:r>
        <w:rPr>
          <w:rFonts w:ascii="Arial"/>
          <w:color w:val="000000"/>
          <w:sz w:val="24"/>
        </w:rPr>
        <w:t xml:space="preserve">line </w:t>
      </w:r>
      <w:r>
        <w:rPr>
          <w:rFonts w:ascii="Arial"/>
          <w:color w:val="000000"/>
          <w:sz w:val="24"/>
        </w:rPr>
        <w:t>of</w:t>
      </w:r>
      <w:r>
        <w:rPr>
          <w:rFonts w:ascii="Arial"/>
          <w:color w:val="000000"/>
          <w:sz w:val="24"/>
        </w:rPr>
        <w:t xml:space="preserve"> </w:t>
      </w:r>
      <w:r>
        <w:rPr>
          <w:rFonts w:ascii="Arial"/>
          <w:color w:val="000000"/>
          <w:sz w:val="24"/>
        </w:rPr>
        <w:t xml:space="preserve">authority in </w:t>
      </w:r>
      <w:r>
        <w:rPr>
          <w:rFonts w:ascii="Arial"/>
          <w:i/>
          <w:color w:val="000000"/>
          <w:sz w:val="24"/>
        </w:rPr>
        <w:t>Argyrop</w:t>
      </w:r>
      <w:r>
        <w:rPr>
          <w:rFonts w:ascii="Arial"/>
          <w:i/>
          <w:color w:val="000000"/>
          <w:sz w:val="24"/>
        </w:rPr>
        <w:t>ou</w:t>
      </w:r>
      <w:r>
        <w:rPr>
          <w:rFonts w:ascii="Arial"/>
          <w:i/>
          <w:color w:val="000000"/>
          <w:sz w:val="24"/>
        </w:rPr>
        <w:t>los</w:t>
      </w:r>
      <w:r>
        <w:rPr>
          <w:rFonts w:ascii="Arial"/>
          <w:color w:val="000000"/>
          <w:sz w:val="24"/>
        </w:rPr>
        <w:t xml:space="preserve"> </w:t>
      </w:r>
      <w:r>
        <w:rPr>
          <w:rFonts w:ascii="Arial"/>
          <w:color w:val="000000"/>
          <w:sz w:val="24"/>
        </w:rPr>
        <w:t xml:space="preserve">is predicated on a different </w:t>
      </w:r>
      <w:r>
        <w:rPr>
          <w:rFonts w:ascii="Arial"/>
          <w:color w:val="000000"/>
          <w:sz w:val="24"/>
        </w:rPr>
        <w:t>basis. That</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 xml:space="preserve">a permissible </w:t>
      </w:r>
      <w:r>
        <w:rPr>
          <w:rFonts w:ascii="Arial"/>
          <w:color w:val="000000"/>
          <w:sz w:val="24"/>
        </w:rPr>
        <w:t>use of a road for the purpose of a road</w:t>
      </w:r>
      <w:r>
        <w:rPr>
          <w:rFonts w:ascii="Arial"/>
          <w:color w:val="000000"/>
          <w:sz w:val="24"/>
        </w:rPr>
        <w:t xml:space="preserve">. A conveyance over the private road lot onto Norfolk Lane on the adjoining site with access from there to the </w:t>
      </w:r>
      <w:r>
        <w:rPr>
          <w:rFonts w:ascii="Arial"/>
          <w:color w:val="000000"/>
          <w:sz w:val="24"/>
        </w:rPr>
        <w:t xml:space="preserve">entry portal for </w:t>
      </w:r>
      <w:r>
        <w:rPr>
          <w:rFonts w:ascii="Arial"/>
          <w:color w:val="000000"/>
          <w:sz w:val="24"/>
        </w:rPr>
        <w:t xml:space="preserve">the proposed </w:t>
      </w:r>
      <w:r>
        <w:rPr>
          <w:rFonts w:ascii="Arial"/>
          <w:color w:val="000000"/>
          <w:sz w:val="24"/>
        </w:rPr>
        <w:t>residential flat building basement</w:t>
      </w:r>
      <w:r>
        <w:rPr>
          <w:rFonts w:ascii="Arial"/>
          <w:color w:val="000000"/>
          <w:sz w:val="24"/>
        </w:rPr>
        <w:t xml:space="preserve"> </w:t>
      </w:r>
      <w:r>
        <w:rPr>
          <w:rFonts w:ascii="Arial"/>
          <w:color w:val="000000"/>
          <w:sz w:val="24"/>
        </w:rPr>
        <w:t>parking</w:t>
      </w:r>
      <w:r>
        <w:rPr>
          <w:rFonts w:ascii="Arial"/>
          <w:color w:val="000000"/>
          <w:sz w:val="24"/>
        </w:rPr>
        <w:t xml:space="preserve">. </w:t>
      </w:r>
      <w:r>
        <w:rPr>
          <w:rFonts w:ascii="Arial"/>
          <w:color w:val="000000"/>
          <w:sz w:val="24"/>
        </w:rPr>
        <w:t xml:space="preserve">It may be used by those that are accessing the residential component but there is nothing inconsistent with the finding that the proper characterisation of the road is as a road. </w:t>
      </w:r>
      <w:r>
        <w:rPr>
          <w:rFonts w:ascii="Arial"/>
          <w:color w:val="000000"/>
          <w:sz w:val="24"/>
        </w:rPr>
        <w:t xml:space="preserve">The independence </w:t>
      </w:r>
      <w:r>
        <w:rPr>
          <w:rFonts w:ascii="Arial"/>
          <w:color w:val="000000"/>
          <w:sz w:val="24"/>
        </w:rPr>
        <w:t xml:space="preserve">of the proposed road </w:t>
      </w:r>
      <w:r>
        <w:rPr>
          <w:rFonts w:ascii="Arial"/>
          <w:color w:val="000000"/>
          <w:sz w:val="24"/>
        </w:rPr>
        <w:t xml:space="preserve">is an independence of </w:t>
      </w:r>
      <w:r>
        <w:rPr>
          <w:rFonts w:ascii="Arial"/>
          <w:color w:val="000000"/>
          <w:sz w:val="24"/>
        </w:rPr>
        <w:t xml:space="preserve">its </w:t>
      </w:r>
      <w:r>
        <w:rPr>
          <w:rFonts w:ascii="Arial"/>
          <w:color w:val="000000"/>
          <w:sz w:val="24"/>
        </w:rPr>
        <w:t>characterisation</w:t>
      </w:r>
      <w:r>
        <w:rPr>
          <w:rFonts w:ascii="Arial"/>
          <w:color w:val="000000"/>
          <w:sz w:val="24"/>
        </w:rPr>
        <w:t>,</w:t>
      </w:r>
      <w:r>
        <w:rPr>
          <w:rFonts w:ascii="Arial"/>
          <w:color w:val="000000"/>
          <w:sz w:val="24"/>
        </w:rPr>
        <w:t xml:space="preserve"> </w:t>
      </w:r>
      <w:r>
        <w:rPr>
          <w:rFonts w:ascii="Arial"/>
          <w:color w:val="000000"/>
          <w:sz w:val="24"/>
        </w:rPr>
        <w:t>it is not an independence of factual relationship</w:t>
      </w:r>
      <w:r>
        <w:rPr>
          <w:rFonts w:ascii="Arial"/>
          <w:color w:val="000000"/>
          <w:sz w:val="24"/>
        </w:rPr>
        <w:t xml:space="preserve"> </w:t>
      </w:r>
      <w:r>
        <w:rPr>
          <w:rFonts w:ascii="Arial"/>
          <w:color w:val="000000"/>
          <w:sz w:val="24"/>
        </w:rPr>
        <w:t>to another use on a separate lot</w:t>
      </w:r>
      <w:r>
        <w:rPr>
          <w:rFonts w:ascii="Arial"/>
          <w:color w:val="000000"/>
          <w:sz w:val="24"/>
        </w:rPr>
        <w:t xml:space="preserve">. </w:t>
      </w:r>
    </w:p>
    <w:p>
      <w:pPr>
        <w:pStyle w:val="CaselawNumbered10"/>
        <w:numPr>
          <w:ilvl w:val="0"/>
          <w:numId w:val="71"/>
        </w:numPr>
        <w:spacing w:before="150" w:after="0"/>
        <w:ind w:left="600" w:hanging="600"/>
      </w:pPr>
      <w:r>
        <w:rPr>
          <w:rFonts w:ascii="Arial"/>
          <w:color w:val="000000"/>
          <w:sz w:val="24"/>
        </w:rPr>
        <w:t>Henroth</w:t>
      </w:r>
      <w:r>
        <w:rPr>
          <w:rFonts w:ascii="Arial"/>
          <w:color w:val="000000"/>
          <w:sz w:val="24"/>
        </w:rPr>
        <w:t xml:space="preserve"> </w:t>
      </w:r>
      <w:r>
        <w:rPr>
          <w:rFonts w:ascii="Arial"/>
          <w:color w:val="000000"/>
          <w:sz w:val="24"/>
        </w:rPr>
        <w:t xml:space="preserve">relies on the reasoning of the Court </w:t>
      </w:r>
      <w:r>
        <w:rPr>
          <w:rFonts w:ascii="Arial"/>
          <w:color w:val="000000"/>
          <w:sz w:val="24"/>
        </w:rPr>
        <w:t xml:space="preserve">in </w:t>
      </w:r>
      <w:r>
        <w:rPr>
          <w:rFonts w:ascii="Arial"/>
          <w:i/>
          <w:color w:val="000000"/>
          <w:sz w:val="24"/>
        </w:rPr>
        <w:t>O’Donnell</w:t>
      </w:r>
      <w:r>
        <w:rPr>
          <w:rFonts w:ascii="Arial"/>
          <w:color w:val="000000"/>
          <w:sz w:val="24"/>
        </w:rPr>
        <w:t xml:space="preserve"> </w:t>
      </w:r>
      <w:r>
        <w:rPr>
          <w:rFonts w:ascii="Arial"/>
          <w:color w:val="000000"/>
          <w:sz w:val="24"/>
        </w:rPr>
        <w:t>at p 409</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 xml:space="preserve">“It does not follow that a use </w:t>
      </w:r>
      <w:r>
        <w:rPr>
          <w:rFonts w:ascii="Arial"/>
          <w:color w:val="000000"/>
          <w:sz w:val="22"/>
        </w:rPr>
        <w:t>which</w:t>
      </w:r>
      <w:r>
        <w:rPr>
          <w:rFonts w:ascii="Arial"/>
          <w:color w:val="000000"/>
          <w:sz w:val="22"/>
        </w:rPr>
        <w:t xml:space="preserve"> can be said to be ancillary to another use is thereby automatically precluded from being an independent use of land. It is a question of fact and degree in all the circumstances of the case, whether such a result ensues”</w:t>
      </w:r>
      <w:r>
        <w:rPr>
          <w:rFonts w:ascii="Arial"/>
          <w:color w:val="000000"/>
          <w:sz w:val="22"/>
        </w:rPr>
        <w:t>,</w:t>
      </w:r>
      <w:r>
        <w:rPr>
          <w:rFonts w:ascii="Arial"/>
          <w:color w:val="000000"/>
          <w:sz w:val="22"/>
        </w:rPr>
        <w:t xml:space="preserve"> </w:t>
      </w:r>
    </w:p>
    <w:p>
      <w:pPr>
        <w:pStyle w:val="CaselawNormal"/>
        <w:spacing w:before="150" w:after="150"/>
        <w:ind w:left="600"/>
        <w:jc w:val="left"/>
      </w:pPr>
      <w:r>
        <w:rPr>
          <w:rFonts w:ascii="Arial"/>
          <w:color w:val="000000"/>
          <w:sz w:val="24"/>
        </w:rPr>
        <w:t>to submit</w:t>
      </w:r>
      <w:r>
        <w:rPr>
          <w:rFonts w:ascii="Arial"/>
          <w:color w:val="000000"/>
          <w:sz w:val="24"/>
        </w:rPr>
        <w:t xml:space="preserve"> the proposed use is a use of land that is capable of being an independent use </w:t>
      </w:r>
      <w:r>
        <w:rPr>
          <w:rFonts w:ascii="Arial"/>
          <w:color w:val="000000"/>
          <w:sz w:val="24"/>
        </w:rPr>
        <w:t>-</w:t>
      </w:r>
      <w:r>
        <w:rPr>
          <w:rFonts w:ascii="Arial"/>
          <w:color w:val="000000"/>
          <w:sz w:val="24"/>
        </w:rPr>
        <w:t xml:space="preserve"> a road - specifically a permissible use. It is not deprived of that quality because it is ancillary to or related to or interdependent with another use. It is still a road as a </w:t>
      </w:r>
      <w:r>
        <w:rPr>
          <w:rFonts w:ascii="Arial"/>
          <w:color w:val="000000"/>
          <w:sz w:val="24"/>
        </w:rPr>
        <w:t>matter of operation</w:t>
      </w:r>
      <w:r>
        <w:rPr>
          <w:rFonts w:ascii="Arial"/>
          <w:color w:val="000000"/>
          <w:sz w:val="24"/>
        </w:rPr>
        <w:t xml:space="preserve"> and fact on a separate lot. </w:t>
      </w:r>
    </w:p>
    <w:p>
      <w:pPr>
        <w:pStyle w:val="CaselawHeading3"/>
        <w:keepNext/>
        <w:spacing w:before="150" w:after="150" w:line="264"/>
        <w:ind w:left="0"/>
        <w:jc w:val="left"/>
      </w:pPr>
      <w:r>
        <w:rPr>
          <w:rFonts w:ascii="Arial"/>
        </w:rPr>
        <w:t>Contention 1 -</w:t>
      </w:r>
      <w:r>
        <w:rPr>
          <w:rFonts w:ascii="Arial"/>
        </w:rPr>
        <w:t xml:space="preserve"> </w:t>
      </w:r>
      <w:r>
        <w:rPr>
          <w:rFonts w:ascii="Arial"/>
        </w:rPr>
        <w:t>C</w:t>
      </w:r>
      <w:r>
        <w:rPr>
          <w:rFonts w:ascii="Arial"/>
        </w:rPr>
        <w:t>onsiderations and findings</w:t>
      </w:r>
      <w:r>
        <w:rPr>
          <w:rFonts w:ascii="Arial"/>
        </w:rPr>
        <w:t xml:space="preserve"> </w:t>
      </w:r>
      <w:r>
        <w:rPr>
          <w:rFonts w:ascii="Arial"/>
        </w:rPr>
        <w:t xml:space="preserve"> </w:t>
      </w:r>
    </w:p>
    <w:p>
      <w:pPr>
        <w:pStyle w:val="CaselawNumbered10"/>
        <w:numPr>
          <w:ilvl w:val="0"/>
          <w:numId w:val="72"/>
        </w:numPr>
        <w:spacing w:before="150" w:after="0"/>
        <w:ind w:left="600" w:hanging="600"/>
      </w:pPr>
      <w:r>
        <w:rPr>
          <w:rFonts w:ascii="Arial"/>
          <w:color w:val="000000"/>
          <w:sz w:val="24"/>
        </w:rPr>
        <w:t xml:space="preserve">As is clear from the </w:t>
      </w:r>
      <w:r>
        <w:rPr>
          <w:rFonts w:ascii="Arial"/>
          <w:color w:val="000000"/>
          <w:sz w:val="24"/>
        </w:rPr>
        <w:t>parties</w:t>
      </w:r>
      <w:r>
        <w:rPr>
          <w:rFonts w:ascii="Arial"/>
          <w:color w:val="000000"/>
          <w:sz w:val="24"/>
        </w:rPr>
        <w:t>’</w:t>
      </w:r>
      <w:r>
        <w:rPr>
          <w:rFonts w:ascii="Arial"/>
          <w:color w:val="000000"/>
          <w:sz w:val="24"/>
        </w:rPr>
        <w:t xml:space="preserve"> </w:t>
      </w:r>
      <w:r>
        <w:rPr>
          <w:rFonts w:ascii="Arial"/>
          <w:color w:val="000000"/>
          <w:sz w:val="24"/>
        </w:rPr>
        <w:t>submissions</w:t>
      </w:r>
      <w:r>
        <w:rPr>
          <w:rFonts w:ascii="Arial"/>
          <w:color w:val="000000"/>
          <w:sz w:val="24"/>
        </w:rPr>
        <w:t xml:space="preserve"> </w:t>
      </w:r>
      <w:r>
        <w:rPr>
          <w:rFonts w:ascii="Arial"/>
          <w:color w:val="000000"/>
          <w:sz w:val="24"/>
        </w:rPr>
        <w:t xml:space="preserve">as summarised above, </w:t>
      </w:r>
      <w:r>
        <w:rPr>
          <w:rFonts w:ascii="Arial"/>
          <w:color w:val="000000"/>
          <w:sz w:val="24"/>
        </w:rPr>
        <w:t xml:space="preserve">the </w:t>
      </w:r>
      <w:r>
        <w:rPr>
          <w:rFonts w:ascii="Arial"/>
          <w:color w:val="000000"/>
          <w:sz w:val="24"/>
        </w:rPr>
        <w:t xml:space="preserve">permissibility of the </w:t>
      </w:r>
      <w:r>
        <w:rPr>
          <w:rFonts w:ascii="Arial"/>
          <w:color w:val="000000"/>
          <w:sz w:val="24"/>
        </w:rPr>
        <w:t xml:space="preserve">development </w:t>
      </w:r>
      <w:r>
        <w:rPr>
          <w:rFonts w:ascii="Arial"/>
          <w:color w:val="000000"/>
          <w:sz w:val="24"/>
        </w:rPr>
        <w:t xml:space="preserve">over the </w:t>
      </w:r>
      <w:r>
        <w:rPr>
          <w:rFonts w:ascii="Arial"/>
          <w:color w:val="000000"/>
          <w:sz w:val="24"/>
        </w:rPr>
        <w:t xml:space="preserve">R2 zoned </w:t>
      </w:r>
      <w:r>
        <w:rPr>
          <w:rFonts w:ascii="Arial"/>
          <w:color w:val="000000"/>
          <w:sz w:val="24"/>
        </w:rPr>
        <w:t xml:space="preserve">Norfolk Road </w:t>
      </w:r>
      <w:r>
        <w:rPr>
          <w:rFonts w:ascii="Arial"/>
          <w:color w:val="000000"/>
          <w:sz w:val="24"/>
        </w:rPr>
        <w:t>L</w:t>
      </w:r>
      <w:r>
        <w:rPr>
          <w:rFonts w:ascii="Arial"/>
          <w:color w:val="000000"/>
          <w:sz w:val="24"/>
        </w:rPr>
        <w:t>ot rest</w:t>
      </w:r>
      <w:r>
        <w:rPr>
          <w:rFonts w:ascii="Arial"/>
          <w:color w:val="000000"/>
          <w:sz w:val="24"/>
        </w:rPr>
        <w:t>s</w:t>
      </w:r>
      <w:r>
        <w:rPr>
          <w:rFonts w:ascii="Arial"/>
          <w:color w:val="000000"/>
          <w:sz w:val="24"/>
        </w:rPr>
        <w:t xml:space="preserve"> </w:t>
      </w:r>
      <w:r>
        <w:rPr>
          <w:rFonts w:ascii="Arial"/>
          <w:color w:val="000000"/>
          <w:sz w:val="24"/>
        </w:rPr>
        <w:t xml:space="preserve">upon how it should be characterised. </w:t>
      </w:r>
      <w:r>
        <w:rPr>
          <w:rFonts w:ascii="Arial"/>
          <w:color w:val="000000"/>
          <w:sz w:val="24"/>
        </w:rPr>
        <w:t xml:space="preserve">Whether </w:t>
      </w:r>
      <w:r>
        <w:rPr>
          <w:rFonts w:ascii="Arial"/>
          <w:color w:val="000000"/>
          <w:sz w:val="24"/>
        </w:rPr>
        <w:t xml:space="preserve">it should be characterised as being used for </w:t>
      </w:r>
      <w:r>
        <w:rPr>
          <w:rFonts w:ascii="Arial"/>
          <w:color w:val="000000"/>
          <w:sz w:val="24"/>
        </w:rPr>
        <w:t xml:space="preserve">the purpose of </w:t>
      </w:r>
      <w:r>
        <w:rPr>
          <w:rFonts w:ascii="Arial"/>
          <w:color w:val="000000"/>
          <w:sz w:val="24"/>
        </w:rPr>
        <w:t xml:space="preserve">a road, or as </w:t>
      </w:r>
      <w:r>
        <w:rPr>
          <w:rFonts w:ascii="Arial"/>
          <w:color w:val="000000"/>
          <w:sz w:val="24"/>
        </w:rPr>
        <w:t xml:space="preserve">a </w:t>
      </w:r>
      <w:r>
        <w:rPr>
          <w:rFonts w:ascii="Arial"/>
          <w:color w:val="000000"/>
          <w:sz w:val="24"/>
        </w:rPr>
        <w:t xml:space="preserve">driveway </w:t>
      </w:r>
      <w:r>
        <w:rPr>
          <w:rFonts w:ascii="Arial"/>
          <w:color w:val="000000"/>
          <w:sz w:val="24"/>
        </w:rPr>
        <w:t xml:space="preserve">serving the purpose of the proposed residential development on the </w:t>
      </w:r>
      <w:r>
        <w:rPr>
          <w:rFonts w:ascii="Arial"/>
          <w:color w:val="000000"/>
          <w:sz w:val="24"/>
        </w:rPr>
        <w:t xml:space="preserve">adjoining </w:t>
      </w:r>
      <w:r>
        <w:rPr>
          <w:rFonts w:ascii="Arial"/>
          <w:color w:val="000000"/>
          <w:sz w:val="24"/>
        </w:rPr>
        <w:t xml:space="preserve">supermarket site. </w:t>
      </w:r>
      <w:r>
        <w:rPr>
          <w:rFonts w:ascii="Arial"/>
          <w:color w:val="000000"/>
          <w:sz w:val="24"/>
        </w:rPr>
        <w:t xml:space="preserve">The </w:t>
      </w:r>
      <w:r>
        <w:rPr>
          <w:rFonts w:ascii="Arial"/>
          <w:color w:val="000000"/>
          <w:sz w:val="24"/>
        </w:rPr>
        <w:t>latter</w:t>
      </w:r>
      <w:r>
        <w:rPr>
          <w:rFonts w:ascii="Arial"/>
          <w:color w:val="000000"/>
          <w:sz w:val="24"/>
        </w:rPr>
        <w:t xml:space="preserve"> </w:t>
      </w:r>
      <w:r>
        <w:rPr>
          <w:rFonts w:ascii="Arial"/>
          <w:color w:val="000000"/>
          <w:sz w:val="24"/>
        </w:rPr>
        <w:t>being a prohibited use in the R2 zone.</w:t>
      </w:r>
    </w:p>
    <w:p>
      <w:pPr>
        <w:pStyle w:val="CaselawNumbered10"/>
        <w:numPr>
          <w:ilvl w:val="0"/>
          <w:numId w:val="72"/>
        </w:numPr>
        <w:spacing w:before="150" w:after="0"/>
        <w:ind w:left="600" w:hanging="600"/>
      </w:pPr>
      <w:r>
        <w:rPr>
          <w:rFonts w:ascii="Arial"/>
          <w:color w:val="000000"/>
          <w:sz w:val="24"/>
        </w:rPr>
        <w:t>T</w:t>
      </w:r>
      <w:r>
        <w:rPr>
          <w:rFonts w:ascii="Arial"/>
          <w:color w:val="000000"/>
          <w:sz w:val="24"/>
        </w:rPr>
        <w:t xml:space="preserve">he </w:t>
      </w:r>
      <w:r>
        <w:rPr>
          <w:rFonts w:ascii="Arial"/>
          <w:color w:val="000000"/>
          <w:sz w:val="24"/>
        </w:rPr>
        <w:t xml:space="preserve">case law </w:t>
      </w:r>
      <w:r>
        <w:rPr>
          <w:rFonts w:ascii="Arial"/>
          <w:color w:val="000000"/>
          <w:sz w:val="24"/>
        </w:rPr>
        <w:t xml:space="preserve">referred to </w:t>
      </w:r>
      <w:r>
        <w:rPr>
          <w:rFonts w:ascii="Arial"/>
          <w:color w:val="000000"/>
          <w:sz w:val="24"/>
        </w:rPr>
        <w:t xml:space="preserve">makes it plain that the answer to the question is </w:t>
      </w:r>
      <w:r>
        <w:rPr>
          <w:rFonts w:ascii="Arial"/>
          <w:color w:val="000000"/>
          <w:sz w:val="24"/>
        </w:rPr>
        <w:t xml:space="preserve">largely </w:t>
      </w:r>
      <w:r>
        <w:rPr>
          <w:rFonts w:ascii="Arial"/>
          <w:color w:val="000000"/>
          <w:sz w:val="24"/>
        </w:rPr>
        <w:t xml:space="preserve">based on the </w:t>
      </w:r>
      <w:r>
        <w:rPr>
          <w:rFonts w:ascii="Arial"/>
          <w:color w:val="000000"/>
          <w:sz w:val="24"/>
        </w:rPr>
        <w:t>specific facts of the case</w:t>
      </w:r>
      <w:r>
        <w:rPr>
          <w:rFonts w:ascii="Arial"/>
          <w:color w:val="000000"/>
          <w:sz w:val="24"/>
        </w:rPr>
        <w:t xml:space="preserve">: </w:t>
      </w:r>
      <w:r>
        <w:rPr>
          <w:rFonts w:ascii="Arial"/>
          <w:i/>
          <w:color w:val="000000"/>
          <w:sz w:val="24"/>
        </w:rPr>
        <w:t>Chamwell</w:t>
      </w:r>
      <w:r>
        <w:rPr>
          <w:rFonts w:ascii="Arial"/>
          <w:color w:val="000000"/>
          <w:sz w:val="24"/>
        </w:rPr>
        <w:t xml:space="preserve">, </w:t>
      </w:r>
      <w:r>
        <w:rPr>
          <w:rFonts w:ascii="Arial"/>
          <w:i/>
          <w:color w:val="000000"/>
          <w:sz w:val="24"/>
        </w:rPr>
        <w:t>Site Plus</w:t>
      </w:r>
      <w:r>
        <w:rPr>
          <w:rFonts w:ascii="Arial"/>
          <w:color w:val="000000"/>
          <w:sz w:val="24"/>
        </w:rPr>
        <w:t xml:space="preserve">, </w:t>
      </w:r>
      <w:r>
        <w:rPr>
          <w:rFonts w:ascii="Arial"/>
          <w:i/>
          <w:color w:val="000000"/>
          <w:sz w:val="24"/>
        </w:rPr>
        <w:t>Alramon</w:t>
      </w:r>
      <w:r>
        <w:rPr>
          <w:rFonts w:ascii="Arial"/>
          <w:color w:val="000000"/>
          <w:sz w:val="24"/>
        </w:rPr>
        <w:t xml:space="preserve"> </w:t>
      </w:r>
      <w:r>
        <w:rPr>
          <w:rFonts w:ascii="Arial"/>
          <w:color w:val="000000"/>
          <w:sz w:val="24"/>
        </w:rPr>
        <w:t xml:space="preserve">and </w:t>
      </w:r>
      <w:r>
        <w:rPr>
          <w:rFonts w:ascii="Arial"/>
          <w:i/>
          <w:color w:val="000000"/>
          <w:sz w:val="24"/>
        </w:rPr>
        <w:t>Rockliff</w:t>
      </w:r>
      <w:r>
        <w:rPr>
          <w:rFonts w:ascii="Arial"/>
          <w:color w:val="000000"/>
          <w:sz w:val="24"/>
        </w:rPr>
        <w:t xml:space="preserve">. </w:t>
      </w:r>
      <w:r>
        <w:rPr>
          <w:rFonts w:ascii="Arial"/>
          <w:color w:val="000000"/>
          <w:sz w:val="24"/>
        </w:rPr>
        <w:t xml:space="preserve"> </w:t>
      </w:r>
      <w:r>
        <w:rPr>
          <w:rFonts w:ascii="Arial"/>
          <w:color w:val="000000"/>
          <w:sz w:val="24"/>
        </w:rPr>
        <w:t xml:space="preserve">In that regard, the principles set out at [174] of </w:t>
      </w:r>
      <w:r>
        <w:rPr>
          <w:rFonts w:ascii="Arial"/>
          <w:i/>
          <w:color w:val="000000"/>
          <w:sz w:val="24"/>
        </w:rPr>
        <w:t>Alramon</w:t>
      </w:r>
      <w:r>
        <w:rPr>
          <w:rFonts w:ascii="Arial"/>
          <w:color w:val="000000"/>
          <w:sz w:val="24"/>
        </w:rPr>
        <w:t xml:space="preserve"> </w:t>
      </w:r>
      <w:r>
        <w:rPr>
          <w:rFonts w:ascii="Arial"/>
          <w:color w:val="000000"/>
          <w:sz w:val="24"/>
        </w:rPr>
        <w:t xml:space="preserve">which </w:t>
      </w:r>
      <w:r>
        <w:rPr>
          <w:rFonts w:ascii="Arial"/>
          <w:color w:val="000000"/>
          <w:sz w:val="24"/>
        </w:rPr>
        <w:t>include the zoning of the land</w:t>
      </w:r>
      <w:r>
        <w:rPr>
          <w:rFonts w:ascii="Arial"/>
          <w:color w:val="000000"/>
          <w:sz w:val="24"/>
        </w:rPr>
        <w:t xml:space="preserve">, </w:t>
      </w:r>
      <w:r>
        <w:rPr>
          <w:rFonts w:ascii="Arial"/>
          <w:color w:val="000000"/>
          <w:sz w:val="24"/>
        </w:rPr>
        <w:t xml:space="preserve">and </w:t>
      </w:r>
      <w:r>
        <w:rPr>
          <w:rFonts w:ascii="Arial"/>
          <w:color w:val="000000"/>
          <w:sz w:val="24"/>
        </w:rPr>
        <w:t>whether</w:t>
      </w:r>
      <w:r>
        <w:rPr>
          <w:rFonts w:ascii="Arial"/>
          <w:color w:val="000000"/>
          <w:sz w:val="24"/>
        </w:rPr>
        <w:t xml:space="preserve"> </w:t>
      </w:r>
      <w:r>
        <w:rPr>
          <w:rFonts w:ascii="Arial"/>
          <w:color w:val="000000"/>
          <w:sz w:val="24"/>
        </w:rPr>
        <w:t>the design, shape and intended use of the area is properly characterised as a road</w:t>
      </w:r>
      <w:r>
        <w:rPr>
          <w:rFonts w:ascii="Arial"/>
          <w:color w:val="000000"/>
          <w:sz w:val="24"/>
        </w:rPr>
        <w:t xml:space="preserve"> </w:t>
      </w:r>
      <w:r>
        <w:rPr>
          <w:rFonts w:ascii="Arial"/>
          <w:color w:val="000000"/>
          <w:sz w:val="24"/>
        </w:rPr>
        <w:t xml:space="preserve">are </w:t>
      </w:r>
      <w:r>
        <w:rPr>
          <w:rFonts w:ascii="Arial"/>
          <w:color w:val="000000"/>
          <w:sz w:val="24"/>
        </w:rPr>
        <w:t>relevant</w:t>
      </w:r>
      <w:r>
        <w:rPr>
          <w:rFonts w:ascii="Arial"/>
          <w:color w:val="000000"/>
          <w:sz w:val="24"/>
        </w:rPr>
        <w:t xml:space="preserve"> </w:t>
      </w:r>
      <w:r>
        <w:rPr>
          <w:rFonts w:ascii="Arial"/>
          <w:color w:val="000000"/>
          <w:sz w:val="24"/>
        </w:rPr>
        <w:t>to determining characterisation</w:t>
      </w:r>
      <w:r>
        <w:rPr>
          <w:rFonts w:ascii="Arial"/>
          <w:color w:val="000000"/>
          <w:sz w:val="24"/>
        </w:rPr>
        <w:t>.</w:t>
      </w:r>
    </w:p>
    <w:p>
      <w:pPr>
        <w:pStyle w:val="CaselawNumbered10"/>
        <w:numPr>
          <w:ilvl w:val="0"/>
          <w:numId w:val="72"/>
        </w:numPr>
        <w:spacing w:before="150" w:after="0"/>
        <w:ind w:left="600" w:hanging="600"/>
      </w:pPr>
      <w:r>
        <w:rPr>
          <w:rFonts w:ascii="Arial"/>
          <w:color w:val="000000"/>
          <w:sz w:val="24"/>
        </w:rPr>
        <w:t xml:space="preserve">The </w:t>
      </w:r>
      <w:r>
        <w:rPr>
          <w:rFonts w:ascii="Arial"/>
          <w:color w:val="000000"/>
          <w:sz w:val="24"/>
        </w:rPr>
        <w:t xml:space="preserve">pertinent facts </w:t>
      </w:r>
      <w:r>
        <w:rPr>
          <w:rFonts w:ascii="Arial"/>
          <w:color w:val="000000"/>
          <w:sz w:val="24"/>
        </w:rPr>
        <w:t xml:space="preserve">in this case </w:t>
      </w:r>
      <w:r>
        <w:rPr>
          <w:rFonts w:ascii="Arial"/>
          <w:color w:val="000000"/>
          <w:sz w:val="24"/>
        </w:rPr>
        <w:t xml:space="preserve">include the </w:t>
      </w:r>
      <w:r>
        <w:rPr>
          <w:rFonts w:ascii="Arial"/>
          <w:color w:val="000000"/>
          <w:sz w:val="24"/>
        </w:rPr>
        <w:t>follow</w:t>
      </w:r>
      <w:r>
        <w:rPr>
          <w:rFonts w:ascii="Arial"/>
          <w:color w:val="000000"/>
          <w:sz w:val="24"/>
        </w:rPr>
        <w:t>ing</w:t>
      </w:r>
      <w:r>
        <w:rPr>
          <w:rFonts w:ascii="Arial"/>
          <w:color w:val="000000"/>
          <w:sz w:val="24"/>
        </w:rPr>
        <w:t xml:space="preserve">: </w:t>
      </w:r>
    </w:p>
    <w:p>
      <w:pPr>
        <w:pStyle w:val="CaselawNumbereda"/>
        <w:numPr>
          <w:ilvl w:val="0"/>
          <w:numId w:val="73"/>
        </w:numPr>
        <w:spacing w:before="150" w:after="0"/>
        <w:ind w:left="2100" w:hanging="750"/>
      </w:pPr>
      <w:r>
        <w:rPr>
          <w:rFonts w:ascii="Arial"/>
          <w:color w:val="000000"/>
          <w:sz w:val="24"/>
        </w:rPr>
        <w:t xml:space="preserve">The Chullora Marketplace </w:t>
      </w:r>
      <w:r>
        <w:rPr>
          <w:rFonts w:ascii="Arial"/>
          <w:color w:val="000000"/>
          <w:sz w:val="24"/>
        </w:rPr>
        <w:t xml:space="preserve">Lot </w:t>
      </w:r>
      <w:r>
        <w:rPr>
          <w:rFonts w:ascii="Arial"/>
          <w:color w:val="000000"/>
          <w:sz w:val="24"/>
        </w:rPr>
        <w:t>is zoned B2 Local Centre under LEP</w:t>
      </w:r>
      <w:r>
        <w:rPr>
          <w:rFonts w:ascii="Arial"/>
          <w:color w:val="000000"/>
          <w:sz w:val="24"/>
        </w:rPr>
        <w:t xml:space="preserve"> </w:t>
      </w:r>
      <w:r>
        <w:rPr>
          <w:rFonts w:ascii="Arial"/>
          <w:color w:val="000000"/>
          <w:sz w:val="24"/>
        </w:rPr>
        <w:t>2015</w:t>
      </w:r>
      <w:r>
        <w:rPr>
          <w:rFonts w:ascii="Arial"/>
          <w:color w:val="000000"/>
          <w:sz w:val="24"/>
        </w:rPr>
        <w:t>, while the Norfolk R</w:t>
      </w:r>
      <w:r>
        <w:rPr>
          <w:rFonts w:ascii="Arial"/>
          <w:color w:val="000000"/>
          <w:sz w:val="24"/>
        </w:rPr>
        <w:t>oa</w:t>
      </w:r>
      <w:r>
        <w:rPr>
          <w:rFonts w:ascii="Arial"/>
          <w:color w:val="000000"/>
          <w:sz w:val="24"/>
        </w:rPr>
        <w:t xml:space="preserve">d </w:t>
      </w:r>
      <w:r>
        <w:rPr>
          <w:rFonts w:ascii="Arial"/>
          <w:color w:val="000000"/>
          <w:sz w:val="24"/>
        </w:rPr>
        <w:t xml:space="preserve">Lot </w:t>
      </w:r>
      <w:r>
        <w:rPr>
          <w:rFonts w:ascii="Arial"/>
          <w:color w:val="000000"/>
          <w:sz w:val="24"/>
        </w:rPr>
        <w:t xml:space="preserve">is zoned R2 Low Density Residential under the LEP. </w:t>
      </w:r>
    </w:p>
    <w:p>
      <w:pPr>
        <w:pStyle w:val="CaselawNumbereda"/>
        <w:numPr>
          <w:ilvl w:val="0"/>
          <w:numId w:val="73"/>
        </w:numPr>
        <w:spacing w:before="150" w:after="0"/>
        <w:ind w:left="2100" w:hanging="750"/>
      </w:pPr>
      <w:r>
        <w:rPr>
          <w:rFonts w:ascii="Arial"/>
          <w:color w:val="000000"/>
          <w:sz w:val="24"/>
        </w:rPr>
        <w:t xml:space="preserve">Residential flat buildings are a nominate use in the B2 zone and a prohibited use in the R2 zone. </w:t>
      </w:r>
    </w:p>
    <w:p>
      <w:pPr>
        <w:pStyle w:val="CaselawNumbereda"/>
        <w:numPr>
          <w:ilvl w:val="0"/>
          <w:numId w:val="73"/>
        </w:numPr>
        <w:spacing w:before="150" w:after="0"/>
        <w:ind w:left="2100" w:hanging="750"/>
      </w:pPr>
      <w:r>
        <w:rPr>
          <w:rFonts w:ascii="Arial"/>
          <w:color w:val="000000"/>
          <w:sz w:val="24"/>
        </w:rPr>
        <w:t>Roads are a nominate permissible use in both the B2 and the R2 zones under LEP</w:t>
      </w:r>
      <w:r>
        <w:rPr>
          <w:rFonts w:ascii="Arial"/>
          <w:color w:val="000000"/>
          <w:sz w:val="24"/>
        </w:rPr>
        <w:t xml:space="preserve"> </w:t>
      </w:r>
      <w:r>
        <w:rPr>
          <w:rFonts w:ascii="Arial"/>
          <w:color w:val="000000"/>
          <w:sz w:val="24"/>
        </w:rPr>
        <w:t>2015</w:t>
      </w:r>
      <w:r>
        <w:rPr>
          <w:rFonts w:ascii="Arial"/>
          <w:color w:val="000000"/>
          <w:sz w:val="24"/>
        </w:rPr>
        <w:t>.</w:t>
      </w:r>
    </w:p>
    <w:p>
      <w:pPr>
        <w:pStyle w:val="CaselawNumbereda"/>
        <w:numPr>
          <w:ilvl w:val="0"/>
          <w:numId w:val="73"/>
        </w:numPr>
        <w:spacing w:before="150" w:after="0"/>
        <w:ind w:left="2100" w:hanging="750"/>
      </w:pPr>
      <w:r>
        <w:rPr>
          <w:rFonts w:ascii="Arial"/>
          <w:color w:val="000000"/>
          <w:sz w:val="24"/>
        </w:rPr>
        <w:t>No part of the residential flat building is proposed to be constructed on the Norfolk R</w:t>
      </w:r>
      <w:r>
        <w:rPr>
          <w:rFonts w:ascii="Arial"/>
          <w:color w:val="000000"/>
          <w:sz w:val="24"/>
        </w:rPr>
        <w:t>oa</w:t>
      </w:r>
      <w:r>
        <w:rPr>
          <w:rFonts w:ascii="Arial"/>
          <w:color w:val="000000"/>
          <w:sz w:val="24"/>
        </w:rPr>
        <w:t>d Lot.</w:t>
      </w:r>
    </w:p>
    <w:p>
      <w:pPr>
        <w:pStyle w:val="CaselawNumbereda"/>
        <w:numPr>
          <w:ilvl w:val="0"/>
          <w:numId w:val="73"/>
        </w:numPr>
        <w:spacing w:before="150" w:after="0"/>
        <w:ind w:left="2100" w:hanging="750"/>
      </w:pPr>
      <w:r>
        <w:rPr>
          <w:rFonts w:ascii="Arial"/>
          <w:color w:val="000000"/>
          <w:sz w:val="24"/>
        </w:rPr>
        <w:t>The road is on a separate lot to the Chullora Marketplace site</w:t>
      </w:r>
      <w:r>
        <w:rPr>
          <w:rFonts w:ascii="Arial"/>
          <w:color w:val="000000"/>
          <w:sz w:val="24"/>
        </w:rPr>
        <w:t xml:space="preserve"> </w:t>
      </w:r>
      <w:r>
        <w:rPr>
          <w:rFonts w:ascii="Arial"/>
          <w:color w:val="000000"/>
          <w:sz w:val="24"/>
        </w:rPr>
        <w:t>where the residential flat building will stand</w:t>
      </w:r>
      <w:r>
        <w:rPr>
          <w:rFonts w:ascii="Arial"/>
          <w:color w:val="000000"/>
          <w:sz w:val="24"/>
        </w:rPr>
        <w:t xml:space="preserve">. </w:t>
      </w:r>
    </w:p>
    <w:p>
      <w:pPr>
        <w:pStyle w:val="CaselawNumbereda"/>
        <w:numPr>
          <w:ilvl w:val="0"/>
          <w:numId w:val="73"/>
        </w:numPr>
        <w:spacing w:before="150" w:after="0"/>
        <w:ind w:left="2100" w:hanging="750"/>
      </w:pPr>
      <w:r>
        <w:rPr>
          <w:rFonts w:ascii="Arial"/>
          <w:color w:val="000000"/>
          <w:sz w:val="24"/>
        </w:rPr>
        <w:t>The road</w:t>
      </w:r>
      <w:r>
        <w:rPr>
          <w:rFonts w:ascii="Arial"/>
          <w:color w:val="000000"/>
          <w:sz w:val="24"/>
        </w:rPr>
        <w:t xml:space="preserve"> </w:t>
      </w:r>
      <w:r>
        <w:rPr>
          <w:rFonts w:ascii="Arial"/>
          <w:color w:val="000000"/>
          <w:sz w:val="24"/>
        </w:rPr>
        <w:t xml:space="preserve">will be </w:t>
      </w:r>
      <w:r>
        <w:rPr>
          <w:rFonts w:ascii="Arial"/>
          <w:color w:val="000000"/>
          <w:sz w:val="24"/>
        </w:rPr>
        <w:t xml:space="preserve">a private road as it is not going to be dedicated to Council. </w:t>
      </w:r>
    </w:p>
    <w:p>
      <w:pPr>
        <w:pStyle w:val="CaselawNumbereda"/>
        <w:numPr>
          <w:ilvl w:val="0"/>
          <w:numId w:val="73"/>
        </w:numPr>
        <w:spacing w:before="150" w:after="0"/>
        <w:ind w:left="2100" w:hanging="750"/>
      </w:pPr>
      <w:r>
        <w:rPr>
          <w:rFonts w:ascii="Arial"/>
          <w:color w:val="000000"/>
          <w:sz w:val="24"/>
        </w:rPr>
        <w:t>The road will function to permit the passing and repassing of vehicles</w:t>
      </w:r>
      <w:r>
        <w:rPr>
          <w:rFonts w:ascii="Arial"/>
          <w:color w:val="000000"/>
          <w:sz w:val="24"/>
        </w:rPr>
        <w:t xml:space="preserve"> </w:t>
      </w:r>
      <w:r>
        <w:rPr>
          <w:rFonts w:ascii="Arial"/>
          <w:color w:val="000000"/>
          <w:sz w:val="24"/>
        </w:rPr>
        <w:t>to the Chullora Marketplace</w:t>
      </w:r>
      <w:r>
        <w:rPr>
          <w:rFonts w:ascii="Arial"/>
          <w:color w:val="000000"/>
          <w:sz w:val="24"/>
        </w:rPr>
        <w:t xml:space="preserve"> </w:t>
      </w:r>
      <w:r>
        <w:rPr>
          <w:rFonts w:ascii="Arial"/>
          <w:color w:val="000000"/>
          <w:sz w:val="24"/>
        </w:rPr>
        <w:t>Lot in the Stage 1 design</w:t>
      </w:r>
      <w:r>
        <w:rPr>
          <w:rFonts w:ascii="Arial"/>
          <w:color w:val="000000"/>
          <w:sz w:val="24"/>
        </w:rPr>
        <w:t xml:space="preserve"> </w:t>
      </w:r>
      <w:r>
        <w:rPr>
          <w:rFonts w:ascii="Arial"/>
          <w:color w:val="000000"/>
          <w:sz w:val="24"/>
        </w:rPr>
        <w:t xml:space="preserve">and thereby </w:t>
      </w:r>
      <w:r>
        <w:rPr>
          <w:rFonts w:ascii="Arial"/>
          <w:color w:val="000000"/>
          <w:sz w:val="24"/>
        </w:rPr>
        <w:t xml:space="preserve">facilitate </w:t>
      </w:r>
      <w:r>
        <w:rPr>
          <w:rFonts w:ascii="Arial"/>
          <w:color w:val="000000"/>
          <w:sz w:val="24"/>
        </w:rPr>
        <w:t xml:space="preserve">access </w:t>
      </w:r>
      <w:r>
        <w:rPr>
          <w:rFonts w:ascii="Arial"/>
          <w:color w:val="000000"/>
          <w:sz w:val="24"/>
        </w:rPr>
        <w:t xml:space="preserve">to </w:t>
      </w:r>
      <w:r>
        <w:rPr>
          <w:rFonts w:ascii="Arial"/>
          <w:color w:val="000000"/>
          <w:sz w:val="24"/>
        </w:rPr>
        <w:t xml:space="preserve">the </w:t>
      </w:r>
      <w:r>
        <w:rPr>
          <w:rFonts w:ascii="Arial"/>
          <w:color w:val="000000"/>
          <w:sz w:val="24"/>
        </w:rPr>
        <w:t>portal entry</w:t>
      </w:r>
      <w:r>
        <w:rPr>
          <w:rFonts w:ascii="Arial"/>
          <w:color w:val="000000"/>
          <w:sz w:val="24"/>
        </w:rPr>
        <w:t xml:space="preserve"> </w:t>
      </w:r>
      <w:r>
        <w:rPr>
          <w:rFonts w:ascii="Arial"/>
          <w:color w:val="000000"/>
          <w:sz w:val="24"/>
        </w:rPr>
        <w:t>to the proposed residential flat building</w:t>
      </w:r>
      <w:r>
        <w:rPr>
          <w:rFonts w:ascii="Arial"/>
          <w:color w:val="000000"/>
          <w:sz w:val="24"/>
        </w:rPr>
        <w:t xml:space="preserve"> </w:t>
      </w:r>
      <w:r>
        <w:rPr>
          <w:rFonts w:ascii="Arial"/>
          <w:color w:val="000000"/>
          <w:sz w:val="24"/>
        </w:rPr>
        <w:t>B</w:t>
      </w:r>
      <w:r>
        <w:rPr>
          <w:rFonts w:ascii="Arial"/>
          <w:color w:val="000000"/>
          <w:sz w:val="24"/>
        </w:rPr>
        <w:t>asement Level 02 car park</w:t>
      </w:r>
      <w:r>
        <w:rPr>
          <w:rFonts w:ascii="Arial"/>
          <w:color w:val="000000"/>
          <w:sz w:val="24"/>
        </w:rPr>
        <w:t>.</w:t>
      </w:r>
      <w:r>
        <w:rPr>
          <w:rFonts w:ascii="Arial"/>
          <w:color w:val="000000"/>
          <w:sz w:val="24"/>
        </w:rPr>
        <w:t xml:space="preserve"> </w:t>
      </w:r>
      <w:r>
        <w:rPr>
          <w:rFonts w:ascii="Arial"/>
          <w:color w:val="000000"/>
          <w:sz w:val="24"/>
        </w:rPr>
        <w:t>The car</w:t>
      </w:r>
      <w:r>
        <w:rPr>
          <w:rFonts w:ascii="Arial"/>
          <w:color w:val="000000"/>
          <w:sz w:val="24"/>
        </w:rPr>
        <w:t xml:space="preserve"> </w:t>
      </w:r>
      <w:r>
        <w:rPr>
          <w:rFonts w:ascii="Arial"/>
          <w:color w:val="000000"/>
          <w:sz w:val="24"/>
        </w:rPr>
        <w:t>park entry will be controlled by security measures</w:t>
      </w:r>
      <w:r>
        <w:rPr>
          <w:rFonts w:ascii="Arial"/>
          <w:color w:val="000000"/>
          <w:sz w:val="24"/>
        </w:rPr>
        <w:t xml:space="preserve"> </w:t>
      </w:r>
      <w:r>
        <w:rPr>
          <w:rFonts w:ascii="Arial"/>
          <w:color w:val="000000"/>
          <w:sz w:val="24"/>
        </w:rPr>
        <w:t>to preclude public parking</w:t>
      </w:r>
      <w:r>
        <w:rPr>
          <w:rFonts w:ascii="Arial"/>
          <w:color w:val="000000"/>
          <w:sz w:val="24"/>
        </w:rPr>
        <w:t>.</w:t>
      </w:r>
    </w:p>
    <w:p>
      <w:pPr>
        <w:pStyle w:val="CaselawNumbereda"/>
        <w:numPr>
          <w:ilvl w:val="0"/>
          <w:numId w:val="73"/>
        </w:numPr>
        <w:spacing w:before="150" w:after="0"/>
        <w:ind w:left="2100" w:hanging="750"/>
      </w:pPr>
      <w:r>
        <w:rPr>
          <w:rFonts w:ascii="Arial"/>
          <w:color w:val="000000"/>
          <w:sz w:val="24"/>
        </w:rPr>
        <w:t xml:space="preserve">The road will have the visual appearance of a driveway </w:t>
      </w:r>
      <w:r>
        <w:rPr>
          <w:rFonts w:ascii="Arial"/>
          <w:color w:val="000000"/>
          <w:sz w:val="24"/>
        </w:rPr>
        <w:t>which is intended to</w:t>
      </w:r>
      <w:r>
        <w:rPr>
          <w:rFonts w:ascii="Arial"/>
          <w:color w:val="000000"/>
          <w:sz w:val="24"/>
        </w:rPr>
        <w:t xml:space="preserve"> </w:t>
      </w:r>
      <w:r>
        <w:rPr>
          <w:rFonts w:ascii="Arial"/>
          <w:color w:val="000000"/>
          <w:sz w:val="24"/>
        </w:rPr>
        <w:t xml:space="preserve">deter retail shoppers and </w:t>
      </w:r>
      <w:r>
        <w:rPr>
          <w:rFonts w:ascii="Arial"/>
          <w:color w:val="000000"/>
          <w:sz w:val="24"/>
        </w:rPr>
        <w:t>childcare</w:t>
      </w:r>
      <w:r>
        <w:rPr>
          <w:rFonts w:ascii="Arial"/>
          <w:color w:val="000000"/>
          <w:sz w:val="24"/>
        </w:rPr>
        <w:t xml:space="preserve"> </w:t>
      </w:r>
      <w:r>
        <w:rPr>
          <w:rFonts w:ascii="Arial"/>
          <w:color w:val="000000"/>
          <w:sz w:val="24"/>
        </w:rPr>
        <w:t>users from accessing the site from this new access point</w:t>
      </w:r>
      <w:r>
        <w:rPr>
          <w:rFonts w:ascii="Arial"/>
          <w:color w:val="000000"/>
          <w:sz w:val="24"/>
        </w:rPr>
        <w:t xml:space="preserve"> </w:t>
      </w:r>
      <w:r>
        <w:rPr>
          <w:rFonts w:ascii="Arial"/>
          <w:color w:val="000000"/>
          <w:sz w:val="24"/>
        </w:rPr>
        <w:t>(Ex E - SEE p</w:t>
      </w:r>
      <w:r>
        <w:rPr>
          <w:rFonts w:ascii="Arial"/>
          <w:color w:val="000000"/>
          <w:sz w:val="24"/>
        </w:rPr>
        <w:t xml:space="preserve"> </w:t>
      </w:r>
      <w:r>
        <w:rPr>
          <w:rFonts w:ascii="Arial"/>
          <w:color w:val="000000"/>
          <w:sz w:val="24"/>
        </w:rPr>
        <w:t>23)</w:t>
      </w:r>
      <w:r>
        <w:rPr>
          <w:rFonts w:ascii="Arial"/>
          <w:color w:val="000000"/>
          <w:sz w:val="24"/>
        </w:rPr>
        <w:t xml:space="preserve">. </w:t>
      </w:r>
      <w:r>
        <w:rPr>
          <w:rFonts w:ascii="Arial"/>
          <w:color w:val="000000"/>
          <w:sz w:val="24"/>
        </w:rPr>
        <w:t>It will be engineered to the Council</w:t>
      </w:r>
      <w:r>
        <w:rPr>
          <w:rFonts w:ascii="Arial"/>
          <w:color w:val="000000"/>
          <w:sz w:val="24"/>
        </w:rPr>
        <w:t>’</w:t>
      </w:r>
      <w:r>
        <w:rPr>
          <w:rFonts w:ascii="Arial"/>
          <w:color w:val="000000"/>
          <w:sz w:val="24"/>
        </w:rPr>
        <w:t>s specifications in accord with the proposed draft conditions.</w:t>
      </w:r>
    </w:p>
    <w:p>
      <w:pPr>
        <w:pStyle w:val="CaselawNumbered10"/>
        <w:numPr>
          <w:ilvl w:val="0"/>
          <w:numId w:val="74"/>
        </w:numPr>
        <w:spacing w:before="150" w:after="0"/>
        <w:ind w:left="600" w:hanging="600"/>
      </w:pPr>
      <w:r>
        <w:rPr>
          <w:rFonts w:ascii="Arial"/>
          <w:color w:val="000000"/>
          <w:sz w:val="24"/>
        </w:rPr>
        <w:t xml:space="preserve">When </w:t>
      </w:r>
      <w:r>
        <w:rPr>
          <w:rFonts w:ascii="Arial"/>
          <w:color w:val="000000"/>
          <w:sz w:val="24"/>
        </w:rPr>
        <w:t xml:space="preserve">dealing with characterisation </w:t>
      </w:r>
      <w:r>
        <w:rPr>
          <w:rFonts w:ascii="Arial"/>
          <w:color w:val="000000"/>
          <w:sz w:val="24"/>
        </w:rPr>
        <w:t xml:space="preserve">of a use </w:t>
      </w:r>
      <w:r>
        <w:rPr>
          <w:rFonts w:ascii="Arial"/>
          <w:color w:val="000000"/>
          <w:sz w:val="24"/>
        </w:rPr>
        <w:t>generally</w:t>
      </w:r>
      <w:r>
        <w:rPr>
          <w:rFonts w:ascii="Arial"/>
          <w:color w:val="000000"/>
          <w:sz w:val="24"/>
        </w:rPr>
        <w:t xml:space="preserve">, the well-known passages from </w:t>
      </w:r>
      <w:r>
        <w:rPr>
          <w:rFonts w:ascii="Arial"/>
          <w:i/>
          <w:color w:val="000000"/>
          <w:sz w:val="24"/>
        </w:rPr>
        <w:t xml:space="preserve">Chamwell </w:t>
      </w:r>
      <w:r>
        <w:rPr>
          <w:rFonts w:ascii="Arial"/>
          <w:color w:val="000000"/>
          <w:sz w:val="24"/>
        </w:rPr>
        <w:t xml:space="preserve">at [27] and [34] </w:t>
      </w:r>
      <w:r>
        <w:rPr>
          <w:rFonts w:ascii="Arial"/>
          <w:color w:val="000000"/>
          <w:sz w:val="24"/>
        </w:rPr>
        <w:t>are a useful starting point</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w:t>
      </w:r>
      <w:r>
        <w:rPr>
          <w:rFonts w:ascii="Arial"/>
          <w:color w:val="000000"/>
          <w:sz w:val="22"/>
        </w:rPr>
        <w:t xml:space="preserve">27 In planning law, use must be for a purpose: </w:t>
      </w:r>
      <w:r>
        <w:rPr>
          <w:rFonts w:ascii="Arial"/>
          <w:i/>
          <w:color w:val="000000"/>
          <w:sz w:val="22"/>
        </w:rPr>
        <w:t>Shire of Perth v O’Keefe</w:t>
      </w:r>
      <w:r>
        <w:rPr>
          <w:rFonts w:ascii="Arial"/>
          <w:color w:val="000000"/>
          <w:sz w:val="22"/>
        </w:rPr>
        <w:t xml:space="preserve"> (1964) 110 CLR 529 at 534-535 and </w:t>
      </w:r>
      <w:r>
        <w:rPr>
          <w:rFonts w:ascii="Arial"/>
          <w:i/>
          <w:color w:val="000000"/>
          <w:sz w:val="22"/>
        </w:rPr>
        <w:t>Minister Administering the Crown Lands Act v New South Wales Aboriginal Land Council</w:t>
      </w:r>
      <w:r>
        <w:rPr>
          <w:rFonts w:ascii="Arial"/>
          <w:color w:val="000000"/>
          <w:sz w:val="22"/>
        </w:rPr>
        <w:t xml:space="preserve"> (1993) 80 LGRA 173 at 188. The purpose is the end to which land is seen to serve. It describes the character which is imparted to the land at which the use is pursued: </w:t>
      </w:r>
      <w:r>
        <w:rPr>
          <w:rFonts w:ascii="Arial"/>
          <w:i/>
          <w:color w:val="000000"/>
          <w:sz w:val="22"/>
        </w:rPr>
        <w:t>Shire of Perth v O’Keefe</w:t>
      </w:r>
      <w:r>
        <w:rPr>
          <w:rFonts w:ascii="Arial"/>
          <w:color w:val="000000"/>
          <w:sz w:val="22"/>
        </w:rPr>
        <w:t xml:space="preserve"> (1964) 110 CLR 529 at 534.</w:t>
      </w:r>
    </w:p>
    <w:p>
      <w:pPr>
        <w:pStyle w:val="CaselawQuote"/>
        <w:spacing w:before="150" w:after="150"/>
        <w:ind w:left="1350"/>
        <w:jc w:val="left"/>
      </w:pPr>
      <w:r>
        <w:rPr>
          <w:rFonts w:ascii="Arial"/>
          <w:color w:val="000000"/>
          <w:sz w:val="22"/>
        </w:rPr>
        <w:t>…</w:t>
      </w:r>
    </w:p>
    <w:p>
      <w:pPr>
        <w:pStyle w:val="CaselawQuote"/>
        <w:spacing w:before="150" w:after="150"/>
        <w:ind w:left="1350"/>
        <w:jc w:val="left"/>
      </w:pPr>
      <w:r>
        <w:rPr>
          <w:rFonts w:ascii="Arial"/>
          <w:color w:val="000000"/>
          <w:sz w:val="22"/>
        </w:rPr>
        <w:t xml:space="preserve">34 However, the nature of the use needs to be distinguished from the purpose of the use. Uses of different natures can still be seen to serve the same purpose: see </w:t>
      </w:r>
      <w:r>
        <w:rPr>
          <w:rFonts w:ascii="Arial"/>
          <w:i/>
          <w:color w:val="000000"/>
          <w:sz w:val="22"/>
        </w:rPr>
        <w:t>Shire of Perth v O’Keefe</w:t>
      </w:r>
      <w:r>
        <w:rPr>
          <w:rFonts w:ascii="Arial"/>
          <w:color w:val="000000"/>
          <w:sz w:val="22"/>
        </w:rPr>
        <w:t xml:space="preserve"> (1964) 110 CLR 529 at 534, 535 and </w:t>
      </w:r>
      <w:r>
        <w:rPr>
          <w:rFonts w:ascii="Arial"/>
          <w:i/>
          <w:color w:val="000000"/>
          <w:sz w:val="22"/>
        </w:rPr>
        <w:t>Warringah Shire Council v Raffles</w:t>
      </w:r>
      <w:r>
        <w:rPr>
          <w:rFonts w:ascii="Arial"/>
          <w:color w:val="000000"/>
          <w:sz w:val="22"/>
        </w:rPr>
        <w:t xml:space="preserve"> (1978) 38 LGRA 306 at 308.</w:t>
      </w:r>
      <w:r>
        <w:rPr>
          <w:rFonts w:ascii="Arial"/>
          <w:color w:val="000000"/>
          <w:sz w:val="22"/>
        </w:rPr>
        <w:t>”</w:t>
      </w:r>
    </w:p>
    <w:p>
      <w:pPr>
        <w:pStyle w:val="CaselawNumbered10"/>
        <w:numPr>
          <w:ilvl w:val="0"/>
          <w:numId w:val="75"/>
        </w:numPr>
        <w:spacing w:before="150" w:after="0"/>
        <w:ind w:left="600" w:hanging="600"/>
      </w:pPr>
      <w:r>
        <w:rPr>
          <w:rFonts w:ascii="Arial"/>
          <w:color w:val="000000"/>
          <w:sz w:val="24"/>
        </w:rPr>
        <w:t xml:space="preserve">It is also </w:t>
      </w:r>
      <w:r>
        <w:rPr>
          <w:rFonts w:ascii="Arial"/>
          <w:color w:val="000000"/>
          <w:sz w:val="24"/>
        </w:rPr>
        <w:t xml:space="preserve">accepted that </w:t>
      </w:r>
      <w:r>
        <w:rPr>
          <w:rFonts w:ascii="Arial"/>
          <w:color w:val="000000"/>
          <w:sz w:val="24"/>
        </w:rPr>
        <w:t xml:space="preserve">the </w:t>
      </w:r>
      <w:r>
        <w:rPr>
          <w:rFonts w:ascii="Arial"/>
          <w:color w:val="000000"/>
          <w:sz w:val="24"/>
        </w:rPr>
        <w:t>use of land can have multiple purposes</w:t>
      </w:r>
      <w:r>
        <w:rPr>
          <w:rFonts w:ascii="Arial"/>
          <w:color w:val="000000"/>
          <w:sz w:val="24"/>
        </w:rPr>
        <w:t xml:space="preserve">. Therefore, </w:t>
      </w:r>
      <w:r>
        <w:rPr>
          <w:rFonts w:ascii="Arial"/>
          <w:color w:val="000000"/>
          <w:sz w:val="24"/>
        </w:rPr>
        <w:t xml:space="preserve">when </w:t>
      </w:r>
      <w:r>
        <w:rPr>
          <w:rFonts w:ascii="Arial"/>
          <w:color w:val="000000"/>
          <w:sz w:val="24"/>
        </w:rPr>
        <w:t>characteris</w:t>
      </w:r>
      <w:r>
        <w:rPr>
          <w:rFonts w:ascii="Arial"/>
          <w:color w:val="000000"/>
          <w:sz w:val="24"/>
        </w:rPr>
        <w:t>ing use</w:t>
      </w:r>
      <w:r>
        <w:rPr>
          <w:rFonts w:ascii="Arial"/>
          <w:color w:val="000000"/>
          <w:sz w:val="24"/>
        </w:rPr>
        <w:t xml:space="preserve"> </w:t>
      </w:r>
      <w:r>
        <w:rPr>
          <w:rFonts w:ascii="Arial"/>
          <w:color w:val="000000"/>
          <w:sz w:val="24"/>
        </w:rPr>
        <w:t>there needs to be some consideration</w:t>
      </w:r>
      <w:r>
        <w:rPr>
          <w:rFonts w:ascii="Arial"/>
          <w:color w:val="000000"/>
          <w:sz w:val="24"/>
        </w:rPr>
        <w:t xml:space="preserve"> </w:t>
      </w:r>
      <w:r>
        <w:rPr>
          <w:rFonts w:ascii="Arial"/>
          <w:color w:val="000000"/>
          <w:sz w:val="24"/>
        </w:rPr>
        <w:t>as</w:t>
      </w:r>
      <w:r>
        <w:rPr>
          <w:rFonts w:ascii="Arial"/>
          <w:color w:val="000000"/>
          <w:sz w:val="24"/>
        </w:rPr>
        <w:t xml:space="preserve"> </w:t>
      </w:r>
      <w:r>
        <w:rPr>
          <w:rFonts w:ascii="Arial"/>
          <w:color w:val="000000"/>
          <w:sz w:val="24"/>
        </w:rPr>
        <w:t xml:space="preserve">to whether a particular purpose is subordinate or ancillary to another purpose: </w:t>
      </w:r>
      <w:r>
        <w:rPr>
          <w:rFonts w:ascii="Arial"/>
          <w:i/>
          <w:color w:val="000000"/>
          <w:sz w:val="24"/>
        </w:rPr>
        <w:t>Foodbarn Pty Ltd v Solicitor-General</w:t>
      </w:r>
      <w:r>
        <w:rPr>
          <w:rFonts w:ascii="Arial"/>
          <w:color w:val="000000"/>
          <w:sz w:val="24"/>
        </w:rPr>
        <w:t xml:space="preserve"> </w:t>
      </w:r>
      <w:r>
        <w:rPr>
          <w:rFonts w:ascii="Arial"/>
          <w:color w:val="000000"/>
          <w:sz w:val="24"/>
        </w:rPr>
        <w:t>(1975)</w:t>
      </w:r>
      <w:r>
        <w:rPr>
          <w:rFonts w:ascii="Arial"/>
          <w:color w:val="000000"/>
          <w:sz w:val="24"/>
        </w:rPr>
        <w:t xml:space="preserve"> </w:t>
      </w:r>
      <w:r>
        <w:rPr>
          <w:rFonts w:ascii="Arial"/>
          <w:color w:val="000000"/>
          <w:sz w:val="24"/>
        </w:rPr>
        <w:t>32 LGRA 157</w:t>
      </w:r>
      <w:r>
        <w:rPr>
          <w:rFonts w:ascii="Arial"/>
          <w:color w:val="000000"/>
          <w:sz w:val="24"/>
        </w:rPr>
        <w:t xml:space="preserve"> </w:t>
      </w:r>
      <w:r>
        <w:rPr>
          <w:rFonts w:ascii="Arial"/>
          <w:color w:val="000000"/>
          <w:sz w:val="24"/>
        </w:rPr>
        <w:t>(</w:t>
      </w:r>
      <w:r>
        <w:rPr>
          <w:rFonts w:ascii="Arial"/>
          <w:i/>
          <w:color w:val="000000"/>
          <w:sz w:val="24"/>
        </w:rPr>
        <w:t>Foodbarn</w:t>
      </w:r>
      <w:r>
        <w:rPr>
          <w:rFonts w:ascii="Arial"/>
          <w:color w:val="000000"/>
          <w:sz w:val="24"/>
        </w:rPr>
        <w:t>)</w:t>
      </w:r>
      <w:r>
        <w:rPr>
          <w:rFonts w:ascii="Arial"/>
          <w:color w:val="000000"/>
          <w:sz w:val="24"/>
        </w:rPr>
        <w:t xml:space="preserve">. </w:t>
      </w:r>
      <w:r>
        <w:rPr>
          <w:rFonts w:ascii="Arial"/>
          <w:color w:val="000000"/>
          <w:sz w:val="24"/>
        </w:rPr>
        <w:t xml:space="preserve">Mindful, </w:t>
      </w:r>
      <w:r>
        <w:rPr>
          <w:rFonts w:ascii="Arial"/>
          <w:color w:val="000000"/>
          <w:sz w:val="24"/>
        </w:rPr>
        <w:t xml:space="preserve">that </w:t>
      </w:r>
      <w:r>
        <w:rPr>
          <w:rFonts w:ascii="Arial"/>
          <w:color w:val="000000"/>
          <w:sz w:val="24"/>
        </w:rPr>
        <w:t xml:space="preserve">a use which is ancillary to another use may still be an independent use: </w:t>
      </w:r>
      <w:r>
        <w:rPr>
          <w:rFonts w:ascii="Arial"/>
          <w:i/>
          <w:color w:val="000000"/>
          <w:sz w:val="24"/>
        </w:rPr>
        <w:t>O</w:t>
      </w:r>
      <w:r>
        <w:rPr>
          <w:rFonts w:ascii="Arial"/>
          <w:i/>
          <w:color w:val="000000"/>
          <w:sz w:val="24"/>
        </w:rPr>
        <w:t>’</w:t>
      </w:r>
      <w:r>
        <w:rPr>
          <w:rFonts w:ascii="Arial"/>
          <w:i/>
          <w:color w:val="000000"/>
          <w:sz w:val="24"/>
        </w:rPr>
        <w:t>Donnell</w:t>
      </w:r>
      <w:r>
        <w:rPr>
          <w:rFonts w:ascii="Arial"/>
          <w:color w:val="000000"/>
          <w:sz w:val="24"/>
        </w:rPr>
        <w:t xml:space="preserve">. </w:t>
      </w:r>
    </w:p>
    <w:p>
      <w:pPr>
        <w:pStyle w:val="CaselawNumbered10"/>
        <w:numPr>
          <w:ilvl w:val="0"/>
          <w:numId w:val="75"/>
        </w:numPr>
        <w:spacing w:before="150" w:after="0"/>
        <w:ind w:left="600" w:hanging="600"/>
      </w:pPr>
      <w:r>
        <w:rPr>
          <w:rFonts w:ascii="Arial"/>
          <w:color w:val="000000"/>
          <w:sz w:val="24"/>
        </w:rPr>
        <w:t>To my thinking</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w:t>
      </w:r>
      <w:r>
        <w:rPr>
          <w:rFonts w:ascii="Arial"/>
          <w:color w:val="000000"/>
          <w:sz w:val="24"/>
        </w:rPr>
        <w:t xml:space="preserve">facts </w:t>
      </w:r>
      <w:r>
        <w:rPr>
          <w:rFonts w:ascii="Arial"/>
          <w:color w:val="000000"/>
          <w:sz w:val="24"/>
        </w:rPr>
        <w:t xml:space="preserve">in this case </w:t>
      </w:r>
      <w:r>
        <w:rPr>
          <w:rFonts w:ascii="Arial"/>
          <w:color w:val="000000"/>
          <w:sz w:val="24"/>
        </w:rPr>
        <w:t xml:space="preserve">are not dissimilar </w:t>
      </w:r>
      <w:r>
        <w:rPr>
          <w:rFonts w:ascii="Arial"/>
          <w:color w:val="000000"/>
          <w:sz w:val="24"/>
        </w:rPr>
        <w:t xml:space="preserve">to those </w:t>
      </w:r>
      <w:r>
        <w:rPr>
          <w:rFonts w:ascii="Arial"/>
          <w:color w:val="000000"/>
          <w:sz w:val="24"/>
        </w:rPr>
        <w:t xml:space="preserve">discussed in </w:t>
      </w:r>
      <w:r>
        <w:rPr>
          <w:rFonts w:ascii="Arial"/>
          <w:i/>
          <w:color w:val="000000"/>
          <w:sz w:val="24"/>
        </w:rPr>
        <w:t>Argyropoulos</w:t>
      </w:r>
      <w:r>
        <w:rPr>
          <w:rFonts w:ascii="Arial"/>
          <w:i/>
          <w:color w:val="000000"/>
          <w:sz w:val="24"/>
        </w:rPr>
        <w:t xml:space="preserve">. </w:t>
      </w:r>
      <w:r>
        <w:rPr>
          <w:rFonts w:ascii="Arial"/>
          <w:i/>
          <w:color w:val="000000"/>
          <w:sz w:val="24"/>
        </w:rPr>
        <w:t xml:space="preserve"> </w:t>
      </w:r>
      <w:r>
        <w:rPr>
          <w:rFonts w:ascii="Arial"/>
          <w:color w:val="000000"/>
          <w:sz w:val="24"/>
        </w:rPr>
        <w:t>In that case</w:t>
      </w:r>
      <w:r>
        <w:rPr>
          <w:rFonts w:ascii="Arial"/>
          <w:color w:val="000000"/>
          <w:sz w:val="24"/>
        </w:rPr>
        <w:t>,</w:t>
      </w:r>
      <w:r>
        <w:rPr>
          <w:rFonts w:ascii="Arial"/>
          <w:i/>
          <w:color w:val="000000"/>
          <w:sz w:val="24"/>
        </w:rPr>
        <w:t xml:space="preserve"> </w:t>
      </w:r>
      <w:r>
        <w:rPr>
          <w:rFonts w:ascii="Arial"/>
          <w:color w:val="000000"/>
          <w:sz w:val="24"/>
        </w:rPr>
        <w:t>t</w:t>
      </w:r>
      <w:r>
        <w:rPr>
          <w:rFonts w:ascii="Arial"/>
          <w:color w:val="000000"/>
          <w:sz w:val="24"/>
        </w:rPr>
        <w:t xml:space="preserve">he battle axe </w:t>
      </w:r>
      <w:r>
        <w:rPr>
          <w:rFonts w:ascii="Arial"/>
          <w:color w:val="000000"/>
          <w:sz w:val="24"/>
        </w:rPr>
        <w:t xml:space="preserve">access </w:t>
      </w:r>
      <w:r>
        <w:rPr>
          <w:rFonts w:ascii="Arial"/>
          <w:color w:val="000000"/>
          <w:sz w:val="24"/>
        </w:rPr>
        <w:t xml:space="preserve">handle was zoned residential and </w:t>
      </w:r>
      <w:r>
        <w:rPr>
          <w:rFonts w:ascii="Arial"/>
          <w:color w:val="000000"/>
          <w:sz w:val="24"/>
        </w:rPr>
        <w:t xml:space="preserve">proposed to be </w:t>
      </w:r>
      <w:r>
        <w:rPr>
          <w:rFonts w:ascii="Arial"/>
          <w:color w:val="000000"/>
          <w:sz w:val="24"/>
        </w:rPr>
        <w:t xml:space="preserve">used for the purpose of a road to access an industrial facility on </w:t>
      </w:r>
      <w:r>
        <w:rPr>
          <w:rFonts w:ascii="Arial"/>
          <w:color w:val="000000"/>
          <w:sz w:val="24"/>
        </w:rPr>
        <w:t xml:space="preserve">an </w:t>
      </w:r>
      <w:r>
        <w:rPr>
          <w:rFonts w:ascii="Arial"/>
          <w:color w:val="000000"/>
          <w:sz w:val="24"/>
        </w:rPr>
        <w:t>adjacent</w:t>
      </w:r>
      <w:r>
        <w:rPr>
          <w:rFonts w:ascii="Arial"/>
          <w:color w:val="000000"/>
          <w:sz w:val="24"/>
        </w:rPr>
        <w:t xml:space="preserve"> </w:t>
      </w:r>
      <w:r>
        <w:rPr>
          <w:rFonts w:ascii="Arial"/>
          <w:color w:val="000000"/>
          <w:sz w:val="24"/>
        </w:rPr>
        <w:t xml:space="preserve">separate </w:t>
      </w:r>
      <w:r>
        <w:rPr>
          <w:rFonts w:ascii="Arial"/>
          <w:color w:val="000000"/>
          <w:sz w:val="24"/>
        </w:rPr>
        <w:t xml:space="preserve">industrial </w:t>
      </w:r>
      <w:r>
        <w:rPr>
          <w:rFonts w:ascii="Arial"/>
          <w:color w:val="000000"/>
          <w:sz w:val="24"/>
        </w:rPr>
        <w:t>zoned</w:t>
      </w:r>
      <w:r>
        <w:rPr>
          <w:rFonts w:ascii="Arial"/>
          <w:color w:val="000000"/>
          <w:sz w:val="24"/>
        </w:rPr>
        <w:t xml:space="preserve"> </w:t>
      </w:r>
      <w:r>
        <w:rPr>
          <w:rFonts w:ascii="Arial"/>
          <w:color w:val="000000"/>
          <w:sz w:val="24"/>
        </w:rPr>
        <w:t>lot</w:t>
      </w:r>
      <w:r>
        <w:rPr>
          <w:rFonts w:ascii="Arial"/>
          <w:color w:val="000000"/>
          <w:sz w:val="24"/>
        </w:rPr>
        <w:t>.</w:t>
      </w:r>
      <w:r>
        <w:rPr>
          <w:rFonts w:ascii="Arial"/>
          <w:i/>
          <w:color w:val="000000"/>
          <w:sz w:val="24"/>
        </w:rPr>
        <w:t xml:space="preserve"> </w:t>
      </w:r>
      <w:r>
        <w:rPr>
          <w:rFonts w:ascii="Arial"/>
          <w:color w:val="000000"/>
          <w:sz w:val="24"/>
        </w:rPr>
        <w:t>“</w:t>
      </w:r>
      <w:r>
        <w:rPr>
          <w:rFonts w:ascii="Arial"/>
          <w:color w:val="000000"/>
          <w:sz w:val="24"/>
        </w:rPr>
        <w:t>Roads</w:t>
      </w:r>
      <w:r>
        <w:rPr>
          <w:rFonts w:ascii="Arial"/>
          <w:color w:val="000000"/>
          <w:sz w:val="24"/>
        </w:rPr>
        <w:t xml:space="preserve">” </w:t>
      </w:r>
      <w:r>
        <w:rPr>
          <w:rFonts w:ascii="Arial"/>
          <w:color w:val="000000"/>
          <w:sz w:val="24"/>
        </w:rPr>
        <w:t>were a nominated permissible use on the residential land</w:t>
      </w:r>
      <w:r>
        <w:rPr>
          <w:rFonts w:ascii="Arial"/>
          <w:color w:val="000000"/>
          <w:sz w:val="24"/>
        </w:rPr>
        <w:t>,</w:t>
      </w:r>
      <w:r>
        <w:rPr>
          <w:rFonts w:ascii="Arial"/>
          <w:color w:val="000000"/>
          <w:sz w:val="24"/>
        </w:rPr>
        <w:t xml:space="preserve"> </w:t>
      </w:r>
      <w:r>
        <w:rPr>
          <w:rFonts w:ascii="Arial"/>
          <w:color w:val="000000"/>
          <w:sz w:val="24"/>
        </w:rPr>
        <w:t xml:space="preserve">however, </w:t>
      </w:r>
      <w:r>
        <w:rPr>
          <w:rFonts w:ascii="Arial"/>
          <w:color w:val="000000"/>
          <w:sz w:val="24"/>
        </w:rPr>
        <w:t xml:space="preserve">the </w:t>
      </w:r>
      <w:r>
        <w:rPr>
          <w:rFonts w:ascii="Arial"/>
          <w:color w:val="000000"/>
          <w:sz w:val="24"/>
        </w:rPr>
        <w:t>industrial use was an innominate prohibited use</w:t>
      </w:r>
      <w:r>
        <w:rPr>
          <w:rFonts w:ascii="Arial"/>
          <w:color w:val="000000"/>
          <w:sz w:val="24"/>
        </w:rPr>
        <w:t xml:space="preserve"> </w:t>
      </w:r>
      <w:r>
        <w:rPr>
          <w:rFonts w:ascii="Arial"/>
          <w:color w:val="000000"/>
          <w:sz w:val="24"/>
        </w:rPr>
        <w:t>within th</w:t>
      </w:r>
      <w:r>
        <w:rPr>
          <w:rFonts w:ascii="Arial"/>
          <w:color w:val="000000"/>
          <w:sz w:val="24"/>
        </w:rPr>
        <w:t>at zone</w:t>
      </w:r>
      <w:r>
        <w:rPr>
          <w:rFonts w:ascii="Arial"/>
          <w:color w:val="000000"/>
          <w:sz w:val="24"/>
        </w:rPr>
        <w:t xml:space="preserve">. </w:t>
      </w:r>
      <w:r>
        <w:rPr>
          <w:rFonts w:ascii="Arial"/>
          <w:color w:val="000000"/>
          <w:sz w:val="24"/>
        </w:rPr>
        <w:t xml:space="preserve">The </w:t>
      </w:r>
      <w:r>
        <w:rPr>
          <w:rFonts w:ascii="Arial"/>
          <w:color w:val="000000"/>
          <w:sz w:val="24"/>
        </w:rPr>
        <w:t xml:space="preserve">planning scheme in </w:t>
      </w:r>
      <w:r>
        <w:rPr>
          <w:rFonts w:ascii="Arial"/>
          <w:i/>
          <w:color w:val="000000"/>
          <w:sz w:val="24"/>
        </w:rPr>
        <w:t>Argyropoulos</w:t>
      </w:r>
      <w:r>
        <w:rPr>
          <w:rFonts w:ascii="Arial"/>
          <w:color w:val="000000"/>
          <w:sz w:val="24"/>
        </w:rPr>
        <w:t xml:space="preserve"> </w:t>
      </w:r>
      <w:r>
        <w:rPr>
          <w:rFonts w:ascii="Arial"/>
          <w:color w:val="000000"/>
          <w:sz w:val="24"/>
        </w:rPr>
        <w:t xml:space="preserve">contemplated a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 xml:space="preserve">use as a separate permissible use </w:t>
      </w:r>
      <w:r>
        <w:rPr>
          <w:rFonts w:ascii="Arial"/>
          <w:color w:val="000000"/>
          <w:sz w:val="24"/>
        </w:rPr>
        <w:t>in the residential zone</w:t>
      </w:r>
      <w:r>
        <w:rPr>
          <w:rFonts w:ascii="Arial"/>
          <w:color w:val="000000"/>
          <w:sz w:val="24"/>
        </w:rPr>
        <w:t xml:space="preserve"> </w:t>
      </w:r>
      <w:r>
        <w:rPr>
          <w:rFonts w:ascii="Arial"/>
          <w:color w:val="000000"/>
          <w:sz w:val="24"/>
        </w:rPr>
        <w:t>like the case at hand</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 </w:t>
      </w:r>
      <w:r>
        <w:rPr>
          <w:rFonts w:ascii="Arial"/>
          <w:color w:val="000000"/>
          <w:sz w:val="24"/>
        </w:rPr>
        <w:t>Court held</w:t>
      </w:r>
      <w:r>
        <w:rPr>
          <w:rFonts w:ascii="Arial"/>
          <w:color w:val="000000"/>
          <w:sz w:val="24"/>
        </w:rPr>
        <w:t>,</w:t>
      </w:r>
      <w:r>
        <w:rPr>
          <w:rFonts w:ascii="Arial"/>
          <w:color w:val="000000"/>
          <w:sz w:val="24"/>
        </w:rPr>
        <w:t xml:space="preserve"> </w:t>
      </w:r>
      <w:r>
        <w:rPr>
          <w:rFonts w:ascii="Arial"/>
          <w:color w:val="000000"/>
          <w:sz w:val="24"/>
        </w:rPr>
        <w:t xml:space="preserve">for the purpose of characterisation of the proposed </w:t>
      </w:r>
      <w:r>
        <w:rPr>
          <w:rFonts w:ascii="Arial"/>
          <w:color w:val="000000"/>
          <w:sz w:val="24"/>
        </w:rPr>
        <w:t>development</w:t>
      </w:r>
      <w:r>
        <w:rPr>
          <w:rFonts w:ascii="Arial"/>
          <w:color w:val="000000"/>
          <w:sz w:val="24"/>
        </w:rPr>
        <w:t xml:space="preserve"> </w:t>
      </w:r>
      <w:r>
        <w:rPr>
          <w:rFonts w:ascii="Arial"/>
          <w:color w:val="000000"/>
          <w:sz w:val="24"/>
        </w:rPr>
        <w:t xml:space="preserve">on the residential </w:t>
      </w:r>
      <w:r>
        <w:rPr>
          <w:rFonts w:ascii="Arial"/>
          <w:color w:val="000000"/>
          <w:sz w:val="24"/>
        </w:rPr>
        <w:t>land, that</w:t>
      </w:r>
      <w:r>
        <w:rPr>
          <w:rFonts w:ascii="Arial"/>
          <w:color w:val="000000"/>
          <w:sz w:val="24"/>
        </w:rPr>
        <w:t xml:space="preserve"> </w:t>
      </w:r>
      <w:r>
        <w:rPr>
          <w:rFonts w:ascii="Arial"/>
          <w:color w:val="000000"/>
          <w:sz w:val="24"/>
        </w:rPr>
        <w:t xml:space="preserve">the question of the innominate prohibited industrial use did not arise. </w:t>
      </w:r>
      <w:r>
        <w:rPr>
          <w:rFonts w:ascii="Arial"/>
          <w:color w:val="000000"/>
          <w:sz w:val="24"/>
        </w:rPr>
        <w:t xml:space="preserve"> </w:t>
      </w:r>
      <w:r>
        <w:rPr>
          <w:rFonts w:ascii="Arial"/>
          <w:color w:val="000000"/>
          <w:sz w:val="24"/>
        </w:rPr>
        <w:t>I</w:t>
      </w:r>
      <w:r>
        <w:rPr>
          <w:rFonts w:ascii="Arial"/>
          <w:color w:val="000000"/>
          <w:sz w:val="24"/>
        </w:rPr>
        <w:t xml:space="preserve">t reasoned </w:t>
      </w:r>
      <w:r>
        <w:rPr>
          <w:rFonts w:ascii="Arial"/>
          <w:color w:val="000000"/>
          <w:sz w:val="24"/>
        </w:rPr>
        <w:t xml:space="preserve">that: </w:t>
      </w:r>
    </w:p>
    <w:p>
      <w:pPr>
        <w:pStyle w:val="CaselawQuote"/>
        <w:spacing w:before="150" w:after="150"/>
        <w:ind w:left="1350"/>
        <w:jc w:val="left"/>
      </w:pPr>
      <w:r>
        <w:rPr>
          <w:rFonts w:ascii="Arial"/>
          <w:color w:val="000000"/>
          <w:sz w:val="22"/>
        </w:rPr>
        <w:t>“</w:t>
      </w:r>
      <w:r>
        <w:rPr>
          <w:rFonts w:ascii="Arial"/>
          <w:color w:val="000000"/>
          <w:sz w:val="22"/>
        </w:rPr>
        <w:t xml:space="preserve">The function of a road is to permit the passing and repassing of vehicles. The use of the handle for a </w:t>
      </w:r>
      <w:r>
        <w:rPr>
          <w:rFonts w:ascii="Arial"/>
          <w:color w:val="000000"/>
          <w:sz w:val="22"/>
        </w:rPr>
        <w:t>‘road’</w:t>
      </w:r>
      <w:r>
        <w:rPr>
          <w:rFonts w:ascii="Arial"/>
          <w:color w:val="000000"/>
          <w:sz w:val="22"/>
        </w:rPr>
        <w:t xml:space="preserve"> which is a nominate, permissive use under the relevant residential zoning does not become an innominate prohibited use because the start and/or destination of vehicles passing over the </w:t>
      </w:r>
      <w:r>
        <w:rPr>
          <w:rFonts w:ascii="Arial"/>
          <w:color w:val="000000"/>
          <w:sz w:val="22"/>
        </w:rPr>
        <w:t>road is light industrial lan</w:t>
      </w:r>
      <w:r>
        <w:rPr>
          <w:rFonts w:ascii="Arial"/>
          <w:color w:val="000000"/>
          <w:sz w:val="22"/>
        </w:rPr>
        <w:t xml:space="preserve">d”. </w:t>
      </w:r>
    </w:p>
    <w:p>
      <w:pPr>
        <w:pStyle w:val="CaselawNumbered10"/>
        <w:numPr>
          <w:ilvl w:val="0"/>
          <w:numId w:val="76"/>
        </w:numPr>
        <w:spacing w:before="150" w:after="0"/>
        <w:ind w:left="600" w:hanging="600"/>
      </w:pPr>
      <w:r>
        <w:rPr>
          <w:rFonts w:ascii="Arial"/>
          <w:color w:val="000000"/>
          <w:sz w:val="24"/>
        </w:rPr>
        <w:t xml:space="preserve">The same can be said in the present case. The </w:t>
      </w:r>
      <w:r>
        <w:rPr>
          <w:rFonts w:ascii="Arial"/>
          <w:color w:val="000000"/>
          <w:sz w:val="24"/>
        </w:rPr>
        <w:t xml:space="preserve">use of the </w:t>
      </w:r>
      <w:r>
        <w:rPr>
          <w:rFonts w:ascii="Arial"/>
          <w:color w:val="000000"/>
          <w:sz w:val="24"/>
        </w:rPr>
        <w:t>road,</w:t>
      </w:r>
      <w:r>
        <w:rPr>
          <w:rFonts w:ascii="Arial"/>
          <w:color w:val="000000"/>
          <w:sz w:val="24"/>
        </w:rPr>
        <w:t xml:space="preserve"> </w:t>
      </w:r>
      <w:r>
        <w:rPr>
          <w:rFonts w:ascii="Arial"/>
          <w:color w:val="000000"/>
          <w:sz w:val="24"/>
        </w:rPr>
        <w:t xml:space="preserve">which is a nominate, permissive use under the R2 zone </w:t>
      </w:r>
      <w:r>
        <w:rPr>
          <w:rFonts w:ascii="Arial"/>
          <w:color w:val="000000"/>
          <w:sz w:val="24"/>
        </w:rPr>
        <w:t xml:space="preserve">does </w:t>
      </w:r>
      <w:r>
        <w:rPr>
          <w:rFonts w:ascii="Arial"/>
          <w:color w:val="000000"/>
          <w:sz w:val="24"/>
        </w:rPr>
        <w:t xml:space="preserve">not </w:t>
      </w:r>
      <w:r>
        <w:rPr>
          <w:rFonts w:ascii="Arial"/>
          <w:color w:val="000000"/>
          <w:sz w:val="24"/>
        </w:rPr>
        <w:t>become an</w:t>
      </w:r>
      <w:r>
        <w:rPr>
          <w:rFonts w:ascii="Arial"/>
          <w:color w:val="000000"/>
          <w:sz w:val="24"/>
        </w:rPr>
        <w:t xml:space="preserve"> </w:t>
      </w:r>
      <w:r>
        <w:rPr>
          <w:rFonts w:ascii="Arial"/>
          <w:color w:val="000000"/>
          <w:sz w:val="24"/>
        </w:rPr>
        <w:t>in</w:t>
      </w:r>
      <w:r>
        <w:rPr>
          <w:rFonts w:ascii="Arial"/>
          <w:color w:val="000000"/>
          <w:sz w:val="24"/>
        </w:rPr>
        <w:t xml:space="preserve">nominate </w:t>
      </w:r>
      <w:r>
        <w:rPr>
          <w:rFonts w:ascii="Arial"/>
          <w:color w:val="000000"/>
          <w:sz w:val="24"/>
        </w:rPr>
        <w:t xml:space="preserve">prohibited </w:t>
      </w:r>
      <w:r>
        <w:rPr>
          <w:rFonts w:ascii="Arial"/>
          <w:color w:val="000000"/>
          <w:sz w:val="24"/>
        </w:rPr>
        <w:t>use</w:t>
      </w:r>
      <w:r>
        <w:rPr>
          <w:rFonts w:ascii="Arial"/>
          <w:color w:val="000000"/>
          <w:sz w:val="24"/>
        </w:rPr>
        <w:t xml:space="preserve"> </w:t>
      </w:r>
      <w:r>
        <w:rPr>
          <w:rFonts w:ascii="Arial"/>
          <w:color w:val="000000"/>
          <w:sz w:val="24"/>
        </w:rPr>
        <w:t xml:space="preserve">because the start and/or destination of vehicles passing over the road </w:t>
      </w:r>
      <w:r>
        <w:rPr>
          <w:rFonts w:ascii="Arial"/>
          <w:color w:val="000000"/>
          <w:sz w:val="24"/>
        </w:rPr>
        <w:t xml:space="preserve">is </w:t>
      </w:r>
      <w:r>
        <w:rPr>
          <w:rFonts w:ascii="Arial"/>
          <w:color w:val="000000"/>
          <w:sz w:val="24"/>
        </w:rPr>
        <w:t xml:space="preserve">to a residential flat building located on a separate </w:t>
      </w:r>
      <w:r>
        <w:rPr>
          <w:rFonts w:ascii="Arial"/>
          <w:color w:val="000000"/>
          <w:sz w:val="24"/>
        </w:rPr>
        <w:t xml:space="preserve">B2 zoned </w:t>
      </w:r>
      <w:r>
        <w:rPr>
          <w:rFonts w:ascii="Arial"/>
          <w:color w:val="000000"/>
          <w:sz w:val="24"/>
        </w:rPr>
        <w:t>l</w:t>
      </w:r>
      <w:r>
        <w:rPr>
          <w:rFonts w:ascii="Arial"/>
          <w:color w:val="000000"/>
          <w:sz w:val="24"/>
        </w:rPr>
        <w:t>ot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co-mingled</w:t>
      </w:r>
      <w:r>
        <w:rPr>
          <w:rFonts w:ascii="Arial"/>
          <w:color w:val="000000"/>
          <w:sz w:val="24"/>
        </w:rPr>
        <w:t xml:space="preserve">” </w:t>
      </w:r>
      <w:r>
        <w:rPr>
          <w:rFonts w:ascii="Arial"/>
          <w:color w:val="000000"/>
          <w:sz w:val="24"/>
        </w:rPr>
        <w:t>in the</w:t>
      </w:r>
      <w:r>
        <w:rPr>
          <w:rFonts w:ascii="Arial"/>
          <w:i/>
          <w:color w:val="000000"/>
          <w:sz w:val="24"/>
        </w:rPr>
        <w:t xml:space="preserve"> Chamwell</w:t>
      </w:r>
      <w:r>
        <w:rPr>
          <w:rFonts w:ascii="Arial"/>
          <w:color w:val="000000"/>
          <w:sz w:val="24"/>
        </w:rPr>
        <w:t xml:space="preserve"> </w:t>
      </w:r>
      <w:r>
        <w:rPr>
          <w:rFonts w:ascii="Arial"/>
          <w:color w:val="000000"/>
          <w:sz w:val="24"/>
        </w:rPr>
        <w:t>sense.</w:t>
      </w:r>
      <w:r>
        <w:rPr>
          <w:rFonts w:ascii="Arial"/>
          <w:color w:val="000000"/>
          <w:sz w:val="24"/>
        </w:rPr>
        <w:t xml:space="preserve"> </w:t>
      </w:r>
      <w:r>
        <w:rPr>
          <w:rFonts w:ascii="Arial"/>
          <w:color w:val="000000"/>
          <w:sz w:val="24"/>
        </w:rPr>
        <w:t xml:space="preserve"> </w:t>
      </w:r>
    </w:p>
    <w:p>
      <w:pPr>
        <w:pStyle w:val="CaselawNumbered10"/>
        <w:numPr>
          <w:ilvl w:val="0"/>
          <w:numId w:val="76"/>
        </w:numPr>
        <w:spacing w:before="150" w:after="0"/>
        <w:ind w:left="600" w:hanging="600"/>
      </w:pPr>
      <w:r>
        <w:rPr>
          <w:rFonts w:ascii="Arial"/>
          <w:color w:val="000000"/>
          <w:sz w:val="24"/>
        </w:rPr>
        <w:t xml:space="preserve">In the present case, </w:t>
      </w:r>
      <w:r>
        <w:rPr>
          <w:rFonts w:ascii="Arial"/>
          <w:color w:val="000000"/>
          <w:sz w:val="24"/>
        </w:rPr>
        <w:t xml:space="preserve">I find that </w:t>
      </w:r>
      <w:r>
        <w:rPr>
          <w:rFonts w:ascii="Arial"/>
          <w:color w:val="000000"/>
          <w:sz w:val="24"/>
        </w:rPr>
        <w:t xml:space="preserve">the facts are </w:t>
      </w:r>
      <w:r>
        <w:rPr>
          <w:rFonts w:ascii="Arial"/>
          <w:color w:val="000000"/>
          <w:sz w:val="24"/>
        </w:rPr>
        <w:t xml:space="preserve">akin to </w:t>
      </w:r>
      <w:r>
        <w:rPr>
          <w:rFonts w:ascii="Arial"/>
          <w:color w:val="000000"/>
          <w:sz w:val="24"/>
        </w:rPr>
        <w:t xml:space="preserve">those in the case of </w:t>
      </w:r>
      <w:r>
        <w:rPr>
          <w:rFonts w:ascii="Arial"/>
          <w:i/>
          <w:color w:val="000000"/>
          <w:sz w:val="24"/>
        </w:rPr>
        <w:t>Argyropoulos</w:t>
      </w:r>
      <w:r>
        <w:rPr>
          <w:rFonts w:ascii="Arial"/>
          <w:color w:val="000000"/>
          <w:sz w:val="24"/>
        </w:rPr>
        <w:t xml:space="preserve">. </w:t>
      </w:r>
      <w:r>
        <w:rPr>
          <w:rFonts w:ascii="Arial"/>
          <w:color w:val="000000"/>
          <w:sz w:val="24"/>
        </w:rPr>
        <w:t xml:space="preserve"> </w:t>
      </w:r>
      <w:r>
        <w:rPr>
          <w:rFonts w:ascii="Arial"/>
          <w:color w:val="000000"/>
          <w:sz w:val="24"/>
        </w:rPr>
        <w:t>T</w:t>
      </w:r>
      <w:r>
        <w:rPr>
          <w:rFonts w:ascii="Arial"/>
          <w:color w:val="000000"/>
          <w:sz w:val="24"/>
        </w:rPr>
        <w:t xml:space="preserve">he driveway </w:t>
      </w:r>
      <w:r>
        <w:rPr>
          <w:rFonts w:ascii="Arial"/>
          <w:color w:val="000000"/>
          <w:sz w:val="24"/>
        </w:rPr>
        <w:t xml:space="preserve">is </w:t>
      </w:r>
      <w:r>
        <w:rPr>
          <w:rFonts w:ascii="Arial"/>
          <w:color w:val="000000"/>
          <w:sz w:val="24"/>
        </w:rPr>
        <w:t>a single</w:t>
      </w:r>
      <w:r>
        <w:rPr>
          <w:rFonts w:ascii="Arial"/>
          <w:color w:val="000000"/>
          <w:sz w:val="24"/>
        </w:rPr>
        <w:t xml:space="preserve"> </w:t>
      </w:r>
      <w:r>
        <w:rPr>
          <w:rFonts w:ascii="Arial"/>
          <w:color w:val="000000"/>
          <w:sz w:val="24"/>
        </w:rPr>
        <w:t xml:space="preserve">feature and its only purpose is to serve the abutting land </w:t>
      </w:r>
      <w:r>
        <w:rPr>
          <w:rFonts w:ascii="Arial"/>
          <w:color w:val="000000"/>
          <w:sz w:val="24"/>
        </w:rPr>
        <w:t xml:space="preserve">(at </w:t>
      </w:r>
      <w:r>
        <w:rPr>
          <w:rFonts w:ascii="Arial"/>
          <w:color w:val="000000"/>
          <w:sz w:val="24"/>
        </w:rPr>
        <w:t>[51]</w:t>
      </w:r>
      <w:r>
        <w:rPr>
          <w:rFonts w:ascii="Arial"/>
          <w:color w:val="000000"/>
          <w:sz w:val="24"/>
        </w:rPr>
        <w:t>)</w:t>
      </w:r>
      <w:r>
        <w:rPr>
          <w:rFonts w:ascii="Arial"/>
          <w:color w:val="000000"/>
          <w:sz w:val="24"/>
        </w:rPr>
        <w:t xml:space="preserve">. The proposition that the use of a road is separate and not ancillary to its end use is reinforced by the fact that the land on which the driveway is to be constructed is legally separate from the B2 zone lot and is a road within the meaning of the </w:t>
      </w:r>
      <w:r>
        <w:rPr>
          <w:rFonts w:ascii="Arial"/>
          <w:i/>
          <w:color w:val="000000"/>
          <w:sz w:val="24"/>
        </w:rPr>
        <w:t>Roads Act</w:t>
      </w:r>
      <w:r>
        <w:rPr>
          <w:rFonts w:ascii="Arial"/>
          <w:i/>
          <w:color w:val="000000"/>
          <w:sz w:val="24"/>
        </w:rPr>
        <w:t>:</w:t>
      </w:r>
      <w:r>
        <w:rPr>
          <w:rFonts w:ascii="Arial"/>
          <w:color w:val="000000"/>
          <w:sz w:val="24"/>
        </w:rPr>
        <w:t xml:space="preserve"> </w:t>
      </w:r>
      <w:r>
        <w:rPr>
          <w:rFonts w:ascii="Arial"/>
          <w:i/>
          <w:color w:val="000000"/>
          <w:sz w:val="24"/>
        </w:rPr>
        <w:t>Goldberg</w:t>
      </w:r>
      <w:r>
        <w:rPr>
          <w:rFonts w:ascii="Arial"/>
          <w:color w:val="000000"/>
          <w:sz w:val="24"/>
        </w:rPr>
        <w:t>.</w:t>
      </w:r>
    </w:p>
    <w:p>
      <w:pPr>
        <w:pStyle w:val="CaselawNumbered10"/>
        <w:numPr>
          <w:ilvl w:val="0"/>
          <w:numId w:val="76"/>
        </w:numPr>
        <w:spacing w:before="150" w:after="0"/>
        <w:ind w:left="600" w:hanging="600"/>
      </w:pPr>
      <w:r>
        <w:rPr>
          <w:rFonts w:ascii="Arial"/>
          <w:color w:val="000000"/>
          <w:sz w:val="24"/>
        </w:rPr>
        <w:t xml:space="preserve">In </w:t>
      </w:r>
      <w:r>
        <w:rPr>
          <w:rFonts w:ascii="Arial"/>
          <w:i/>
          <w:color w:val="000000"/>
          <w:sz w:val="24"/>
        </w:rPr>
        <w:t>Chamwell</w:t>
      </w:r>
      <w:r>
        <w:rPr>
          <w:rFonts w:ascii="Arial"/>
          <w:color w:val="000000"/>
          <w:sz w:val="24"/>
        </w:rPr>
        <w:t>,</w:t>
      </w:r>
      <w:r>
        <w:rPr>
          <w:rFonts w:ascii="Arial"/>
          <w:color w:val="000000"/>
          <w:sz w:val="24"/>
        </w:rPr>
        <w:t xml:space="preserve"> </w:t>
      </w:r>
      <w:r>
        <w:rPr>
          <w:rFonts w:ascii="Arial"/>
          <w:color w:val="000000"/>
          <w:sz w:val="24"/>
        </w:rPr>
        <w:t xml:space="preserve">the Court </w:t>
      </w:r>
      <w:r>
        <w:rPr>
          <w:rFonts w:ascii="Arial"/>
          <w:color w:val="000000"/>
          <w:sz w:val="24"/>
        </w:rPr>
        <w:t xml:space="preserve">dealt with </w:t>
      </w:r>
      <w:r>
        <w:rPr>
          <w:rFonts w:ascii="Arial"/>
          <w:i/>
          <w:color w:val="000000"/>
          <w:sz w:val="24"/>
        </w:rPr>
        <w:t>Argyrouplous</w:t>
      </w:r>
      <w:r>
        <w:rPr>
          <w:rFonts w:ascii="Arial"/>
          <w:color w:val="000000"/>
          <w:sz w:val="24"/>
        </w:rPr>
        <w:t xml:space="preserve"> </w:t>
      </w:r>
      <w:r>
        <w:rPr>
          <w:rFonts w:ascii="Arial"/>
          <w:color w:val="000000"/>
          <w:sz w:val="24"/>
        </w:rPr>
        <w:t xml:space="preserve">as </w:t>
      </w:r>
      <w:r>
        <w:rPr>
          <w:rFonts w:ascii="Arial"/>
          <w:color w:val="000000"/>
          <w:sz w:val="24"/>
        </w:rPr>
        <w:t xml:space="preserve">being potentially inconsistent by identifying the fact that the use of the road in </w:t>
      </w:r>
      <w:r>
        <w:rPr>
          <w:rFonts w:ascii="Arial"/>
          <w:i/>
          <w:color w:val="000000"/>
          <w:sz w:val="24"/>
        </w:rPr>
        <w:t xml:space="preserve">Chamwell </w:t>
      </w:r>
      <w:r>
        <w:rPr>
          <w:rFonts w:ascii="Arial"/>
          <w:color w:val="000000"/>
          <w:sz w:val="24"/>
        </w:rPr>
        <w:t xml:space="preserve">was essentially blended with the car park and the supermarket itself. As distinct from a separate road </w:t>
      </w:r>
      <w:r>
        <w:rPr>
          <w:rFonts w:ascii="Arial"/>
          <w:color w:val="000000"/>
          <w:sz w:val="24"/>
        </w:rPr>
        <w:t>as is the case at hand</w:t>
      </w:r>
      <w:r>
        <w:rPr>
          <w:rFonts w:ascii="Arial"/>
          <w:color w:val="000000"/>
          <w:sz w:val="24"/>
        </w:rPr>
        <w:t xml:space="preserve">. </w:t>
      </w:r>
      <w:r>
        <w:rPr>
          <w:rFonts w:ascii="Arial"/>
          <w:color w:val="000000"/>
          <w:sz w:val="24"/>
        </w:rPr>
        <w:t>Henroth</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plans show a road on the </w:t>
      </w:r>
      <w:r>
        <w:rPr>
          <w:rFonts w:ascii="Arial"/>
          <w:color w:val="000000"/>
          <w:sz w:val="24"/>
        </w:rPr>
        <w:t>L</w:t>
      </w:r>
      <w:r>
        <w:rPr>
          <w:rFonts w:ascii="Arial"/>
          <w:color w:val="000000"/>
          <w:sz w:val="24"/>
        </w:rPr>
        <w:t xml:space="preserve">ot for 87 Norfolk </w:t>
      </w:r>
      <w:r>
        <w:rPr>
          <w:rFonts w:ascii="Arial"/>
          <w:color w:val="000000"/>
          <w:sz w:val="24"/>
        </w:rPr>
        <w:t xml:space="preserve">Road </w:t>
      </w:r>
      <w:r>
        <w:rPr>
          <w:rFonts w:ascii="Arial"/>
          <w:color w:val="000000"/>
          <w:sz w:val="24"/>
        </w:rPr>
        <w:t xml:space="preserve">land. </w:t>
      </w:r>
      <w:r>
        <w:rPr>
          <w:rFonts w:ascii="Arial"/>
          <w:color w:val="000000"/>
          <w:sz w:val="24"/>
        </w:rPr>
        <w:t>T</w:t>
      </w:r>
      <w:r>
        <w:rPr>
          <w:rFonts w:ascii="Arial"/>
          <w:color w:val="000000"/>
          <w:sz w:val="24"/>
        </w:rPr>
        <w:t xml:space="preserve">he entry </w:t>
      </w:r>
      <w:r>
        <w:rPr>
          <w:rFonts w:ascii="Arial"/>
          <w:color w:val="000000"/>
          <w:sz w:val="24"/>
        </w:rPr>
        <w:t xml:space="preserve">portal </w:t>
      </w:r>
      <w:r>
        <w:rPr>
          <w:rFonts w:ascii="Arial"/>
          <w:color w:val="000000"/>
          <w:sz w:val="24"/>
        </w:rPr>
        <w:t>to the car</w:t>
      </w:r>
      <w:r>
        <w:rPr>
          <w:rFonts w:ascii="Arial"/>
          <w:color w:val="000000"/>
          <w:sz w:val="24"/>
        </w:rPr>
        <w:t xml:space="preserve"> </w:t>
      </w:r>
      <w:r>
        <w:rPr>
          <w:rFonts w:ascii="Arial"/>
          <w:color w:val="000000"/>
          <w:sz w:val="24"/>
        </w:rPr>
        <w:t xml:space="preserve">park </w:t>
      </w:r>
      <w:r>
        <w:rPr>
          <w:rFonts w:ascii="Arial"/>
          <w:color w:val="000000"/>
          <w:sz w:val="24"/>
        </w:rPr>
        <w:t xml:space="preserve">of the residential flat building </w:t>
      </w:r>
      <w:r>
        <w:rPr>
          <w:rFonts w:ascii="Arial"/>
          <w:color w:val="000000"/>
          <w:sz w:val="24"/>
        </w:rPr>
        <w:t xml:space="preserve">is from a </w:t>
      </w:r>
      <w:r>
        <w:rPr>
          <w:rFonts w:ascii="Arial"/>
          <w:color w:val="000000"/>
          <w:sz w:val="24"/>
        </w:rPr>
        <w:t>different private road on the supermarket</w:t>
      </w:r>
      <w:r>
        <w:rPr>
          <w:rFonts w:ascii="Arial"/>
          <w:color w:val="000000"/>
          <w:sz w:val="24"/>
        </w:rPr>
        <w:t xml:space="preserve"> </w:t>
      </w:r>
      <w:r>
        <w:rPr>
          <w:rFonts w:ascii="Arial"/>
          <w:color w:val="000000"/>
          <w:sz w:val="24"/>
        </w:rPr>
        <w:t>Lot.</w:t>
      </w:r>
      <w:r>
        <w:rPr>
          <w:rFonts w:ascii="Arial"/>
          <w:color w:val="000000"/>
          <w:sz w:val="24"/>
        </w:rPr>
        <w:t xml:space="preserve"> </w:t>
      </w:r>
      <w:r>
        <w:rPr>
          <w:rFonts w:ascii="Arial"/>
          <w:color w:val="000000"/>
          <w:sz w:val="24"/>
        </w:rPr>
        <w:t xml:space="preserve">It may well be </w:t>
      </w:r>
      <w:r>
        <w:rPr>
          <w:rFonts w:ascii="Arial"/>
          <w:color w:val="000000"/>
          <w:sz w:val="24"/>
        </w:rPr>
        <w:t xml:space="preserve">argued that </w:t>
      </w:r>
      <w:r>
        <w:rPr>
          <w:rFonts w:ascii="Arial"/>
          <w:color w:val="000000"/>
          <w:sz w:val="24"/>
        </w:rPr>
        <w:t xml:space="preserve">the </w:t>
      </w:r>
      <w:r>
        <w:rPr>
          <w:rFonts w:ascii="Arial"/>
          <w:color w:val="000000"/>
          <w:sz w:val="24"/>
        </w:rPr>
        <w:t>lane</w:t>
      </w:r>
      <w:r>
        <w:rPr>
          <w:rFonts w:ascii="Arial"/>
          <w:color w:val="000000"/>
          <w:sz w:val="24"/>
        </w:rPr>
        <w:t>way sitting</w:t>
      </w:r>
      <w:r>
        <w:rPr>
          <w:rFonts w:ascii="Arial"/>
          <w:color w:val="000000"/>
          <w:sz w:val="24"/>
        </w:rPr>
        <w:t xml:space="preserve"> </w:t>
      </w:r>
      <w:r>
        <w:rPr>
          <w:rFonts w:ascii="Arial"/>
          <w:color w:val="000000"/>
          <w:sz w:val="24"/>
        </w:rPr>
        <w:t xml:space="preserve">on the shopping centre land </w:t>
      </w:r>
      <w:r>
        <w:rPr>
          <w:rFonts w:ascii="Arial"/>
          <w:color w:val="000000"/>
          <w:sz w:val="24"/>
        </w:rPr>
        <w:t xml:space="preserve">is in </w:t>
      </w:r>
      <w:r>
        <w:rPr>
          <w:rFonts w:ascii="Arial"/>
          <w:color w:val="000000"/>
          <w:sz w:val="24"/>
        </w:rPr>
        <w:t xml:space="preserve">the </w:t>
      </w:r>
      <w:r>
        <w:rPr>
          <w:rFonts w:ascii="Arial"/>
          <w:i/>
          <w:color w:val="000000"/>
          <w:sz w:val="24"/>
        </w:rPr>
        <w:t>Chamwell “</w:t>
      </w:r>
      <w:r>
        <w:rPr>
          <w:rFonts w:ascii="Arial"/>
          <w:color w:val="000000"/>
          <w:sz w:val="24"/>
        </w:rPr>
        <w:t>blended sense</w:t>
      </w:r>
      <w:r>
        <w:rPr>
          <w:rFonts w:ascii="Arial"/>
          <w:color w:val="000000"/>
          <w:sz w:val="24"/>
        </w:rPr>
        <w:t>”</w:t>
      </w:r>
      <w:r>
        <w:rPr>
          <w:rFonts w:ascii="Arial"/>
          <w:color w:val="000000"/>
          <w:sz w:val="24"/>
        </w:rPr>
        <w:t xml:space="preserve"> </w:t>
      </w:r>
      <w:r>
        <w:rPr>
          <w:rFonts w:ascii="Arial"/>
          <w:color w:val="000000"/>
          <w:sz w:val="24"/>
        </w:rPr>
        <w:t xml:space="preserve">able to </w:t>
      </w:r>
      <w:r>
        <w:rPr>
          <w:rFonts w:ascii="Arial"/>
          <w:color w:val="000000"/>
          <w:sz w:val="24"/>
        </w:rPr>
        <w:t xml:space="preserve">be characterised as being </w:t>
      </w:r>
      <w:r>
        <w:rPr>
          <w:rFonts w:ascii="Arial"/>
          <w:color w:val="000000"/>
          <w:sz w:val="24"/>
        </w:rPr>
        <w:t>for the purpose of the residential flat building</w:t>
      </w:r>
      <w:r>
        <w:rPr>
          <w:rFonts w:ascii="Arial"/>
          <w:color w:val="000000"/>
          <w:sz w:val="24"/>
        </w:rPr>
        <w:t xml:space="preserve"> </w:t>
      </w:r>
      <w:r>
        <w:rPr>
          <w:rFonts w:ascii="Arial"/>
          <w:color w:val="000000"/>
          <w:sz w:val="24"/>
        </w:rPr>
        <w:t xml:space="preserve">as both </w:t>
      </w:r>
      <w:r>
        <w:rPr>
          <w:rFonts w:ascii="Arial"/>
          <w:color w:val="000000"/>
          <w:sz w:val="24"/>
        </w:rPr>
        <w:t xml:space="preserve">the </w:t>
      </w:r>
      <w:r>
        <w:rPr>
          <w:rFonts w:ascii="Arial"/>
          <w:color w:val="000000"/>
          <w:sz w:val="24"/>
        </w:rPr>
        <w:t>road and residential buildings are permissible on th</w:t>
      </w:r>
      <w:r>
        <w:rPr>
          <w:rFonts w:ascii="Arial"/>
          <w:color w:val="000000"/>
          <w:sz w:val="24"/>
        </w:rPr>
        <w:t>e</w:t>
      </w:r>
      <w:r>
        <w:rPr>
          <w:rFonts w:ascii="Arial"/>
          <w:color w:val="000000"/>
          <w:sz w:val="24"/>
        </w:rPr>
        <w:t xml:space="preserve"> </w:t>
      </w:r>
      <w:r>
        <w:rPr>
          <w:rFonts w:ascii="Arial"/>
          <w:color w:val="000000"/>
          <w:sz w:val="24"/>
        </w:rPr>
        <w:t xml:space="preserve">same </w:t>
      </w:r>
      <w:r>
        <w:rPr>
          <w:rFonts w:ascii="Arial"/>
          <w:color w:val="000000"/>
          <w:sz w:val="24"/>
        </w:rPr>
        <w:t>lot but</w:t>
      </w:r>
      <w:r>
        <w:rPr>
          <w:rFonts w:ascii="Arial"/>
          <w:color w:val="000000"/>
          <w:sz w:val="24"/>
        </w:rPr>
        <w:t xml:space="preserve"> </w:t>
      </w:r>
      <w:r>
        <w:rPr>
          <w:rFonts w:ascii="Arial"/>
          <w:color w:val="000000"/>
          <w:sz w:val="24"/>
        </w:rPr>
        <w:t xml:space="preserve">the same cannot be said for </w:t>
      </w:r>
      <w:r>
        <w:rPr>
          <w:rFonts w:ascii="Arial"/>
          <w:color w:val="000000"/>
          <w:sz w:val="24"/>
        </w:rPr>
        <w:t xml:space="preserve">the road on the </w:t>
      </w:r>
      <w:r>
        <w:rPr>
          <w:rFonts w:ascii="Arial"/>
          <w:color w:val="000000"/>
          <w:sz w:val="24"/>
        </w:rPr>
        <w:t xml:space="preserve">separate </w:t>
      </w:r>
      <w:r>
        <w:rPr>
          <w:rFonts w:ascii="Arial"/>
          <w:color w:val="000000"/>
          <w:sz w:val="24"/>
        </w:rPr>
        <w:t>Norfolk</w:t>
      </w:r>
      <w:r>
        <w:rPr>
          <w:rFonts w:ascii="Arial"/>
          <w:color w:val="000000"/>
          <w:sz w:val="24"/>
        </w:rPr>
        <w:t xml:space="preserve"> </w:t>
      </w:r>
      <w:r>
        <w:rPr>
          <w:rFonts w:ascii="Arial"/>
          <w:color w:val="000000"/>
          <w:sz w:val="24"/>
        </w:rPr>
        <w:t xml:space="preserve">Road </w:t>
      </w:r>
      <w:r>
        <w:rPr>
          <w:rFonts w:ascii="Arial"/>
          <w:color w:val="000000"/>
          <w:sz w:val="24"/>
        </w:rPr>
        <w:t>L</w:t>
      </w:r>
      <w:r>
        <w:rPr>
          <w:rFonts w:ascii="Arial"/>
          <w:color w:val="000000"/>
          <w:sz w:val="24"/>
        </w:rPr>
        <w:t>ot</w:t>
      </w:r>
      <w:r>
        <w:rPr>
          <w:rFonts w:ascii="Arial"/>
          <w:color w:val="000000"/>
          <w:sz w:val="24"/>
        </w:rPr>
        <w:t xml:space="preserve">. </w:t>
      </w:r>
      <w:r>
        <w:rPr>
          <w:rFonts w:ascii="Arial"/>
          <w:color w:val="000000"/>
          <w:sz w:val="24"/>
        </w:rPr>
        <w:t xml:space="preserve">The facts </w:t>
      </w:r>
      <w:r>
        <w:rPr>
          <w:rFonts w:ascii="Arial"/>
          <w:color w:val="000000"/>
          <w:sz w:val="24"/>
        </w:rPr>
        <w:t xml:space="preserve">of each case are </w:t>
      </w:r>
      <w:r>
        <w:rPr>
          <w:rFonts w:ascii="Arial"/>
          <w:color w:val="000000"/>
          <w:sz w:val="24"/>
        </w:rPr>
        <w:t xml:space="preserve">different. </w:t>
      </w:r>
    </w:p>
    <w:p>
      <w:pPr>
        <w:pStyle w:val="CaselawNumbered10"/>
        <w:numPr>
          <w:ilvl w:val="0"/>
          <w:numId w:val="76"/>
        </w:numPr>
        <w:spacing w:before="150" w:after="0"/>
        <w:ind w:left="600" w:hanging="600"/>
      </w:pPr>
      <w:r>
        <w:rPr>
          <w:rFonts w:ascii="Arial"/>
          <w:color w:val="000000"/>
          <w:sz w:val="24"/>
        </w:rPr>
        <w:t xml:space="preserve">The </w:t>
      </w:r>
      <w:r>
        <w:rPr>
          <w:rFonts w:ascii="Arial"/>
          <w:color w:val="000000"/>
          <w:sz w:val="24"/>
        </w:rPr>
        <w:t xml:space="preserve">decision in </w:t>
      </w:r>
      <w:r>
        <w:rPr>
          <w:rFonts w:ascii="Arial"/>
          <w:i/>
          <w:color w:val="000000"/>
          <w:sz w:val="24"/>
        </w:rPr>
        <w:t>Alarmon</w:t>
      </w:r>
      <w:r>
        <w:rPr>
          <w:rFonts w:ascii="Arial"/>
          <w:color w:val="000000"/>
          <w:sz w:val="24"/>
        </w:rPr>
        <w:t xml:space="preserve"> </w:t>
      </w:r>
      <w:r>
        <w:rPr>
          <w:rFonts w:ascii="Arial"/>
          <w:color w:val="000000"/>
          <w:sz w:val="24"/>
        </w:rPr>
        <w:t>can also be distinguished on its facts</w:t>
      </w:r>
      <w:r>
        <w:rPr>
          <w:rFonts w:ascii="Arial"/>
          <w:color w:val="000000"/>
          <w:sz w:val="24"/>
        </w:rPr>
        <w:t xml:space="preserve">. </w:t>
      </w:r>
      <w:r>
        <w:rPr>
          <w:rFonts w:ascii="Arial"/>
          <w:color w:val="000000"/>
          <w:sz w:val="24"/>
        </w:rPr>
        <w:t xml:space="preserve"> </w:t>
      </w:r>
      <w:r>
        <w:rPr>
          <w:rFonts w:ascii="Arial"/>
          <w:color w:val="000000"/>
          <w:sz w:val="24"/>
        </w:rPr>
        <w:t xml:space="preserve">In </w:t>
      </w:r>
      <w:r>
        <w:rPr>
          <w:rFonts w:ascii="Arial"/>
          <w:i/>
          <w:color w:val="000000"/>
          <w:sz w:val="24"/>
        </w:rPr>
        <w:t>Alarmon</w:t>
      </w:r>
      <w:r>
        <w:rPr>
          <w:rFonts w:ascii="Arial"/>
          <w:i/>
          <w:color w:val="000000"/>
          <w:sz w:val="24"/>
        </w:rPr>
        <w:t>,</w:t>
      </w:r>
      <w:r>
        <w:rPr>
          <w:rFonts w:ascii="Arial"/>
          <w:i/>
          <w:color w:val="000000"/>
          <w:sz w:val="24"/>
        </w:rPr>
        <w:t xml:space="preserve"> </w:t>
      </w:r>
      <w:r>
        <w:rPr>
          <w:rFonts w:ascii="Arial"/>
          <w:color w:val="000000"/>
          <w:sz w:val="24"/>
        </w:rPr>
        <w:t xml:space="preserve">the Court was plain in finding that the decision in </w:t>
      </w:r>
      <w:r>
        <w:rPr>
          <w:rFonts w:ascii="Arial"/>
          <w:i/>
          <w:color w:val="000000"/>
          <w:sz w:val="24"/>
        </w:rPr>
        <w:t>Argyropoulos</w:t>
      </w:r>
      <w:r>
        <w:rPr>
          <w:rFonts w:ascii="Arial"/>
          <w:color w:val="000000"/>
          <w:sz w:val="24"/>
        </w:rPr>
        <w:t xml:space="preserve"> </w:t>
      </w:r>
      <w:r>
        <w:rPr>
          <w:rFonts w:ascii="Arial"/>
          <w:color w:val="000000"/>
          <w:sz w:val="24"/>
        </w:rPr>
        <w:t xml:space="preserve">was distinguishable because the </w:t>
      </w:r>
      <w:r>
        <w:rPr>
          <w:rFonts w:ascii="Arial"/>
          <w:color w:val="000000"/>
          <w:sz w:val="24"/>
        </w:rPr>
        <w:t xml:space="preserve">respondent </w:t>
      </w:r>
      <w:r>
        <w:rPr>
          <w:rFonts w:ascii="Arial"/>
          <w:color w:val="000000"/>
          <w:sz w:val="24"/>
        </w:rPr>
        <w:t xml:space="preserve">council car park </w:t>
      </w:r>
      <w:r>
        <w:rPr>
          <w:rFonts w:ascii="Arial"/>
          <w:color w:val="000000"/>
          <w:sz w:val="24"/>
        </w:rPr>
        <w:t xml:space="preserve">in </w:t>
      </w:r>
      <w:r>
        <w:rPr>
          <w:rFonts w:ascii="Arial"/>
          <w:i/>
          <w:color w:val="000000"/>
          <w:sz w:val="24"/>
        </w:rPr>
        <w:t>Alarmon</w:t>
      </w:r>
      <w:r>
        <w:rPr>
          <w:rFonts w:ascii="Arial"/>
          <w:color w:val="000000"/>
          <w:sz w:val="24"/>
        </w:rPr>
        <w:t xml:space="preserve"> </w:t>
      </w:r>
      <w:r>
        <w:rPr>
          <w:rFonts w:ascii="Arial"/>
          <w:color w:val="000000"/>
          <w:sz w:val="24"/>
        </w:rPr>
        <w:t>was not a road and was never constructed as a road within the ordinary meaning of that word: at [165] and [173].</w:t>
      </w:r>
      <w:r>
        <w:rPr>
          <w:rFonts w:ascii="Arial"/>
          <w:color w:val="000000"/>
          <w:sz w:val="24"/>
        </w:rPr>
        <w:t xml:space="preserve"> </w:t>
      </w:r>
      <w:r>
        <w:rPr>
          <w:rFonts w:ascii="Arial"/>
          <w:color w:val="000000"/>
          <w:sz w:val="24"/>
        </w:rPr>
        <w:t xml:space="preserve">The </w:t>
      </w:r>
      <w:r>
        <w:rPr>
          <w:rFonts w:ascii="Arial"/>
          <w:color w:val="000000"/>
          <w:sz w:val="24"/>
        </w:rPr>
        <w:t xml:space="preserve">road on the Norfolk </w:t>
      </w:r>
      <w:r>
        <w:rPr>
          <w:rFonts w:ascii="Arial"/>
          <w:color w:val="000000"/>
          <w:sz w:val="24"/>
        </w:rPr>
        <w:t xml:space="preserve">Road </w:t>
      </w:r>
      <w:r>
        <w:rPr>
          <w:rFonts w:ascii="Arial"/>
          <w:color w:val="000000"/>
          <w:sz w:val="24"/>
        </w:rPr>
        <w:t xml:space="preserve">Lot will have </w:t>
      </w:r>
      <w:r>
        <w:rPr>
          <w:rFonts w:ascii="Arial"/>
          <w:color w:val="000000"/>
          <w:sz w:val="24"/>
        </w:rPr>
        <w:t xml:space="preserve">the features of a private road in the ordinary sense of the </w:t>
      </w:r>
      <w:r>
        <w:rPr>
          <w:rFonts w:ascii="Arial"/>
          <w:color w:val="000000"/>
          <w:sz w:val="24"/>
        </w:rPr>
        <w:t>word.</w:t>
      </w:r>
      <w:r>
        <w:rPr>
          <w:rFonts w:ascii="Arial"/>
          <w:color w:val="000000"/>
          <w:sz w:val="24"/>
        </w:rPr>
        <w:t xml:space="preserve"> </w:t>
      </w:r>
      <w:r>
        <w:rPr>
          <w:rFonts w:ascii="Arial"/>
          <w:color w:val="000000"/>
          <w:sz w:val="24"/>
        </w:rPr>
        <w:t xml:space="preserve">The </w:t>
      </w:r>
      <w:r>
        <w:rPr>
          <w:rFonts w:ascii="Arial"/>
          <w:color w:val="000000"/>
          <w:sz w:val="24"/>
        </w:rPr>
        <w:t xml:space="preserve">street address </w:t>
      </w:r>
      <w:r>
        <w:rPr>
          <w:rFonts w:ascii="Arial"/>
          <w:color w:val="000000"/>
          <w:sz w:val="24"/>
        </w:rPr>
        <w:t xml:space="preserve">of </w:t>
      </w:r>
      <w:r>
        <w:rPr>
          <w:rFonts w:ascii="Arial"/>
          <w:color w:val="000000"/>
          <w:sz w:val="24"/>
        </w:rPr>
        <w:t xml:space="preserve">87 Norfolk </w:t>
      </w:r>
      <w:r>
        <w:rPr>
          <w:rFonts w:ascii="Arial"/>
          <w:color w:val="000000"/>
          <w:sz w:val="24"/>
        </w:rPr>
        <w:t>Road does</w:t>
      </w:r>
      <w:r>
        <w:rPr>
          <w:rFonts w:ascii="Arial"/>
          <w:color w:val="000000"/>
          <w:sz w:val="24"/>
        </w:rPr>
        <w:t xml:space="preserve"> </w:t>
      </w:r>
      <w:r>
        <w:rPr>
          <w:rFonts w:ascii="Arial"/>
          <w:color w:val="000000"/>
          <w:sz w:val="24"/>
        </w:rPr>
        <w:t xml:space="preserve">not </w:t>
      </w:r>
      <w:r>
        <w:rPr>
          <w:rFonts w:ascii="Arial"/>
          <w:color w:val="000000"/>
          <w:sz w:val="24"/>
        </w:rPr>
        <w:t xml:space="preserve">of itself </w:t>
      </w:r>
      <w:r>
        <w:rPr>
          <w:rFonts w:ascii="Arial"/>
          <w:color w:val="000000"/>
          <w:sz w:val="24"/>
        </w:rPr>
        <w:t>preclude</w:t>
      </w:r>
      <w:r>
        <w:rPr>
          <w:rFonts w:ascii="Arial"/>
          <w:color w:val="000000"/>
          <w:sz w:val="24"/>
        </w:rPr>
        <w:t xml:space="preserve"> </w:t>
      </w:r>
      <w:r>
        <w:rPr>
          <w:rFonts w:ascii="Arial"/>
          <w:color w:val="000000"/>
          <w:sz w:val="24"/>
        </w:rPr>
        <w:t>the development</w:t>
      </w:r>
      <w:r>
        <w:rPr>
          <w:rFonts w:ascii="Arial"/>
          <w:color w:val="000000"/>
          <w:sz w:val="24"/>
        </w:rPr>
        <w:t xml:space="preserve"> </w:t>
      </w:r>
      <w:r>
        <w:rPr>
          <w:rFonts w:ascii="Arial"/>
          <w:color w:val="000000"/>
          <w:sz w:val="24"/>
        </w:rPr>
        <w:t xml:space="preserve">being characterised as a private road. As </w:t>
      </w:r>
      <w:r>
        <w:rPr>
          <w:rFonts w:ascii="Arial"/>
          <w:color w:val="000000"/>
          <w:sz w:val="24"/>
        </w:rPr>
        <w:t>Henroth</w:t>
      </w:r>
      <w:r>
        <w:rPr>
          <w:rFonts w:ascii="Arial"/>
          <w:color w:val="000000"/>
          <w:sz w:val="24"/>
        </w:rPr>
        <w:t xml:space="preserve"> </w:t>
      </w:r>
      <w:r>
        <w:rPr>
          <w:rFonts w:ascii="Arial"/>
          <w:color w:val="000000"/>
          <w:sz w:val="24"/>
        </w:rPr>
        <w:t>submits</w:t>
      </w:r>
      <w:r>
        <w:rPr>
          <w:rFonts w:ascii="Arial"/>
          <w:color w:val="000000"/>
          <w:sz w:val="24"/>
        </w:rPr>
        <w:t>,</w:t>
      </w:r>
      <w:r>
        <w:rPr>
          <w:rFonts w:ascii="Arial"/>
          <w:color w:val="000000"/>
          <w:sz w:val="24"/>
        </w:rPr>
        <w:t xml:space="preserve"> </w:t>
      </w:r>
      <w:r>
        <w:rPr>
          <w:rFonts w:ascii="Arial"/>
          <w:color w:val="000000"/>
          <w:sz w:val="24"/>
        </w:rPr>
        <w:t xml:space="preserve">it is </w:t>
      </w:r>
      <w:r>
        <w:rPr>
          <w:rFonts w:ascii="Arial"/>
          <w:color w:val="000000"/>
          <w:sz w:val="24"/>
        </w:rPr>
        <w:t xml:space="preserve">the </w:t>
      </w:r>
      <w:r>
        <w:rPr>
          <w:rFonts w:ascii="Arial"/>
          <w:color w:val="000000"/>
          <w:sz w:val="24"/>
        </w:rPr>
        <w:t>“</w:t>
      </w:r>
      <w:r>
        <w:rPr>
          <w:rFonts w:ascii="Arial"/>
          <w:color w:val="000000"/>
          <w:sz w:val="24"/>
        </w:rPr>
        <w:t xml:space="preserve">independence of </w:t>
      </w:r>
      <w:r>
        <w:rPr>
          <w:rFonts w:ascii="Arial"/>
          <w:color w:val="000000"/>
          <w:sz w:val="24"/>
        </w:rPr>
        <w:t xml:space="preserve">the use for the purpose of </w:t>
      </w:r>
      <w:r>
        <w:rPr>
          <w:rFonts w:ascii="Arial"/>
          <w:color w:val="000000"/>
          <w:sz w:val="24"/>
        </w:rPr>
        <w:t>characterisation</w:t>
      </w:r>
      <w:r>
        <w:rPr>
          <w:rFonts w:ascii="Arial"/>
          <w:color w:val="000000"/>
          <w:sz w:val="24"/>
        </w:rPr>
        <w:t>, not an independence of fact</w:t>
      </w:r>
      <w:r>
        <w:rPr>
          <w:rFonts w:ascii="Arial"/>
          <w:color w:val="000000"/>
          <w:sz w:val="24"/>
        </w:rPr>
        <w:t xml:space="preserve"> </w:t>
      </w:r>
      <w:r>
        <w:rPr>
          <w:rFonts w:ascii="Arial"/>
          <w:color w:val="000000"/>
          <w:sz w:val="24"/>
        </w:rPr>
        <w:t>from any other use</w:t>
      </w:r>
      <w:r>
        <w:rPr>
          <w:rFonts w:ascii="Arial"/>
          <w:color w:val="000000"/>
          <w:sz w:val="24"/>
        </w:rPr>
        <w:t xml:space="preserve">” </w:t>
      </w:r>
      <w:r>
        <w:rPr>
          <w:rFonts w:ascii="Arial"/>
          <w:color w:val="000000"/>
          <w:sz w:val="24"/>
        </w:rPr>
        <w:t xml:space="preserve">such as </w:t>
      </w:r>
      <w:r>
        <w:rPr>
          <w:rFonts w:ascii="Arial"/>
          <w:color w:val="000000"/>
          <w:sz w:val="24"/>
        </w:rPr>
        <w:t>- access the residential flat building</w:t>
      </w:r>
      <w:r>
        <w:rPr>
          <w:rFonts w:ascii="Arial"/>
          <w:color w:val="000000"/>
          <w:sz w:val="24"/>
        </w:rPr>
        <w:t xml:space="preserve">. </w:t>
      </w:r>
    </w:p>
    <w:p>
      <w:pPr>
        <w:pStyle w:val="CaselawNumbered10"/>
        <w:numPr>
          <w:ilvl w:val="0"/>
          <w:numId w:val="76"/>
        </w:numPr>
        <w:spacing w:before="150" w:after="0"/>
        <w:ind w:left="600" w:hanging="600"/>
      </w:pPr>
      <w:r>
        <w:rPr>
          <w:rFonts w:ascii="Arial"/>
          <w:color w:val="000000"/>
          <w:sz w:val="24"/>
        </w:rPr>
        <w:t xml:space="preserve">It is the fact that here </w:t>
      </w:r>
      <w:r>
        <w:rPr>
          <w:rFonts w:ascii="Arial"/>
          <w:color w:val="000000"/>
          <w:sz w:val="24"/>
        </w:rPr>
        <w:t xml:space="preserve">we have a road for the purpose of a </w:t>
      </w:r>
      <w:r>
        <w:rPr>
          <w:rFonts w:ascii="Arial"/>
          <w:color w:val="000000"/>
          <w:sz w:val="24"/>
        </w:rPr>
        <w:t>roa</w:t>
      </w:r>
      <w:r>
        <w:rPr>
          <w:rFonts w:ascii="Arial"/>
          <w:color w:val="000000"/>
          <w:sz w:val="24"/>
        </w:rPr>
        <w:t>d.</w:t>
      </w:r>
      <w:r>
        <w:rPr>
          <w:rFonts w:ascii="Arial"/>
          <w:color w:val="000000"/>
          <w:sz w:val="24"/>
        </w:rPr>
        <w:t xml:space="preserve"> </w:t>
      </w:r>
      <w:r>
        <w:rPr>
          <w:rFonts w:ascii="Arial"/>
          <w:color w:val="000000"/>
          <w:sz w:val="24"/>
        </w:rPr>
        <w:t>It is</w:t>
      </w:r>
      <w:r>
        <w:rPr>
          <w:rFonts w:ascii="Arial"/>
          <w:color w:val="000000"/>
          <w:sz w:val="24"/>
        </w:rPr>
        <w:t xml:space="preserve"> </w:t>
      </w:r>
      <w:r>
        <w:rPr>
          <w:rFonts w:ascii="Arial"/>
          <w:color w:val="000000"/>
          <w:sz w:val="24"/>
        </w:rPr>
        <w:t xml:space="preserve">not deprived of that quality because it might be considered </w:t>
      </w:r>
      <w:r>
        <w:rPr>
          <w:rFonts w:ascii="Arial"/>
          <w:color w:val="000000"/>
          <w:sz w:val="24"/>
        </w:rPr>
        <w:t xml:space="preserve">in some practical way as </w:t>
      </w:r>
      <w:r>
        <w:rPr>
          <w:rFonts w:ascii="Arial"/>
          <w:color w:val="000000"/>
          <w:sz w:val="24"/>
        </w:rPr>
        <w:t>ancillary to the residential</w:t>
      </w:r>
      <w:r>
        <w:rPr>
          <w:rFonts w:ascii="Arial"/>
          <w:color w:val="000000"/>
          <w:sz w:val="24"/>
        </w:rPr>
        <w:t xml:space="preserve"> </w:t>
      </w:r>
      <w:r>
        <w:rPr>
          <w:rFonts w:ascii="Arial"/>
          <w:color w:val="000000"/>
          <w:sz w:val="24"/>
        </w:rPr>
        <w:t>flat building on the separate lot</w:t>
      </w:r>
      <w:r>
        <w:rPr>
          <w:rFonts w:ascii="Arial"/>
          <w:color w:val="000000"/>
          <w:sz w:val="24"/>
        </w:rPr>
        <w:t xml:space="preserve">: </w:t>
      </w:r>
      <w:r>
        <w:rPr>
          <w:rFonts w:ascii="Arial"/>
          <w:i/>
          <w:color w:val="000000"/>
          <w:sz w:val="24"/>
        </w:rPr>
        <w:t>O’Donnell</w:t>
      </w:r>
      <w:r>
        <w:rPr>
          <w:rFonts w:ascii="Arial"/>
          <w:color w:val="000000"/>
          <w:sz w:val="24"/>
        </w:rPr>
        <w:t>. The Court</w:t>
      </w:r>
      <w:r>
        <w:rPr>
          <w:rFonts w:ascii="Arial"/>
          <w:color w:val="000000"/>
          <w:sz w:val="24"/>
        </w:rPr>
        <w:t>’</w:t>
      </w:r>
      <w:r>
        <w:rPr>
          <w:rFonts w:ascii="Arial"/>
          <w:color w:val="000000"/>
          <w:sz w:val="24"/>
        </w:rPr>
        <w:t xml:space="preserve">s reasoning in </w:t>
      </w:r>
      <w:r>
        <w:rPr>
          <w:rFonts w:ascii="Arial"/>
          <w:i/>
          <w:color w:val="000000"/>
          <w:sz w:val="24"/>
        </w:rPr>
        <w:t>Site Plus</w:t>
      </w:r>
      <w:r>
        <w:rPr>
          <w:rFonts w:ascii="Arial"/>
          <w:color w:val="000000"/>
          <w:sz w:val="24"/>
        </w:rPr>
        <w:t xml:space="preserve"> </w:t>
      </w:r>
      <w:r>
        <w:rPr>
          <w:rFonts w:ascii="Arial"/>
          <w:color w:val="000000"/>
          <w:sz w:val="24"/>
        </w:rPr>
        <w:t>can be</w:t>
      </w:r>
      <w:r>
        <w:rPr>
          <w:rFonts w:ascii="Arial"/>
          <w:color w:val="000000"/>
          <w:sz w:val="24"/>
        </w:rPr>
        <w:t xml:space="preserve"> </w:t>
      </w:r>
      <w:r>
        <w:rPr>
          <w:rFonts w:ascii="Arial"/>
          <w:color w:val="000000"/>
          <w:sz w:val="24"/>
        </w:rPr>
        <w:t xml:space="preserve">distinguished on its facts. </w:t>
      </w:r>
      <w:r>
        <w:rPr>
          <w:rFonts w:ascii="Arial"/>
          <w:color w:val="000000"/>
          <w:sz w:val="24"/>
        </w:rPr>
        <w:t xml:space="preserve">The definition of </w:t>
      </w:r>
      <w:r>
        <w:rPr>
          <w:rFonts w:ascii="Arial"/>
          <w:color w:val="000000"/>
          <w:sz w:val="24"/>
        </w:rPr>
        <w:t>“</w:t>
      </w:r>
      <w:r>
        <w:rPr>
          <w:rFonts w:ascii="Arial"/>
          <w:color w:val="000000"/>
          <w:sz w:val="24"/>
        </w:rPr>
        <w:t>r</w:t>
      </w:r>
      <w:r>
        <w:rPr>
          <w:rFonts w:ascii="Arial"/>
          <w:color w:val="000000"/>
          <w:sz w:val="24"/>
        </w:rPr>
        <w:t xml:space="preserve">esidential </w:t>
      </w:r>
      <w:r>
        <w:rPr>
          <w:rFonts w:ascii="Arial"/>
          <w:color w:val="000000"/>
          <w:sz w:val="24"/>
        </w:rPr>
        <w:t>f</w:t>
      </w:r>
      <w:r>
        <w:rPr>
          <w:rFonts w:ascii="Arial"/>
          <w:color w:val="000000"/>
          <w:sz w:val="24"/>
        </w:rPr>
        <w:t xml:space="preserve">lat </w:t>
      </w:r>
      <w:r>
        <w:rPr>
          <w:rFonts w:ascii="Arial"/>
          <w:color w:val="000000"/>
          <w:sz w:val="24"/>
        </w:rPr>
        <w:t>b</w:t>
      </w:r>
      <w:r>
        <w:rPr>
          <w:rFonts w:ascii="Arial"/>
          <w:color w:val="000000"/>
          <w:sz w:val="24"/>
        </w:rPr>
        <w:t>uilding</w:t>
      </w:r>
      <w:r>
        <w:rPr>
          <w:rFonts w:ascii="Arial"/>
          <w:color w:val="000000"/>
          <w:sz w:val="24"/>
        </w:rPr>
        <w:t xml:space="preserve">” </w:t>
      </w:r>
      <w:r>
        <w:rPr>
          <w:rFonts w:ascii="Arial"/>
          <w:color w:val="000000"/>
          <w:sz w:val="24"/>
        </w:rPr>
        <w:t xml:space="preserve">or the parent definition of </w:t>
      </w:r>
      <w:r>
        <w:rPr>
          <w:rFonts w:ascii="Arial"/>
          <w:color w:val="000000"/>
          <w:sz w:val="24"/>
        </w:rPr>
        <w:t>“</w:t>
      </w:r>
      <w:r>
        <w:rPr>
          <w:rFonts w:ascii="Arial"/>
          <w:color w:val="000000"/>
          <w:sz w:val="24"/>
        </w:rPr>
        <w:t>r</w:t>
      </w:r>
      <w:r>
        <w:rPr>
          <w:rFonts w:ascii="Arial"/>
          <w:color w:val="000000"/>
          <w:sz w:val="24"/>
        </w:rPr>
        <w:t xml:space="preserve">esidential </w:t>
      </w:r>
      <w:r>
        <w:rPr>
          <w:rFonts w:ascii="Arial"/>
          <w:color w:val="000000"/>
          <w:sz w:val="24"/>
        </w:rPr>
        <w:t>a</w:t>
      </w:r>
      <w:r>
        <w:rPr>
          <w:rFonts w:ascii="Arial"/>
          <w:color w:val="000000"/>
          <w:sz w:val="24"/>
        </w:rPr>
        <w:t>ccommodation</w:t>
      </w:r>
      <w:r>
        <w:rPr>
          <w:rFonts w:ascii="Arial"/>
          <w:color w:val="000000"/>
          <w:sz w:val="24"/>
        </w:rPr>
        <w:t xml:space="preserve">” </w:t>
      </w:r>
      <w:r>
        <w:rPr>
          <w:rFonts w:ascii="Arial"/>
          <w:color w:val="000000"/>
          <w:sz w:val="24"/>
        </w:rPr>
        <w:t>in the Council</w:t>
      </w:r>
      <w:r>
        <w:rPr>
          <w:rFonts w:ascii="Arial"/>
          <w:color w:val="000000"/>
          <w:sz w:val="24"/>
        </w:rPr>
        <w:t>’</w:t>
      </w:r>
      <w:r>
        <w:rPr>
          <w:rFonts w:ascii="Arial"/>
          <w:color w:val="000000"/>
          <w:sz w:val="24"/>
        </w:rPr>
        <w:t xml:space="preserve">s LEP </w:t>
      </w:r>
      <w:r>
        <w:rPr>
          <w:rFonts w:ascii="Arial"/>
          <w:color w:val="000000"/>
          <w:sz w:val="24"/>
        </w:rPr>
        <w:t xml:space="preserve">in this case </w:t>
      </w:r>
      <w:r>
        <w:rPr>
          <w:rFonts w:ascii="Arial"/>
          <w:color w:val="000000"/>
          <w:sz w:val="24"/>
        </w:rPr>
        <w:t>does not contain any reference to transportation</w:t>
      </w:r>
      <w:r>
        <w:rPr>
          <w:rFonts w:ascii="Arial"/>
          <w:color w:val="000000"/>
          <w:sz w:val="24"/>
        </w:rPr>
        <w:t xml:space="preserve">, </w:t>
      </w:r>
      <w:r>
        <w:rPr>
          <w:rFonts w:ascii="Arial"/>
          <w:color w:val="000000"/>
          <w:sz w:val="24"/>
        </w:rPr>
        <w:t xml:space="preserve">as was the factual circumstance with the extended definition of </w:t>
      </w:r>
      <w:r>
        <w:rPr>
          <w:rFonts w:ascii="Arial"/>
          <w:color w:val="000000"/>
          <w:sz w:val="24"/>
        </w:rPr>
        <w:t>“</w:t>
      </w:r>
      <w:r>
        <w:rPr>
          <w:rFonts w:ascii="Arial"/>
          <w:color w:val="000000"/>
          <w:sz w:val="24"/>
        </w:rPr>
        <w:t>industry</w:t>
      </w:r>
      <w:r>
        <w:rPr>
          <w:rFonts w:ascii="Arial"/>
          <w:color w:val="000000"/>
          <w:sz w:val="24"/>
        </w:rPr>
        <w:t xml:space="preserve">” </w:t>
      </w:r>
      <w:r>
        <w:rPr>
          <w:rFonts w:ascii="Arial"/>
          <w:color w:val="000000"/>
          <w:sz w:val="24"/>
        </w:rPr>
        <w:t xml:space="preserve">in </w:t>
      </w:r>
      <w:r>
        <w:rPr>
          <w:rFonts w:ascii="Arial"/>
          <w:i/>
          <w:color w:val="000000"/>
          <w:sz w:val="24"/>
        </w:rPr>
        <w:t>Site Plus</w:t>
      </w:r>
      <w:r>
        <w:rPr>
          <w:rFonts w:ascii="Arial"/>
          <w:color w:val="000000"/>
          <w:sz w:val="24"/>
        </w:rPr>
        <w:t>.</w:t>
      </w:r>
    </w:p>
    <w:p>
      <w:pPr>
        <w:pStyle w:val="CaselawNumbered10"/>
        <w:numPr>
          <w:ilvl w:val="0"/>
          <w:numId w:val="76"/>
        </w:numPr>
        <w:spacing w:before="150" w:after="0"/>
        <w:ind w:left="600" w:hanging="600"/>
      </w:pPr>
      <w:r>
        <w:rPr>
          <w:rFonts w:ascii="Arial"/>
          <w:color w:val="000000"/>
          <w:sz w:val="24"/>
        </w:rPr>
        <w:t>Accordingly</w:t>
      </w:r>
      <w:r>
        <w:rPr>
          <w:rFonts w:ascii="Arial"/>
          <w:color w:val="000000"/>
          <w:sz w:val="24"/>
        </w:rPr>
        <w:t>,</w:t>
      </w:r>
      <w:r>
        <w:rPr>
          <w:rFonts w:ascii="Arial"/>
          <w:color w:val="000000"/>
          <w:sz w:val="24"/>
        </w:rPr>
        <w:t xml:space="preserve"> </w:t>
      </w:r>
      <w:r>
        <w:rPr>
          <w:rFonts w:ascii="Arial"/>
          <w:color w:val="000000"/>
          <w:sz w:val="24"/>
        </w:rPr>
        <w:t>for th</w:t>
      </w:r>
      <w:r>
        <w:rPr>
          <w:rFonts w:ascii="Arial"/>
          <w:color w:val="000000"/>
          <w:sz w:val="24"/>
        </w:rPr>
        <w:t>ose</w:t>
      </w:r>
      <w:r>
        <w:rPr>
          <w:rFonts w:ascii="Arial"/>
          <w:color w:val="000000"/>
          <w:sz w:val="24"/>
        </w:rPr>
        <w:t xml:space="preserve"> </w:t>
      </w:r>
      <w:r>
        <w:rPr>
          <w:rFonts w:ascii="Arial"/>
          <w:color w:val="000000"/>
          <w:sz w:val="24"/>
        </w:rPr>
        <w:t xml:space="preserve">reasons </w:t>
      </w:r>
      <w:r>
        <w:rPr>
          <w:rFonts w:ascii="Arial"/>
          <w:color w:val="000000"/>
          <w:sz w:val="24"/>
        </w:rPr>
        <w:t xml:space="preserve">I find that </w:t>
      </w:r>
      <w:r>
        <w:rPr>
          <w:rFonts w:ascii="Arial"/>
          <w:color w:val="000000"/>
          <w:sz w:val="24"/>
        </w:rPr>
        <w:t xml:space="preserve">permission may be granted to use the R2 zoned lot as a </w:t>
      </w:r>
      <w:r>
        <w:rPr>
          <w:rFonts w:ascii="Arial"/>
          <w:color w:val="000000"/>
          <w:sz w:val="24"/>
        </w:rPr>
        <w:t>“</w:t>
      </w:r>
      <w:r>
        <w:rPr>
          <w:rFonts w:ascii="Arial"/>
          <w:color w:val="000000"/>
          <w:sz w:val="24"/>
        </w:rPr>
        <w:t>road</w:t>
      </w:r>
      <w:r>
        <w:rPr>
          <w:rFonts w:ascii="Arial"/>
          <w:color w:val="000000"/>
          <w:sz w:val="24"/>
        </w:rPr>
        <w:t>”</w:t>
      </w:r>
      <w:r>
        <w:rPr>
          <w:rFonts w:ascii="Arial"/>
          <w:color w:val="000000"/>
          <w:sz w:val="24"/>
        </w:rPr>
        <w:t xml:space="preserve"> </w:t>
      </w:r>
      <w:r>
        <w:rPr>
          <w:rFonts w:ascii="Arial"/>
          <w:color w:val="000000"/>
          <w:sz w:val="24"/>
        </w:rPr>
        <w:t xml:space="preserve">notwithstanding the fact that vehicles </w:t>
      </w:r>
      <w:r>
        <w:rPr>
          <w:rFonts w:ascii="Arial"/>
          <w:color w:val="000000"/>
          <w:sz w:val="24"/>
        </w:rPr>
        <w:t xml:space="preserve">may </w:t>
      </w:r>
      <w:r>
        <w:rPr>
          <w:rFonts w:ascii="Arial"/>
          <w:color w:val="000000"/>
          <w:sz w:val="24"/>
        </w:rPr>
        <w:t>proceed to and from the adjoining innominate prohibited residential flat building use</w:t>
      </w:r>
      <w:r>
        <w:rPr>
          <w:rFonts w:ascii="Arial"/>
          <w:color w:val="000000"/>
          <w:sz w:val="24"/>
        </w:rPr>
        <w:t xml:space="preserve"> </w:t>
      </w:r>
      <w:r>
        <w:rPr>
          <w:rFonts w:ascii="Arial"/>
          <w:color w:val="000000"/>
          <w:sz w:val="24"/>
        </w:rPr>
        <w:t xml:space="preserve">on the </w:t>
      </w:r>
      <w:r>
        <w:rPr>
          <w:rFonts w:ascii="Arial"/>
          <w:color w:val="000000"/>
          <w:sz w:val="24"/>
        </w:rPr>
        <w:t xml:space="preserve">adjoining </w:t>
      </w:r>
      <w:r>
        <w:rPr>
          <w:rFonts w:ascii="Arial"/>
          <w:color w:val="000000"/>
          <w:sz w:val="24"/>
        </w:rPr>
        <w:t>s</w:t>
      </w:r>
      <w:r>
        <w:rPr>
          <w:rFonts w:ascii="Arial"/>
          <w:color w:val="000000"/>
          <w:sz w:val="24"/>
        </w:rPr>
        <w:t>hopping centre Lot</w:t>
      </w:r>
      <w:r>
        <w:rPr>
          <w:rFonts w:ascii="Arial"/>
          <w:color w:val="000000"/>
          <w:sz w:val="24"/>
        </w:rPr>
        <w:t xml:space="preserve">. </w:t>
      </w:r>
    </w:p>
    <w:p>
      <w:pPr>
        <w:pStyle w:val="CaselawHeading2"/>
        <w:keepNext/>
        <w:spacing w:before="150" w:after="150" w:line="264"/>
        <w:ind w:left="0"/>
        <w:jc w:val="left"/>
      </w:pPr>
      <w:r>
        <w:rPr>
          <w:rFonts w:ascii="Arial"/>
        </w:rPr>
        <w:t>Contention 2</w:t>
      </w:r>
      <w:r>
        <w:rPr>
          <w:rFonts w:ascii="Arial"/>
        </w:rPr>
        <w:t xml:space="preserve"> </w:t>
      </w:r>
      <w:r>
        <w:rPr>
          <w:rFonts w:ascii="Arial"/>
        </w:rPr>
        <w:t>–</w:t>
      </w:r>
      <w:r>
        <w:rPr>
          <w:rFonts w:ascii="Arial"/>
        </w:rPr>
        <w:t xml:space="preserve"> </w:t>
      </w:r>
      <w:r>
        <w:rPr>
          <w:rFonts w:ascii="Arial"/>
        </w:rPr>
        <w:t xml:space="preserve">Is </w:t>
      </w:r>
      <w:r>
        <w:rPr>
          <w:rFonts w:ascii="Arial"/>
        </w:rPr>
        <w:t>cl</w:t>
      </w:r>
      <w:r>
        <w:rPr>
          <w:rFonts w:ascii="Arial"/>
        </w:rPr>
        <w:t xml:space="preserve"> </w:t>
      </w:r>
      <w:r>
        <w:rPr>
          <w:rFonts w:ascii="Arial"/>
        </w:rPr>
        <w:t>6.14 of LEP 2015 a development standard</w:t>
      </w:r>
      <w:r>
        <w:rPr>
          <w:rFonts w:ascii="Arial"/>
        </w:rPr>
        <w:t>?</w:t>
      </w:r>
    </w:p>
    <w:p>
      <w:pPr>
        <w:pStyle w:val="CaselawHeading3"/>
        <w:keepNext/>
        <w:spacing w:before="150" w:after="150" w:line="264"/>
        <w:ind w:left="0"/>
        <w:jc w:val="left"/>
      </w:pPr>
      <w:r>
        <w:rPr>
          <w:rFonts w:ascii="Arial"/>
        </w:rPr>
        <w:t>Council's position</w:t>
      </w:r>
    </w:p>
    <w:p>
      <w:pPr>
        <w:pStyle w:val="CaselawNumbered10"/>
        <w:numPr>
          <w:ilvl w:val="0"/>
          <w:numId w:val="77"/>
        </w:numPr>
        <w:spacing w:before="150" w:after="0"/>
        <w:ind w:left="600" w:hanging="600"/>
      </w:pPr>
      <w:r>
        <w:rPr>
          <w:rFonts w:ascii="Arial"/>
          <w:color w:val="000000"/>
          <w:sz w:val="24"/>
        </w:rPr>
        <w:t xml:space="preserve">The Council contends that the DA cannot be approved as it does not comply with the requirements outlined in cl 6.14(4) of LEP 2015. </w:t>
      </w:r>
      <w:r>
        <w:rPr>
          <w:rFonts w:ascii="Arial"/>
          <w:color w:val="000000"/>
          <w:sz w:val="24"/>
        </w:rPr>
        <w:t>Furthermore, that t</w:t>
      </w:r>
      <w:r>
        <w:rPr>
          <w:rFonts w:ascii="Arial"/>
          <w:color w:val="000000"/>
          <w:sz w:val="24"/>
        </w:rPr>
        <w:t xml:space="preserve">hose requirements </w:t>
      </w:r>
      <w:r>
        <w:rPr>
          <w:rFonts w:ascii="Arial"/>
          <w:color w:val="000000"/>
          <w:sz w:val="24"/>
        </w:rPr>
        <w:t xml:space="preserve">are not subject to variation </w:t>
      </w:r>
      <w:r>
        <w:rPr>
          <w:rFonts w:ascii="Arial"/>
          <w:color w:val="000000"/>
          <w:sz w:val="24"/>
        </w:rPr>
        <w:t xml:space="preserve">under cl 4.6, for the </w:t>
      </w:r>
      <w:r>
        <w:rPr>
          <w:rFonts w:ascii="Arial"/>
          <w:color w:val="000000"/>
          <w:sz w:val="24"/>
        </w:rPr>
        <w:t>following reasons</w:t>
      </w:r>
      <w:r>
        <w:rPr>
          <w:rFonts w:ascii="Arial"/>
          <w:color w:val="000000"/>
          <w:sz w:val="24"/>
        </w:rPr>
        <w:t>.</w:t>
      </w:r>
    </w:p>
    <w:p>
      <w:pPr>
        <w:pStyle w:val="CaselawNumbered10"/>
        <w:numPr>
          <w:ilvl w:val="0"/>
          <w:numId w:val="77"/>
        </w:numPr>
        <w:spacing w:before="150" w:after="0"/>
        <w:ind w:left="600" w:hanging="600"/>
      </w:pPr>
      <w:r>
        <w:rPr>
          <w:rFonts w:ascii="Arial"/>
          <w:color w:val="000000"/>
          <w:sz w:val="24"/>
        </w:rPr>
        <w:t>Under cl 4.3 and the Height of Buildings Map of LEP</w:t>
      </w:r>
      <w:r>
        <w:rPr>
          <w:rFonts w:ascii="Arial"/>
          <w:color w:val="000000"/>
          <w:sz w:val="24"/>
        </w:rPr>
        <w:t xml:space="preserve"> </w:t>
      </w:r>
      <w:r>
        <w:rPr>
          <w:rFonts w:ascii="Arial"/>
          <w:color w:val="000000"/>
          <w:sz w:val="24"/>
        </w:rPr>
        <w:t>2015,</w:t>
      </w:r>
      <w:r>
        <w:rPr>
          <w:rFonts w:ascii="Arial"/>
          <w:color w:val="000000"/>
          <w:sz w:val="24"/>
        </w:rPr>
        <w:t xml:space="preserve"> </w:t>
      </w:r>
      <w:r>
        <w:rPr>
          <w:rFonts w:ascii="Arial"/>
          <w:color w:val="000000"/>
          <w:sz w:val="24"/>
        </w:rPr>
        <w:t xml:space="preserve">the </w:t>
      </w:r>
      <w:r>
        <w:rPr>
          <w:rFonts w:ascii="Arial"/>
          <w:color w:val="000000"/>
          <w:sz w:val="24"/>
        </w:rPr>
        <w:t>maximum building height control</w:t>
      </w:r>
      <w:r>
        <w:rPr>
          <w:rFonts w:ascii="Arial"/>
          <w:color w:val="000000"/>
          <w:sz w:val="24"/>
        </w:rPr>
        <w:t>s</w:t>
      </w:r>
      <w:r>
        <w:rPr>
          <w:rFonts w:ascii="Arial"/>
          <w:color w:val="000000"/>
          <w:sz w:val="24"/>
        </w:rPr>
        <w:t xml:space="preserve"> </w:t>
      </w:r>
      <w:r>
        <w:rPr>
          <w:rFonts w:ascii="Arial"/>
          <w:color w:val="000000"/>
          <w:sz w:val="24"/>
        </w:rPr>
        <w:t>for the</w:t>
      </w:r>
      <w:r>
        <w:rPr>
          <w:rFonts w:ascii="Arial"/>
          <w:color w:val="000000"/>
          <w:sz w:val="24"/>
        </w:rPr>
        <w:t xml:space="preserve"> </w:t>
      </w:r>
      <w:r>
        <w:rPr>
          <w:rFonts w:ascii="Arial"/>
          <w:color w:val="000000"/>
          <w:sz w:val="24"/>
        </w:rPr>
        <w:t>s</w:t>
      </w:r>
      <w:r>
        <w:rPr>
          <w:rFonts w:ascii="Arial"/>
          <w:color w:val="000000"/>
          <w:sz w:val="24"/>
        </w:rPr>
        <w:t>ite</w:t>
      </w:r>
      <w:r>
        <w:rPr>
          <w:rFonts w:ascii="Arial"/>
          <w:color w:val="000000"/>
          <w:sz w:val="24"/>
        </w:rPr>
        <w:t xml:space="preserve"> </w:t>
      </w:r>
      <w:r>
        <w:rPr>
          <w:rFonts w:ascii="Arial"/>
          <w:color w:val="000000"/>
          <w:sz w:val="24"/>
        </w:rPr>
        <w:t xml:space="preserve">are </w:t>
      </w:r>
      <w:r>
        <w:rPr>
          <w:rFonts w:ascii="Arial"/>
          <w:color w:val="000000"/>
          <w:sz w:val="24"/>
        </w:rPr>
        <w:t>11m</w:t>
      </w:r>
      <w:r>
        <w:rPr>
          <w:rFonts w:ascii="Arial"/>
          <w:i/>
          <w:color w:val="000000"/>
          <w:sz w:val="24"/>
        </w:rPr>
        <w:t xml:space="preserve"> </w:t>
      </w:r>
      <w:r>
        <w:rPr>
          <w:rFonts w:ascii="Arial"/>
          <w:color w:val="000000"/>
          <w:sz w:val="24"/>
        </w:rPr>
        <w:t xml:space="preserve">- </w:t>
      </w:r>
      <w:r>
        <w:rPr>
          <w:rFonts w:ascii="Arial"/>
          <w:color w:val="000000"/>
          <w:sz w:val="24"/>
        </w:rPr>
        <w:t>for 353</w:t>
      </w:r>
      <w:r>
        <w:rPr>
          <w:rFonts w:ascii="Arial"/>
          <w:color w:val="000000"/>
          <w:sz w:val="24"/>
        </w:rPr>
        <w:t>-</w:t>
      </w:r>
      <w:r>
        <w:rPr>
          <w:rFonts w:ascii="Arial"/>
          <w:color w:val="000000"/>
          <w:sz w:val="24"/>
        </w:rPr>
        <w:t>355 Waterloo Road</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9m</w:t>
      </w:r>
      <w:r>
        <w:rPr>
          <w:rFonts w:ascii="Arial"/>
          <w:color w:val="000000"/>
          <w:sz w:val="24"/>
        </w:rPr>
        <w:t xml:space="preserve"> </w:t>
      </w:r>
      <w:r>
        <w:rPr>
          <w:rFonts w:ascii="Arial"/>
          <w:color w:val="000000"/>
          <w:sz w:val="24"/>
        </w:rPr>
        <w:t>for 87 Norfolk Road</w:t>
      </w:r>
      <w:r>
        <w:rPr>
          <w:rFonts w:ascii="Arial"/>
          <w:color w:val="000000"/>
          <w:sz w:val="24"/>
        </w:rPr>
        <w:t xml:space="preserve">. </w:t>
      </w:r>
      <w:r>
        <w:rPr>
          <w:rFonts w:ascii="Arial"/>
          <w:color w:val="000000"/>
          <w:sz w:val="24"/>
        </w:rPr>
        <w:t xml:space="preserve">However, </w:t>
      </w:r>
      <w:r>
        <w:rPr>
          <w:rFonts w:ascii="Arial"/>
          <w:color w:val="000000"/>
          <w:sz w:val="24"/>
        </w:rPr>
        <w:t>Henroth</w:t>
      </w:r>
      <w:r>
        <w:rPr>
          <w:rFonts w:ascii="Arial"/>
          <w:color w:val="000000"/>
          <w:sz w:val="24"/>
        </w:rPr>
        <w:t xml:space="preserve"> </w:t>
      </w:r>
      <w:r>
        <w:rPr>
          <w:rFonts w:ascii="Arial"/>
          <w:color w:val="000000"/>
          <w:sz w:val="24"/>
        </w:rPr>
        <w:t xml:space="preserve">has </w:t>
      </w:r>
      <w:r>
        <w:rPr>
          <w:rFonts w:ascii="Arial"/>
          <w:color w:val="000000"/>
          <w:sz w:val="24"/>
        </w:rPr>
        <w:t xml:space="preserve">sought to </w:t>
      </w:r>
      <w:r>
        <w:rPr>
          <w:rFonts w:ascii="Arial"/>
          <w:color w:val="000000"/>
          <w:sz w:val="24"/>
        </w:rPr>
        <w:t xml:space="preserve">take advantage of the additional height of buildings </w:t>
      </w:r>
      <w:r>
        <w:rPr>
          <w:rFonts w:ascii="Arial"/>
          <w:color w:val="000000"/>
          <w:sz w:val="24"/>
        </w:rPr>
        <w:t xml:space="preserve">allowed </w:t>
      </w:r>
      <w:r>
        <w:rPr>
          <w:rFonts w:ascii="Arial"/>
          <w:color w:val="000000"/>
          <w:sz w:val="24"/>
        </w:rPr>
        <w:t xml:space="preserve">for the </w:t>
      </w:r>
      <w:r>
        <w:rPr>
          <w:rFonts w:ascii="Arial"/>
          <w:color w:val="000000"/>
          <w:sz w:val="24"/>
        </w:rPr>
        <w:t>s</w:t>
      </w:r>
      <w:r>
        <w:rPr>
          <w:rFonts w:ascii="Arial"/>
          <w:color w:val="000000"/>
          <w:sz w:val="24"/>
        </w:rPr>
        <w:t>ite by cl 6.14(2) and (3) of LEP 2015.</w:t>
      </w:r>
    </w:p>
    <w:p>
      <w:pPr>
        <w:pStyle w:val="CaselawNumbered10"/>
        <w:numPr>
          <w:ilvl w:val="0"/>
          <w:numId w:val="77"/>
        </w:numPr>
        <w:spacing w:before="150" w:after="0"/>
        <w:ind w:left="600" w:hanging="600"/>
      </w:pPr>
      <w:r>
        <w:rPr>
          <w:rFonts w:ascii="Arial"/>
          <w:color w:val="000000"/>
          <w:sz w:val="24"/>
        </w:rPr>
        <w:t>Clause 6.14 of LEP 2015 relevantly provides</w:t>
      </w:r>
      <w:r>
        <w:rPr>
          <w:rFonts w:ascii="Arial"/>
          <w:color w:val="000000"/>
          <w:sz w:val="24"/>
        </w:rPr>
        <w:t xml:space="preserve"> </w:t>
      </w:r>
      <w:r>
        <w:rPr>
          <w:rFonts w:ascii="Arial"/>
          <w:color w:val="000000"/>
          <w:sz w:val="24"/>
        </w:rPr>
        <w:t>as follows</w:t>
      </w:r>
      <w:r>
        <w:rPr>
          <w:rFonts w:ascii="Arial"/>
          <w:color w:val="000000"/>
          <w:sz w:val="24"/>
        </w:rPr>
        <w:t>:</w:t>
      </w:r>
    </w:p>
    <w:p>
      <w:pPr>
        <w:pStyle w:val="CaselawQuote"/>
        <w:spacing w:before="150" w:after="150"/>
        <w:ind w:left="1350"/>
        <w:jc w:val="left"/>
      </w:pPr>
      <w:r>
        <w:rPr>
          <w:rFonts w:ascii="Arial"/>
          <w:b/>
          <w:color w:val="000000"/>
          <w:sz w:val="22"/>
        </w:rPr>
        <w:t>6.14 Exception to maximum height of buildings—Chullora Marketplace</w:t>
      </w:r>
    </w:p>
    <w:p>
      <w:pPr>
        <w:pStyle w:val="CaselawQuote"/>
        <w:spacing w:before="150" w:after="150"/>
        <w:ind w:left="1350"/>
        <w:jc w:val="left"/>
      </w:pPr>
      <w:r>
        <w:rPr>
          <w:rFonts w:ascii="Arial"/>
          <w:color w:val="000000"/>
          <w:sz w:val="22"/>
        </w:rPr>
        <w:t>(1) This clause applies to Lot 9, DP 10945 and Lot 41, DP 1037863, 353–355 Waterloo Road, Greenacre, known as Chullora Marketplace.</w:t>
      </w:r>
    </w:p>
    <w:p>
      <w:pPr>
        <w:pStyle w:val="CaselawQuote"/>
        <w:spacing w:before="150" w:after="150"/>
        <w:ind w:left="1350"/>
        <w:jc w:val="left"/>
      </w:pPr>
      <w:r>
        <w:rPr>
          <w:rFonts w:ascii="Arial"/>
          <w:color w:val="000000"/>
          <w:sz w:val="22"/>
        </w:rPr>
        <w:t>(2) Despite clause 4.3, development consent may be granted to development on land to which this clause applies with a maximum height of—</w:t>
      </w:r>
    </w:p>
    <w:p>
      <w:pPr>
        <w:pStyle w:val="CaselawQuote0"/>
        <w:spacing w:before="150" w:after="150"/>
        <w:ind w:left="2100"/>
        <w:jc w:val="left"/>
      </w:pPr>
      <w:r>
        <w:rPr>
          <w:rFonts w:ascii="Arial"/>
          <w:color w:val="000000"/>
          <w:sz w:val="22"/>
        </w:rPr>
        <w:t>(a) for development on Lot 41, DP 1037863—20 metres, or</w:t>
      </w:r>
    </w:p>
    <w:p>
      <w:pPr>
        <w:pStyle w:val="CaselawQuote0"/>
        <w:spacing w:before="150" w:after="150"/>
        <w:ind w:left="2100"/>
        <w:jc w:val="left"/>
      </w:pPr>
      <w:r>
        <w:rPr>
          <w:rFonts w:ascii="Arial"/>
          <w:color w:val="000000"/>
          <w:sz w:val="22"/>
        </w:rPr>
        <w:t>(b) for development on Lot 9, DP 10945—14 metres.</w:t>
      </w:r>
    </w:p>
    <w:p>
      <w:pPr>
        <w:pStyle w:val="CaselawQuote"/>
        <w:spacing w:before="150" w:after="150"/>
        <w:ind w:left="1350"/>
        <w:jc w:val="left"/>
      </w:pPr>
      <w:r>
        <w:rPr>
          <w:rFonts w:ascii="Arial"/>
          <w:color w:val="000000"/>
          <w:sz w:val="22"/>
        </w:rPr>
        <w:t>(3) However, development consent must not be granted to development on Lot 41, DP 1037863 that results in a building with a height greater than—</w:t>
      </w:r>
    </w:p>
    <w:p>
      <w:pPr>
        <w:pStyle w:val="CaselawQuote0"/>
        <w:spacing w:before="150" w:after="150"/>
        <w:ind w:left="2100"/>
        <w:jc w:val="left"/>
      </w:pPr>
      <w:r>
        <w:rPr>
          <w:rFonts w:ascii="Arial"/>
          <w:color w:val="000000"/>
          <w:sz w:val="22"/>
        </w:rPr>
        <w:t>(a) 14 metres if the building is—</w:t>
      </w:r>
    </w:p>
    <w:p>
      <w:pPr>
        <w:pStyle w:val="CaselawQuote1"/>
        <w:spacing w:before="150" w:after="150"/>
        <w:ind w:left="2850"/>
        <w:jc w:val="left"/>
      </w:pPr>
      <w:r>
        <w:rPr>
          <w:rFonts w:ascii="Arial"/>
          <w:color w:val="000000"/>
          <w:sz w:val="22"/>
        </w:rPr>
        <w:t>(i) within 46 metres of Waterloo Road, Greenacre, or</w:t>
      </w:r>
    </w:p>
    <w:p>
      <w:pPr>
        <w:pStyle w:val="CaselawQuote1"/>
        <w:spacing w:before="150" w:after="150"/>
        <w:ind w:left="2850"/>
        <w:jc w:val="left"/>
      </w:pPr>
      <w:r>
        <w:rPr>
          <w:rFonts w:ascii="Arial"/>
          <w:color w:val="000000"/>
          <w:sz w:val="22"/>
        </w:rPr>
        <w:t>(ii) within 41.5 metres of the eastern boundary adjoining 67 Norfolk Road and 11 Watergum Way, Greenacre, or</w:t>
      </w:r>
    </w:p>
    <w:p>
      <w:pPr>
        <w:pStyle w:val="CaselawQuote0"/>
        <w:spacing w:before="150" w:after="150"/>
        <w:ind w:left="2100"/>
        <w:jc w:val="left"/>
      </w:pPr>
      <w:r>
        <w:rPr>
          <w:rFonts w:ascii="Arial"/>
          <w:color w:val="000000"/>
          <w:sz w:val="22"/>
        </w:rPr>
        <w:t>(b) 9 metres if the building is within 30.5 metres of the southern boundary adjoining 81–105 Norfolk Road, Greenacre.</w:t>
      </w:r>
    </w:p>
    <w:p>
      <w:pPr>
        <w:pStyle w:val="CaselawQuote"/>
        <w:spacing w:before="150" w:after="150"/>
        <w:ind w:left="1350"/>
        <w:jc w:val="left"/>
      </w:pPr>
      <w:r>
        <w:rPr>
          <w:rFonts w:ascii="Arial"/>
          <w:color w:val="000000"/>
          <w:sz w:val="22"/>
        </w:rPr>
        <w:t>(4) Also, development consent must not be granted to development that results in a building with a height greater than the maximum height shown for the land on the Height of Buildings Map unless the consent authority is satisfied of all of the following—</w:t>
      </w:r>
    </w:p>
    <w:p>
      <w:pPr>
        <w:pStyle w:val="CaselawQuote0"/>
        <w:spacing w:before="150" w:after="150"/>
        <w:ind w:left="2100"/>
        <w:jc w:val="left"/>
      </w:pPr>
      <w:r>
        <w:rPr>
          <w:rFonts w:ascii="Arial"/>
          <w:color w:val="000000"/>
          <w:sz w:val="22"/>
        </w:rPr>
        <w:t>(a) Lot 9, DP 10945 and Lot 41, DP 1037863 have been consolidated into a single lot,</w:t>
      </w:r>
    </w:p>
    <w:p>
      <w:pPr>
        <w:pStyle w:val="CaselawQuote0"/>
        <w:spacing w:before="150" w:after="150"/>
        <w:ind w:left="2100"/>
        <w:jc w:val="left"/>
      </w:pPr>
      <w:r>
        <w:rPr>
          <w:rFonts w:ascii="Arial"/>
          <w:color w:val="000000"/>
          <w:sz w:val="22"/>
        </w:rPr>
        <w:t>(b) without exceeding the floor space ratio otherwise applying to the land, the development includes floor space used for the purposes of commercial premises that is equivalent to a floor space ratio of at least 0.35:1,</w:t>
      </w:r>
    </w:p>
    <w:p>
      <w:pPr>
        <w:pStyle w:val="CaselawQuote0"/>
        <w:spacing w:before="150" w:after="150"/>
        <w:ind w:left="2100"/>
        <w:jc w:val="left"/>
      </w:pPr>
      <w:r>
        <w:rPr>
          <w:rFonts w:ascii="Arial"/>
          <w:color w:val="000000"/>
          <w:sz w:val="22"/>
        </w:rPr>
        <w:t>(c) the development has a building setback of at least 10 metres from the southern boundary adjoining 81–105 Norfolk Road and 351 Waterloo Road, Greenacre,</w:t>
      </w:r>
    </w:p>
    <w:p>
      <w:pPr>
        <w:pStyle w:val="CaselawQuote0"/>
        <w:spacing w:before="150" w:after="150"/>
        <w:ind w:left="2100"/>
        <w:jc w:val="left"/>
      </w:pPr>
      <w:r>
        <w:rPr>
          <w:rFonts w:ascii="Arial"/>
          <w:color w:val="000000"/>
          <w:sz w:val="22"/>
        </w:rPr>
        <w:t>(d) the development has a building setback of at least 15 metres, including a 6 metre wide deep soil zone, from the eastern boundary adjoining Norfolk Reserve,</w:t>
      </w:r>
    </w:p>
    <w:p>
      <w:pPr>
        <w:pStyle w:val="CaselawQuote0"/>
        <w:spacing w:before="150" w:after="150"/>
        <w:ind w:left="2100"/>
        <w:jc w:val="left"/>
      </w:pPr>
      <w:r>
        <w:rPr>
          <w:rFonts w:ascii="Arial"/>
          <w:color w:val="000000"/>
          <w:sz w:val="22"/>
        </w:rPr>
        <w:t>(e) the development will not result in Norfolk Reserve receiving less than 4 hours of direct sunlight between 9am and 3pm on 21 June,</w:t>
      </w:r>
    </w:p>
    <w:p>
      <w:pPr>
        <w:pStyle w:val="CaselawQuote0"/>
        <w:spacing w:before="150" w:after="150"/>
        <w:ind w:left="2100"/>
        <w:jc w:val="left"/>
      </w:pPr>
      <w:r>
        <w:rPr>
          <w:rFonts w:ascii="Arial"/>
          <w:color w:val="000000"/>
          <w:sz w:val="22"/>
        </w:rPr>
        <w:t>(f) the development avoids overshadowing of, and other adverse environmental impacts on, the endangered ecological communities and habitats of threatened species in Norfolk Reserve,</w:t>
      </w:r>
    </w:p>
    <w:p>
      <w:pPr>
        <w:pStyle w:val="CaselawQuote0"/>
        <w:spacing w:before="150" w:after="150"/>
        <w:ind w:left="2100"/>
        <w:jc w:val="left"/>
      </w:pPr>
      <w:r>
        <w:rPr>
          <w:rFonts w:ascii="Arial"/>
          <w:color w:val="000000"/>
          <w:sz w:val="22"/>
        </w:rPr>
        <w:t>(g) a development control plan that provides for the matters specified in subclause (6) has been prepared for the land.</w:t>
      </w:r>
    </w:p>
    <w:p>
      <w:pPr>
        <w:pStyle w:val="CaselawQuote"/>
        <w:spacing w:before="150" w:after="150"/>
        <w:ind w:left="1350"/>
        <w:jc w:val="left"/>
      </w:pPr>
      <w:r>
        <w:rPr>
          <w:rFonts w:ascii="Arial"/>
          <w:color w:val="000000"/>
          <w:sz w:val="22"/>
        </w:rPr>
        <w:t>(5) The consent authority may seek and consider advice from a suitably qualified ecologist in determining whether the consent authority is satisfied of the matters set out in subclause (4)(e) and (f).</w:t>
      </w:r>
    </w:p>
    <w:p>
      <w:pPr>
        <w:pStyle w:val="CaselawQuote"/>
        <w:spacing w:before="150" w:after="150"/>
        <w:ind w:left="1350"/>
        <w:jc w:val="left"/>
      </w:pPr>
      <w:r>
        <w:rPr>
          <w:rFonts w:ascii="Arial"/>
          <w:color w:val="000000"/>
          <w:sz w:val="22"/>
        </w:rPr>
        <w:t>(6) The development control plan is to provide for the following—</w:t>
      </w:r>
    </w:p>
    <w:p>
      <w:pPr>
        <w:pStyle w:val="CaselawQuote0"/>
        <w:spacing w:before="150" w:after="150"/>
        <w:ind w:left="2100"/>
        <w:jc w:val="left"/>
      </w:pPr>
      <w:r>
        <w:rPr>
          <w:rFonts w:ascii="Arial"/>
          <w:color w:val="000000"/>
          <w:sz w:val="22"/>
        </w:rPr>
        <w:t>(a) building envelopes and built form controls, including storeys and setbacks at both ground floor and upper storeys, and bulk, massing and modulation of buildings,</w:t>
      </w:r>
    </w:p>
    <w:p>
      <w:pPr>
        <w:pStyle w:val="CaselawQuote0"/>
        <w:spacing w:before="150" w:after="150"/>
        <w:ind w:left="2100"/>
        <w:jc w:val="left"/>
      </w:pPr>
      <w:r>
        <w:rPr>
          <w:rFonts w:ascii="Arial"/>
          <w:color w:val="000000"/>
          <w:sz w:val="22"/>
        </w:rPr>
        <w:t>(b) appropriate access to, capacity of, and vehicle and pedestrian safety on, the surrounding road network, particularly Waterloo Road,</w:t>
      </w:r>
    </w:p>
    <w:p>
      <w:pPr>
        <w:pStyle w:val="CaselawQuote0"/>
        <w:spacing w:before="150" w:after="150"/>
        <w:ind w:left="2100"/>
        <w:jc w:val="left"/>
      </w:pPr>
      <w:r>
        <w:rPr>
          <w:rFonts w:ascii="Arial"/>
          <w:color w:val="000000"/>
          <w:sz w:val="22"/>
        </w:rPr>
        <w:t>(c) improved pedestrian and cyclist connectivity,</w:t>
      </w:r>
    </w:p>
    <w:p>
      <w:pPr>
        <w:pStyle w:val="CaselawQuote0"/>
        <w:spacing w:before="150" w:after="150"/>
        <w:ind w:left="2100"/>
        <w:jc w:val="left"/>
      </w:pPr>
      <w:r>
        <w:rPr>
          <w:rFonts w:ascii="Arial"/>
          <w:color w:val="000000"/>
          <w:sz w:val="22"/>
        </w:rPr>
        <w:t>(d) sustainable transport, including strategies to encourage increased use of public transport, walking and cycling, and by providing for appropriate car parking,</w:t>
      </w:r>
    </w:p>
    <w:p>
      <w:pPr>
        <w:pStyle w:val="CaselawQuote0"/>
        <w:spacing w:before="150" w:after="150"/>
        <w:ind w:left="2100"/>
        <w:jc w:val="left"/>
      </w:pPr>
      <w:r>
        <w:rPr>
          <w:rFonts w:ascii="Arial"/>
          <w:color w:val="000000"/>
          <w:sz w:val="22"/>
        </w:rPr>
        <w:t>(e) the transition to surrounding land, including low density development, through built form, deep soil planting and additional landscaping,</w:t>
      </w:r>
    </w:p>
    <w:p>
      <w:pPr>
        <w:pStyle w:val="CaselawQuote0"/>
        <w:spacing w:before="150" w:after="150"/>
        <w:ind w:left="2100"/>
        <w:jc w:val="left"/>
      </w:pPr>
      <w:r>
        <w:rPr>
          <w:rFonts w:ascii="Arial"/>
          <w:color w:val="000000"/>
          <w:sz w:val="22"/>
        </w:rPr>
        <w:t>(f) mitigation of environmental impacts, including overshadowing and impacts on solar access and visual and acoustic privacy,</w:t>
      </w:r>
    </w:p>
    <w:p>
      <w:pPr>
        <w:pStyle w:val="CaselawQuote0"/>
        <w:spacing w:before="150" w:after="150"/>
        <w:ind w:left="2100"/>
        <w:jc w:val="left"/>
      </w:pPr>
      <w:r>
        <w:rPr>
          <w:rFonts w:ascii="Arial"/>
          <w:color w:val="000000"/>
          <w:sz w:val="22"/>
        </w:rPr>
        <w:t>(g) improvements to landscaped areas and the introduction of new public open spaces, including a central plaza,</w:t>
      </w:r>
    </w:p>
    <w:p>
      <w:pPr>
        <w:pStyle w:val="CaselawQuote0"/>
        <w:spacing w:before="150" w:after="150"/>
        <w:ind w:left="2100"/>
        <w:jc w:val="left"/>
      </w:pPr>
      <w:r>
        <w:rPr>
          <w:rFonts w:ascii="Arial"/>
          <w:color w:val="000000"/>
          <w:sz w:val="22"/>
        </w:rPr>
        <w:t>(h) an indicative structure plan and key design principles in support of the plan,</w:t>
      </w:r>
    </w:p>
    <w:p>
      <w:pPr>
        <w:pStyle w:val="CaselawQuote0"/>
        <w:spacing w:before="150" w:after="150"/>
        <w:ind w:left="2100"/>
        <w:jc w:val="left"/>
      </w:pPr>
      <w:r>
        <w:rPr>
          <w:rFonts w:ascii="Arial"/>
          <w:color w:val="000000"/>
          <w:sz w:val="22"/>
        </w:rPr>
        <w:t>(i) application of the Crime Prevention Through Environmental Design principles.</w:t>
      </w:r>
    </w:p>
    <w:p>
      <w:pPr>
        <w:pStyle w:val="CaselawQuote"/>
        <w:spacing w:before="150" w:after="150"/>
        <w:ind w:left="1350"/>
        <w:jc w:val="left"/>
      </w:pPr>
      <w:r>
        <w:rPr>
          <w:rFonts w:ascii="Arial"/>
          <w:color w:val="000000"/>
          <w:sz w:val="22"/>
        </w:rPr>
        <w:t>(7) In this clause—</w:t>
      </w:r>
    </w:p>
    <w:p>
      <w:pPr>
        <w:pStyle w:val="CaselawQuote"/>
        <w:spacing w:before="150" w:after="150"/>
        <w:ind w:left="1350"/>
        <w:jc w:val="left"/>
      </w:pPr>
      <w:r>
        <w:rPr>
          <w:rFonts w:ascii="Arial"/>
          <w:b/>
          <w:i/>
          <w:color w:val="000000"/>
          <w:sz w:val="22"/>
        </w:rPr>
        <w:t>Crime Prevention Through Environmental Design principles</w:t>
      </w:r>
      <w:r>
        <w:rPr>
          <w:rFonts w:ascii="Arial"/>
          <w:color w:val="000000"/>
          <w:sz w:val="22"/>
        </w:rPr>
        <w:t xml:space="preserve"> means principles of the planning, design and structure of cities and neighbourhoods to reduce opportunities for crime, including through natural surveillance, access control, territorial reinforcement and space management.</w:t>
      </w:r>
    </w:p>
    <w:p>
      <w:pPr>
        <w:pStyle w:val="CaselawQuote"/>
        <w:spacing w:before="150" w:after="150"/>
        <w:ind w:left="1350"/>
        <w:jc w:val="left"/>
      </w:pPr>
      <w:r>
        <w:rPr>
          <w:rFonts w:ascii="Arial"/>
          <w:b/>
          <w:i/>
          <w:color w:val="000000"/>
          <w:sz w:val="22"/>
        </w:rPr>
        <w:t>Norfolk Reserve</w:t>
      </w:r>
      <w:r>
        <w:rPr>
          <w:rFonts w:ascii="Arial"/>
          <w:color w:val="000000"/>
          <w:sz w:val="22"/>
        </w:rPr>
        <w:t xml:space="preserve"> means the following land in Greenacre—</w:t>
      </w:r>
    </w:p>
    <w:p>
      <w:pPr>
        <w:pStyle w:val="CaselawQuote"/>
        <w:spacing w:before="150" w:after="150"/>
        <w:ind w:left="1350"/>
        <w:jc w:val="left"/>
      </w:pPr>
      <w:r>
        <w:rPr>
          <w:rFonts w:ascii="Arial"/>
          <w:color w:val="000000"/>
          <w:sz w:val="22"/>
        </w:rPr>
        <w:t>(a) Lot 3, DP 546653, 67 Norfolk Road,</w:t>
      </w:r>
    </w:p>
    <w:p>
      <w:pPr>
        <w:pStyle w:val="CaselawQuote"/>
        <w:spacing w:before="150" w:after="150"/>
        <w:ind w:left="1350"/>
        <w:jc w:val="left"/>
      </w:pPr>
      <w:r>
        <w:rPr>
          <w:rFonts w:ascii="Arial"/>
          <w:color w:val="000000"/>
          <w:sz w:val="22"/>
        </w:rPr>
        <w:t>(b) Lot 21, DP 836445, 67A Norfolk Road,</w:t>
      </w:r>
    </w:p>
    <w:p>
      <w:pPr>
        <w:pStyle w:val="CaselawQuote"/>
        <w:spacing w:before="150" w:after="150"/>
        <w:ind w:left="1350"/>
        <w:jc w:val="left"/>
      </w:pPr>
      <w:r>
        <w:rPr>
          <w:rFonts w:ascii="Arial"/>
          <w:color w:val="000000"/>
          <w:sz w:val="22"/>
        </w:rPr>
        <w:t>(c) Lot 200, DP 843319, 11 Watergum Way.</w:t>
      </w:r>
    </w:p>
    <w:p>
      <w:pPr>
        <w:pStyle w:val="CaselawNumbered10"/>
        <w:numPr>
          <w:ilvl w:val="0"/>
          <w:numId w:val="78"/>
        </w:numPr>
        <w:spacing w:before="150" w:after="0"/>
        <w:ind w:left="600" w:hanging="600"/>
      </w:pPr>
      <w:r>
        <w:rPr>
          <w:rFonts w:ascii="Arial"/>
          <w:color w:val="000000"/>
          <w:sz w:val="24"/>
        </w:rPr>
        <w:t xml:space="preserve">Accepting that cl </w:t>
      </w:r>
      <w:r>
        <w:rPr>
          <w:rFonts w:ascii="Arial"/>
          <w:color w:val="000000"/>
          <w:sz w:val="24"/>
        </w:rPr>
        <w:t>6.14 must be read as a whole and in its context</w:t>
      </w:r>
      <w:r>
        <w:rPr>
          <w:rFonts w:ascii="Arial"/>
          <w:color w:val="000000"/>
          <w:sz w:val="24"/>
        </w:rPr>
        <w:t xml:space="preserve">, the Council submits </w:t>
      </w:r>
      <w:r>
        <w:rPr>
          <w:rFonts w:ascii="Arial"/>
          <w:color w:val="000000"/>
          <w:sz w:val="24"/>
        </w:rPr>
        <w:t xml:space="preserve">that the meaning </w:t>
      </w:r>
      <w:r>
        <w:rPr>
          <w:rFonts w:ascii="Arial"/>
          <w:color w:val="000000"/>
          <w:sz w:val="24"/>
        </w:rPr>
        <w:t xml:space="preserve">of the clause </w:t>
      </w:r>
      <w:r>
        <w:rPr>
          <w:rFonts w:ascii="Arial"/>
          <w:color w:val="000000"/>
          <w:sz w:val="24"/>
        </w:rPr>
        <w:t xml:space="preserve">is </w:t>
      </w:r>
      <w:r>
        <w:rPr>
          <w:rFonts w:ascii="Arial"/>
          <w:color w:val="000000"/>
          <w:sz w:val="24"/>
        </w:rPr>
        <w:t>plain:</w:t>
      </w:r>
    </w:p>
    <w:p>
      <w:pPr>
        <w:pStyle w:val="CaselawNumbered1"/>
        <w:numPr>
          <w:ilvl w:val="0"/>
          <w:numId w:val="79"/>
        </w:numPr>
        <w:spacing w:before="150" w:after="0"/>
        <w:ind w:left="1350" w:hanging="750"/>
      </w:pPr>
      <w:r>
        <w:rPr>
          <w:rFonts w:ascii="Arial"/>
          <w:color w:val="000000"/>
          <w:sz w:val="24"/>
        </w:rPr>
        <w:t>By operation of cl 6.14(1), the provision only applies to two separate parcels of land</w:t>
      </w:r>
      <w:r>
        <w:rPr>
          <w:rFonts w:ascii="Arial"/>
          <w:color w:val="000000"/>
          <w:sz w:val="24"/>
        </w:rPr>
        <w:t xml:space="preserve">, </w:t>
      </w:r>
      <w:r>
        <w:rPr>
          <w:rFonts w:ascii="Arial"/>
          <w:color w:val="000000"/>
          <w:sz w:val="24"/>
        </w:rPr>
        <w:t xml:space="preserve">that is, part of the </w:t>
      </w:r>
      <w:r>
        <w:rPr>
          <w:rFonts w:ascii="Arial"/>
          <w:color w:val="000000"/>
          <w:sz w:val="24"/>
        </w:rPr>
        <w:t>s</w:t>
      </w:r>
      <w:r>
        <w:rPr>
          <w:rFonts w:ascii="Arial"/>
          <w:color w:val="000000"/>
          <w:sz w:val="24"/>
        </w:rPr>
        <w:t xml:space="preserve">ite comprising 353-355 Waterloo Road. </w:t>
      </w:r>
      <w:r>
        <w:rPr>
          <w:rFonts w:ascii="Arial"/>
          <w:i/>
          <w:color w:val="000000"/>
          <w:sz w:val="24"/>
        </w:rPr>
        <w:t>The provision does not apply to 87 Norfolk Road.</w:t>
      </w:r>
    </w:p>
    <w:p>
      <w:pPr>
        <w:pStyle w:val="CaselawNumbered1"/>
        <w:numPr>
          <w:ilvl w:val="0"/>
          <w:numId w:val="79"/>
        </w:numPr>
        <w:spacing w:before="150" w:after="0"/>
        <w:ind w:left="1350" w:hanging="750"/>
      </w:pPr>
      <w:r>
        <w:rPr>
          <w:rFonts w:ascii="Arial"/>
          <w:color w:val="000000"/>
          <w:sz w:val="24"/>
        </w:rPr>
        <w:t>Clause 6.14(2) is permissive and provides an exception to the height control contained in cl 4.3 on the terms contained in cl 6.14. To this end, a specific height limit is allotted to each parcel of land.</w:t>
      </w:r>
    </w:p>
    <w:p>
      <w:pPr>
        <w:pStyle w:val="CaselawNumbered1"/>
        <w:numPr>
          <w:ilvl w:val="0"/>
          <w:numId w:val="79"/>
        </w:numPr>
        <w:spacing w:before="150" w:after="0"/>
        <w:ind w:left="1350" w:hanging="750"/>
      </w:pPr>
      <w:r>
        <w:rPr>
          <w:rFonts w:ascii="Arial"/>
          <w:color w:val="000000"/>
          <w:sz w:val="24"/>
        </w:rPr>
        <w:t xml:space="preserve">Clause 6.14(3) provides a further limitation in relation to one parcel of land - that is, 355 Waterloo Road. </w:t>
      </w:r>
      <w:r>
        <w:rPr>
          <w:rFonts w:ascii="Arial"/>
          <w:i/>
          <w:color w:val="000000"/>
          <w:sz w:val="24"/>
        </w:rPr>
        <w:t>This provision operates to limit the 20m height limit in cl 6.14(2)(a) for 355 Waterloo Road.</w:t>
      </w:r>
    </w:p>
    <w:p>
      <w:pPr>
        <w:pStyle w:val="CaselawNumbered1"/>
        <w:numPr>
          <w:ilvl w:val="0"/>
          <w:numId w:val="79"/>
        </w:numPr>
        <w:spacing w:before="150" w:after="0"/>
        <w:ind w:left="1350" w:hanging="750"/>
      </w:pPr>
      <w:r>
        <w:rPr>
          <w:rFonts w:ascii="Arial"/>
          <w:color w:val="000000"/>
          <w:sz w:val="24"/>
        </w:rPr>
        <w:t xml:space="preserve">Clause 6.14(4) contains requirements that must be met </w:t>
      </w:r>
      <w:r>
        <w:rPr>
          <w:rFonts w:ascii="Arial"/>
          <w:color w:val="000000"/>
          <w:sz w:val="24"/>
        </w:rPr>
        <w:t>for</w:t>
      </w:r>
      <w:r>
        <w:rPr>
          <w:rFonts w:ascii="Arial"/>
          <w:color w:val="000000"/>
          <w:sz w:val="24"/>
        </w:rPr>
        <w:t xml:space="preserve"> </w:t>
      </w:r>
      <w:r>
        <w:rPr>
          <w:rFonts w:ascii="Arial"/>
          <w:color w:val="000000"/>
          <w:sz w:val="24"/>
        </w:rPr>
        <w:t>the exception in cl 6.14(2) to apply including:</w:t>
      </w:r>
    </w:p>
    <w:p>
      <w:pPr>
        <w:pStyle w:val="CaselawNumbereda"/>
        <w:numPr>
          <w:ilvl w:val="0"/>
          <w:numId w:val="80"/>
        </w:numPr>
        <w:spacing w:before="150" w:after="0"/>
        <w:ind w:left="2100" w:hanging="750"/>
      </w:pPr>
      <w:r>
        <w:rPr>
          <w:rFonts w:ascii="Arial"/>
          <w:color w:val="000000"/>
          <w:sz w:val="24"/>
        </w:rPr>
        <w:t>consolidation of the two separate parcels of land - that is, 35</w:t>
      </w:r>
      <w:r>
        <w:rPr>
          <w:rFonts w:ascii="Arial"/>
          <w:color w:val="000000"/>
          <w:sz w:val="24"/>
        </w:rPr>
        <w:t>3</w:t>
      </w:r>
      <w:r>
        <w:rPr>
          <w:rFonts w:ascii="Arial"/>
          <w:color w:val="000000"/>
          <w:sz w:val="24"/>
        </w:rPr>
        <w:t>-355 Waterloo Road (subcl (a));</w:t>
      </w:r>
    </w:p>
    <w:p>
      <w:pPr>
        <w:pStyle w:val="CaselawNumbereda"/>
        <w:numPr>
          <w:ilvl w:val="0"/>
          <w:numId w:val="80"/>
        </w:numPr>
        <w:spacing w:before="150" w:after="0"/>
        <w:ind w:left="2100" w:hanging="750"/>
      </w:pPr>
      <w:r>
        <w:rPr>
          <w:rFonts w:ascii="Arial"/>
          <w:color w:val="000000"/>
          <w:sz w:val="24"/>
        </w:rPr>
        <w:t xml:space="preserve">a </w:t>
      </w:r>
      <w:r>
        <w:rPr>
          <w:rFonts w:ascii="Arial"/>
          <w:color w:val="000000"/>
          <w:sz w:val="24"/>
        </w:rPr>
        <w:t>FSR</w:t>
      </w:r>
      <w:r>
        <w:rPr>
          <w:rFonts w:ascii="Arial"/>
          <w:color w:val="000000"/>
          <w:sz w:val="24"/>
        </w:rPr>
        <w:t xml:space="preserve"> </w:t>
      </w:r>
      <w:r>
        <w:rPr>
          <w:rFonts w:ascii="Arial"/>
          <w:color w:val="000000"/>
          <w:sz w:val="24"/>
        </w:rPr>
        <w:t>control that provides for at least 0.35:1 of commercial floor space (subcl (b));</w:t>
      </w:r>
    </w:p>
    <w:p>
      <w:pPr>
        <w:pStyle w:val="CaselawNumbereda"/>
        <w:numPr>
          <w:ilvl w:val="0"/>
          <w:numId w:val="80"/>
        </w:numPr>
        <w:spacing w:before="150" w:after="0"/>
        <w:ind w:left="2100" w:hanging="750"/>
      </w:pPr>
      <w:r>
        <w:rPr>
          <w:rFonts w:ascii="Arial"/>
          <w:color w:val="000000"/>
          <w:sz w:val="24"/>
        </w:rPr>
        <w:t>a building setback from the southern boundary (subcl (c));</w:t>
      </w:r>
    </w:p>
    <w:p>
      <w:pPr>
        <w:pStyle w:val="CaselawNumbereda"/>
        <w:numPr>
          <w:ilvl w:val="0"/>
          <w:numId w:val="80"/>
        </w:numPr>
        <w:spacing w:before="150" w:after="0"/>
        <w:ind w:left="2100" w:hanging="750"/>
      </w:pPr>
      <w:r>
        <w:rPr>
          <w:rFonts w:ascii="Arial"/>
          <w:color w:val="000000"/>
          <w:sz w:val="24"/>
        </w:rPr>
        <w:t xml:space="preserve">a </w:t>
      </w:r>
      <w:r>
        <w:rPr>
          <w:rFonts w:ascii="Arial"/>
          <w:color w:val="000000"/>
          <w:sz w:val="24"/>
        </w:rPr>
        <w:t>building setback</w:t>
      </w:r>
      <w:r>
        <w:rPr>
          <w:rFonts w:ascii="Arial"/>
          <w:color w:val="000000"/>
          <w:sz w:val="24"/>
        </w:rPr>
        <w:t xml:space="preserve"> </w:t>
      </w:r>
      <w:r>
        <w:rPr>
          <w:rFonts w:ascii="Arial"/>
          <w:color w:val="000000"/>
          <w:sz w:val="24"/>
        </w:rPr>
        <w:t>from the eastern boundary (subcl (d));</w:t>
      </w:r>
    </w:p>
    <w:p>
      <w:pPr>
        <w:pStyle w:val="CaselawNumbereda"/>
        <w:numPr>
          <w:ilvl w:val="0"/>
          <w:numId w:val="80"/>
        </w:numPr>
        <w:spacing w:before="150" w:after="0"/>
        <w:ind w:left="2100" w:hanging="750"/>
      </w:pPr>
      <w:r>
        <w:rPr>
          <w:rFonts w:ascii="Arial"/>
          <w:color w:val="000000"/>
          <w:sz w:val="24"/>
        </w:rPr>
        <w:t>the avoidance of adverse environmental impacts on the endangered ecological communities and habitats of threatened species in Norfolk Reserve (subcl (f)); and</w:t>
      </w:r>
    </w:p>
    <w:p>
      <w:pPr>
        <w:pStyle w:val="CaselawNumbereda"/>
        <w:numPr>
          <w:ilvl w:val="0"/>
          <w:numId w:val="80"/>
        </w:numPr>
        <w:spacing w:before="150" w:after="0"/>
        <w:ind w:left="2100" w:hanging="750"/>
      </w:pPr>
      <w:r>
        <w:rPr>
          <w:rFonts w:ascii="Arial"/>
          <w:color w:val="000000"/>
          <w:sz w:val="24"/>
        </w:rPr>
        <w:t>a development control plan has been prepared that provides for the matters specified in cl 6.14(6) (subcl (g)).</w:t>
      </w:r>
    </w:p>
    <w:p>
      <w:pPr>
        <w:pStyle w:val="CaselawNumbered1"/>
        <w:numPr>
          <w:ilvl w:val="0"/>
          <w:numId w:val="81"/>
        </w:numPr>
        <w:spacing w:before="150" w:after="0"/>
        <w:ind w:left="1350" w:hanging="750"/>
      </w:pPr>
      <w:r>
        <w:rPr>
          <w:rFonts w:ascii="Arial"/>
          <w:color w:val="000000"/>
          <w:sz w:val="24"/>
        </w:rPr>
        <w:t>Clause 6.14(5) also provides for a consent authority to seek and consider advice from a suitably qualified ecologist in determining whether the consent authority is satisfied of the matters set out in subcl</w:t>
      </w:r>
      <w:r>
        <w:rPr>
          <w:rFonts w:ascii="Arial"/>
          <w:color w:val="000000"/>
          <w:sz w:val="24"/>
        </w:rPr>
        <w:t>l</w:t>
      </w:r>
      <w:r>
        <w:rPr>
          <w:rFonts w:ascii="Arial"/>
          <w:color w:val="000000"/>
          <w:sz w:val="24"/>
        </w:rPr>
        <w:t xml:space="preserve"> </w:t>
      </w:r>
      <w:r>
        <w:rPr>
          <w:rFonts w:ascii="Arial"/>
          <w:color w:val="000000"/>
          <w:sz w:val="24"/>
        </w:rPr>
        <w:t>(e) and (f).</w:t>
      </w:r>
    </w:p>
    <w:p>
      <w:pPr>
        <w:pStyle w:val="CaselawNumbered1"/>
        <w:numPr>
          <w:ilvl w:val="0"/>
          <w:numId w:val="81"/>
        </w:numPr>
        <w:spacing w:before="150" w:after="0"/>
        <w:ind w:left="1350" w:hanging="750"/>
      </w:pPr>
      <w:r>
        <w:rPr>
          <w:rFonts w:ascii="Arial"/>
          <w:color w:val="000000"/>
          <w:sz w:val="24"/>
        </w:rPr>
        <w:t>Clause 6.14(6) then specifies matters that the site-specific development control plan must provide for.</w:t>
      </w:r>
    </w:p>
    <w:p>
      <w:pPr>
        <w:pStyle w:val="CaselawNumbered10"/>
        <w:numPr>
          <w:ilvl w:val="0"/>
          <w:numId w:val="82"/>
        </w:numPr>
        <w:spacing w:before="150" w:after="0"/>
        <w:ind w:left="600" w:hanging="600"/>
      </w:pPr>
      <w:r>
        <w:rPr>
          <w:rFonts w:ascii="Arial"/>
          <w:color w:val="000000"/>
          <w:sz w:val="24"/>
        </w:rPr>
        <w:t>In the context</w:t>
      </w:r>
      <w:r>
        <w:rPr>
          <w:rFonts w:ascii="Arial"/>
          <w:color w:val="000000"/>
          <w:sz w:val="24"/>
        </w:rPr>
        <w: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Council contends </w:t>
      </w:r>
      <w:r>
        <w:rPr>
          <w:rFonts w:ascii="Arial"/>
          <w:color w:val="000000"/>
          <w:sz w:val="24"/>
        </w:rPr>
        <w:t>the DA does not meet several of t</w:t>
      </w:r>
      <w:r>
        <w:rPr>
          <w:rFonts w:ascii="Arial"/>
          <w:color w:val="000000"/>
          <w:sz w:val="24"/>
        </w:rPr>
        <w:t xml:space="preserve">he above </w:t>
      </w:r>
      <w:r>
        <w:rPr>
          <w:rFonts w:ascii="Arial"/>
          <w:color w:val="000000"/>
          <w:sz w:val="24"/>
        </w:rPr>
        <w:t xml:space="preserve"> </w:t>
      </w:r>
      <w:r>
        <w:rPr>
          <w:rFonts w:ascii="Arial"/>
          <w:color w:val="000000"/>
          <w:sz w:val="24"/>
        </w:rPr>
        <w:t>requirements</w:t>
      </w:r>
      <w:r>
        <w:rPr>
          <w:rFonts w:ascii="Arial"/>
          <w:color w:val="000000"/>
          <w:sz w:val="24"/>
        </w:rPr>
        <w:t xml:space="preserve">, </w:t>
      </w:r>
      <w:r>
        <w:rPr>
          <w:rFonts w:ascii="Arial"/>
          <w:color w:val="000000"/>
          <w:sz w:val="24"/>
        </w:rPr>
        <w:t>and as th</w:t>
      </w:r>
      <w:r>
        <w:rPr>
          <w:rFonts w:ascii="Arial"/>
          <w:color w:val="000000"/>
          <w:sz w:val="24"/>
        </w:rPr>
        <w:t>ose matters</w:t>
      </w:r>
      <w:r>
        <w:rPr>
          <w:rFonts w:ascii="Arial"/>
          <w:color w:val="000000"/>
          <w:sz w:val="24"/>
        </w:rPr>
        <w:t xml:space="preserve"> </w:t>
      </w:r>
      <w:r>
        <w:rPr>
          <w:rFonts w:ascii="Arial"/>
          <w:color w:val="000000"/>
          <w:sz w:val="24"/>
        </w:rPr>
        <w:t>are not development standards, they cannot be varied under cl 4.6 of LEP</w:t>
      </w:r>
      <w:r>
        <w:rPr>
          <w:rFonts w:ascii="Arial"/>
          <w:color w:val="000000"/>
          <w:sz w:val="24"/>
        </w:rPr>
        <w:t xml:space="preserve"> </w:t>
      </w:r>
      <w:r>
        <w:rPr>
          <w:rFonts w:ascii="Arial"/>
          <w:color w:val="000000"/>
          <w:sz w:val="24"/>
        </w:rPr>
        <w:t>2015</w:t>
      </w:r>
      <w:r>
        <w:rPr>
          <w:rFonts w:ascii="Arial"/>
          <w:color w:val="000000"/>
          <w:sz w:val="24"/>
        </w:rPr>
        <w:t xml:space="preserve">. </w:t>
      </w:r>
      <w:r>
        <w:rPr>
          <w:rFonts w:ascii="Arial"/>
          <w:color w:val="000000"/>
          <w:sz w:val="24"/>
        </w:rPr>
        <w:t>As such</w:t>
      </w:r>
      <w:r>
        <w:rPr>
          <w:rFonts w:ascii="Arial"/>
          <w:color w:val="000000"/>
          <w:sz w:val="24"/>
        </w:rPr>
        <w:t>,</w:t>
      </w:r>
      <w:r>
        <w:rPr>
          <w:rFonts w:ascii="Arial"/>
          <w:color w:val="000000"/>
          <w:sz w:val="24"/>
        </w:rPr>
        <w:t xml:space="preserve"> </w:t>
      </w:r>
      <w:r>
        <w:rPr>
          <w:rFonts w:ascii="Arial"/>
          <w:color w:val="000000"/>
          <w:sz w:val="24"/>
        </w:rPr>
        <w:t>the additional heights cannot be approved and the DA must be refused.</w:t>
      </w:r>
    </w:p>
    <w:p>
      <w:pPr>
        <w:pStyle w:val="CaselawNumbered10"/>
        <w:numPr>
          <w:ilvl w:val="0"/>
          <w:numId w:val="82"/>
        </w:numPr>
        <w:spacing w:before="150" w:after="0"/>
        <w:ind w:left="600" w:hanging="600"/>
      </w:pPr>
      <w:r>
        <w:rPr>
          <w:rFonts w:ascii="Arial"/>
          <w:color w:val="000000"/>
          <w:sz w:val="24"/>
        </w:rPr>
        <w:t xml:space="preserve">Before </w:t>
      </w:r>
      <w:r>
        <w:rPr>
          <w:rFonts w:ascii="Arial"/>
          <w:color w:val="000000"/>
          <w:sz w:val="24"/>
        </w:rPr>
        <w:t xml:space="preserve">dealing with </w:t>
      </w:r>
      <w:r>
        <w:rPr>
          <w:rFonts w:ascii="Arial"/>
          <w:color w:val="000000"/>
          <w:sz w:val="24"/>
        </w:rPr>
        <w:t xml:space="preserve">each </w:t>
      </w:r>
      <w:r>
        <w:rPr>
          <w:rFonts w:ascii="Arial"/>
          <w:color w:val="000000"/>
          <w:sz w:val="24"/>
        </w:rPr>
        <w:t xml:space="preserve">requirement, the Council makes the following submissions in support of its position that none of the paragraphs of cl 6.14(4) </w:t>
      </w:r>
      <w:r>
        <w:rPr>
          <w:rFonts w:ascii="Arial"/>
          <w:color w:val="000000"/>
          <w:sz w:val="24"/>
        </w:rPr>
        <w:t>constitute a development standard.</w:t>
      </w:r>
    </w:p>
    <w:p>
      <w:pPr>
        <w:pStyle w:val="CaselawNumbered10"/>
        <w:numPr>
          <w:ilvl w:val="0"/>
          <w:numId w:val="82"/>
        </w:numPr>
        <w:spacing w:before="150" w:after="0"/>
        <w:ind w:left="600" w:hanging="600"/>
      </w:pPr>
      <w:r>
        <w:rPr>
          <w:rFonts w:ascii="Arial"/>
          <w:color w:val="000000"/>
          <w:sz w:val="24"/>
        </w:rPr>
        <w:t xml:space="preserve">It refers me to the definition of the term </w:t>
      </w:r>
      <w:r>
        <w:rPr>
          <w:rFonts w:ascii="Arial"/>
          <w:color w:val="000000"/>
          <w:sz w:val="24"/>
        </w:rPr>
        <w:t>“</w:t>
      </w:r>
      <w:r>
        <w:rPr>
          <w:rFonts w:ascii="Arial"/>
          <w:color w:val="000000"/>
          <w:sz w:val="24"/>
        </w:rPr>
        <w:t>development standard</w:t>
      </w:r>
      <w:r>
        <w:rPr>
          <w:rFonts w:ascii="Arial"/>
          <w:color w:val="000000"/>
          <w:sz w:val="24"/>
        </w:rPr>
        <w:t>”</w:t>
      </w:r>
      <w:r>
        <w:rPr>
          <w:rFonts w:ascii="Arial"/>
          <w:color w:val="000000"/>
          <w:sz w:val="24"/>
        </w:rPr>
        <w:t xml:space="preserve"> </w:t>
      </w:r>
      <w:r>
        <w:rPr>
          <w:rFonts w:ascii="Arial"/>
          <w:color w:val="000000"/>
          <w:sz w:val="24"/>
        </w:rPr>
        <w:t xml:space="preserve">as </w:t>
      </w:r>
      <w:r>
        <w:rPr>
          <w:rFonts w:ascii="Arial"/>
          <w:color w:val="000000"/>
          <w:sz w:val="24"/>
        </w:rPr>
        <w:t>defined in s</w:t>
      </w:r>
      <w:r>
        <w:rPr>
          <w:rFonts w:ascii="Arial"/>
          <w:color w:val="000000"/>
          <w:sz w:val="24"/>
        </w:rPr>
        <w:t> </w:t>
      </w:r>
      <w:r>
        <w:rPr>
          <w:rFonts w:ascii="Arial"/>
          <w:color w:val="000000"/>
          <w:sz w:val="24"/>
        </w:rPr>
        <w:t xml:space="preserve">1.4(1) of the EPA Act </w:t>
      </w:r>
      <w:r>
        <w:rPr>
          <w:rFonts w:ascii="Arial"/>
          <w:color w:val="000000"/>
          <w:sz w:val="24"/>
        </w:rPr>
        <w:t xml:space="preserve">which provides </w:t>
      </w:r>
      <w:r>
        <w:rPr>
          <w:rFonts w:ascii="Arial"/>
          <w:color w:val="000000"/>
          <w:sz w:val="24"/>
        </w:rPr>
        <w:t>as follows:</w:t>
      </w:r>
    </w:p>
    <w:p>
      <w:pPr>
        <w:pStyle w:val="CaselawQuote"/>
        <w:spacing w:before="150" w:after="150"/>
        <w:ind w:left="1350"/>
        <w:jc w:val="left"/>
      </w:pPr>
      <w:r>
        <w:rPr>
          <w:rFonts w:ascii="Arial"/>
          <w:b/>
          <w:i/>
          <w:color w:val="000000"/>
          <w:sz w:val="22"/>
        </w:rPr>
        <w:t>development standards</w:t>
      </w:r>
      <w:r>
        <w:rPr>
          <w:rFonts w:ascii="Arial"/>
          <w:color w:val="000000"/>
          <w:sz w:val="22"/>
        </w:rPr>
        <w:t xml:space="preserve"> means provisions of an environmental planning instrument or the regulations in relation to the carrying out of development, being provisions by or under which requirements are specified or standards are fixed in respect of any aspect of that development, including, but without limiting the generality of the foregoing, requirements or standards in respect of-</w:t>
      </w:r>
    </w:p>
    <w:p>
      <w:pPr>
        <w:pStyle w:val="CaselawQuote"/>
        <w:spacing w:before="150" w:after="150"/>
        <w:ind w:left="1350"/>
        <w:jc w:val="left"/>
      </w:pPr>
      <w:r>
        <w:rPr>
          <w:rFonts w:ascii="Arial"/>
          <w:color w:val="000000"/>
          <w:sz w:val="22"/>
        </w:rPr>
        <w:t>(a) the area, shape or frontage of any land, the dimensions of any land, buildings or works, or the distance of any land, building or work from any specified point.</w:t>
      </w:r>
    </w:p>
    <w:p>
      <w:pPr>
        <w:pStyle w:val="CaselawQuote"/>
        <w:spacing w:before="150" w:after="150"/>
        <w:ind w:left="1350"/>
        <w:jc w:val="left"/>
      </w:pPr>
      <w:r>
        <w:rPr>
          <w:rFonts w:ascii="Arial"/>
          <w:color w:val="000000"/>
          <w:sz w:val="22"/>
        </w:rPr>
        <w:t>(b) the proportion or percentage of the area of a site which a building or work may occupy,</w:t>
      </w:r>
    </w:p>
    <w:p>
      <w:pPr>
        <w:pStyle w:val="CaselawQuote"/>
        <w:spacing w:before="150" w:after="150"/>
        <w:ind w:left="1350"/>
        <w:jc w:val="left"/>
      </w:pPr>
      <w:r>
        <w:rPr>
          <w:rFonts w:ascii="Arial"/>
          <w:color w:val="000000"/>
          <w:sz w:val="22"/>
        </w:rPr>
        <w:t>(c) the character, location, siting, bulk, scale, shape, size, height, density, design or external appearance of a building or work.</w:t>
      </w:r>
    </w:p>
    <w:p>
      <w:pPr>
        <w:pStyle w:val="CaselawNumbered10"/>
        <w:numPr>
          <w:ilvl w:val="0"/>
          <w:numId w:val="83"/>
        </w:numPr>
        <w:spacing w:before="150" w:after="0"/>
        <w:ind w:left="600" w:hanging="600"/>
      </w:pPr>
      <w:r>
        <w:rPr>
          <w:rFonts w:ascii="Arial"/>
          <w:color w:val="000000"/>
          <w:sz w:val="24"/>
        </w:rPr>
        <w:t>Adopting</w:t>
      </w:r>
      <w:r>
        <w:rPr>
          <w:rFonts w:ascii="Arial"/>
          <w:color w:val="000000"/>
          <w:sz w:val="24"/>
        </w:rPr>
        <w:t xml:space="preserve"> </w:t>
      </w:r>
      <w:r>
        <w:rPr>
          <w:rFonts w:ascii="Arial"/>
          <w:color w:val="000000"/>
          <w:sz w:val="24"/>
        </w:rPr>
        <w:t xml:space="preserve">the </w:t>
      </w:r>
      <w:r>
        <w:rPr>
          <w:rFonts w:ascii="Arial"/>
          <w:color w:val="000000"/>
          <w:sz w:val="24"/>
        </w:rPr>
        <w:t xml:space="preserve">accepted </w:t>
      </w:r>
      <w:r>
        <w:rPr>
          <w:rFonts w:ascii="Arial"/>
          <w:color w:val="000000"/>
          <w:sz w:val="24"/>
        </w:rPr>
        <w:t>principles of statutory construction relating to a local environmental plan</w:t>
      </w:r>
      <w:r>
        <w:rPr>
          <w:rFonts w:ascii="Arial"/>
          <w:color w:val="000000"/>
          <w:sz w:val="24"/>
        </w:rPr>
        <w:t>,</w:t>
      </w:r>
      <w:r>
        <w:rPr>
          <w:rFonts w:ascii="Arial"/>
          <w:color w:val="000000"/>
          <w:sz w:val="24"/>
        </w:rPr>
        <w:t xml:space="preserve"> </w:t>
      </w:r>
      <w:r>
        <w:rPr>
          <w:rFonts w:ascii="Arial"/>
          <w:color w:val="000000"/>
          <w:sz w:val="24"/>
        </w:rPr>
        <w:t xml:space="preserve">as </w:t>
      </w:r>
      <w:r>
        <w:rPr>
          <w:rFonts w:ascii="Arial"/>
          <w:color w:val="000000"/>
          <w:sz w:val="24"/>
        </w:rPr>
        <w:t xml:space="preserve">summarised by Robson J in </w:t>
      </w:r>
      <w:r>
        <w:rPr>
          <w:rFonts w:ascii="Arial"/>
          <w:i/>
          <w:color w:val="000000"/>
          <w:sz w:val="24"/>
        </w:rPr>
        <w:t xml:space="preserve">Elimatta Pty Ltd v Read </w:t>
      </w:r>
      <w:r>
        <w:rPr>
          <w:rFonts w:ascii="Arial"/>
          <w:color w:val="000000"/>
          <w:sz w:val="24"/>
        </w:rPr>
        <w:t>[2021] NSWLEC 75 (</w:t>
      </w:r>
      <w:r>
        <w:rPr>
          <w:rFonts w:ascii="Arial"/>
          <w:i/>
          <w:color w:val="000000"/>
          <w:sz w:val="24"/>
        </w:rPr>
        <w:t>Elimatta</w:t>
      </w:r>
      <w:r>
        <w:rPr>
          <w:rFonts w:ascii="Arial"/>
          <w:color w:val="000000"/>
          <w:sz w:val="24"/>
        </w:rPr>
        <w:t>) at [43]-[45]</w:t>
      </w:r>
      <w:r>
        <w:rPr>
          <w:rFonts w:ascii="Arial"/>
          <w:color w:val="000000"/>
          <w:sz w:val="24"/>
        </w:rPr>
        <w:t>;</w:t>
      </w:r>
      <w:r>
        <w:rPr>
          <w:rFonts w:ascii="Arial"/>
          <w:color w:val="000000"/>
          <w:sz w:val="24"/>
        </w:rPr>
        <w:t xml:space="preserve"> </w:t>
      </w:r>
      <w:r>
        <w:rPr>
          <w:rFonts w:ascii="Arial"/>
          <w:color w:val="000000"/>
          <w:sz w:val="24"/>
        </w:rPr>
        <w:t xml:space="preserve">and cited in </w:t>
      </w:r>
      <w:r>
        <w:rPr>
          <w:rFonts w:ascii="Arial"/>
          <w:i/>
          <w:color w:val="000000"/>
          <w:sz w:val="24"/>
        </w:rPr>
        <w:t>Australian Unity Funds Management Ltd in its capacity as Responsible Entity of the Australian Unity Healthcare Property Trust v Boston Nepean Pty Ltd &amp; Penrith City Council</w:t>
      </w:r>
      <w:r>
        <w:rPr>
          <w:rFonts w:ascii="Arial"/>
          <w:color w:val="000000"/>
          <w:sz w:val="24"/>
        </w:rPr>
        <w:t xml:space="preserve"> </w:t>
      </w:r>
      <w:r>
        <w:rPr>
          <w:rFonts w:ascii="Arial"/>
          <w:color w:val="000000"/>
          <w:sz w:val="24"/>
        </w:rPr>
        <w:t>[2023] NSWLEC 49 (</w:t>
      </w:r>
      <w:r>
        <w:rPr>
          <w:rFonts w:ascii="Arial"/>
          <w:i/>
          <w:color w:val="000000"/>
          <w:sz w:val="24"/>
        </w:rPr>
        <w:t>Australian Unity</w:t>
      </w:r>
      <w:r>
        <w:rPr>
          <w:rFonts w:ascii="Arial"/>
          <w:color w:val="000000"/>
          <w:sz w:val="24"/>
        </w:rPr>
        <w:t>) at [55]</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 xml:space="preserve">Council submits that </w:t>
      </w:r>
      <w:r>
        <w:rPr>
          <w:rFonts w:ascii="Arial"/>
          <w:color w:val="000000"/>
          <w:sz w:val="24"/>
        </w:rPr>
        <w:t xml:space="preserve">the requirements </w:t>
      </w:r>
      <w:r>
        <w:rPr>
          <w:rFonts w:ascii="Arial"/>
          <w:color w:val="000000"/>
          <w:sz w:val="24"/>
        </w:rPr>
        <w:t xml:space="preserve">in cl 6.14 </w:t>
      </w:r>
      <w:r>
        <w:rPr>
          <w:rFonts w:ascii="Arial"/>
          <w:color w:val="000000"/>
          <w:sz w:val="24"/>
        </w:rPr>
        <w:t>are not development standards but preconditions</w:t>
      </w:r>
      <w:r>
        <w:rPr>
          <w:rFonts w:ascii="Arial"/>
          <w:color w:val="000000"/>
          <w:sz w:val="24"/>
        </w:rPr>
        <w:t xml:space="preserve"> </w:t>
      </w:r>
      <w:r>
        <w:rPr>
          <w:rFonts w:ascii="Arial"/>
          <w:color w:val="000000"/>
          <w:sz w:val="24"/>
        </w:rPr>
        <w:t>which</w:t>
      </w:r>
      <w:r>
        <w:rPr>
          <w:rFonts w:ascii="Arial"/>
          <w:color w:val="000000"/>
          <w:sz w:val="24"/>
        </w:rPr>
        <w:t xml:space="preserve"> </w:t>
      </w:r>
      <w:r>
        <w:rPr>
          <w:rFonts w:ascii="Arial"/>
          <w:color w:val="000000"/>
          <w:sz w:val="24"/>
        </w:rPr>
        <w:t xml:space="preserve">must be satisfied </w:t>
      </w:r>
      <w:r>
        <w:rPr>
          <w:rFonts w:ascii="Arial"/>
          <w:color w:val="000000"/>
          <w:sz w:val="24"/>
        </w:rPr>
        <w:t>to</w:t>
      </w:r>
      <w:r>
        <w:rPr>
          <w:rFonts w:ascii="Arial"/>
          <w:color w:val="000000"/>
          <w:sz w:val="24"/>
        </w:rPr>
        <w:t xml:space="preserve"> </w:t>
      </w:r>
      <w:r>
        <w:rPr>
          <w:rFonts w:ascii="Arial"/>
          <w:color w:val="000000"/>
          <w:sz w:val="24"/>
        </w:rPr>
        <w:t xml:space="preserve">attain </w:t>
      </w:r>
      <w:r>
        <w:rPr>
          <w:rFonts w:ascii="Arial"/>
          <w:color w:val="000000"/>
          <w:sz w:val="24"/>
        </w:rPr>
        <w:t>the additional height limits in cl</w:t>
      </w:r>
      <w:r>
        <w:rPr>
          <w:rFonts w:ascii="Arial"/>
          <w:color w:val="000000"/>
          <w:sz w:val="24"/>
        </w:rPr>
        <w:t>l</w:t>
      </w:r>
      <w:r>
        <w:rPr>
          <w:rFonts w:ascii="Arial"/>
          <w:color w:val="000000"/>
          <w:sz w:val="24"/>
        </w:rPr>
        <w:t xml:space="preserve"> </w:t>
      </w:r>
      <w:r>
        <w:rPr>
          <w:rFonts w:ascii="Arial"/>
          <w:color w:val="000000"/>
          <w:sz w:val="24"/>
        </w:rPr>
        <w:t>6.14(2) and (3).</w:t>
      </w:r>
    </w:p>
    <w:p>
      <w:pPr>
        <w:pStyle w:val="CaselawNumbered10"/>
        <w:numPr>
          <w:ilvl w:val="0"/>
          <w:numId w:val="83"/>
        </w:numPr>
        <w:spacing w:before="150" w:after="0"/>
        <w:ind w:left="600" w:hanging="600"/>
      </w:pPr>
      <w:r>
        <w:rPr>
          <w:rFonts w:ascii="Arial"/>
          <w:color w:val="000000"/>
          <w:sz w:val="24"/>
        </w:rPr>
        <w:t>Th</w:t>
      </w:r>
      <w:r>
        <w:rPr>
          <w:rFonts w:ascii="Arial"/>
          <w:color w:val="000000"/>
          <w:sz w:val="24"/>
        </w:rPr>
        <w:t>e</w:t>
      </w:r>
      <w:r>
        <w:rPr>
          <w:rFonts w:ascii="Arial"/>
          <w:color w:val="000000"/>
          <w:sz w:val="24"/>
        </w:rPr>
        <w:t xml:space="preserve"> </w:t>
      </w:r>
      <w:r>
        <w:rPr>
          <w:rFonts w:ascii="Arial"/>
          <w:color w:val="000000"/>
          <w:sz w:val="24"/>
        </w:rPr>
        <w:t>Council argues that the</w:t>
      </w:r>
      <w:r>
        <w:rPr>
          <w:rFonts w:ascii="Arial"/>
          <w:color w:val="000000"/>
          <w:sz w:val="24"/>
        </w:rPr>
        <w:t>y are not development standards because th</w:t>
      </w:r>
      <w:r>
        <w:rPr>
          <w:rFonts w:ascii="Arial"/>
          <w:color w:val="000000"/>
          <w:sz w:val="24"/>
        </w:rPr>
        <w:t>e</w:t>
      </w:r>
      <w:r>
        <w:rPr>
          <w:rFonts w:ascii="Arial"/>
          <w:color w:val="000000"/>
          <w:sz w:val="24"/>
        </w:rPr>
        <w:t xml:space="preserve"> </w:t>
      </w:r>
      <w:r>
        <w:rPr>
          <w:rFonts w:ascii="Arial"/>
          <w:color w:val="000000"/>
          <w:sz w:val="24"/>
        </w:rPr>
        <w:t xml:space="preserve">requirements </w:t>
      </w:r>
      <w:r>
        <w:rPr>
          <w:rFonts w:ascii="Arial"/>
          <w:color w:val="000000"/>
          <w:sz w:val="24"/>
        </w:rPr>
        <w:t xml:space="preserve">in cl 6.14 </w:t>
      </w:r>
      <w:r>
        <w:rPr>
          <w:rFonts w:ascii="Arial"/>
          <w:color w:val="000000"/>
          <w:sz w:val="24"/>
        </w:rPr>
        <w:t xml:space="preserve">do not fix an aspect of the development. </w:t>
      </w:r>
      <w:r>
        <w:rPr>
          <w:rFonts w:ascii="Arial"/>
          <w:color w:val="000000"/>
          <w:sz w:val="24"/>
        </w:rPr>
        <w:t>Rather, t</w:t>
      </w:r>
      <w:r>
        <w:rPr>
          <w:rFonts w:ascii="Arial"/>
          <w:color w:val="000000"/>
          <w:sz w:val="24"/>
        </w:rPr>
        <w:t>he aspect which is fixed by cl 6.14 is height, or more</w:t>
      </w:r>
      <w:r>
        <w:rPr>
          <w:rFonts w:ascii="Arial"/>
          <w:color w:val="000000"/>
          <w:sz w:val="24"/>
        </w:rPr>
        <w:t xml:space="preserve"> </w:t>
      </w:r>
      <w:r>
        <w:rPr>
          <w:rFonts w:ascii="Arial"/>
          <w:color w:val="000000"/>
          <w:sz w:val="24"/>
        </w:rPr>
        <w:t>accurately,</w:t>
      </w:r>
      <w:r>
        <w:rPr>
          <w:rFonts w:ascii="Arial"/>
          <w:color w:val="000000"/>
          <w:sz w:val="24"/>
        </w:rPr>
        <w:t xml:space="preserve"> </w:t>
      </w:r>
      <w:r>
        <w:rPr>
          <w:rFonts w:ascii="Arial"/>
          <w:color w:val="000000"/>
          <w:sz w:val="24"/>
        </w:rPr>
        <w:t>several</w:t>
      </w:r>
      <w:r>
        <w:rPr>
          <w:rFonts w:ascii="Arial"/>
          <w:color w:val="000000"/>
          <w:sz w:val="24"/>
        </w:rPr>
        <w:t xml:space="preserve"> </w:t>
      </w:r>
      <w:r>
        <w:rPr>
          <w:rFonts w:ascii="Arial"/>
          <w:color w:val="000000"/>
          <w:sz w:val="24"/>
        </w:rPr>
        <w:t>heights. The</w:t>
      </w:r>
      <w:r>
        <w:rPr>
          <w:rFonts w:ascii="Arial"/>
          <w:color w:val="000000"/>
          <w:sz w:val="24"/>
        </w:rPr>
        <w:t>refore, the</w:t>
      </w:r>
      <w:r>
        <w:rPr>
          <w:rFonts w:ascii="Arial"/>
          <w:color w:val="000000"/>
          <w:sz w:val="24"/>
        </w:rPr>
        <w:t xml:space="preserve"> </w:t>
      </w:r>
      <w:r>
        <w:rPr>
          <w:rFonts w:ascii="Arial"/>
          <w:color w:val="000000"/>
          <w:sz w:val="24"/>
        </w:rPr>
        <w:t xml:space="preserve">seven enumerated </w:t>
      </w:r>
      <w:r>
        <w:rPr>
          <w:rFonts w:ascii="Arial"/>
          <w:color w:val="000000"/>
          <w:sz w:val="24"/>
        </w:rPr>
        <w:t xml:space="preserve">requirements </w:t>
      </w:r>
      <w:r>
        <w:rPr>
          <w:rFonts w:ascii="Arial"/>
          <w:color w:val="000000"/>
          <w:sz w:val="24"/>
        </w:rPr>
        <w:t xml:space="preserve">in cl 6.14(4) </w:t>
      </w:r>
      <w:r>
        <w:rPr>
          <w:rFonts w:ascii="Arial"/>
          <w:color w:val="000000"/>
          <w:sz w:val="24"/>
        </w:rPr>
        <w:t>are preconditions</w:t>
      </w:r>
      <w:r>
        <w:rPr>
          <w:rFonts w:ascii="Arial"/>
          <w:color w:val="000000"/>
          <w:sz w:val="24"/>
        </w:rPr>
        <w:t xml:space="preserve"> </w:t>
      </w:r>
      <w:r>
        <w:rPr>
          <w:rFonts w:ascii="Arial"/>
          <w:color w:val="000000"/>
          <w:sz w:val="24"/>
        </w:rPr>
        <w:t xml:space="preserve">which enable any height </w:t>
      </w:r>
      <w:r>
        <w:rPr>
          <w:rFonts w:ascii="Arial"/>
          <w:color w:val="000000"/>
          <w:sz w:val="24"/>
        </w:rPr>
        <w:t>more than</w:t>
      </w:r>
      <w:r>
        <w:rPr>
          <w:rFonts w:ascii="Arial"/>
          <w:color w:val="000000"/>
          <w:sz w:val="24"/>
        </w:rPr>
        <w:t xml:space="preserve"> </w:t>
      </w:r>
      <w:r>
        <w:rPr>
          <w:rFonts w:ascii="Arial"/>
          <w:color w:val="000000"/>
          <w:sz w:val="24"/>
        </w:rPr>
        <w:t>the 11m control to be achieved</w:t>
      </w:r>
      <w:r>
        <w:rPr>
          <w:rFonts w:ascii="Arial"/>
          <w:color w:val="000000"/>
          <w:sz w:val="24"/>
        </w:rPr>
        <w:t xml:space="preserve"> </w:t>
      </w:r>
      <w:r>
        <w:rPr>
          <w:rFonts w:ascii="Arial"/>
          <w:color w:val="000000"/>
          <w:sz w:val="24"/>
        </w:rPr>
        <w:t>on the site</w:t>
      </w:r>
      <w:r>
        <w:rPr>
          <w:rFonts w:ascii="Arial"/>
          <w:color w:val="000000"/>
          <w:sz w:val="24"/>
        </w:rPr>
        <w:t>.</w:t>
      </w:r>
      <w:r>
        <w:rPr>
          <w:rFonts w:ascii="Arial"/>
          <w:color w:val="000000"/>
          <w:sz w:val="24"/>
        </w:rPr>
        <w:t xml:space="preserve"> </w:t>
      </w:r>
    </w:p>
    <w:p>
      <w:pPr>
        <w:pStyle w:val="CaselawNumbered10"/>
        <w:numPr>
          <w:ilvl w:val="0"/>
          <w:numId w:val="83"/>
        </w:numPr>
        <w:spacing w:before="150" w:after="0"/>
        <w:ind w:left="600" w:hanging="600"/>
      </w:pPr>
      <w:r>
        <w:rPr>
          <w:rFonts w:ascii="Arial"/>
          <w:color w:val="000000"/>
          <w:sz w:val="24"/>
        </w:rPr>
        <w:t xml:space="preserve">As such, the Council submits that there is no opportunity to separate </w:t>
      </w:r>
      <w:r>
        <w:rPr>
          <w:rFonts w:ascii="Arial"/>
          <w:color w:val="000000"/>
          <w:sz w:val="24"/>
        </w:rPr>
        <w:t xml:space="preserve">those </w:t>
      </w:r>
      <w:r>
        <w:rPr>
          <w:rFonts w:ascii="Arial"/>
          <w:color w:val="000000"/>
          <w:sz w:val="24"/>
        </w:rPr>
        <w:t xml:space="preserve">requirements </w:t>
      </w:r>
      <w:r>
        <w:rPr>
          <w:rFonts w:ascii="Arial"/>
          <w:color w:val="000000"/>
          <w:sz w:val="24"/>
        </w:rPr>
        <w:t xml:space="preserve">as </w:t>
      </w:r>
      <w:r>
        <w:rPr>
          <w:rFonts w:ascii="Arial"/>
          <w:color w:val="000000"/>
          <w:sz w:val="24"/>
        </w:rPr>
        <w:t>“</w:t>
      </w:r>
      <w:r>
        <w:rPr>
          <w:rFonts w:ascii="Arial"/>
          <w:color w:val="000000"/>
          <w:sz w:val="24"/>
        </w:rPr>
        <w:t>aspects of the development</w:t>
      </w:r>
      <w:r>
        <w:rPr>
          <w:rFonts w:ascii="Arial"/>
          <w:color w:val="000000"/>
          <w:sz w:val="24"/>
        </w:rPr>
        <w:t>”</w:t>
      </w:r>
      <w:r>
        <w:rPr>
          <w:rFonts w:ascii="Arial"/>
          <w:color w:val="000000"/>
          <w:sz w:val="24"/>
        </w:rPr>
        <w:t xml:space="preserve"> </w:t>
      </w:r>
      <w:r>
        <w:rPr>
          <w:rFonts w:ascii="Arial"/>
          <w:color w:val="000000"/>
          <w:sz w:val="24"/>
        </w:rPr>
        <w:t xml:space="preserve">as this </w:t>
      </w:r>
      <w:r>
        <w:rPr>
          <w:rFonts w:ascii="Arial"/>
          <w:color w:val="000000"/>
          <w:sz w:val="24"/>
        </w:rPr>
        <w:t xml:space="preserve">puts a </w:t>
      </w:r>
      <w:r>
        <w:rPr>
          <w:rFonts w:ascii="Arial"/>
          <w:color w:val="000000"/>
          <w:sz w:val="24"/>
        </w:rPr>
        <w:t xml:space="preserve">strain </w:t>
      </w:r>
      <w:r>
        <w:rPr>
          <w:rFonts w:ascii="Arial"/>
          <w:color w:val="000000"/>
          <w:sz w:val="24"/>
        </w:rPr>
        <w:t xml:space="preserve">on </w:t>
      </w:r>
      <w:r>
        <w:rPr>
          <w:rFonts w:ascii="Arial"/>
          <w:color w:val="000000"/>
          <w:sz w:val="24"/>
        </w:rPr>
        <w:t xml:space="preserve">the language of the </w:t>
      </w:r>
      <w:r>
        <w:rPr>
          <w:rFonts w:ascii="Arial"/>
          <w:color w:val="000000"/>
          <w:sz w:val="24"/>
        </w:rPr>
        <w:t>clause</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ignore</w:t>
      </w:r>
      <w:r>
        <w:rPr>
          <w:rFonts w:ascii="Arial"/>
          <w:color w:val="000000"/>
          <w:sz w:val="24"/>
        </w:rPr>
        <w:t>s</w:t>
      </w:r>
      <w:r>
        <w:rPr>
          <w:rFonts w:ascii="Arial"/>
          <w:color w:val="000000"/>
          <w:sz w:val="24"/>
        </w:rPr>
        <w:t xml:space="preserve"> </w:t>
      </w:r>
      <w:r>
        <w:rPr>
          <w:rFonts w:ascii="Arial"/>
          <w:color w:val="000000"/>
          <w:sz w:val="24"/>
        </w:rPr>
        <w:t>its p</w:t>
      </w:r>
      <w:r>
        <w:rPr>
          <w:rFonts w:ascii="Arial"/>
          <w:color w:val="000000"/>
          <w:sz w:val="24"/>
        </w:rPr>
        <w:t>urpose.</w:t>
      </w:r>
    </w:p>
    <w:p>
      <w:pPr>
        <w:pStyle w:val="CaselawNumbered10"/>
        <w:numPr>
          <w:ilvl w:val="0"/>
          <w:numId w:val="83"/>
        </w:numPr>
        <w:spacing w:before="150" w:after="0"/>
        <w:ind w:left="600" w:hanging="600"/>
      </w:pPr>
      <w:r>
        <w:rPr>
          <w:rFonts w:ascii="Arial"/>
          <w:color w:val="000000"/>
          <w:sz w:val="24"/>
        </w:rPr>
        <w:t xml:space="preserve">Accepting the demarcation line that distinguishes </w:t>
      </w:r>
      <w:r>
        <w:rPr>
          <w:rFonts w:ascii="Arial"/>
          <w:color w:val="000000"/>
          <w:sz w:val="24"/>
        </w:rPr>
        <w:t xml:space="preserve">between a provision that may be properly characterised as a development standard and a provision that controls development in some other way </w:t>
      </w:r>
      <w:r>
        <w:rPr>
          <w:rFonts w:ascii="Arial"/>
          <w:color w:val="000000"/>
          <w:sz w:val="24"/>
        </w:rPr>
        <w:t xml:space="preserve">is far from clear </w:t>
      </w:r>
      <w:r>
        <w:rPr>
          <w:rFonts w:ascii="Arial"/>
          <w:color w:val="000000"/>
          <w:sz w:val="24"/>
        </w:rPr>
        <w:t>(</w:t>
      </w:r>
      <w:r>
        <w:rPr>
          <w:rFonts w:ascii="Arial"/>
          <w:i/>
          <w:color w:val="000000"/>
          <w:sz w:val="24"/>
        </w:rPr>
        <w:t>Strathfield Municipal Council v Poynting</w:t>
      </w:r>
      <w:r>
        <w:rPr>
          <w:rFonts w:ascii="Arial"/>
          <w:color w:val="000000"/>
          <w:sz w:val="24"/>
        </w:rPr>
        <w:t xml:space="preserve"> </w:t>
      </w:r>
      <w:r>
        <w:rPr>
          <w:rFonts w:ascii="Arial"/>
          <w:color w:val="000000"/>
          <w:sz w:val="24"/>
        </w:rPr>
        <w:t xml:space="preserve">(2001) 116 LGERA 319; [2001] NSWCA 270 at [95]), </w:t>
      </w:r>
      <w:r>
        <w:rPr>
          <w:rFonts w:ascii="Arial"/>
          <w:i/>
          <w:color w:val="000000"/>
          <w:sz w:val="24"/>
        </w:rPr>
        <w:t>Canterbury Bankstown Council v Dib</w:t>
      </w:r>
      <w:r>
        <w:rPr>
          <w:rFonts w:ascii="Arial"/>
          <w:color w:val="000000"/>
          <w:sz w:val="24"/>
        </w:rPr>
        <w:t xml:space="preserve"> </w:t>
      </w:r>
      <w:r>
        <w:rPr>
          <w:rFonts w:ascii="Arial"/>
          <w:color w:val="000000"/>
          <w:sz w:val="24"/>
        </w:rPr>
        <w:t>[2022] NSWLEC 79 (</w:t>
      </w:r>
      <w:r>
        <w:rPr>
          <w:rFonts w:ascii="Arial"/>
          <w:i/>
          <w:color w:val="000000"/>
          <w:sz w:val="24"/>
        </w:rPr>
        <w:t>Dib</w:t>
      </w:r>
      <w:r>
        <w:rPr>
          <w:rFonts w:ascii="Arial"/>
          <w:color w:val="000000"/>
          <w:sz w:val="24"/>
        </w:rPr>
        <w:t>) at [57] per Preston CJ</w:t>
      </w:r>
      <w:r>
        <w:rPr>
          <w:rFonts w:ascii="Arial"/>
          <w:color w:val="000000"/>
          <w:sz w:val="24"/>
        </w:rPr>
        <w:t>)</w:t>
      </w:r>
      <w:r>
        <w:rPr>
          <w:rFonts w:ascii="Arial"/>
          <w:color w:val="000000"/>
          <w:sz w:val="24"/>
        </w:rPr>
        <w:t xml:space="preserve">, </w:t>
      </w:r>
      <w:r>
        <w:rPr>
          <w:rFonts w:ascii="Arial"/>
          <w:color w:val="000000"/>
          <w:sz w:val="24"/>
        </w:rPr>
        <w:t xml:space="preserve">the Council refers me to the reasoning of the Court in </w:t>
      </w:r>
      <w:r>
        <w:rPr>
          <w:rFonts w:ascii="Arial"/>
          <w:i/>
          <w:color w:val="000000"/>
          <w:sz w:val="24"/>
        </w:rPr>
        <w:t>Elimatta</w:t>
      </w:r>
      <w:r>
        <w:rPr>
          <w:rFonts w:ascii="Arial"/>
          <w:i/>
          <w:color w:val="000000"/>
          <w:sz w:val="24"/>
        </w:rPr>
        <w:t xml:space="preserve"> </w:t>
      </w:r>
      <w:r>
        <w:rPr>
          <w:rFonts w:ascii="Arial"/>
          <w:color w:val="000000"/>
          <w:sz w:val="24"/>
        </w:rPr>
        <w:t>and submits that I am bound by it</w:t>
      </w:r>
      <w:r>
        <w:rPr>
          <w:rFonts w:ascii="Arial"/>
          <w:color w:val="000000"/>
          <w:sz w:val="24"/>
        </w:rPr>
        <w:t xml:space="preserve"> </w:t>
      </w:r>
      <w:r>
        <w:rPr>
          <w:rFonts w:ascii="Arial"/>
          <w:color w:val="000000"/>
          <w:sz w:val="24"/>
        </w:rPr>
        <w:t>based on the facts in this case</w:t>
      </w:r>
      <w:r>
        <w:rPr>
          <w:rFonts w:ascii="Arial"/>
          <w:color w:val="000000"/>
          <w:sz w:val="24"/>
        </w:rPr>
        <w:t xml:space="preserve">. </w:t>
      </w:r>
      <w:r>
        <w:rPr>
          <w:rFonts w:ascii="Arial"/>
          <w:color w:val="000000"/>
          <w:sz w:val="24"/>
        </w:rPr>
        <w:t xml:space="preserve"> </w:t>
      </w:r>
    </w:p>
    <w:p>
      <w:pPr>
        <w:pStyle w:val="CaselawNumbered10"/>
        <w:numPr>
          <w:ilvl w:val="0"/>
          <w:numId w:val="83"/>
        </w:numPr>
        <w:spacing w:before="150" w:after="0"/>
        <w:ind w:left="600" w:hanging="600"/>
      </w:pPr>
      <w:r>
        <w:rPr>
          <w:rFonts w:ascii="Arial"/>
          <w:color w:val="000000"/>
          <w:sz w:val="24"/>
        </w:rPr>
        <w:t>In</w:t>
      </w:r>
      <w:r>
        <w:rPr>
          <w:rFonts w:ascii="Arial"/>
          <w:i/>
          <w:color w:val="000000"/>
          <w:sz w:val="24"/>
        </w:rPr>
        <w:t xml:space="preserve"> </w:t>
      </w:r>
      <w:r>
        <w:rPr>
          <w:rFonts w:ascii="Arial"/>
          <w:i/>
          <w:color w:val="000000"/>
          <w:sz w:val="24"/>
        </w:rPr>
        <w:t>Elimatta</w:t>
      </w:r>
      <w:r>
        <w:rPr>
          <w:rFonts w:ascii="Arial"/>
          <w:color w:val="000000"/>
          <w:sz w:val="24"/>
        </w:rPr>
        <w:t>,</w:t>
      </w:r>
      <w:r>
        <w:rPr>
          <w:rFonts w:ascii="Arial"/>
          <w:color w:val="000000"/>
          <w:sz w:val="24"/>
        </w:rPr>
        <w:t xml:space="preserve"> </w:t>
      </w:r>
      <w:r>
        <w:rPr>
          <w:rFonts w:ascii="Arial"/>
          <w:color w:val="000000"/>
          <w:sz w:val="24"/>
        </w:rPr>
        <w:t>t</w:t>
      </w:r>
      <w:r>
        <w:rPr>
          <w:rFonts w:ascii="Arial"/>
          <w:color w:val="000000"/>
          <w:sz w:val="24"/>
        </w:rPr>
        <w:t xml:space="preserve">here was a dispute as to whether cl 4.1B of the </w:t>
      </w:r>
      <w:r>
        <w:rPr>
          <w:rFonts w:ascii="Arial"/>
          <w:color w:val="000000"/>
          <w:sz w:val="24"/>
        </w:rPr>
        <w:t>Yass Valley Local Environmental Plan 2013 (</w:t>
      </w:r>
      <w:r>
        <w:rPr>
          <w:rFonts w:ascii="Arial"/>
          <w:color w:val="000000"/>
          <w:sz w:val="24"/>
        </w:rPr>
        <w:t>Yass LEP</w:t>
      </w:r>
      <w:r>
        <w:rPr>
          <w:rFonts w:ascii="Arial"/>
          <w:color w:val="000000"/>
          <w:sz w:val="24"/>
        </w:rPr>
        <w:t>)</w:t>
      </w:r>
      <w:r>
        <w:rPr>
          <w:rFonts w:ascii="Arial"/>
          <w:color w:val="000000"/>
          <w:sz w:val="24"/>
        </w:rPr>
        <w:t>, which provided development consent may be granted to subdivide land in Zone RU1 if certain conditions were satisfied, constituted a development standard: at [221</w:t>
      </w:r>
      <w:r>
        <w:rPr>
          <w:rFonts w:ascii="Arial"/>
          <w:color w:val="000000"/>
          <w:sz w:val="24"/>
        </w:rPr>
        <w:t>]</w:t>
      </w:r>
      <w:r>
        <w:rPr>
          <w:rFonts w:ascii="Arial"/>
          <w:color w:val="000000"/>
          <w:sz w:val="24"/>
        </w:rPr>
        <w:t>. For the purpose of cl</w:t>
      </w:r>
      <w:r>
        <w:rPr>
          <w:rFonts w:ascii="Arial"/>
          <w:color w:val="000000"/>
          <w:sz w:val="24"/>
        </w:rPr>
        <w:t> </w:t>
      </w:r>
      <w:r>
        <w:rPr>
          <w:rFonts w:ascii="Arial"/>
          <w:color w:val="000000"/>
          <w:sz w:val="24"/>
        </w:rPr>
        <w:t>4.1B, the proposed subdivision did not comply with one of the conditions of cl 4.18(3) because the average area of all of the lots to be created was less than the minimum size (40ha): at [27]</w:t>
      </w:r>
      <w:r>
        <w:rPr>
          <w:rFonts w:ascii="Arial"/>
          <w:color w:val="000000"/>
          <w:sz w:val="24"/>
        </w:rPr>
        <w:t>. T</w:t>
      </w:r>
      <w:r>
        <w:rPr>
          <w:rFonts w:ascii="Arial"/>
          <w:color w:val="000000"/>
          <w:sz w:val="24"/>
        </w:rPr>
        <w:t xml:space="preserve">he Court </w:t>
      </w:r>
      <w:r>
        <w:rPr>
          <w:rFonts w:ascii="Arial"/>
          <w:color w:val="000000"/>
          <w:sz w:val="24"/>
        </w:rPr>
        <w:t>held that cl 4.1B of the Yass LEP was not a development standard</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 xml:space="preserve">therefore, </w:t>
      </w:r>
      <w:r>
        <w:rPr>
          <w:rFonts w:ascii="Arial"/>
          <w:color w:val="000000"/>
          <w:sz w:val="24"/>
        </w:rPr>
        <w:t>could not be varied through the operation of cl 4.6</w:t>
      </w:r>
      <w:r>
        <w:rPr>
          <w:rFonts w:ascii="Arial"/>
          <w:color w:val="000000"/>
          <w:sz w:val="24"/>
        </w:rPr>
        <w:t>. In forming that view</w:t>
      </w:r>
      <w:r>
        <w:rPr>
          <w:rFonts w:ascii="Arial"/>
          <w:color w:val="000000"/>
          <w:sz w:val="24"/>
        </w:rPr>
        <w:t>,</w:t>
      </w:r>
      <w:r>
        <w:rPr>
          <w:rFonts w:ascii="Arial"/>
          <w:color w:val="000000"/>
          <w:sz w:val="24"/>
        </w:rPr>
        <w:t xml:space="preserve"> </w:t>
      </w:r>
      <w:r>
        <w:rPr>
          <w:rFonts w:ascii="Arial"/>
          <w:color w:val="000000"/>
          <w:sz w:val="24"/>
        </w:rPr>
        <w:t>Robson J provided</w:t>
      </w:r>
      <w:r>
        <w:rPr>
          <w:rFonts w:ascii="Arial"/>
          <w:color w:val="000000"/>
          <w:sz w:val="24"/>
        </w:rPr>
        <w:t xml:space="preserve"> </w:t>
      </w:r>
      <w:r>
        <w:rPr>
          <w:rFonts w:ascii="Arial"/>
          <w:color w:val="000000"/>
          <w:sz w:val="24"/>
        </w:rPr>
        <w:t>the following reasons (at [48]):</w:t>
      </w:r>
    </w:p>
    <w:p>
      <w:pPr>
        <w:pStyle w:val="CaselawNumbered1"/>
        <w:numPr>
          <w:ilvl w:val="0"/>
          <w:numId w:val="84"/>
        </w:numPr>
        <w:spacing w:before="150" w:after="0"/>
        <w:ind w:left="1350" w:hanging="750"/>
      </w:pPr>
      <w:r>
        <w:rPr>
          <w:rFonts w:ascii="Arial"/>
          <w:color w:val="000000"/>
          <w:sz w:val="24"/>
        </w:rPr>
        <w:t>Clause 4.1(3) provides a minimum lot size of 40ha for the subdivision of land and, prima facie, prohibits the granting of development consent to a subdivision which does not comply with that size: at [49].</w:t>
      </w:r>
    </w:p>
    <w:p>
      <w:pPr>
        <w:pStyle w:val="CaselawNumbered1"/>
        <w:numPr>
          <w:ilvl w:val="0"/>
          <w:numId w:val="84"/>
        </w:numPr>
        <w:spacing w:before="150" w:after="0"/>
        <w:ind w:left="1350" w:hanging="750"/>
      </w:pPr>
      <w:r>
        <w:rPr>
          <w:rFonts w:ascii="Arial"/>
          <w:color w:val="000000"/>
          <w:sz w:val="24"/>
        </w:rPr>
        <w:t xml:space="preserve">Clause 4.18(3) of the </w:t>
      </w:r>
      <w:r>
        <w:rPr>
          <w:rFonts w:ascii="Arial"/>
          <w:color w:val="000000"/>
          <w:sz w:val="24"/>
        </w:rPr>
        <w:t>Y</w:t>
      </w:r>
      <w:r>
        <w:rPr>
          <w:rFonts w:ascii="Arial"/>
          <w:color w:val="000000"/>
          <w:sz w:val="24"/>
        </w:rPr>
        <w:t>ass LEP creates an exception to the development standard in cl 4.1 provided that all of the requirements in paragraphs (a), (b) and (c) are satisfied: at [50]-[51] and [58]-[59].</w:t>
      </w:r>
    </w:p>
    <w:p>
      <w:pPr>
        <w:pStyle w:val="CaselawNumbered1"/>
        <w:numPr>
          <w:ilvl w:val="0"/>
          <w:numId w:val="84"/>
        </w:numPr>
        <w:spacing w:before="150" w:after="0"/>
        <w:ind w:left="1350" w:hanging="750"/>
      </w:pPr>
      <w:r>
        <w:rPr>
          <w:rFonts w:ascii="Arial"/>
          <w:color w:val="000000"/>
          <w:sz w:val="24"/>
        </w:rPr>
        <w:t xml:space="preserve">The words </w:t>
      </w:r>
      <w:r>
        <w:rPr>
          <w:rFonts w:ascii="Arial"/>
          <w:color w:val="000000"/>
          <w:sz w:val="24"/>
        </w:rPr>
        <w:t>“</w:t>
      </w:r>
      <w:r>
        <w:rPr>
          <w:rFonts w:ascii="Arial"/>
          <w:color w:val="000000"/>
          <w:sz w:val="24"/>
        </w:rPr>
        <w:t>despite clause 4.1</w:t>
      </w:r>
      <w:r>
        <w:rPr>
          <w:rFonts w:ascii="Arial"/>
          <w:color w:val="000000"/>
          <w:sz w:val="24"/>
        </w:rPr>
        <w:t>”</w:t>
      </w:r>
      <w:r>
        <w:rPr>
          <w:rFonts w:ascii="Arial"/>
          <w:color w:val="000000"/>
          <w:sz w:val="24"/>
        </w:rPr>
        <w:t xml:space="preserve"> </w:t>
      </w:r>
      <w:r>
        <w:rPr>
          <w:rFonts w:ascii="Arial"/>
          <w:color w:val="000000"/>
          <w:sz w:val="24"/>
        </w:rPr>
        <w:t xml:space="preserve">at the beginning of cl 4.18(3) indicate that the exception in cl 4.18(3) is to prevail notwithstanding the terms of cl 4.1(3), such that development consent to subdivide land may be granted if the requirements of cl 4.18(3) are met, despite not meeting the requirements of cl 4.1(3) (citing </w:t>
      </w:r>
      <w:r>
        <w:rPr>
          <w:rFonts w:ascii="Arial"/>
          <w:i/>
          <w:color w:val="000000"/>
          <w:sz w:val="24"/>
        </w:rPr>
        <w:t>R.I.G. Consulting Pty Ltd v Queanbeyan-Palerang Regional Council</w:t>
      </w:r>
      <w:r>
        <w:rPr>
          <w:rFonts w:ascii="Arial"/>
          <w:color w:val="000000"/>
          <w:sz w:val="24"/>
        </w:rPr>
        <w:t xml:space="preserve"> </w:t>
      </w:r>
      <w:r>
        <w:rPr>
          <w:rFonts w:ascii="Arial"/>
          <w:color w:val="000000"/>
          <w:sz w:val="24"/>
        </w:rPr>
        <w:t>(2021) 249 LGERA 377; [2021] NSWCA 130 (</w:t>
      </w:r>
      <w:r>
        <w:rPr>
          <w:rFonts w:ascii="Arial"/>
          <w:i/>
          <w:color w:val="000000"/>
          <w:sz w:val="24"/>
        </w:rPr>
        <w:t>R.I.G. Consulting</w:t>
      </w:r>
      <w:r>
        <w:rPr>
          <w:rFonts w:ascii="Arial"/>
          <w:color w:val="000000"/>
          <w:sz w:val="24"/>
        </w:rPr>
        <w:t>) at [22]): at [52].</w:t>
      </w:r>
    </w:p>
    <w:p>
      <w:pPr>
        <w:pStyle w:val="CaselawNumbered1"/>
        <w:numPr>
          <w:ilvl w:val="0"/>
          <w:numId w:val="84"/>
        </w:numPr>
        <w:spacing w:before="150" w:after="0"/>
        <w:ind w:left="1350" w:hanging="750"/>
      </w:pPr>
      <w:r>
        <w:rPr>
          <w:rFonts w:ascii="Arial"/>
          <w:color w:val="000000"/>
          <w:sz w:val="24"/>
        </w:rPr>
        <w:t xml:space="preserve">Having regard to the definition of </w:t>
      </w:r>
      <w:r>
        <w:rPr>
          <w:rFonts w:ascii="Arial"/>
          <w:color w:val="000000"/>
          <w:sz w:val="24"/>
        </w:rPr>
        <w:t>“</w:t>
      </w:r>
      <w:r>
        <w:rPr>
          <w:rFonts w:ascii="Arial"/>
          <w:color w:val="000000"/>
          <w:sz w:val="24"/>
        </w:rPr>
        <w:t>development standards</w:t>
      </w:r>
      <w:r>
        <w:rPr>
          <w:rFonts w:ascii="Arial"/>
          <w:color w:val="000000"/>
          <w:sz w:val="24"/>
        </w:rPr>
        <w:t>”</w:t>
      </w:r>
      <w:r>
        <w:rPr>
          <w:rFonts w:ascii="Arial"/>
          <w:color w:val="000000"/>
          <w:sz w:val="24"/>
        </w:rPr>
        <w:t>, cl 4.18(3) does not itself specify or fix anything - rather it provides an exception to those requirements which are otherwise specified by cl 4.1(3): at [53].</w:t>
      </w:r>
    </w:p>
    <w:p>
      <w:pPr>
        <w:pStyle w:val="CaselawNumbered1"/>
        <w:numPr>
          <w:ilvl w:val="0"/>
          <w:numId w:val="84"/>
        </w:numPr>
        <w:spacing w:before="150" w:after="0"/>
        <w:ind w:left="1350" w:hanging="750"/>
      </w:pPr>
      <w:r>
        <w:rPr>
          <w:rFonts w:ascii="Arial"/>
          <w:color w:val="000000"/>
          <w:sz w:val="24"/>
        </w:rPr>
        <w:t xml:space="preserve">The requirements of cl 4.18(3) are better conceptualised as </w:t>
      </w:r>
      <w:r>
        <w:rPr>
          <w:rFonts w:ascii="Arial"/>
          <w:color w:val="000000"/>
          <w:sz w:val="24"/>
        </w:rPr>
        <w:t>“</w:t>
      </w:r>
      <w:r>
        <w:rPr>
          <w:rFonts w:ascii="Arial"/>
          <w:color w:val="000000"/>
          <w:sz w:val="24"/>
        </w:rPr>
        <w:t>integers</w:t>
      </w:r>
      <w:r>
        <w:rPr>
          <w:rFonts w:ascii="Arial"/>
          <w:color w:val="000000"/>
          <w:sz w:val="24"/>
        </w:rPr>
        <w:t>”</w:t>
      </w:r>
      <w:r>
        <w:rPr>
          <w:rFonts w:ascii="Arial"/>
          <w:color w:val="000000"/>
          <w:sz w:val="24"/>
        </w:rPr>
        <w:t xml:space="preserve"> </w:t>
      </w:r>
      <w:r>
        <w:rPr>
          <w:rFonts w:ascii="Arial"/>
          <w:color w:val="000000"/>
          <w:sz w:val="24"/>
        </w:rPr>
        <w:t xml:space="preserve">in a formula which determines the </w:t>
      </w:r>
      <w:r>
        <w:rPr>
          <w:rFonts w:ascii="Arial"/>
          <w:color w:val="000000"/>
          <w:sz w:val="24"/>
        </w:rPr>
        <w:t>“</w:t>
      </w:r>
      <w:r>
        <w:rPr>
          <w:rFonts w:ascii="Arial"/>
          <w:color w:val="000000"/>
          <w:sz w:val="24"/>
        </w:rPr>
        <w:t>availability</w:t>
      </w:r>
      <w:r>
        <w:rPr>
          <w:rFonts w:ascii="Arial"/>
          <w:color w:val="000000"/>
          <w:sz w:val="24"/>
        </w:rPr>
        <w:t>”</w:t>
      </w:r>
      <w:r>
        <w:rPr>
          <w:rFonts w:ascii="Arial"/>
          <w:color w:val="000000"/>
          <w:sz w:val="24"/>
        </w:rPr>
        <w:t xml:space="preserve"> </w:t>
      </w:r>
      <w:r>
        <w:rPr>
          <w:rFonts w:ascii="Arial"/>
          <w:color w:val="000000"/>
          <w:sz w:val="24"/>
        </w:rPr>
        <w:t>of the exception for the grant of development consent: at [55].</w:t>
      </w:r>
    </w:p>
    <w:p>
      <w:pPr>
        <w:pStyle w:val="CaselawNumbered1"/>
        <w:numPr>
          <w:ilvl w:val="0"/>
          <w:numId w:val="84"/>
        </w:numPr>
        <w:spacing w:before="150" w:after="0"/>
        <w:ind w:left="1350" w:hanging="750"/>
      </w:pPr>
      <w:r>
        <w:rPr>
          <w:rFonts w:ascii="Arial"/>
          <w:color w:val="000000"/>
          <w:sz w:val="24"/>
        </w:rPr>
        <w:t>The fact that the heading for Pt 4 (</w:t>
      </w:r>
      <w:r>
        <w:rPr>
          <w:rFonts w:ascii="Arial"/>
          <w:color w:val="000000"/>
          <w:sz w:val="24"/>
        </w:rPr>
        <w:t>“</w:t>
      </w:r>
      <w:r>
        <w:rPr>
          <w:rFonts w:ascii="Arial"/>
          <w:color w:val="000000"/>
          <w:sz w:val="24"/>
        </w:rPr>
        <w:t>Principal development standards</w:t>
      </w:r>
      <w:r>
        <w:rPr>
          <w:rFonts w:ascii="Arial"/>
          <w:color w:val="000000"/>
          <w:sz w:val="24"/>
        </w:rPr>
        <w:t>”</w:t>
      </w:r>
      <w:r>
        <w:rPr>
          <w:rFonts w:ascii="Arial"/>
          <w:color w:val="000000"/>
          <w:sz w:val="24"/>
        </w:rPr>
        <w:t xml:space="preserve">) of the </w:t>
      </w:r>
      <w:r>
        <w:rPr>
          <w:rFonts w:ascii="Arial"/>
          <w:color w:val="000000"/>
          <w:sz w:val="24"/>
        </w:rPr>
        <w:t>Y</w:t>
      </w:r>
      <w:r>
        <w:rPr>
          <w:rFonts w:ascii="Arial"/>
          <w:color w:val="000000"/>
          <w:sz w:val="24"/>
        </w:rPr>
        <w:t xml:space="preserve">ass LEP, within which cl 4.18 is situated, is part of the </w:t>
      </w:r>
      <w:r>
        <w:rPr>
          <w:rFonts w:ascii="Arial"/>
          <w:color w:val="000000"/>
          <w:sz w:val="24"/>
        </w:rPr>
        <w:t xml:space="preserve">Yass </w:t>
      </w:r>
      <w:r>
        <w:rPr>
          <w:rFonts w:ascii="Arial"/>
          <w:color w:val="000000"/>
          <w:sz w:val="24"/>
        </w:rPr>
        <w:t xml:space="preserve">LEP (under s 35 of the </w:t>
      </w:r>
      <w:r>
        <w:rPr>
          <w:rFonts w:ascii="Arial"/>
          <w:i/>
          <w:color w:val="000000"/>
          <w:sz w:val="24"/>
        </w:rPr>
        <w:t>Interpretation Act 1987</w:t>
      </w:r>
      <w:r>
        <w:rPr>
          <w:rFonts w:ascii="Arial"/>
          <w:color w:val="000000"/>
          <w:sz w:val="24"/>
        </w:rPr>
        <w:t>) is not determinative of the issue: at [64].</w:t>
      </w:r>
    </w:p>
    <w:p>
      <w:pPr>
        <w:pStyle w:val="CaselawNumbered1"/>
        <w:numPr>
          <w:ilvl w:val="0"/>
          <w:numId w:val="84"/>
        </w:numPr>
        <w:spacing w:before="150" w:after="0"/>
        <w:ind w:left="1350" w:hanging="750"/>
      </w:pPr>
      <w:r>
        <w:rPr>
          <w:rFonts w:ascii="Arial"/>
          <w:color w:val="000000"/>
          <w:sz w:val="24"/>
        </w:rPr>
        <w:t>As cl 4.18(3) is not a development standard, it cannot be varied under cl</w:t>
      </w:r>
      <w:r>
        <w:rPr>
          <w:rFonts w:ascii="Arial"/>
          <w:color w:val="000000"/>
          <w:sz w:val="24"/>
        </w:rPr>
        <w:t> </w:t>
      </w:r>
      <w:r>
        <w:rPr>
          <w:rFonts w:ascii="Arial"/>
          <w:color w:val="000000"/>
          <w:sz w:val="24"/>
        </w:rPr>
        <w:t>4.6: at [65].</w:t>
      </w:r>
    </w:p>
    <w:p>
      <w:pPr>
        <w:pStyle w:val="CaselawNumbered10"/>
        <w:numPr>
          <w:ilvl w:val="0"/>
          <w:numId w:val="85"/>
        </w:numPr>
        <w:spacing w:before="150" w:after="0"/>
        <w:ind w:left="600" w:hanging="600"/>
      </w:pPr>
      <w:r>
        <w:rPr>
          <w:rFonts w:ascii="Arial"/>
          <w:color w:val="000000"/>
          <w:sz w:val="24"/>
        </w:rPr>
        <w:t xml:space="preserve">In </w:t>
      </w:r>
      <w:r>
        <w:rPr>
          <w:rFonts w:ascii="Arial"/>
          <w:i/>
          <w:color w:val="000000"/>
          <w:sz w:val="24"/>
        </w:rPr>
        <w:t>Australian Unity</w:t>
      </w:r>
      <w:r>
        <w:rPr>
          <w:rFonts w:ascii="Arial"/>
          <w:color w:val="000000"/>
          <w:sz w:val="24"/>
        </w:rPr>
        <w:t xml:space="preserve">, </w:t>
      </w:r>
      <w:r>
        <w:rPr>
          <w:rFonts w:ascii="Arial"/>
          <w:color w:val="000000"/>
          <w:sz w:val="24"/>
        </w:rPr>
        <w:t xml:space="preserve">the Court </w:t>
      </w:r>
      <w:r>
        <w:rPr>
          <w:rFonts w:ascii="Arial"/>
          <w:color w:val="000000"/>
          <w:sz w:val="24"/>
        </w:rPr>
        <w:t>considered a challenge to the validity of a development consent for a hotel</w:t>
      </w:r>
      <w:r>
        <w:rPr>
          <w:rFonts w:ascii="Arial"/>
          <w:color w:val="000000"/>
          <w:sz w:val="24"/>
        </w:rPr>
        <w:t xml:space="preserve"> </w:t>
      </w:r>
      <w:r>
        <w:rPr>
          <w:rFonts w:ascii="Arial"/>
          <w:color w:val="000000"/>
          <w:sz w:val="24"/>
        </w:rPr>
        <w:t xml:space="preserve">and distinguished the decision in </w:t>
      </w:r>
      <w:r>
        <w:rPr>
          <w:rFonts w:ascii="Arial"/>
          <w:i/>
          <w:color w:val="000000"/>
          <w:sz w:val="24"/>
        </w:rPr>
        <w:t>Elim</w:t>
      </w:r>
      <w:r>
        <w:rPr>
          <w:rFonts w:ascii="Arial"/>
          <w:i/>
          <w:color w:val="000000"/>
          <w:sz w:val="24"/>
        </w:rPr>
        <w:t>a</w:t>
      </w:r>
      <w:r>
        <w:rPr>
          <w:rFonts w:ascii="Arial"/>
          <w:i/>
          <w:color w:val="000000"/>
          <w:sz w:val="24"/>
        </w:rPr>
        <w:t>tta</w:t>
      </w:r>
      <w:r>
        <w:rPr>
          <w:rFonts w:ascii="Arial"/>
          <w:color w:val="000000"/>
          <w:sz w:val="24"/>
        </w:rPr>
        <w:t xml:space="preserve">. </w:t>
      </w:r>
      <w:r>
        <w:rPr>
          <w:rFonts w:ascii="Arial"/>
          <w:color w:val="000000"/>
          <w:sz w:val="24"/>
        </w:rPr>
        <w:t xml:space="preserve">The applicant contending that </w:t>
      </w:r>
      <w:r>
        <w:rPr>
          <w:rFonts w:ascii="Arial"/>
          <w:color w:val="000000"/>
          <w:sz w:val="24"/>
        </w:rPr>
        <w:t xml:space="preserve">the </w:t>
      </w:r>
      <w:r>
        <w:rPr>
          <w:rFonts w:ascii="Arial"/>
          <w:color w:val="000000"/>
          <w:sz w:val="24"/>
        </w:rPr>
        <w:t xml:space="preserve">respondent </w:t>
      </w:r>
      <w:r>
        <w:rPr>
          <w:rFonts w:ascii="Arial"/>
          <w:color w:val="000000"/>
          <w:sz w:val="24"/>
        </w:rPr>
        <w:t>c</w:t>
      </w:r>
      <w:r>
        <w:rPr>
          <w:rFonts w:ascii="Arial"/>
          <w:color w:val="000000"/>
          <w:sz w:val="24"/>
        </w:rPr>
        <w:t xml:space="preserve">ouncil </w:t>
      </w:r>
      <w:r>
        <w:rPr>
          <w:rFonts w:ascii="Arial"/>
          <w:color w:val="000000"/>
          <w:sz w:val="24"/>
        </w:rPr>
        <w:t xml:space="preserve">acted beyond power in granting the consent </w:t>
      </w:r>
      <w:r>
        <w:rPr>
          <w:rFonts w:ascii="Arial"/>
          <w:color w:val="000000"/>
          <w:sz w:val="24"/>
        </w:rPr>
        <w:t xml:space="preserve">because </w:t>
      </w:r>
      <w:r>
        <w:rPr>
          <w:rFonts w:ascii="Arial"/>
          <w:color w:val="000000"/>
          <w:sz w:val="24"/>
        </w:rPr>
        <w:t>the building exceeded the maximum building height controls mandated for the relevant land under cl</w:t>
      </w:r>
      <w:r>
        <w:rPr>
          <w:rFonts w:ascii="Arial"/>
          <w:color w:val="000000"/>
          <w:sz w:val="24"/>
        </w:rPr>
        <w:t>l</w:t>
      </w:r>
      <w:r>
        <w:rPr>
          <w:rFonts w:ascii="Arial"/>
          <w:color w:val="000000"/>
          <w:sz w:val="24"/>
        </w:rPr>
        <w:t xml:space="preserve"> </w:t>
      </w:r>
      <w:r>
        <w:rPr>
          <w:rFonts w:ascii="Arial"/>
          <w:color w:val="000000"/>
          <w:sz w:val="24"/>
        </w:rPr>
        <w:t xml:space="preserve">4.3(2) and 7.11(3) of the Penrith Local Environmental Plan 2010 (Penrith LEP): at [2]. The developer argued that the </w:t>
      </w:r>
      <w:r>
        <w:rPr>
          <w:rFonts w:ascii="Arial"/>
          <w:color w:val="000000"/>
          <w:sz w:val="24"/>
        </w:rPr>
        <w:t xml:space="preserve">respondent </w:t>
      </w:r>
      <w:r>
        <w:rPr>
          <w:rFonts w:ascii="Arial"/>
          <w:color w:val="000000"/>
          <w:sz w:val="24"/>
        </w:rPr>
        <w:t>c</w:t>
      </w:r>
      <w:r>
        <w:rPr>
          <w:rFonts w:ascii="Arial"/>
          <w:color w:val="000000"/>
          <w:sz w:val="24"/>
        </w:rPr>
        <w:t xml:space="preserve">ouncil </w:t>
      </w:r>
      <w:r>
        <w:rPr>
          <w:rFonts w:ascii="Arial"/>
          <w:color w:val="000000"/>
          <w:sz w:val="24"/>
        </w:rPr>
        <w:t xml:space="preserve">had power to grant consent </w:t>
      </w:r>
      <w:r>
        <w:rPr>
          <w:rFonts w:ascii="Arial"/>
          <w:color w:val="000000"/>
          <w:sz w:val="24"/>
        </w:rPr>
        <w:t>based on</w:t>
      </w:r>
      <w:r>
        <w:rPr>
          <w:rFonts w:ascii="Arial"/>
          <w:color w:val="000000"/>
          <w:sz w:val="24"/>
        </w:rPr>
        <w:t xml:space="preserve"> </w:t>
      </w:r>
      <w:r>
        <w:rPr>
          <w:rFonts w:ascii="Arial"/>
          <w:color w:val="000000"/>
          <w:sz w:val="24"/>
        </w:rPr>
        <w:t>variations to either or both controls under cl 4.6 of the Penrith LEP: at [3].</w:t>
      </w:r>
    </w:p>
    <w:p>
      <w:pPr>
        <w:pStyle w:val="CaselawNumbered10"/>
        <w:numPr>
          <w:ilvl w:val="0"/>
          <w:numId w:val="85"/>
        </w:numPr>
        <w:spacing w:before="150" w:after="0"/>
        <w:ind w:left="600" w:hanging="600"/>
      </w:pPr>
      <w:r>
        <w:rPr>
          <w:rFonts w:ascii="Arial"/>
          <w:color w:val="000000"/>
          <w:sz w:val="24"/>
        </w:rPr>
        <w:t xml:space="preserve">In dismissing </w:t>
      </w:r>
      <w:r>
        <w:rPr>
          <w:rFonts w:ascii="Arial"/>
          <w:color w:val="000000"/>
          <w:sz w:val="24"/>
        </w:rPr>
        <w:t>the appeal</w:t>
      </w:r>
      <w:r>
        <w:rPr>
          <w:rFonts w:ascii="Arial"/>
          <w:color w:val="000000"/>
          <w:sz w:val="24"/>
        </w:rPr>
        <w:t>,</w:t>
      </w:r>
      <w:r>
        <w:rPr>
          <w:rFonts w:ascii="Arial"/>
          <w:color w:val="000000"/>
          <w:sz w:val="24"/>
        </w:rPr>
        <w:t xml:space="preserve"> </w:t>
      </w:r>
      <w:r>
        <w:rPr>
          <w:rFonts w:ascii="Arial"/>
          <w:color w:val="000000"/>
          <w:sz w:val="24"/>
        </w:rPr>
        <w:t xml:space="preserve">the Court </w:t>
      </w:r>
      <w:r>
        <w:rPr>
          <w:rFonts w:ascii="Arial"/>
          <w:color w:val="000000"/>
          <w:sz w:val="24"/>
        </w:rPr>
        <w:t>held that the relevant controls were development standards and were properly varied by the consent authority for the following reasons (at [4]):</w:t>
      </w:r>
    </w:p>
    <w:p>
      <w:pPr>
        <w:pStyle w:val="CaselawNumbered1"/>
        <w:numPr>
          <w:ilvl w:val="0"/>
          <w:numId w:val="86"/>
        </w:numPr>
        <w:spacing w:before="150" w:after="0"/>
        <w:ind w:left="1350" w:hanging="750"/>
      </w:pPr>
      <w:r>
        <w:rPr>
          <w:rFonts w:ascii="Arial"/>
          <w:color w:val="000000"/>
          <w:sz w:val="24"/>
        </w:rPr>
        <w:t>The maximum height limit for the subject site was 18m under cl 4.3(2) of the Penrith LEP: at [56].</w:t>
      </w:r>
    </w:p>
    <w:p>
      <w:pPr>
        <w:pStyle w:val="CaselawNumbered1"/>
        <w:numPr>
          <w:ilvl w:val="0"/>
          <w:numId w:val="86"/>
        </w:numPr>
        <w:spacing w:before="150" w:after="0"/>
        <w:ind w:left="1350" w:hanging="750"/>
      </w:pPr>
      <w:r>
        <w:rPr>
          <w:rFonts w:ascii="Arial"/>
          <w:color w:val="000000"/>
          <w:sz w:val="24"/>
        </w:rPr>
        <w:t>Clause 4.3(2) is a precondition to the exercise of statutory power to grant consent to the proposed development: at [56].</w:t>
      </w:r>
    </w:p>
    <w:p>
      <w:pPr>
        <w:pStyle w:val="CaselawNumbered1"/>
        <w:numPr>
          <w:ilvl w:val="0"/>
          <w:numId w:val="86"/>
        </w:numPr>
        <w:spacing w:before="150" w:after="0"/>
        <w:ind w:left="1350" w:hanging="750"/>
      </w:pPr>
      <w:r>
        <w:rPr>
          <w:rFonts w:ascii="Arial"/>
          <w:color w:val="000000"/>
          <w:sz w:val="24"/>
        </w:rPr>
        <w:t>Clause 7.11(3) of the Penrith LEP provides for the granting of development consent to development that exceeds the maximum permissible height (18m) by up to 20% (21.6m) provided that the statutory precondition is met - namely, the floor-to-ceiling height of both the ground and first floors must be equal to or greater than 3.5m: at [63]-[64].</w:t>
      </w:r>
    </w:p>
    <w:p>
      <w:pPr>
        <w:pStyle w:val="CaselawNumbered1"/>
        <w:numPr>
          <w:ilvl w:val="0"/>
          <w:numId w:val="86"/>
        </w:numPr>
        <w:spacing w:before="150" w:after="0"/>
        <w:ind w:left="1350" w:hanging="750"/>
      </w:pPr>
      <w:r>
        <w:rPr>
          <w:rFonts w:ascii="Arial"/>
          <w:color w:val="000000"/>
          <w:sz w:val="24"/>
        </w:rPr>
        <w:t>Clause 7.11 is a provision relating to the carrying out of development on that land for the purposes of a hotel by regulating the circumstance in which development consent can be granted to that development despite the exceedance of the maximum building height control: at [101]-[102].</w:t>
      </w:r>
    </w:p>
    <w:p>
      <w:pPr>
        <w:pStyle w:val="CaselawNumbered1"/>
        <w:numPr>
          <w:ilvl w:val="0"/>
          <w:numId w:val="86"/>
        </w:numPr>
        <w:spacing w:before="150" w:after="0"/>
        <w:ind w:left="1350" w:hanging="750"/>
      </w:pPr>
      <w:r>
        <w:rPr>
          <w:rFonts w:ascii="Arial"/>
          <w:color w:val="000000"/>
          <w:sz w:val="24"/>
        </w:rPr>
        <w:t xml:space="preserve">Clause 7.11 is a </w:t>
      </w:r>
      <w:r>
        <w:rPr>
          <w:rFonts w:ascii="Arial"/>
          <w:color w:val="000000"/>
          <w:sz w:val="24"/>
        </w:rPr>
        <w:t>“</w:t>
      </w:r>
      <w:r>
        <w:rPr>
          <w:rFonts w:ascii="Arial"/>
          <w:color w:val="000000"/>
          <w:sz w:val="24"/>
        </w:rPr>
        <w:t>development standard</w:t>
      </w:r>
      <w:r>
        <w:rPr>
          <w:rFonts w:ascii="Arial"/>
          <w:color w:val="000000"/>
          <w:sz w:val="24"/>
        </w:rPr>
        <w:t>”</w:t>
      </w:r>
      <w:r>
        <w:rPr>
          <w:rFonts w:ascii="Arial"/>
          <w:color w:val="000000"/>
          <w:sz w:val="24"/>
        </w:rPr>
        <w:t xml:space="preserve"> </w:t>
      </w:r>
      <w:r>
        <w:rPr>
          <w:rFonts w:ascii="Arial"/>
          <w:color w:val="000000"/>
          <w:sz w:val="24"/>
        </w:rPr>
        <w:t>as defined in the EPA Act because it squarely concerns the height of a proposed development: at [104].</w:t>
      </w:r>
    </w:p>
    <w:p>
      <w:pPr>
        <w:pStyle w:val="CaselawNumbered1"/>
        <w:numPr>
          <w:ilvl w:val="0"/>
          <w:numId w:val="86"/>
        </w:numPr>
        <w:spacing w:before="150" w:after="0"/>
        <w:ind w:left="1350" w:hanging="750"/>
      </w:pPr>
      <w:r>
        <w:rPr>
          <w:rFonts w:ascii="Arial"/>
          <w:color w:val="000000"/>
          <w:sz w:val="24"/>
        </w:rPr>
        <w:t xml:space="preserve">Although urged to conclude that </w:t>
      </w:r>
      <w:r>
        <w:rPr>
          <w:rFonts w:ascii="Arial"/>
          <w:i/>
          <w:color w:val="000000"/>
          <w:sz w:val="24"/>
        </w:rPr>
        <w:t>Elimatta</w:t>
      </w:r>
      <w:r>
        <w:rPr>
          <w:rFonts w:ascii="Arial"/>
          <w:color w:val="000000"/>
          <w:sz w:val="24"/>
        </w:rPr>
        <w:t xml:space="preserve"> </w:t>
      </w:r>
      <w:r>
        <w:rPr>
          <w:rFonts w:ascii="Arial"/>
          <w:color w:val="000000"/>
          <w:sz w:val="24"/>
        </w:rPr>
        <w:t xml:space="preserve">was plainly wrong, her Honour did not need to do so on the basis that it was distinguishable because it concerned a subdivision and not building height: at [108]. However, her Honour did note that the conclusion in </w:t>
      </w:r>
      <w:r>
        <w:rPr>
          <w:rFonts w:ascii="Arial"/>
          <w:i/>
          <w:color w:val="000000"/>
          <w:sz w:val="24"/>
        </w:rPr>
        <w:t>Elimatta</w:t>
      </w:r>
      <w:r>
        <w:rPr>
          <w:rFonts w:ascii="Arial"/>
          <w:color w:val="000000"/>
          <w:sz w:val="24"/>
        </w:rPr>
        <w:t xml:space="preserve"> </w:t>
      </w:r>
      <w:r>
        <w:rPr>
          <w:rFonts w:ascii="Arial"/>
          <w:color w:val="000000"/>
          <w:sz w:val="24"/>
        </w:rPr>
        <w:t xml:space="preserve">appeared to be inconsistent with the remarks in </w:t>
      </w:r>
      <w:r>
        <w:rPr>
          <w:rFonts w:ascii="Arial"/>
          <w:i/>
          <w:color w:val="000000"/>
          <w:sz w:val="24"/>
        </w:rPr>
        <w:t>R.I.G. Consulting</w:t>
      </w:r>
      <w:r>
        <w:rPr>
          <w:rFonts w:ascii="Arial"/>
          <w:color w:val="000000"/>
          <w:sz w:val="24"/>
        </w:rPr>
        <w:t xml:space="preserve"> </w:t>
      </w:r>
      <w:r>
        <w:rPr>
          <w:rFonts w:ascii="Arial"/>
          <w:color w:val="000000"/>
          <w:sz w:val="24"/>
        </w:rPr>
        <w:t xml:space="preserve">that a similar provision to cl 7.11 was a development standard (citing </w:t>
      </w:r>
      <w:r>
        <w:rPr>
          <w:rFonts w:ascii="Arial"/>
          <w:i/>
          <w:color w:val="000000"/>
          <w:sz w:val="24"/>
        </w:rPr>
        <w:t>R.I.G. Consulting</w:t>
      </w:r>
      <w:r>
        <w:rPr>
          <w:rFonts w:ascii="Arial"/>
          <w:color w:val="000000"/>
          <w:sz w:val="24"/>
        </w:rPr>
        <w:t xml:space="preserve"> </w:t>
      </w:r>
      <w:r>
        <w:rPr>
          <w:rFonts w:ascii="Arial"/>
          <w:color w:val="000000"/>
          <w:sz w:val="24"/>
        </w:rPr>
        <w:t>at [53] and [681</w:t>
      </w:r>
      <w:r>
        <w:rPr>
          <w:rFonts w:ascii="Arial"/>
          <w:color w:val="000000"/>
          <w:sz w:val="24"/>
        </w:rPr>
        <w:t>]</w:t>
      </w:r>
      <w:r>
        <w:rPr>
          <w:rFonts w:ascii="Arial"/>
          <w:color w:val="000000"/>
          <w:sz w:val="24"/>
        </w:rPr>
        <w:t>): at [108].</w:t>
      </w:r>
    </w:p>
    <w:p>
      <w:pPr>
        <w:pStyle w:val="CaselawNumbered1"/>
        <w:numPr>
          <w:ilvl w:val="0"/>
          <w:numId w:val="86"/>
        </w:numPr>
        <w:spacing w:before="150" w:after="0"/>
        <w:ind w:left="1350" w:hanging="750"/>
      </w:pPr>
      <w:r>
        <w:rPr>
          <w:rFonts w:ascii="Arial"/>
          <w:color w:val="000000"/>
          <w:sz w:val="24"/>
        </w:rPr>
        <w:t xml:space="preserve">The purpose of the words </w:t>
      </w:r>
      <w:r>
        <w:rPr>
          <w:rFonts w:ascii="Arial"/>
          <w:color w:val="000000"/>
          <w:sz w:val="24"/>
        </w:rPr>
        <w:t>“</w:t>
      </w:r>
      <w:r>
        <w:rPr>
          <w:rFonts w:ascii="Arial"/>
          <w:color w:val="000000"/>
          <w:sz w:val="24"/>
        </w:rPr>
        <w:t>despite clause 4.3</w:t>
      </w:r>
      <w:r>
        <w:rPr>
          <w:rFonts w:ascii="Arial"/>
          <w:color w:val="000000"/>
          <w:sz w:val="24"/>
        </w:rPr>
        <w:t>”</w:t>
      </w:r>
      <w:r>
        <w:rPr>
          <w:rFonts w:ascii="Arial"/>
          <w:color w:val="000000"/>
          <w:sz w:val="24"/>
        </w:rPr>
        <w:t xml:space="preserve"> </w:t>
      </w:r>
      <w:r>
        <w:rPr>
          <w:rFonts w:ascii="Arial"/>
          <w:color w:val="000000"/>
          <w:sz w:val="24"/>
        </w:rPr>
        <w:t>ensures that the operation of cl 7.11 is unaffected by cl 4.3 and, in particular, cl 4.3(2): at [110]-[111].</w:t>
      </w:r>
    </w:p>
    <w:p>
      <w:pPr>
        <w:pStyle w:val="CaselawNumbered1"/>
        <w:numPr>
          <w:ilvl w:val="0"/>
          <w:numId w:val="86"/>
        </w:numPr>
        <w:spacing w:before="150" w:after="0"/>
        <w:ind w:left="1350" w:hanging="750"/>
      </w:pPr>
      <w:r>
        <w:rPr>
          <w:rFonts w:ascii="Arial"/>
          <w:color w:val="000000"/>
          <w:sz w:val="24"/>
        </w:rPr>
        <w:t>There are two requirements contained in cl 7.11(3) of the Penrith LEP that must be established in order to enliven the power contained in the provision- namely, the floor-to-ceiling height of both the ground floor and the first floor be equal to or greater than 3.5m, and the height of any building not exceed the maximum building height by more than 20%: at [112].</w:t>
      </w:r>
    </w:p>
    <w:p>
      <w:pPr>
        <w:pStyle w:val="CaselawNumbered1"/>
        <w:numPr>
          <w:ilvl w:val="0"/>
          <w:numId w:val="86"/>
        </w:numPr>
        <w:spacing w:before="150" w:after="0"/>
        <w:ind w:left="1350" w:hanging="750"/>
      </w:pPr>
      <w:r>
        <w:rPr>
          <w:rFonts w:ascii="Arial"/>
          <w:color w:val="000000"/>
          <w:sz w:val="24"/>
        </w:rPr>
        <w:t>Clause 7.11 operates as a separate development standard in its own right and not as an exception to the development standard contained in cl 4.3(2): at [113].</w:t>
      </w:r>
    </w:p>
    <w:p>
      <w:pPr>
        <w:pStyle w:val="CaselawNumbered10"/>
        <w:numPr>
          <w:ilvl w:val="0"/>
          <w:numId w:val="87"/>
        </w:numPr>
        <w:spacing w:before="150" w:after="0"/>
        <w:ind w:left="600" w:hanging="600"/>
      </w:pPr>
      <w:r>
        <w:rPr>
          <w:rFonts w:ascii="Arial"/>
          <w:color w:val="000000"/>
          <w:sz w:val="24"/>
        </w:rPr>
        <w:t xml:space="preserve">In addressing the </w:t>
      </w:r>
      <w:r>
        <w:rPr>
          <w:rFonts w:ascii="Arial"/>
          <w:color w:val="000000"/>
          <w:sz w:val="24"/>
        </w:rPr>
        <w:t xml:space="preserve">difference </w:t>
      </w:r>
      <w:r>
        <w:rPr>
          <w:rFonts w:ascii="Arial"/>
          <w:color w:val="000000"/>
          <w:sz w:val="24"/>
        </w:rPr>
        <w:t xml:space="preserve">between the reasoning of Pepper J in </w:t>
      </w:r>
      <w:r>
        <w:rPr>
          <w:rFonts w:ascii="Arial"/>
          <w:i/>
          <w:color w:val="000000"/>
          <w:sz w:val="24"/>
        </w:rPr>
        <w:t>Australian Unity</w:t>
      </w:r>
      <w:r>
        <w:rPr>
          <w:rFonts w:ascii="Arial"/>
          <w:color w:val="000000"/>
          <w:sz w:val="24"/>
        </w:rPr>
        <w:t xml:space="preserve"> </w:t>
      </w:r>
      <w:r>
        <w:rPr>
          <w:rFonts w:ascii="Arial"/>
          <w:color w:val="000000"/>
          <w:sz w:val="24"/>
        </w:rPr>
        <w:t xml:space="preserve">and Robson J in </w:t>
      </w:r>
      <w:r>
        <w:rPr>
          <w:rFonts w:ascii="Arial"/>
          <w:i/>
          <w:color w:val="000000"/>
          <w:sz w:val="24"/>
        </w:rPr>
        <w:t>Elimatta</w:t>
      </w:r>
      <w:r>
        <w:rPr>
          <w:rFonts w:ascii="Arial"/>
          <w:color w:val="000000"/>
          <w:sz w:val="24"/>
        </w:rPr>
        <w:t xml:space="preserve">, the Council </w:t>
      </w:r>
      <w:r>
        <w:rPr>
          <w:rFonts w:ascii="Arial"/>
          <w:color w:val="000000"/>
          <w:sz w:val="24"/>
        </w:rPr>
        <w:t xml:space="preserve">endorsed </w:t>
      </w:r>
      <w:r>
        <w:rPr>
          <w:rFonts w:ascii="Arial"/>
          <w:color w:val="000000"/>
          <w:sz w:val="24"/>
        </w:rPr>
        <w:t>the reasoning of Robson J for the following reasons</w:t>
      </w:r>
      <w:r>
        <w:rPr>
          <w:rFonts w:ascii="Arial"/>
          <w:color w:val="000000"/>
          <w:sz w:val="24"/>
        </w:rPr>
        <w:t>:</w:t>
      </w:r>
    </w:p>
    <w:p>
      <w:pPr>
        <w:pStyle w:val="CaselawNumbered1"/>
        <w:numPr>
          <w:ilvl w:val="0"/>
          <w:numId w:val="88"/>
        </w:numPr>
        <w:spacing w:before="150" w:after="0"/>
        <w:ind w:left="1350" w:hanging="750"/>
      </w:pPr>
      <w:r>
        <w:rPr>
          <w:rFonts w:ascii="Arial"/>
          <w:color w:val="000000"/>
          <w:sz w:val="24"/>
        </w:rPr>
        <w:t xml:space="preserve">In </w:t>
      </w:r>
      <w:r>
        <w:rPr>
          <w:rFonts w:ascii="Arial"/>
          <w:color w:val="000000"/>
          <w:sz w:val="24"/>
        </w:rPr>
        <w:t xml:space="preserve">accord with the conclusion in </w:t>
      </w:r>
      <w:r>
        <w:rPr>
          <w:rFonts w:ascii="Arial"/>
          <w:i/>
          <w:color w:val="000000"/>
          <w:sz w:val="24"/>
        </w:rPr>
        <w:t>Elimatta</w:t>
      </w:r>
      <w:r>
        <w:rPr>
          <w:rFonts w:ascii="Arial"/>
          <w:color w:val="000000"/>
          <w:sz w:val="24"/>
        </w:rPr>
        <w:t xml:space="preserve">, it is the specific relationships between each of those provisions which lead to the conclusion that, considered in that context, the matters recited above are collectively </w:t>
      </w:r>
      <w:r>
        <w:rPr>
          <w:rFonts w:ascii="Arial"/>
          <w:color w:val="000000"/>
          <w:sz w:val="24"/>
        </w:rPr>
        <w:t>“</w:t>
      </w:r>
      <w:r>
        <w:rPr>
          <w:rFonts w:ascii="Arial"/>
          <w:color w:val="000000"/>
          <w:sz w:val="24"/>
        </w:rPr>
        <w:t>integers</w:t>
      </w:r>
      <w:r>
        <w:rPr>
          <w:rFonts w:ascii="Arial"/>
          <w:color w:val="000000"/>
          <w:sz w:val="24"/>
        </w:rPr>
        <w:t>”</w:t>
      </w:r>
      <w:r>
        <w:rPr>
          <w:rFonts w:ascii="Arial"/>
          <w:color w:val="000000"/>
          <w:sz w:val="24"/>
        </w:rPr>
        <w:t xml:space="preserve">, which if satisfied, allow the exception to be applied. </w:t>
      </w:r>
      <w:r>
        <w:rPr>
          <w:rFonts w:ascii="Arial"/>
          <w:color w:val="000000"/>
          <w:sz w:val="24"/>
        </w:rPr>
        <w:t xml:space="preserve">Having regard to </w:t>
      </w:r>
      <w:r>
        <w:rPr>
          <w:rFonts w:ascii="Arial"/>
          <w:color w:val="000000"/>
          <w:sz w:val="24"/>
        </w:rPr>
        <w:t xml:space="preserve">the various </w:t>
      </w:r>
      <w:r>
        <w:rPr>
          <w:rFonts w:ascii="Arial"/>
          <w:color w:val="000000"/>
          <w:sz w:val="24"/>
        </w:rPr>
        <w:t>“</w:t>
      </w:r>
      <w:r>
        <w:rPr>
          <w:rFonts w:ascii="Arial"/>
          <w:color w:val="000000"/>
          <w:sz w:val="24"/>
        </w:rPr>
        <w:t>integers</w:t>
      </w:r>
      <w:r>
        <w:rPr>
          <w:rFonts w:ascii="Arial"/>
          <w:color w:val="000000"/>
          <w:sz w:val="24"/>
        </w:rPr>
        <w:t>”</w:t>
      </w:r>
      <w:r>
        <w:rPr>
          <w:rFonts w:ascii="Arial"/>
          <w:color w:val="000000"/>
          <w:sz w:val="24"/>
        </w:rPr>
        <w:t xml:space="preserve"> </w:t>
      </w:r>
      <w:r>
        <w:rPr>
          <w:rFonts w:ascii="Arial"/>
          <w:color w:val="000000"/>
          <w:sz w:val="24"/>
        </w:rPr>
        <w:t xml:space="preserve">in that clause, it is </w:t>
      </w:r>
      <w:r>
        <w:rPr>
          <w:rFonts w:ascii="Arial"/>
          <w:color w:val="000000"/>
          <w:sz w:val="24"/>
        </w:rPr>
        <w:t xml:space="preserve">clear that </w:t>
      </w:r>
      <w:r>
        <w:rPr>
          <w:rFonts w:ascii="Arial"/>
          <w:color w:val="000000"/>
          <w:sz w:val="24"/>
        </w:rPr>
        <w:t>the provision is not a development standard but a separate and clear regime for development on the lots the subject of the clause to reach a particular height.</w:t>
      </w:r>
    </w:p>
    <w:p>
      <w:pPr>
        <w:pStyle w:val="CaselawNumbered1"/>
        <w:numPr>
          <w:ilvl w:val="0"/>
          <w:numId w:val="88"/>
        </w:numPr>
        <w:spacing w:before="150" w:after="0"/>
        <w:ind w:left="1350" w:hanging="750"/>
      </w:pPr>
      <w:r>
        <w:rPr>
          <w:rFonts w:ascii="Arial"/>
          <w:color w:val="000000"/>
          <w:sz w:val="24"/>
        </w:rPr>
        <w:t>T</w:t>
      </w:r>
      <w:r>
        <w:rPr>
          <w:rFonts w:ascii="Arial"/>
          <w:color w:val="000000"/>
          <w:sz w:val="24"/>
        </w:rPr>
        <w:t xml:space="preserve">he preconditions for cl 6.14(4) to apply are comprehensive (including the requirement for a specific development control plan). </w:t>
      </w:r>
      <w:r>
        <w:rPr>
          <w:rFonts w:ascii="Arial"/>
          <w:color w:val="000000"/>
          <w:sz w:val="24"/>
        </w:rPr>
        <w:t xml:space="preserve">When </w:t>
      </w:r>
      <w:r>
        <w:rPr>
          <w:rFonts w:ascii="Arial"/>
          <w:color w:val="000000"/>
          <w:sz w:val="24"/>
        </w:rPr>
        <w:t xml:space="preserve">taken in context, </w:t>
      </w:r>
      <w:r>
        <w:rPr>
          <w:rFonts w:ascii="Arial"/>
          <w:color w:val="000000"/>
          <w:sz w:val="24"/>
        </w:rPr>
        <w:t xml:space="preserve">the requirements are </w:t>
      </w:r>
      <w:r>
        <w:rPr>
          <w:rFonts w:ascii="Arial"/>
          <w:color w:val="000000"/>
          <w:sz w:val="24"/>
        </w:rPr>
        <w:t xml:space="preserve">an </w:t>
      </w:r>
      <w:r>
        <w:rPr>
          <w:rFonts w:ascii="Arial"/>
          <w:color w:val="000000"/>
          <w:sz w:val="24"/>
        </w:rPr>
        <w:t>“</w:t>
      </w:r>
      <w:r>
        <w:rPr>
          <w:rFonts w:ascii="Arial"/>
          <w:color w:val="000000"/>
          <w:sz w:val="24"/>
        </w:rPr>
        <w:t>essential element</w:t>
      </w:r>
      <w:r>
        <w:rPr>
          <w:rFonts w:ascii="Arial"/>
          <w:color w:val="000000"/>
          <w:sz w:val="24"/>
        </w:rPr>
        <w:t>”</w:t>
      </w:r>
      <w:r>
        <w:rPr>
          <w:rFonts w:ascii="Arial"/>
          <w:color w:val="000000"/>
          <w:sz w:val="24"/>
        </w:rPr>
        <w:t xml:space="preserve"> </w:t>
      </w:r>
      <w:r>
        <w:rPr>
          <w:rFonts w:ascii="Arial"/>
          <w:color w:val="000000"/>
          <w:sz w:val="24"/>
        </w:rPr>
        <w:t xml:space="preserve">for the increased height to be available, by analogy to the test applied by Basten JA in </w:t>
      </w:r>
      <w:r>
        <w:rPr>
          <w:rFonts w:ascii="Arial"/>
          <w:i/>
          <w:color w:val="000000"/>
          <w:sz w:val="24"/>
        </w:rPr>
        <w:t>Blue Mountains City Council v Laurence Browning Pty Ltd</w:t>
      </w:r>
      <w:r>
        <w:rPr>
          <w:rFonts w:ascii="Arial"/>
          <w:color w:val="000000"/>
          <w:sz w:val="24"/>
        </w:rPr>
        <w:t xml:space="preserve"> </w:t>
      </w:r>
      <w:r>
        <w:rPr>
          <w:rFonts w:ascii="Arial"/>
          <w:color w:val="000000"/>
          <w:sz w:val="24"/>
        </w:rPr>
        <w:t xml:space="preserve">(2006) 150 LGERA 130; [2006] NSWCA 331 at [77]. </w:t>
      </w:r>
      <w:r>
        <w:rPr>
          <w:rFonts w:ascii="Arial"/>
          <w:color w:val="000000"/>
          <w:sz w:val="24"/>
        </w:rPr>
        <w:t>Notwithstanding, th</w:t>
      </w:r>
      <w:r>
        <w:rPr>
          <w:rFonts w:ascii="Arial"/>
          <w:color w:val="000000"/>
          <w:sz w:val="24"/>
        </w:rPr>
        <w:t xml:space="preserve">e observation by </w:t>
      </w:r>
      <w:r>
        <w:rPr>
          <w:rFonts w:ascii="Arial"/>
          <w:color w:val="000000"/>
          <w:sz w:val="24"/>
        </w:rPr>
        <w:t xml:space="preserve">Preston CJ </w:t>
      </w:r>
      <w:r>
        <w:rPr>
          <w:rFonts w:ascii="Arial"/>
          <w:color w:val="000000"/>
          <w:sz w:val="24"/>
        </w:rPr>
        <w:t xml:space="preserve">in </w:t>
      </w:r>
      <w:r>
        <w:rPr>
          <w:rFonts w:ascii="Arial"/>
          <w:i/>
          <w:color w:val="000000"/>
          <w:sz w:val="24"/>
        </w:rPr>
        <w:t>Dib</w:t>
      </w:r>
      <w:r>
        <w:rPr>
          <w:rFonts w:ascii="Arial"/>
          <w:color w:val="000000"/>
          <w:sz w:val="24"/>
        </w:rPr>
        <w:t>,</w:t>
      </w:r>
      <w:r>
        <w:rPr>
          <w:rFonts w:ascii="Arial"/>
          <w:color w:val="000000"/>
          <w:sz w:val="24"/>
        </w:rPr>
        <w:t xml:space="preserve"> </w:t>
      </w:r>
      <w:r>
        <w:rPr>
          <w:rFonts w:ascii="Arial"/>
          <w:color w:val="000000"/>
          <w:sz w:val="24"/>
        </w:rPr>
        <w:t xml:space="preserve">that the </w:t>
      </w:r>
      <w:r>
        <w:rPr>
          <w:rFonts w:ascii="Arial"/>
          <w:color w:val="000000"/>
          <w:sz w:val="24"/>
        </w:rPr>
        <w:t>“</w:t>
      </w:r>
      <w:r>
        <w:rPr>
          <w:rFonts w:ascii="Arial"/>
          <w:color w:val="000000"/>
          <w:sz w:val="24"/>
        </w:rPr>
        <w:t>essential element</w:t>
      </w:r>
      <w:r>
        <w:rPr>
          <w:rFonts w:ascii="Arial"/>
          <w:color w:val="000000"/>
          <w:sz w:val="24"/>
        </w:rPr>
        <w:t>”</w:t>
      </w:r>
      <w:r>
        <w:rPr>
          <w:rFonts w:ascii="Arial"/>
          <w:color w:val="000000"/>
          <w:sz w:val="24"/>
        </w:rPr>
        <w:t xml:space="preserve"> </w:t>
      </w:r>
      <w:r>
        <w:rPr>
          <w:rFonts w:ascii="Arial"/>
          <w:color w:val="000000"/>
          <w:sz w:val="24"/>
        </w:rPr>
        <w:t>approach to determining whether a provision is a development standard is not without its difficulties: at [57]</w:t>
      </w:r>
      <w:r>
        <w:rPr>
          <w:rFonts w:ascii="Arial"/>
          <w:color w:val="000000"/>
          <w:sz w:val="24"/>
        </w:rPr>
        <w:t>,</w:t>
      </w:r>
      <w:r>
        <w:rPr>
          <w:rFonts w:ascii="Arial"/>
          <w:color w:val="000000"/>
          <w:sz w:val="24"/>
        </w:rPr>
        <w:t xml:space="preserve"> </w:t>
      </w:r>
      <w:r>
        <w:rPr>
          <w:rFonts w:ascii="Arial"/>
          <w:color w:val="000000"/>
          <w:sz w:val="24"/>
        </w:rPr>
        <w:t xml:space="preserve">the Council </w:t>
      </w:r>
      <w:r>
        <w:rPr>
          <w:rFonts w:ascii="Arial"/>
          <w:color w:val="000000"/>
          <w:sz w:val="24"/>
        </w:rPr>
        <w:t xml:space="preserve">maintains </w:t>
      </w:r>
      <w:r>
        <w:rPr>
          <w:rFonts w:ascii="Arial"/>
          <w:color w:val="000000"/>
          <w:sz w:val="24"/>
        </w:rPr>
        <w:t xml:space="preserve">that it remains </w:t>
      </w:r>
      <w:r>
        <w:rPr>
          <w:rFonts w:ascii="Arial"/>
          <w:color w:val="000000"/>
          <w:sz w:val="24"/>
        </w:rPr>
        <w:t>an appropriate interpretation tool</w:t>
      </w:r>
      <w:r>
        <w:rPr>
          <w:rFonts w:ascii="Arial"/>
          <w:color w:val="000000"/>
          <w:sz w:val="24"/>
        </w:rPr>
        <w:t xml:space="preserve"> </w:t>
      </w:r>
      <w:r>
        <w:rPr>
          <w:rFonts w:ascii="Arial"/>
          <w:color w:val="000000"/>
          <w:sz w:val="24"/>
        </w:rPr>
        <w:t>in this case</w:t>
      </w:r>
      <w:r>
        <w:rPr>
          <w:rFonts w:ascii="Arial"/>
          <w:color w:val="000000"/>
          <w:sz w:val="24"/>
        </w:rPr>
        <w:t>.</w:t>
      </w:r>
    </w:p>
    <w:p>
      <w:pPr>
        <w:pStyle w:val="CaselawNumbered1"/>
        <w:numPr>
          <w:ilvl w:val="0"/>
          <w:numId w:val="88"/>
        </w:numPr>
        <w:spacing w:before="150" w:after="0"/>
        <w:ind w:left="1350" w:hanging="750"/>
      </w:pPr>
      <w:r>
        <w:rPr>
          <w:rFonts w:ascii="Arial"/>
          <w:color w:val="000000"/>
          <w:sz w:val="24"/>
        </w:rPr>
        <w:t xml:space="preserve">Thirdly, </w:t>
      </w:r>
      <w:r>
        <w:rPr>
          <w:rFonts w:ascii="Arial"/>
          <w:color w:val="000000"/>
          <w:sz w:val="24"/>
        </w:rPr>
        <w:t xml:space="preserve">the Council submits </w:t>
      </w:r>
      <w:r>
        <w:rPr>
          <w:rFonts w:ascii="Arial"/>
          <w:color w:val="000000"/>
          <w:sz w:val="24"/>
        </w:rPr>
        <w:t>“…</w:t>
      </w:r>
      <w:r>
        <w:rPr>
          <w:rFonts w:ascii="Arial"/>
          <w:color w:val="000000"/>
          <w:sz w:val="24"/>
        </w:rPr>
        <w:t>rather than being requirements ... specified or standards are fixed in respect of any aspect of that development</w:t>
      </w:r>
      <w:r>
        <w:rPr>
          <w:rFonts w:ascii="Arial"/>
          <w:color w:val="000000"/>
          <w:sz w:val="24"/>
        </w:rPr>
        <w:t>”</w:t>
      </w:r>
      <w:r>
        <w:rPr>
          <w:rFonts w:ascii="Arial"/>
          <w:color w:val="000000"/>
          <w:sz w:val="24"/>
        </w:rPr>
        <w:t xml:space="preserve"> </w:t>
      </w:r>
      <w:r>
        <w:rPr>
          <w:rFonts w:ascii="Arial"/>
          <w:color w:val="000000"/>
          <w:sz w:val="24"/>
        </w:rPr>
        <w:t xml:space="preserve">as the definition of </w:t>
      </w:r>
      <w:r>
        <w:rPr>
          <w:rFonts w:ascii="Arial"/>
          <w:color w:val="000000"/>
          <w:sz w:val="24"/>
        </w:rPr>
        <w:t>“</w:t>
      </w:r>
      <w:r>
        <w:rPr>
          <w:rFonts w:ascii="Arial"/>
          <w:color w:val="000000"/>
          <w:sz w:val="24"/>
        </w:rPr>
        <w:t>development standards</w:t>
      </w:r>
      <w:r>
        <w:rPr>
          <w:rFonts w:ascii="Arial"/>
          <w:color w:val="000000"/>
          <w:sz w:val="24"/>
        </w:rPr>
        <w:t>”</w:t>
      </w:r>
      <w:r>
        <w:rPr>
          <w:rFonts w:ascii="Arial"/>
          <w:color w:val="000000"/>
          <w:sz w:val="24"/>
        </w:rPr>
        <w:t xml:space="preserve"> </w:t>
      </w:r>
      <w:r>
        <w:rPr>
          <w:rFonts w:ascii="Arial"/>
          <w:color w:val="000000"/>
          <w:sz w:val="24"/>
        </w:rPr>
        <w:t xml:space="preserve">provides, the preconditions for </w:t>
      </w:r>
      <w:r>
        <w:rPr>
          <w:rFonts w:ascii="Arial"/>
          <w:color w:val="000000"/>
          <w:sz w:val="24"/>
        </w:rPr>
        <w:t xml:space="preserve">the </w:t>
      </w:r>
      <w:r>
        <w:rPr>
          <w:rFonts w:ascii="Arial"/>
          <w:color w:val="000000"/>
          <w:sz w:val="24"/>
        </w:rPr>
        <w:t xml:space="preserve">exception to cl 6.14(4) are themselves requirements and criteria (or integers, to use the term adopted by Robson J in </w:t>
      </w:r>
      <w:r>
        <w:rPr>
          <w:rFonts w:ascii="Arial"/>
          <w:i/>
          <w:color w:val="000000"/>
          <w:sz w:val="24"/>
        </w:rPr>
        <w:t>Elimatta</w:t>
      </w:r>
      <w:r>
        <w:rPr>
          <w:rFonts w:ascii="Arial"/>
          <w:color w:val="000000"/>
          <w:sz w:val="24"/>
        </w:rPr>
        <w:t>, not the other way around</w:t>
      </w:r>
      <w:r>
        <w:rPr>
          <w:rFonts w:ascii="Arial"/>
          <w:color w:val="000000"/>
          <w:sz w:val="24"/>
        </w:rPr>
        <w:t>)</w:t>
      </w:r>
      <w:r>
        <w:rPr>
          <w:rFonts w:ascii="Arial"/>
          <w:color w:val="000000"/>
          <w:sz w:val="24"/>
        </w:rPr>
        <w:t xml:space="preserve">. </w:t>
      </w:r>
      <w:r>
        <w:rPr>
          <w:rFonts w:ascii="Arial"/>
          <w:color w:val="000000"/>
          <w:sz w:val="24"/>
        </w:rPr>
        <w:t xml:space="preserve">It submits that collectively the </w:t>
      </w:r>
      <w:r>
        <w:rPr>
          <w:rFonts w:ascii="Arial"/>
          <w:color w:val="000000"/>
          <w:sz w:val="24"/>
        </w:rPr>
        <w:t>requirements, provide a holistic approach to built form on 353-355 Waterloo Road.</w:t>
      </w:r>
    </w:p>
    <w:p>
      <w:pPr>
        <w:pStyle w:val="CaselawNumbered1"/>
        <w:numPr>
          <w:ilvl w:val="0"/>
          <w:numId w:val="88"/>
        </w:numPr>
        <w:spacing w:before="150" w:after="0"/>
        <w:ind w:left="1350" w:hanging="750"/>
      </w:pPr>
      <w:r>
        <w:rPr>
          <w:rFonts w:ascii="Arial"/>
          <w:i/>
          <w:color w:val="000000"/>
          <w:sz w:val="24"/>
        </w:rPr>
        <w:t>Australian Unity,</w:t>
      </w:r>
      <w:r>
        <w:rPr>
          <w:rFonts w:ascii="Arial"/>
          <w:color w:val="000000"/>
          <w:sz w:val="24"/>
        </w:rPr>
        <w:t xml:space="preserve"> </w:t>
      </w:r>
      <w:r>
        <w:rPr>
          <w:rFonts w:ascii="Arial"/>
          <w:color w:val="000000"/>
          <w:sz w:val="24"/>
        </w:rPr>
        <w:t xml:space="preserve">can be distinguished because </w:t>
      </w:r>
      <w:r>
        <w:rPr>
          <w:rFonts w:ascii="Arial"/>
          <w:color w:val="000000"/>
          <w:sz w:val="24"/>
        </w:rPr>
        <w:t xml:space="preserve">cl 7.11 of the </w:t>
      </w:r>
      <w:r>
        <w:rPr>
          <w:rFonts w:ascii="Arial"/>
          <w:color w:val="000000"/>
          <w:sz w:val="24"/>
        </w:rPr>
        <w:t>Penrith LEP</w:t>
      </w:r>
      <w:r>
        <w:rPr>
          <w:rFonts w:ascii="Arial"/>
          <w:color w:val="000000"/>
          <w:sz w:val="24"/>
        </w:rPr>
        <w:t xml:space="preserve"> </w:t>
      </w:r>
      <w:r>
        <w:rPr>
          <w:rFonts w:ascii="Arial"/>
          <w:color w:val="000000"/>
          <w:sz w:val="24"/>
        </w:rPr>
        <w:t xml:space="preserve">provided that exceedance of the height control by up to 20% was permissible if a certain floor to ceiling height was achieved. </w:t>
      </w:r>
      <w:r>
        <w:rPr>
          <w:rFonts w:ascii="Arial"/>
          <w:color w:val="000000"/>
          <w:sz w:val="24"/>
        </w:rPr>
        <w:t xml:space="preserve">Therefore, </w:t>
      </w:r>
      <w:r>
        <w:rPr>
          <w:rFonts w:ascii="Arial"/>
          <w:color w:val="000000"/>
          <w:sz w:val="24"/>
        </w:rPr>
        <w:t>the conditions for exceedance (</w:t>
      </w:r>
      <w:r>
        <w:rPr>
          <w:rFonts w:ascii="Arial"/>
          <w:color w:val="000000"/>
          <w:sz w:val="24"/>
        </w:rPr>
        <w:t xml:space="preserve">the </w:t>
      </w:r>
      <w:r>
        <w:rPr>
          <w:rFonts w:ascii="Arial"/>
          <w:color w:val="000000"/>
          <w:sz w:val="24"/>
        </w:rPr>
        <w:t xml:space="preserve">wall height) directly related to the overall height of the development being increased, and so were dealing with </w:t>
      </w:r>
      <w:r>
        <w:rPr>
          <w:rFonts w:ascii="Arial"/>
          <w:color w:val="000000"/>
          <w:sz w:val="24"/>
        </w:rPr>
        <w:t>“</w:t>
      </w:r>
      <w:r>
        <w:rPr>
          <w:rFonts w:ascii="Arial"/>
          <w:color w:val="000000"/>
          <w:sz w:val="24"/>
        </w:rPr>
        <w:t>an aspect of the development</w:t>
      </w:r>
      <w:r>
        <w:rPr>
          <w:rFonts w:ascii="Arial"/>
          <w:color w:val="000000"/>
          <w:sz w:val="24"/>
        </w:rPr>
        <w:t>”</w:t>
      </w:r>
      <w:r>
        <w:rPr>
          <w:rFonts w:ascii="Arial"/>
          <w:color w:val="000000"/>
          <w:sz w:val="24"/>
        </w:rPr>
        <w:t xml:space="preserve">, as provided in the definition of </w:t>
      </w:r>
      <w:r>
        <w:rPr>
          <w:rFonts w:ascii="Arial"/>
          <w:color w:val="000000"/>
          <w:sz w:val="24"/>
        </w:rPr>
        <w:t>“</w:t>
      </w:r>
      <w:r>
        <w:rPr>
          <w:rFonts w:ascii="Arial"/>
          <w:color w:val="000000"/>
          <w:sz w:val="24"/>
        </w:rPr>
        <w:t>development standards</w:t>
      </w:r>
      <w:r>
        <w:rPr>
          <w:rFonts w:ascii="Arial"/>
          <w:color w:val="000000"/>
          <w:sz w:val="24"/>
        </w:rPr>
        <w:t>”</w:t>
      </w:r>
      <w:r>
        <w:rPr>
          <w:rFonts w:ascii="Arial"/>
          <w:color w:val="000000"/>
          <w:sz w:val="24"/>
        </w:rPr>
        <w:t xml:space="preserve">. </w:t>
      </w:r>
    </w:p>
    <w:p>
      <w:pPr>
        <w:pStyle w:val="CaselawNumbered1"/>
        <w:numPr>
          <w:ilvl w:val="0"/>
          <w:numId w:val="88"/>
        </w:numPr>
        <w:spacing w:before="150" w:after="0"/>
        <w:ind w:left="1350" w:hanging="750"/>
      </w:pPr>
      <w:r>
        <w:rPr>
          <w:rFonts w:ascii="Arial"/>
          <w:color w:val="000000"/>
          <w:sz w:val="24"/>
        </w:rPr>
        <w:t>Even if cl</w:t>
      </w:r>
      <w:r>
        <w:rPr>
          <w:rFonts w:ascii="Arial"/>
          <w:color w:val="000000"/>
          <w:sz w:val="24"/>
        </w:rPr>
        <w:t>l</w:t>
      </w:r>
      <w:r>
        <w:rPr>
          <w:rFonts w:ascii="Arial"/>
          <w:color w:val="000000"/>
          <w:sz w:val="24"/>
        </w:rPr>
        <w:t xml:space="preserve"> </w:t>
      </w:r>
      <w:r>
        <w:rPr>
          <w:rFonts w:ascii="Arial"/>
          <w:color w:val="000000"/>
          <w:sz w:val="24"/>
        </w:rPr>
        <w:t xml:space="preserve">6.14(2) and (3) contained development standards that are separate from the development standard in cl 4.3, </w:t>
      </w:r>
      <w:r>
        <w:rPr>
          <w:rFonts w:ascii="Arial"/>
          <w:color w:val="000000"/>
          <w:sz w:val="24"/>
        </w:rPr>
        <w:t xml:space="preserve">the Council submits that </w:t>
      </w:r>
      <w:r>
        <w:rPr>
          <w:rFonts w:ascii="Arial"/>
          <w:color w:val="000000"/>
          <w:sz w:val="24"/>
        </w:rPr>
        <w:t>it does not follow that all of the requirements contained in cl 6.14(4) are development standards.</w:t>
      </w:r>
    </w:p>
    <w:p>
      <w:pPr>
        <w:pStyle w:val="CaselawNumbered1"/>
        <w:numPr>
          <w:ilvl w:val="0"/>
          <w:numId w:val="88"/>
        </w:numPr>
        <w:spacing w:before="150" w:after="0"/>
        <w:ind w:left="1350" w:hanging="750"/>
      </w:pPr>
      <w:r>
        <w:rPr>
          <w:rFonts w:ascii="Arial"/>
          <w:color w:val="000000"/>
          <w:sz w:val="24"/>
        </w:rPr>
        <w:t xml:space="preserve">Lastly, </w:t>
      </w:r>
      <w:r>
        <w:rPr>
          <w:rFonts w:ascii="Arial"/>
          <w:color w:val="000000"/>
          <w:sz w:val="24"/>
        </w:rPr>
        <w:t>there is a strong textual indicator that cl 6.14(4) does contain development standards by operation of cl 6.14(5) which enables a consent authority to seek and obtain expert advice on two such matters.</w:t>
      </w:r>
      <w:r>
        <w:rPr>
          <w:rFonts w:ascii="Arial"/>
          <w:color w:val="000000"/>
          <w:sz w:val="24"/>
        </w:rPr>
        <w:t xml:space="preserve"> </w:t>
      </w:r>
    </w:p>
    <w:p>
      <w:pPr>
        <w:pStyle w:val="CaselawNumbered10"/>
        <w:numPr>
          <w:ilvl w:val="0"/>
          <w:numId w:val="89"/>
        </w:numPr>
        <w:spacing w:before="150" w:after="0"/>
        <w:ind w:left="600" w:hanging="600"/>
      </w:pPr>
      <w:r>
        <w:rPr>
          <w:rFonts w:ascii="Arial"/>
          <w:color w:val="000000"/>
          <w:sz w:val="24"/>
        </w:rPr>
        <w:t xml:space="preserve">For those reasons, the Council says that the provision in the requirements contained in </w:t>
      </w:r>
      <w:r>
        <w:rPr>
          <w:rFonts w:ascii="Arial"/>
          <w:color w:val="000000"/>
          <w:sz w:val="24"/>
        </w:rPr>
        <w:t xml:space="preserve">cl </w:t>
      </w:r>
      <w:r>
        <w:rPr>
          <w:rFonts w:ascii="Arial"/>
          <w:color w:val="000000"/>
          <w:sz w:val="24"/>
        </w:rPr>
        <w:t>6.14(4) are not development standards and, therefore, are not amenable to a cl 4.6 variation request.</w:t>
      </w:r>
    </w:p>
    <w:p>
      <w:pPr>
        <w:pStyle w:val="CaselawNumbered10"/>
        <w:numPr>
          <w:ilvl w:val="0"/>
          <w:numId w:val="89"/>
        </w:numPr>
        <w:spacing w:before="150" w:after="0"/>
        <w:ind w:left="600" w:hanging="600"/>
      </w:pPr>
      <w:r>
        <w:rPr>
          <w:rFonts w:ascii="Arial"/>
          <w:color w:val="000000"/>
          <w:sz w:val="24"/>
        </w:rPr>
        <w:t xml:space="preserve">Consequently, as the </w:t>
      </w:r>
      <w:r>
        <w:rPr>
          <w:rFonts w:ascii="Arial"/>
          <w:color w:val="000000"/>
          <w:sz w:val="24"/>
        </w:rPr>
        <w:t>a</w:t>
      </w:r>
      <w:r>
        <w:rPr>
          <w:rFonts w:ascii="Arial"/>
          <w:color w:val="000000"/>
          <w:sz w:val="24"/>
        </w:rPr>
        <w:t>pplication does not comply with cl 6.14(4) of LEP</w:t>
      </w:r>
      <w:r>
        <w:rPr>
          <w:rFonts w:ascii="Arial"/>
          <w:color w:val="000000"/>
          <w:sz w:val="24"/>
        </w:rPr>
        <w:t xml:space="preserve"> </w:t>
      </w:r>
      <w:r>
        <w:rPr>
          <w:rFonts w:ascii="Arial"/>
          <w:color w:val="000000"/>
          <w:sz w:val="24"/>
        </w:rPr>
        <w:t>2015</w:t>
      </w:r>
      <w:r>
        <w:rPr>
          <w:rFonts w:ascii="Arial"/>
          <w:color w:val="000000"/>
          <w:sz w:val="24"/>
        </w:rPr>
        <w:t xml:space="preserve"> </w:t>
      </w:r>
      <w:r>
        <w:rPr>
          <w:rFonts w:ascii="Arial"/>
          <w:color w:val="000000"/>
          <w:sz w:val="24"/>
        </w:rPr>
        <w:t xml:space="preserve">(for the reasons explained in Contention 6), the exception to the height control in cl 4.3 is not available, and the </w:t>
      </w:r>
      <w:r>
        <w:rPr>
          <w:rFonts w:ascii="Arial"/>
          <w:color w:val="000000"/>
          <w:sz w:val="24"/>
        </w:rPr>
        <w:t xml:space="preserve">DA </w:t>
      </w:r>
      <w:r>
        <w:rPr>
          <w:rFonts w:ascii="Arial"/>
          <w:color w:val="000000"/>
          <w:sz w:val="24"/>
        </w:rPr>
        <w:t>must be refused.</w:t>
      </w:r>
    </w:p>
    <w:p>
      <w:pPr>
        <w:pStyle w:val="CaselawHeading3"/>
        <w:keepNext/>
        <w:spacing w:before="150" w:after="150" w:line="264"/>
        <w:ind w:left="0"/>
        <w:jc w:val="left"/>
      </w:pPr>
      <w:r>
        <w:rPr>
          <w:rFonts w:ascii="Arial"/>
        </w:rPr>
        <w:t>Henroth</w:t>
      </w:r>
      <w:r>
        <w:rPr>
          <w:rFonts w:ascii="Arial"/>
        </w:rPr>
        <w:t>’</w:t>
      </w:r>
      <w:r>
        <w:rPr>
          <w:rFonts w:ascii="Arial"/>
        </w:rPr>
        <w:t>s</w:t>
      </w:r>
      <w:r>
        <w:rPr>
          <w:rFonts w:ascii="Arial"/>
        </w:rPr>
        <w:t xml:space="preserve"> </w:t>
      </w:r>
      <w:r>
        <w:rPr>
          <w:rFonts w:ascii="Arial"/>
        </w:rPr>
        <w:t>position</w:t>
      </w:r>
      <w:r>
        <w:rPr>
          <w:rFonts w:ascii="Arial"/>
        </w:rPr>
        <w:t xml:space="preserve"> </w:t>
      </w:r>
    </w:p>
    <w:p>
      <w:pPr>
        <w:pStyle w:val="CaselawNumbered10"/>
        <w:numPr>
          <w:ilvl w:val="0"/>
          <w:numId w:val="90"/>
        </w:numPr>
        <w:spacing w:before="150" w:after="0"/>
        <w:ind w:left="600" w:hanging="600"/>
      </w:pPr>
      <w:r>
        <w:rPr>
          <w:rFonts w:ascii="Arial"/>
          <w:color w:val="000000"/>
          <w:sz w:val="24"/>
        </w:rPr>
        <w:t>Henroth rejects the Council</w:t>
      </w:r>
      <w:r>
        <w:rPr>
          <w:rFonts w:ascii="Arial"/>
          <w:color w:val="000000"/>
          <w:sz w:val="24"/>
        </w:rPr>
        <w:t>’</w:t>
      </w:r>
      <w:r>
        <w:rPr>
          <w:rFonts w:ascii="Arial"/>
          <w:color w:val="000000"/>
          <w:sz w:val="24"/>
        </w:rPr>
        <w:t xml:space="preserve">s argument that each paragraph in subcl </w:t>
      </w:r>
      <w:r>
        <w:rPr>
          <w:rFonts w:ascii="Arial"/>
          <w:color w:val="000000"/>
          <w:sz w:val="24"/>
        </w:rPr>
        <w:t>6.14</w:t>
      </w:r>
      <w:r>
        <w:rPr>
          <w:rFonts w:ascii="Arial"/>
          <w:color w:val="000000"/>
          <w:sz w:val="24"/>
        </w:rPr>
        <w:t>(4) is a precondition or fixed integer that, collectively, allow the exception to be taken as reasoned by Robson J</w:t>
      </w:r>
      <w:r>
        <w:rPr>
          <w:rFonts w:ascii="Arial"/>
          <w:color w:val="000000"/>
          <w:sz w:val="24"/>
        </w:rPr>
        <w:t xml:space="preserve"> </w:t>
      </w:r>
      <w:r>
        <w:rPr>
          <w:rFonts w:ascii="Arial"/>
          <w:color w:val="000000"/>
          <w:sz w:val="24"/>
        </w:rPr>
        <w:t>in</w:t>
      </w:r>
      <w:r>
        <w:rPr>
          <w:rFonts w:ascii="Arial"/>
          <w:color w:val="000000"/>
          <w:sz w:val="24"/>
        </w:rPr>
        <w:t xml:space="preserve"> </w:t>
      </w:r>
      <w:r>
        <w:rPr>
          <w:rFonts w:ascii="Arial"/>
          <w:i/>
          <w:color w:val="000000"/>
          <w:sz w:val="24"/>
        </w:rPr>
        <w:t>Elimatta</w:t>
      </w:r>
      <w:r>
        <w:rPr>
          <w:rFonts w:ascii="Arial"/>
          <w:color w:val="000000"/>
          <w:sz w:val="24"/>
        </w:rPr>
        <w:t xml:space="preserve">. </w:t>
      </w:r>
      <w:r>
        <w:rPr>
          <w:rFonts w:ascii="Arial"/>
          <w:color w:val="000000"/>
          <w:sz w:val="24"/>
        </w:rPr>
        <w:t>It</w:t>
      </w:r>
      <w:r>
        <w:rPr>
          <w:rFonts w:ascii="Arial"/>
          <w:color w:val="000000"/>
          <w:sz w:val="24"/>
        </w:rPr>
        <w:t xml:space="preserve"> </w:t>
      </w:r>
      <w:r>
        <w:rPr>
          <w:rFonts w:ascii="Arial"/>
          <w:color w:val="000000"/>
          <w:sz w:val="24"/>
        </w:rPr>
        <w:t xml:space="preserve">submits that the structure of cl 6.14, while not identical, is similar to that considered by Pepper J in </w:t>
      </w:r>
      <w:r>
        <w:rPr>
          <w:rFonts w:ascii="Arial"/>
          <w:i/>
          <w:color w:val="000000"/>
          <w:sz w:val="24"/>
        </w:rPr>
        <w:t xml:space="preserve">Australian Unity </w:t>
      </w:r>
      <w:r>
        <w:rPr>
          <w:rFonts w:ascii="Arial"/>
          <w:color w:val="000000"/>
          <w:sz w:val="24"/>
        </w:rPr>
        <w:t xml:space="preserve">and as her Honour did in that case, distinguished the determination made in </w:t>
      </w:r>
      <w:r>
        <w:rPr>
          <w:rFonts w:ascii="Arial"/>
          <w:i/>
          <w:color w:val="000000"/>
          <w:sz w:val="24"/>
        </w:rPr>
        <w:t>Elimatta</w:t>
      </w:r>
      <w:r>
        <w:rPr>
          <w:rFonts w:ascii="Arial"/>
          <w:color w:val="000000"/>
          <w:sz w:val="24"/>
        </w:rPr>
        <w:t xml:space="preserve"> </w:t>
      </w:r>
      <w:r>
        <w:rPr>
          <w:rFonts w:ascii="Arial"/>
          <w:color w:val="000000"/>
          <w:sz w:val="24"/>
        </w:rPr>
        <w:t>by reason of the difference in the provisions presently being considered.</w:t>
      </w:r>
    </w:p>
    <w:p>
      <w:pPr>
        <w:pStyle w:val="CaselawNumbered10"/>
        <w:numPr>
          <w:ilvl w:val="0"/>
          <w:numId w:val="90"/>
        </w:numPr>
        <w:spacing w:before="150" w:after="0"/>
        <w:ind w:left="600" w:hanging="600"/>
      </w:pPr>
      <w:r>
        <w:rPr>
          <w:rFonts w:ascii="Arial"/>
          <w:color w:val="000000"/>
          <w:sz w:val="24"/>
        </w:rPr>
        <w:t xml:space="preserve">As Henroth submits and I accept, cl 6.14 addresses the height control of buildings </w:t>
      </w:r>
      <w:r>
        <w:rPr>
          <w:rFonts w:ascii="Arial"/>
          <w:color w:val="000000"/>
          <w:sz w:val="24"/>
        </w:rPr>
        <w:t>on Lots</w:t>
      </w:r>
      <w:r>
        <w:rPr>
          <w:rFonts w:ascii="Arial"/>
          <w:color w:val="000000"/>
          <w:sz w:val="24"/>
        </w:rPr>
        <w:t xml:space="preserve"> </w:t>
      </w:r>
      <w:r>
        <w:rPr>
          <w:rFonts w:ascii="Arial"/>
          <w:color w:val="000000"/>
          <w:sz w:val="24"/>
        </w:rPr>
        <w:t xml:space="preserve">9 and 41, as those </w:t>
      </w:r>
      <w:r>
        <w:rPr>
          <w:rFonts w:ascii="Arial"/>
          <w:color w:val="000000"/>
          <w:sz w:val="24"/>
        </w:rPr>
        <w:t>L</w:t>
      </w:r>
      <w:r>
        <w:rPr>
          <w:rFonts w:ascii="Arial"/>
          <w:color w:val="000000"/>
          <w:sz w:val="24"/>
        </w:rPr>
        <w:t xml:space="preserve">ots are identified in subcl (1) of the clause. The prefix to the operation of subcl (2) </w:t>
      </w:r>
      <w:r>
        <w:rPr>
          <w:rFonts w:ascii="Arial"/>
          <w:color w:val="000000"/>
          <w:sz w:val="24"/>
        </w:rPr>
        <w:t>“</w:t>
      </w:r>
      <w:r>
        <w:rPr>
          <w:rFonts w:ascii="Arial"/>
          <w:color w:val="000000"/>
          <w:sz w:val="24"/>
        </w:rPr>
        <w:t>Despite clause 4.3</w:t>
      </w:r>
      <w:r>
        <w:rPr>
          <w:rFonts w:ascii="Arial"/>
          <w:color w:val="000000"/>
          <w:sz w:val="24"/>
        </w:rPr>
        <w:t>”</w:t>
      </w:r>
      <w:r>
        <w:rPr>
          <w:rFonts w:ascii="Arial"/>
          <w:color w:val="000000"/>
          <w:sz w:val="24"/>
        </w:rPr>
        <w:t>, operates so that the provisions of the subclause, so far as they specify the respective maximum heights for a building on each of Lot 9 and Lot 41, prevail over the provisions of cl 4.3 so far as that clause otherwise specifies the maximum height of a building on each of those Lots.</w:t>
      </w:r>
      <w:r>
        <w:rPr>
          <w:rFonts w:ascii="Arial"/>
          <w:color w:val="000000"/>
          <w:sz w:val="24"/>
        </w:rPr>
        <w:t> Subclause (3) qualifies the maximum height for a building on Lot 41, as specified in subcl (2), by limiting that height if the building is located within the distances there nominated from identified road or property boundaries of that Lot.</w:t>
      </w:r>
    </w:p>
    <w:p>
      <w:pPr>
        <w:pStyle w:val="CaselawNumbered10"/>
        <w:numPr>
          <w:ilvl w:val="0"/>
          <w:numId w:val="90"/>
        </w:numPr>
        <w:spacing w:before="150" w:after="0"/>
        <w:ind w:left="600" w:hanging="600"/>
      </w:pPr>
      <w:r>
        <w:rPr>
          <w:rFonts w:ascii="Arial"/>
          <w:color w:val="000000"/>
          <w:sz w:val="24"/>
        </w:rPr>
        <w:t>Subclause (4) of cl 6.14 operates by reference to a different set of integers pertaining to the height of a building on the two nominated Lots.</w:t>
      </w:r>
      <w:r>
        <w:rPr>
          <w:rFonts w:ascii="Arial"/>
          <w:color w:val="000000"/>
          <w:sz w:val="24"/>
        </w:rPr>
        <w:t> Its provisions operate by reference to the height control imposed by cl 4.3 and the Height of Buildings Map identified in that clause</w:t>
      </w:r>
      <w:r>
        <w:rPr>
          <w:rFonts w:ascii="Arial"/>
          <w:color w:val="000000"/>
          <w:sz w:val="24"/>
        </w:rPr>
        <w:t xml:space="preserve">. </w:t>
      </w:r>
      <w:r>
        <w:rPr>
          <w:rFonts w:ascii="Arial"/>
          <w:color w:val="000000"/>
          <w:sz w:val="24"/>
        </w:rPr>
        <w:t>This follows</w:t>
      </w:r>
      <w:r>
        <w:rPr>
          <w:rFonts w:ascii="Arial"/>
          <w:color w:val="000000"/>
          <w:sz w:val="24"/>
        </w:rPr>
        <w:t xml:space="preserve"> </w:t>
      </w:r>
      <w:r>
        <w:rPr>
          <w:rFonts w:ascii="Arial"/>
          <w:color w:val="000000"/>
          <w:sz w:val="24"/>
        </w:rPr>
        <w:t xml:space="preserve">by use of the word </w:t>
      </w:r>
      <w:r>
        <w:rPr>
          <w:rFonts w:ascii="Arial"/>
          <w:color w:val="000000"/>
          <w:sz w:val="24"/>
        </w:rPr>
        <w:t>“</w:t>
      </w:r>
      <w:r>
        <w:rPr>
          <w:rFonts w:ascii="Arial"/>
          <w:color w:val="000000"/>
          <w:sz w:val="24"/>
        </w:rPr>
        <w:t>also</w:t>
      </w:r>
      <w:r>
        <w:rPr>
          <w:rFonts w:ascii="Arial"/>
          <w:color w:val="000000"/>
          <w:sz w:val="24"/>
        </w:rPr>
        <w:t xml:space="preserve">” </w:t>
      </w:r>
      <w:r>
        <w:rPr>
          <w:rFonts w:ascii="Arial"/>
          <w:color w:val="000000"/>
          <w:sz w:val="24"/>
        </w:rPr>
        <w:t xml:space="preserve">as the opening word of subcl (4). As Henroth submitted, if the building proposed on Lots 41 and 9 </w:t>
      </w:r>
      <w:r>
        <w:rPr>
          <w:rFonts w:ascii="Arial"/>
          <w:color w:val="000000"/>
          <w:sz w:val="24"/>
        </w:rPr>
        <w:t>“</w:t>
      </w:r>
      <w:r>
        <w:rPr>
          <w:rFonts w:ascii="Arial"/>
          <w:color w:val="000000"/>
          <w:sz w:val="24"/>
        </w:rPr>
        <w:t>exceeds by one centimetre</w:t>
      </w:r>
      <w:r>
        <w:rPr>
          <w:rFonts w:ascii="Arial"/>
          <w:color w:val="000000"/>
          <w:sz w:val="24"/>
        </w:rPr>
        <w:t xml:space="preserve">” </w:t>
      </w:r>
      <w:r>
        <w:rPr>
          <w:rFonts w:ascii="Arial"/>
          <w:color w:val="000000"/>
          <w:sz w:val="24"/>
        </w:rPr>
        <w:t xml:space="preserve">the maximum height of a building on those Lots by reference to the </w:t>
      </w:r>
      <w:r>
        <w:rPr>
          <w:rFonts w:ascii="Arial"/>
          <w:color w:val="000000"/>
          <w:sz w:val="24"/>
        </w:rPr>
        <w:t>H</w:t>
      </w:r>
      <w:r>
        <w:rPr>
          <w:rFonts w:ascii="Arial"/>
          <w:color w:val="000000"/>
          <w:sz w:val="24"/>
        </w:rPr>
        <w:t xml:space="preserve">eight of </w:t>
      </w:r>
      <w:r>
        <w:rPr>
          <w:rFonts w:ascii="Arial"/>
          <w:color w:val="000000"/>
          <w:sz w:val="24"/>
        </w:rPr>
        <w:t>B</w:t>
      </w:r>
      <w:r>
        <w:rPr>
          <w:rFonts w:ascii="Arial"/>
          <w:color w:val="000000"/>
          <w:sz w:val="24"/>
        </w:rPr>
        <w:t xml:space="preserve">uildings </w:t>
      </w:r>
      <w:r>
        <w:rPr>
          <w:rFonts w:ascii="Arial"/>
          <w:color w:val="000000"/>
          <w:sz w:val="24"/>
        </w:rPr>
        <w:t>M</w:t>
      </w:r>
      <w:r>
        <w:rPr>
          <w:rFonts w:ascii="Arial"/>
          <w:color w:val="000000"/>
          <w:sz w:val="24"/>
        </w:rPr>
        <w:t>ap, the consent authority must be satisfied as to each of the matters addressed in pars (a)</w:t>
      </w:r>
      <w:r>
        <w:rPr>
          <w:rFonts w:ascii="Arial"/>
          <w:color w:val="000000"/>
          <w:sz w:val="24"/>
        </w:rPr>
        <w:t>-</w:t>
      </w:r>
      <w:r>
        <w:rPr>
          <w:rFonts w:ascii="Arial"/>
          <w:color w:val="000000"/>
          <w:sz w:val="24"/>
        </w:rPr>
        <w:t>(g) of subcl (4) in order to consent to any exceedance.</w:t>
      </w:r>
      <w:r>
        <w:rPr>
          <w:rFonts w:ascii="Arial"/>
          <w:color w:val="000000"/>
          <w:sz w:val="24"/>
        </w:rPr>
        <w:t>  That is, an evaluative judgment is able to be made by the consent authority to permit the height exceedance provided it is satisfied by reference to the integers identified in pars (a)</w:t>
      </w:r>
      <w:r>
        <w:rPr>
          <w:rFonts w:ascii="Arial"/>
          <w:color w:val="000000"/>
          <w:sz w:val="24"/>
        </w:rPr>
        <w:t>-</w:t>
      </w:r>
      <w:r>
        <w:rPr>
          <w:rFonts w:ascii="Arial"/>
          <w:color w:val="000000"/>
          <w:sz w:val="24"/>
        </w:rPr>
        <w:t>(g) of the subclause.</w:t>
      </w:r>
    </w:p>
    <w:p>
      <w:pPr>
        <w:pStyle w:val="CaselawNumbered10"/>
        <w:numPr>
          <w:ilvl w:val="0"/>
          <w:numId w:val="90"/>
        </w:numPr>
        <w:spacing w:before="150" w:after="0"/>
        <w:ind w:left="600" w:hanging="600"/>
      </w:pPr>
      <w:r>
        <w:rPr>
          <w:rFonts w:ascii="Arial"/>
          <w:color w:val="000000"/>
          <w:sz w:val="24"/>
        </w:rPr>
        <w:t xml:space="preserve">Henroth then addresses </w:t>
      </w:r>
      <w:r>
        <w:rPr>
          <w:rFonts w:ascii="Arial"/>
          <w:i/>
          <w:color w:val="000000"/>
          <w:sz w:val="24"/>
        </w:rPr>
        <w:t xml:space="preserve">Elimatta </w:t>
      </w:r>
      <w:r>
        <w:rPr>
          <w:rFonts w:ascii="Arial"/>
          <w:color w:val="000000"/>
          <w:sz w:val="24"/>
        </w:rPr>
        <w:t xml:space="preserve">where Robson J found that the clause in that case operated as preconditions to the exercise of the discretion to vary a control upon development which his Honour </w:t>
      </w:r>
      <w:r>
        <w:rPr>
          <w:rFonts w:ascii="Arial"/>
          <w:color w:val="000000"/>
          <w:sz w:val="24"/>
        </w:rPr>
        <w:t xml:space="preserve">found </w:t>
      </w:r>
      <w:r>
        <w:rPr>
          <w:rFonts w:ascii="Arial"/>
          <w:color w:val="000000"/>
          <w:sz w:val="24"/>
        </w:rPr>
        <w:t xml:space="preserve">was not therefore a development standard. Relevantly, Henroth submits that there is a structural difference </w:t>
      </w:r>
      <w:r>
        <w:rPr>
          <w:rFonts w:ascii="Arial"/>
          <w:color w:val="000000"/>
          <w:sz w:val="24"/>
        </w:rPr>
        <w:t>between the</w:t>
      </w:r>
      <w:r>
        <w:rPr>
          <w:rFonts w:ascii="Arial"/>
          <w:color w:val="000000"/>
          <w:sz w:val="24"/>
        </w:rPr>
        <w:t xml:space="preserve"> </w:t>
      </w:r>
      <w:r>
        <w:rPr>
          <w:rFonts w:ascii="Arial"/>
          <w:i/>
          <w:color w:val="000000"/>
          <w:sz w:val="24"/>
        </w:rPr>
        <w:t>Elimatta</w:t>
      </w:r>
      <w:r>
        <w:rPr>
          <w:rFonts w:ascii="Arial"/>
          <w:color w:val="000000"/>
          <w:sz w:val="24"/>
        </w:rPr>
        <w:t xml:space="preserve"> </w:t>
      </w:r>
      <w:r>
        <w:rPr>
          <w:rFonts w:ascii="Arial"/>
          <w:color w:val="000000"/>
          <w:sz w:val="24"/>
        </w:rPr>
        <w:t xml:space="preserve">clause and cl 6.14(4). Next, the decision </w:t>
      </w:r>
      <w:r>
        <w:rPr>
          <w:rFonts w:ascii="Arial"/>
          <w:color w:val="000000"/>
          <w:sz w:val="24"/>
        </w:rPr>
        <w:t>of Pepper</w:t>
      </w:r>
      <w:r>
        <w:rPr>
          <w:rFonts w:ascii="Arial"/>
          <w:color w:val="000000"/>
          <w:sz w:val="24"/>
        </w:rPr>
        <w:t xml:space="preserve"> </w:t>
      </w:r>
      <w:r>
        <w:rPr>
          <w:rFonts w:ascii="Arial"/>
          <w:color w:val="000000"/>
          <w:sz w:val="24"/>
        </w:rPr>
        <w:t xml:space="preserve">J in </w:t>
      </w:r>
      <w:r>
        <w:rPr>
          <w:rFonts w:ascii="Arial"/>
          <w:i/>
          <w:color w:val="000000"/>
          <w:sz w:val="24"/>
        </w:rPr>
        <w:t>Australian Unity</w:t>
      </w:r>
      <w:r>
        <w:rPr>
          <w:rFonts w:ascii="Arial"/>
          <w:color w:val="000000"/>
          <w:sz w:val="24"/>
        </w:rPr>
        <w:t xml:space="preserve"> </w:t>
      </w:r>
      <w:r>
        <w:rPr>
          <w:rFonts w:ascii="Arial"/>
          <w:color w:val="000000"/>
          <w:sz w:val="24"/>
        </w:rPr>
        <w:t>was addressed in which her Honour considered a clause not dissimilar to that in</w:t>
      </w:r>
      <w:r>
        <w:rPr>
          <w:rFonts w:ascii="Arial"/>
          <w:i/>
          <w:color w:val="000000"/>
          <w:sz w:val="24"/>
        </w:rPr>
        <w:t xml:space="preserve"> Elimatta.</w:t>
      </w:r>
      <w:r>
        <w:rPr>
          <w:rFonts w:ascii="Arial"/>
          <w:color w:val="000000"/>
          <w:sz w:val="24"/>
        </w:rPr>
        <w:t>  Her Honour distinguished</w:t>
      </w:r>
      <w:r>
        <w:rPr>
          <w:rFonts w:ascii="Arial"/>
          <w:i/>
          <w:color w:val="000000"/>
          <w:sz w:val="24"/>
        </w:rPr>
        <w:t xml:space="preserve"> Elimatta </w:t>
      </w:r>
      <w:r>
        <w:rPr>
          <w:rFonts w:ascii="Arial"/>
          <w:color w:val="000000"/>
          <w:sz w:val="24"/>
        </w:rPr>
        <w:t>in a way that Henroth</w:t>
      </w:r>
      <w:r>
        <w:rPr>
          <w:rFonts w:ascii="Arial"/>
          <w:i/>
          <w:color w:val="000000"/>
          <w:sz w:val="24"/>
        </w:rPr>
        <w:t xml:space="preserve"> </w:t>
      </w:r>
      <w:r>
        <w:rPr>
          <w:rFonts w:ascii="Arial"/>
          <w:color w:val="000000"/>
          <w:sz w:val="24"/>
        </w:rPr>
        <w:t>submits is entirely consistent with the way that cl 6.14 is to be construed</w:t>
      </w:r>
      <w:r>
        <w:rPr>
          <w:rFonts w:ascii="Arial"/>
          <w:i/>
          <w:color w:val="000000"/>
          <w:sz w:val="24"/>
        </w:rPr>
        <w:t xml:space="preserve">. </w:t>
      </w:r>
    </w:p>
    <w:p>
      <w:pPr>
        <w:pStyle w:val="CaselawNumbered10"/>
        <w:numPr>
          <w:ilvl w:val="0"/>
          <w:numId w:val="90"/>
        </w:numPr>
        <w:spacing w:before="150" w:after="0"/>
        <w:ind w:left="600" w:hanging="600"/>
      </w:pPr>
      <w:r>
        <w:rPr>
          <w:rFonts w:ascii="Arial"/>
          <w:color w:val="000000"/>
          <w:sz w:val="24"/>
        </w:rPr>
        <w:t xml:space="preserve">Henroth submits that the critical passage of the judgment in </w:t>
      </w:r>
      <w:r>
        <w:rPr>
          <w:rFonts w:ascii="Arial"/>
          <w:i/>
          <w:color w:val="000000"/>
          <w:sz w:val="24"/>
        </w:rPr>
        <w:t>Elimatta</w:t>
      </w:r>
      <w:r>
        <w:rPr>
          <w:rFonts w:ascii="Arial"/>
          <w:color w:val="000000"/>
          <w:sz w:val="24"/>
        </w:rPr>
        <w:t xml:space="preserve"> </w:t>
      </w:r>
      <w:r>
        <w:rPr>
          <w:rFonts w:ascii="Arial"/>
          <w:color w:val="000000"/>
          <w:sz w:val="24"/>
        </w:rPr>
        <w:t xml:space="preserve">commences at [53]. There, reference is made to the definition of </w:t>
      </w:r>
      <w:r>
        <w:rPr>
          <w:rFonts w:ascii="Arial"/>
          <w:color w:val="000000"/>
          <w:sz w:val="24"/>
        </w:rPr>
        <w:t>“</w:t>
      </w:r>
      <w:r>
        <w:rPr>
          <w:rFonts w:ascii="Arial"/>
          <w:color w:val="000000"/>
          <w:sz w:val="24"/>
        </w:rPr>
        <w:t>development standard</w:t>
      </w:r>
      <w:r>
        <w:rPr>
          <w:rFonts w:ascii="Arial"/>
          <w:color w:val="000000"/>
          <w:sz w:val="24"/>
        </w:rPr>
        <w:t xml:space="preserve">” </w:t>
      </w:r>
      <w:r>
        <w:rPr>
          <w:rFonts w:ascii="Arial"/>
          <w:color w:val="000000"/>
          <w:sz w:val="24"/>
        </w:rPr>
        <w:t>in s 1.4 of the EPA Act,</w:t>
      </w:r>
      <w:r>
        <w:rPr>
          <w:rFonts w:ascii="Arial"/>
          <w:color w:val="000000"/>
          <w:sz w:val="24"/>
        </w:rPr>
        <w:t xml:space="preserve">  namely </w:t>
      </w:r>
      <w:r>
        <w:rPr>
          <w:rFonts w:ascii="Arial"/>
          <w:color w:val="000000"/>
          <w:sz w:val="24"/>
        </w:rPr>
        <w:t>“</w:t>
      </w:r>
      <w:r>
        <w:rPr>
          <w:rFonts w:ascii="Arial"/>
          <w:color w:val="000000"/>
          <w:sz w:val="24"/>
        </w:rPr>
        <w:t xml:space="preserve">provisions of a planning instrument </w:t>
      </w:r>
      <w:r>
        <w:rPr>
          <w:rFonts w:ascii="Arial"/>
          <w:color w:val="000000"/>
          <w:sz w:val="24"/>
        </w:rPr>
        <w:t>…</w:t>
      </w:r>
      <w:r>
        <w:rPr>
          <w:rFonts w:ascii="Arial"/>
          <w:color w:val="000000"/>
          <w:sz w:val="24"/>
        </w:rPr>
        <w:t>in relation to the carrying out of development, being provisions by or under which requirements are specified or standards are fixed in respect of any aspect of that development</w:t>
      </w:r>
      <w:r>
        <w:rPr>
          <w:rFonts w:ascii="Arial"/>
          <w:color w:val="000000"/>
          <w:sz w:val="24"/>
        </w:rPr>
        <w:t>”</w:t>
      </w:r>
      <w:r>
        <w:rPr>
          <w:rFonts w:ascii="Arial"/>
          <w:color w:val="000000"/>
          <w:sz w:val="24"/>
        </w:rPr>
        <w:t xml:space="preserve">, noting that in the provision being considered it must, by its terms, clearly specify a requirement or fix a standard. Robson J then observed that the definition of </w:t>
      </w:r>
      <w:r>
        <w:rPr>
          <w:rFonts w:ascii="Arial"/>
          <w:color w:val="000000"/>
          <w:sz w:val="24"/>
        </w:rPr>
        <w:t>“</w:t>
      </w:r>
      <w:r>
        <w:rPr>
          <w:rFonts w:ascii="Arial"/>
          <w:color w:val="000000"/>
          <w:sz w:val="24"/>
        </w:rPr>
        <w:t>development standard</w:t>
      </w:r>
      <w:r>
        <w:rPr>
          <w:rFonts w:ascii="Arial"/>
          <w:color w:val="000000"/>
          <w:sz w:val="24"/>
        </w:rPr>
        <w:t xml:space="preserve">” </w:t>
      </w:r>
      <w:r>
        <w:rPr>
          <w:rFonts w:ascii="Arial"/>
          <w:color w:val="000000"/>
          <w:sz w:val="24"/>
        </w:rPr>
        <w:t>is directed to the outcome of the provision in question.</w:t>
      </w:r>
      <w:r>
        <w:rPr>
          <w:rFonts w:ascii="Arial"/>
          <w:color w:val="000000"/>
          <w:sz w:val="24"/>
        </w:rPr>
        <w:t> His Honour then concluded that the clause being considered by him (cl 4.1B(3)) did not itself specify or fix anything</w:t>
      </w:r>
      <w:r>
        <w:rPr>
          <w:rFonts w:ascii="Arial"/>
          <w:color w:val="000000"/>
          <w:sz w:val="24"/>
        </w:rPr>
        <w:t>;</w:t>
      </w:r>
      <w:r>
        <w:rPr>
          <w:rFonts w:ascii="Arial"/>
          <w:color w:val="000000"/>
          <w:sz w:val="24"/>
        </w:rPr>
        <w:t xml:space="preserve"> </w:t>
      </w:r>
      <w:r>
        <w:rPr>
          <w:rFonts w:ascii="Arial"/>
          <w:color w:val="000000"/>
          <w:sz w:val="24"/>
        </w:rPr>
        <w:t>rather it provided an exception to those requirements which were otherwise specified in determining the minimum lot size for subdivision (cl 4.1) of the land in question. H</w:t>
      </w:r>
      <w:r>
        <w:rPr>
          <w:rFonts w:ascii="Arial"/>
          <w:color w:val="000000"/>
          <w:sz w:val="24"/>
        </w:rPr>
        <w:t>is Honour</w:t>
      </w:r>
      <w:r>
        <w:rPr>
          <w:rFonts w:ascii="Arial"/>
          <w:color w:val="000000"/>
          <w:sz w:val="24"/>
        </w:rPr>
        <w:t xml:space="preserve"> </w:t>
      </w:r>
      <w:r>
        <w:rPr>
          <w:rFonts w:ascii="Arial"/>
          <w:color w:val="000000"/>
          <w:sz w:val="24"/>
        </w:rPr>
        <w:t>found that the opening words of cl 4.1B(3)</w:t>
      </w:r>
      <w:r>
        <w:rPr>
          <w:rFonts w:ascii="Arial"/>
          <w:color w:val="000000"/>
          <w:sz w:val="24"/>
        </w:rPr>
        <w:t xml:space="preserve"> </w:t>
      </w:r>
      <w:r>
        <w:rPr>
          <w:rFonts w:ascii="Arial"/>
          <w:color w:val="000000"/>
          <w:sz w:val="24"/>
        </w:rPr>
        <w:t xml:space="preserve">being </w:t>
      </w:r>
      <w:r>
        <w:rPr>
          <w:rFonts w:ascii="Arial"/>
          <w:color w:val="000000"/>
          <w:sz w:val="24"/>
        </w:rPr>
        <w:t> </w:t>
      </w:r>
      <w:r>
        <w:rPr>
          <w:rFonts w:ascii="Arial"/>
          <w:color w:val="000000"/>
          <w:sz w:val="24"/>
        </w:rPr>
        <w:t>“</w:t>
      </w:r>
      <w:r>
        <w:rPr>
          <w:rFonts w:ascii="Arial"/>
          <w:color w:val="000000"/>
          <w:sz w:val="24"/>
        </w:rPr>
        <w:t>D</w:t>
      </w:r>
      <w:r>
        <w:rPr>
          <w:rFonts w:ascii="Arial"/>
          <w:color w:val="000000"/>
          <w:sz w:val="24"/>
        </w:rPr>
        <w:t>espite clause 4.1</w:t>
      </w:r>
      <w:r>
        <w:rPr>
          <w:rFonts w:ascii="Arial"/>
          <w:color w:val="000000"/>
          <w:sz w:val="24"/>
        </w:rPr>
        <w:t>”</w:t>
      </w:r>
      <w:r>
        <w:rPr>
          <w:rFonts w:ascii="Arial"/>
          <w:color w:val="000000"/>
          <w:sz w:val="24"/>
        </w:rPr>
        <w:t xml:space="preserve">, clearly indicated that cl 4.1B(3) did not operate alone but instead leveraged off the controlling provision of cl 4.1(3) in those zones to which cl 4.1B(3) applied. </w:t>
      </w:r>
    </w:p>
    <w:p>
      <w:pPr>
        <w:pStyle w:val="CaselawNumbered10"/>
        <w:numPr>
          <w:ilvl w:val="0"/>
          <w:numId w:val="90"/>
        </w:numPr>
        <w:spacing w:before="150" w:after="0"/>
        <w:ind w:left="600" w:hanging="600"/>
      </w:pPr>
      <w:r>
        <w:rPr>
          <w:rFonts w:ascii="Arial"/>
          <w:color w:val="000000"/>
          <w:sz w:val="24"/>
        </w:rPr>
        <w:t>Henroth then submits that the form of cl 4.1B(3) in</w:t>
      </w:r>
      <w:r>
        <w:rPr>
          <w:rFonts w:ascii="Arial"/>
          <w:i/>
          <w:color w:val="000000"/>
          <w:sz w:val="24"/>
        </w:rPr>
        <w:t xml:space="preserve"> Elimatta</w:t>
      </w:r>
      <w:r>
        <w:rPr>
          <w:rFonts w:ascii="Arial"/>
          <w:color w:val="000000"/>
          <w:sz w:val="24"/>
        </w:rPr>
        <w:t xml:space="preserve"> </w:t>
      </w:r>
      <w:r>
        <w:rPr>
          <w:rFonts w:ascii="Arial"/>
          <w:color w:val="000000"/>
          <w:sz w:val="24"/>
        </w:rPr>
        <w:t>at [21]</w:t>
      </w:r>
      <w:r>
        <w:rPr>
          <w:rFonts w:ascii="Arial"/>
          <w:color w:val="000000"/>
          <w:sz w:val="24"/>
        </w:rPr>
        <w:t xml:space="preserve">; </w:t>
      </w:r>
      <w:r>
        <w:rPr>
          <w:rFonts w:ascii="Arial"/>
          <w:color w:val="000000"/>
          <w:sz w:val="24"/>
        </w:rPr>
        <w:t xml:space="preserve">[50] is very different to cl 6.14 in this case. For the same reasons articulated by Pepper J in </w:t>
      </w:r>
      <w:r>
        <w:rPr>
          <w:rFonts w:ascii="Arial"/>
          <w:i/>
          <w:color w:val="000000"/>
          <w:sz w:val="24"/>
        </w:rPr>
        <w:t xml:space="preserve">Australian Unity, </w:t>
      </w:r>
      <w:r>
        <w:rPr>
          <w:rFonts w:ascii="Arial"/>
          <w:color w:val="000000"/>
          <w:sz w:val="24"/>
        </w:rPr>
        <w:t xml:space="preserve">the decision in </w:t>
      </w:r>
      <w:r>
        <w:rPr>
          <w:rFonts w:ascii="Arial"/>
          <w:i/>
          <w:color w:val="000000"/>
          <w:sz w:val="24"/>
        </w:rPr>
        <w:t>Elimatta</w:t>
      </w:r>
      <w:r>
        <w:rPr>
          <w:rFonts w:ascii="Arial"/>
          <w:color w:val="000000"/>
          <w:sz w:val="24"/>
        </w:rPr>
        <w:t xml:space="preserve"> </w:t>
      </w:r>
      <w:r>
        <w:rPr>
          <w:rFonts w:ascii="Arial"/>
          <w:color w:val="000000"/>
          <w:sz w:val="24"/>
        </w:rPr>
        <w:t xml:space="preserve">can be distinguished on that basis. </w:t>
      </w:r>
      <w:r>
        <w:rPr>
          <w:rFonts w:ascii="Arial"/>
          <w:color w:val="000000"/>
          <w:sz w:val="24"/>
        </w:rPr>
        <w:t> I also not</w:t>
      </w:r>
      <w:r>
        <w:rPr>
          <w:rFonts w:ascii="Arial"/>
          <w:color w:val="000000"/>
          <w:sz w:val="24"/>
        </w:rPr>
        <w:t>e</w:t>
      </w:r>
      <w:r>
        <w:rPr>
          <w:rFonts w:ascii="Arial"/>
          <w:color w:val="000000"/>
          <w:sz w:val="24"/>
        </w:rPr>
        <w:t xml:space="preserve"> </w:t>
      </w:r>
      <w:r>
        <w:rPr>
          <w:rFonts w:ascii="Arial"/>
          <w:color w:val="000000"/>
          <w:sz w:val="24"/>
        </w:rPr>
        <w:t xml:space="preserve">the observation by Pepper J that the ultimate decision in </w:t>
      </w:r>
      <w:r>
        <w:rPr>
          <w:rFonts w:ascii="Arial"/>
          <w:i/>
          <w:color w:val="000000"/>
          <w:sz w:val="24"/>
        </w:rPr>
        <w:t>Elimatta</w:t>
      </w:r>
      <w:r>
        <w:rPr>
          <w:rFonts w:ascii="Arial"/>
          <w:color w:val="000000"/>
          <w:sz w:val="24"/>
        </w:rPr>
        <w:t xml:space="preserve"> </w:t>
      </w:r>
      <w:r>
        <w:rPr>
          <w:rFonts w:ascii="Arial"/>
          <w:color w:val="000000"/>
          <w:sz w:val="24"/>
        </w:rPr>
        <w:t xml:space="preserve">appears to be inconsistent with the decision of the Court of Appeal in </w:t>
      </w:r>
      <w:r>
        <w:rPr>
          <w:rFonts w:ascii="Arial"/>
          <w:i/>
          <w:color w:val="000000"/>
          <w:sz w:val="24"/>
        </w:rPr>
        <w:t>R</w:t>
      </w:r>
      <w:r>
        <w:rPr>
          <w:rFonts w:ascii="Arial"/>
          <w:i/>
          <w:color w:val="000000"/>
          <w:sz w:val="24"/>
        </w:rPr>
        <w:t>.</w:t>
      </w:r>
      <w:r>
        <w:rPr>
          <w:rFonts w:ascii="Arial"/>
          <w:i/>
          <w:color w:val="000000"/>
          <w:sz w:val="24"/>
        </w:rPr>
        <w:t>I</w:t>
      </w:r>
      <w:r>
        <w:rPr>
          <w:rFonts w:ascii="Arial"/>
          <w:i/>
          <w:color w:val="000000"/>
          <w:sz w:val="24"/>
        </w:rPr>
        <w:t>.</w:t>
      </w:r>
      <w:r>
        <w:rPr>
          <w:rFonts w:ascii="Arial"/>
          <w:i/>
          <w:color w:val="000000"/>
          <w:sz w:val="24"/>
        </w:rPr>
        <w:t xml:space="preserve">G Consulting </w:t>
      </w:r>
      <w:r>
        <w:rPr>
          <w:rFonts w:ascii="Arial"/>
          <w:color w:val="000000"/>
          <w:sz w:val="24"/>
        </w:rPr>
        <w:t xml:space="preserve">at [53], albeit that </w:t>
      </w:r>
      <w:r>
        <w:rPr>
          <w:rFonts w:ascii="Arial"/>
          <w:i/>
          <w:color w:val="000000"/>
          <w:sz w:val="24"/>
        </w:rPr>
        <w:t>Elimatta</w:t>
      </w:r>
      <w:r>
        <w:rPr>
          <w:rFonts w:ascii="Arial"/>
          <w:color w:val="000000"/>
          <w:sz w:val="24"/>
        </w:rPr>
        <w:t xml:space="preserve"> </w:t>
      </w:r>
      <w:r>
        <w:rPr>
          <w:rFonts w:ascii="Arial"/>
          <w:color w:val="000000"/>
          <w:sz w:val="24"/>
        </w:rPr>
        <w:t>does not appear to have been cited in that case.</w:t>
      </w:r>
    </w:p>
    <w:p>
      <w:pPr>
        <w:pStyle w:val="CaselawNumbered10"/>
        <w:numPr>
          <w:ilvl w:val="0"/>
          <w:numId w:val="90"/>
        </w:numPr>
        <w:spacing w:before="150" w:after="0"/>
        <w:ind w:left="600" w:hanging="600"/>
      </w:pPr>
      <w:r>
        <w:rPr>
          <w:rFonts w:ascii="Arial"/>
          <w:color w:val="000000"/>
          <w:sz w:val="24"/>
        </w:rPr>
        <w:t>Whilst acknowledging that case</w:t>
      </w:r>
      <w:r>
        <w:rPr>
          <w:rFonts w:ascii="Arial"/>
          <w:color w:val="000000"/>
          <w:sz w:val="24"/>
        </w:rPr>
        <w:t xml:space="preserve"> </w:t>
      </w:r>
      <w:r>
        <w:rPr>
          <w:rFonts w:ascii="Arial"/>
          <w:color w:val="000000"/>
          <w:sz w:val="24"/>
        </w:rPr>
        <w:t xml:space="preserve">law has moved on from the </w:t>
      </w:r>
      <w:r>
        <w:rPr>
          <w:rFonts w:ascii="Arial"/>
          <w:color w:val="000000"/>
          <w:sz w:val="24"/>
        </w:rPr>
        <w:t>“</w:t>
      </w:r>
      <w:r>
        <w:rPr>
          <w:rFonts w:ascii="Arial"/>
          <w:color w:val="000000"/>
          <w:sz w:val="24"/>
        </w:rPr>
        <w:t>essential element</w:t>
      </w:r>
      <w:r>
        <w:rPr>
          <w:rFonts w:ascii="Arial"/>
          <w:color w:val="000000"/>
          <w:sz w:val="24"/>
        </w:rPr>
        <w:t>”</w:t>
      </w:r>
      <w:r>
        <w:rPr>
          <w:rFonts w:ascii="Arial"/>
          <w:color w:val="000000"/>
          <w:sz w:val="24"/>
        </w:rPr>
        <w:t xml:space="preserve"> </w:t>
      </w:r>
      <w:r>
        <w:rPr>
          <w:rFonts w:ascii="Arial"/>
          <w:color w:val="000000"/>
          <w:sz w:val="24"/>
        </w:rPr>
        <w:t xml:space="preserve">test of a prohibition, Henroth simply submits that cl 6.14 is clearly neither a prohibition nor a zoning control of the kind identified in </w:t>
      </w:r>
      <w:r>
        <w:rPr>
          <w:rFonts w:ascii="Arial"/>
          <w:i/>
          <w:color w:val="000000"/>
          <w:sz w:val="24"/>
        </w:rPr>
        <w:t>North Sydney Council v Michael Standley &amp; Associates Pty Ltd</w:t>
      </w:r>
      <w:r>
        <w:rPr>
          <w:rFonts w:ascii="Arial"/>
          <w:color w:val="000000"/>
          <w:sz w:val="24"/>
        </w:rPr>
        <w:t xml:space="preserve"> </w:t>
      </w:r>
      <w:r>
        <w:rPr>
          <w:rFonts w:ascii="Arial"/>
          <w:color w:val="000000"/>
          <w:sz w:val="24"/>
        </w:rPr>
        <w:t>(1998) 43 NSWLR 468</w:t>
      </w:r>
      <w:r>
        <w:rPr>
          <w:rFonts w:ascii="Arial"/>
          <w:i/>
          <w:color w:val="000000"/>
          <w:sz w:val="24"/>
        </w:rPr>
        <w:t>.</w:t>
      </w:r>
      <w:r>
        <w:rPr>
          <w:rFonts w:ascii="Arial"/>
          <w:color w:val="000000"/>
          <w:sz w:val="24"/>
        </w:rPr>
        <w:t xml:space="preserve"> </w:t>
      </w:r>
      <w:r>
        <w:rPr>
          <w:rFonts w:ascii="Arial"/>
          <w:color w:val="000000"/>
          <w:sz w:val="24"/>
        </w:rPr>
        <w:t>Rather,</w:t>
      </w:r>
      <w:r>
        <w:rPr>
          <w:rFonts w:ascii="Arial"/>
          <w:color w:val="000000"/>
          <w:sz w:val="24"/>
        </w:rPr>
        <w:t xml:space="preserve"> </w:t>
      </w:r>
      <w:r>
        <w:rPr>
          <w:rFonts w:ascii="Arial"/>
          <w:color w:val="000000"/>
          <w:sz w:val="24"/>
        </w:rPr>
        <w:t xml:space="preserve">the provisions of cl 6.14 </w:t>
      </w:r>
      <w:r>
        <w:rPr>
          <w:rFonts w:ascii="Arial"/>
          <w:color w:val="000000"/>
          <w:sz w:val="24"/>
        </w:rPr>
        <w:t xml:space="preserve">are </w:t>
      </w:r>
      <w:r>
        <w:rPr>
          <w:rFonts w:ascii="Arial"/>
          <w:color w:val="000000"/>
          <w:sz w:val="24"/>
        </w:rPr>
        <w:t>“</w:t>
      </w:r>
      <w:r>
        <w:rPr>
          <w:rFonts w:ascii="Arial"/>
          <w:color w:val="000000"/>
          <w:sz w:val="24"/>
        </w:rPr>
        <w:t>requirements for an aspect of development</w:t>
      </w:r>
      <w:r>
        <w:rPr>
          <w:rFonts w:ascii="Arial"/>
          <w:color w:val="000000"/>
          <w:sz w:val="24"/>
        </w:rPr>
        <w:t xml:space="preserve">” </w:t>
      </w:r>
      <w:r>
        <w:rPr>
          <w:rFonts w:ascii="Arial"/>
          <w:color w:val="000000"/>
          <w:sz w:val="24"/>
        </w:rPr>
        <w:t xml:space="preserve">able to be carried out on Lots 9 and 41, namely the height of buildings on those lands. As I have indicated, it submits that a building of the height authorised the cl 4.3 up to the boundary, </w:t>
      </w:r>
      <w:r>
        <w:rPr>
          <w:rFonts w:ascii="Arial"/>
          <w:color w:val="000000"/>
          <w:sz w:val="24"/>
        </w:rPr>
        <w:t>can, in</w:t>
      </w:r>
      <w:r>
        <w:rPr>
          <w:rFonts w:ascii="Arial"/>
          <w:color w:val="000000"/>
          <w:sz w:val="24"/>
        </w:rPr>
        <w:t xml:space="preserve"> </w:t>
      </w:r>
      <w:r>
        <w:rPr>
          <w:rFonts w:ascii="Arial"/>
          <w:color w:val="000000"/>
          <w:sz w:val="24"/>
        </w:rPr>
        <w:t xml:space="preserve">theory, be achieved but an exceedance of </w:t>
      </w:r>
      <w:r>
        <w:rPr>
          <w:rFonts w:ascii="Arial"/>
          <w:color w:val="000000"/>
          <w:sz w:val="24"/>
        </w:rPr>
        <w:t>1cm</w:t>
      </w:r>
      <w:r>
        <w:rPr>
          <w:rFonts w:ascii="Arial"/>
          <w:color w:val="000000"/>
          <w:sz w:val="24"/>
        </w:rPr>
        <w:t xml:space="preserve"> </w:t>
      </w:r>
      <w:r>
        <w:rPr>
          <w:rFonts w:ascii="Arial"/>
          <w:color w:val="000000"/>
          <w:sz w:val="24"/>
        </w:rPr>
        <w:t>requires a 10m setback from the boundary (cl 6.14(4)).</w:t>
      </w:r>
      <w:r>
        <w:rPr>
          <w:rFonts w:ascii="Arial"/>
          <w:color w:val="000000"/>
          <w:sz w:val="24"/>
        </w:rPr>
        <w:t xml:space="preserve">  A provision in those terms is </w:t>
      </w:r>
      <w:r>
        <w:rPr>
          <w:rFonts w:ascii="Arial"/>
          <w:color w:val="000000"/>
          <w:sz w:val="24"/>
        </w:rPr>
        <w:t>“</w:t>
      </w:r>
      <w:r>
        <w:rPr>
          <w:rFonts w:ascii="Arial"/>
          <w:color w:val="000000"/>
          <w:sz w:val="24"/>
        </w:rPr>
        <w:t xml:space="preserve">specifying a </w:t>
      </w:r>
      <w:r>
        <w:rPr>
          <w:rFonts w:ascii="Arial"/>
          <w:color w:val="000000"/>
          <w:sz w:val="24"/>
        </w:rPr>
        <w:t>requirement</w:t>
      </w:r>
      <w:r>
        <w:rPr>
          <w:rFonts w:ascii="Arial"/>
          <w:color w:val="000000"/>
          <w:sz w:val="24"/>
        </w:rPr>
        <w:t xml:space="preserve">” </w:t>
      </w:r>
      <w:r>
        <w:rPr>
          <w:rFonts w:ascii="Arial"/>
          <w:color w:val="000000"/>
          <w:sz w:val="24"/>
        </w:rPr>
        <w:t>for a building that is greater in height than that limited by cl 4.1</w:t>
      </w:r>
      <w:r>
        <w:rPr>
          <w:rFonts w:ascii="Arial"/>
          <w:color w:val="000000"/>
          <w:sz w:val="24"/>
        </w:rPr>
        <w:t>;</w:t>
      </w:r>
      <w:r>
        <w:rPr>
          <w:rFonts w:ascii="Arial"/>
          <w:color w:val="000000"/>
          <w:sz w:val="24"/>
        </w:rPr>
        <w:t xml:space="preserve"> </w:t>
      </w:r>
      <w:r>
        <w:rPr>
          <w:rFonts w:ascii="Arial"/>
          <w:color w:val="000000"/>
          <w:sz w:val="24"/>
        </w:rPr>
        <w:t xml:space="preserve">so understood, it is a </w:t>
      </w:r>
      <w:r>
        <w:rPr>
          <w:rFonts w:ascii="Arial"/>
          <w:color w:val="000000"/>
          <w:sz w:val="24"/>
        </w:rPr>
        <w:t>“</w:t>
      </w:r>
      <w:r>
        <w:rPr>
          <w:rFonts w:ascii="Arial"/>
          <w:color w:val="000000"/>
          <w:sz w:val="24"/>
        </w:rPr>
        <w:t>development standard</w:t>
      </w:r>
      <w:r>
        <w:rPr>
          <w:rFonts w:ascii="Arial"/>
          <w:color w:val="000000"/>
          <w:sz w:val="24"/>
        </w:rPr>
        <w:t>”</w:t>
      </w:r>
      <w:r>
        <w:rPr>
          <w:rFonts w:ascii="Arial"/>
          <w:color w:val="000000"/>
          <w:sz w:val="24"/>
        </w:rPr>
        <w:t xml:space="preserve">. </w:t>
      </w:r>
    </w:p>
    <w:p>
      <w:pPr>
        <w:pStyle w:val="CaselawHeading3"/>
        <w:keepNext/>
        <w:spacing w:before="150" w:after="150" w:line="264"/>
        <w:ind w:left="0"/>
        <w:jc w:val="left"/>
      </w:pPr>
      <w:r>
        <w:rPr>
          <w:rFonts w:ascii="Arial"/>
        </w:rPr>
        <w:t xml:space="preserve">Finding </w:t>
      </w:r>
      <w:r>
        <w:rPr>
          <w:rFonts w:ascii="Arial"/>
        </w:rPr>
        <w:t xml:space="preserve">– </w:t>
      </w:r>
      <w:r>
        <w:rPr>
          <w:rFonts w:ascii="Arial"/>
        </w:rPr>
        <w:t>cl 6.14(4) is a development standard</w:t>
      </w:r>
      <w:r>
        <w:rPr>
          <w:rFonts w:ascii="Arial"/>
        </w:rPr>
        <w:t xml:space="preserve"> </w:t>
      </w:r>
    </w:p>
    <w:p>
      <w:pPr>
        <w:pStyle w:val="CaselawNumbered10"/>
        <w:numPr>
          <w:ilvl w:val="0"/>
          <w:numId w:val="91"/>
        </w:numPr>
        <w:spacing w:before="150" w:after="0"/>
        <w:ind w:left="600" w:hanging="600"/>
      </w:pPr>
      <w:r>
        <w:rPr>
          <w:rFonts w:ascii="Arial"/>
          <w:color w:val="000000"/>
          <w:sz w:val="24"/>
        </w:rPr>
        <w:t>For present purposes, the focus is on par</w:t>
      </w:r>
      <w:r>
        <w:rPr>
          <w:rFonts w:ascii="Arial"/>
          <w:color w:val="000000"/>
          <w:sz w:val="24"/>
        </w:rPr>
        <w:t>s</w:t>
      </w:r>
      <w:r>
        <w:rPr>
          <w:rFonts w:ascii="Arial"/>
          <w:color w:val="000000"/>
          <w:sz w:val="24"/>
        </w:rPr>
        <w:t xml:space="preserve"> </w:t>
      </w:r>
      <w:r>
        <w:rPr>
          <w:rFonts w:ascii="Arial"/>
          <w:color w:val="000000"/>
          <w:sz w:val="24"/>
        </w:rPr>
        <w:t>(c)</w:t>
      </w:r>
      <w:r>
        <w:rPr>
          <w:rFonts w:ascii="Arial"/>
          <w:color w:val="000000"/>
          <w:sz w:val="24"/>
        </w:rPr>
        <w:t xml:space="preserve"> </w:t>
      </w:r>
      <w:r>
        <w:rPr>
          <w:rFonts w:ascii="Arial"/>
          <w:color w:val="000000"/>
          <w:sz w:val="24"/>
        </w:rPr>
        <w:t>and (d)</w:t>
      </w:r>
      <w:r>
        <w:rPr>
          <w:rFonts w:ascii="Arial"/>
          <w:color w:val="000000"/>
          <w:sz w:val="24"/>
        </w:rPr>
        <w:t xml:space="preserve"> </w:t>
      </w:r>
      <w:r>
        <w:rPr>
          <w:rFonts w:ascii="Arial"/>
          <w:color w:val="000000"/>
          <w:sz w:val="24"/>
        </w:rPr>
        <w:t xml:space="preserve">of cl 6.14(4). </w:t>
      </w:r>
      <w:r>
        <w:rPr>
          <w:rFonts w:ascii="Arial"/>
          <w:color w:val="000000"/>
          <w:sz w:val="24"/>
        </w:rPr>
        <w:t xml:space="preserve"> It is not necessary to characterise each paragraph of </w:t>
      </w:r>
      <w:r>
        <w:rPr>
          <w:rFonts w:ascii="Arial"/>
          <w:color w:val="000000"/>
          <w:sz w:val="24"/>
        </w:rPr>
        <w:t xml:space="preserve">cl </w:t>
      </w:r>
      <w:r>
        <w:rPr>
          <w:rFonts w:ascii="Arial"/>
          <w:color w:val="000000"/>
          <w:sz w:val="24"/>
        </w:rPr>
        <w:t xml:space="preserve">6.14(4) homogenously; some of the paragraphs in subcl (4) satisfy the description of a development standard and some do not. If they do, then clearly they are amendable to the flexibility provided by cl 4.6 because they are development standards, independently of subcl (2). </w:t>
      </w:r>
    </w:p>
    <w:p>
      <w:pPr>
        <w:pStyle w:val="CaselawNumbered10"/>
        <w:numPr>
          <w:ilvl w:val="0"/>
          <w:numId w:val="91"/>
        </w:numPr>
        <w:spacing w:before="150" w:after="0"/>
        <w:ind w:left="600" w:hanging="600"/>
      </w:pPr>
      <w:r>
        <w:rPr>
          <w:rFonts w:ascii="Arial"/>
          <w:color w:val="000000"/>
          <w:sz w:val="24"/>
        </w:rPr>
        <w:t xml:space="preserve">The height of building control, the development standard in cl 4.3 is modified by cl 6.14. Furthermore, cl 6.14 only applies to Lots 9 and 41 within the site. </w:t>
      </w:r>
    </w:p>
    <w:p>
      <w:pPr>
        <w:pStyle w:val="CaselawNumbered10"/>
        <w:numPr>
          <w:ilvl w:val="0"/>
          <w:numId w:val="91"/>
        </w:numPr>
        <w:spacing w:before="150" w:after="0"/>
        <w:ind w:left="600" w:hanging="600"/>
      </w:pPr>
      <w:r>
        <w:rPr>
          <w:rFonts w:ascii="Arial"/>
          <w:color w:val="000000"/>
          <w:sz w:val="24"/>
        </w:rPr>
        <w:t xml:space="preserve">I accept the submissions advanced on behalf of </w:t>
      </w:r>
      <w:r>
        <w:rPr>
          <w:rFonts w:ascii="Arial"/>
          <w:color w:val="000000"/>
          <w:sz w:val="24"/>
        </w:rPr>
        <w:t>Henroth</w:t>
      </w:r>
      <w:r>
        <w:rPr>
          <w:rFonts w:ascii="Arial"/>
          <w:color w:val="000000"/>
          <w:sz w:val="24"/>
        </w:rPr>
        <w:t xml:space="preserve"> </w:t>
      </w:r>
      <w:r>
        <w:rPr>
          <w:rFonts w:ascii="Arial"/>
          <w:color w:val="000000"/>
          <w:sz w:val="24"/>
        </w:rPr>
        <w:t>that cl 6.14(4)(c)</w:t>
      </w:r>
      <w:r>
        <w:rPr>
          <w:rFonts w:ascii="Arial"/>
          <w:color w:val="000000"/>
          <w:sz w:val="24"/>
        </w:rPr>
        <w:t xml:space="preserve"> </w:t>
      </w:r>
      <w:r>
        <w:rPr>
          <w:rFonts w:ascii="Arial"/>
          <w:color w:val="000000"/>
          <w:sz w:val="24"/>
        </w:rPr>
        <w:t>and (d)</w:t>
      </w:r>
      <w:r>
        <w:rPr>
          <w:rFonts w:ascii="Arial"/>
          <w:color w:val="000000"/>
          <w:sz w:val="24"/>
        </w:rPr>
        <w:t xml:space="preserve"> </w:t>
      </w:r>
      <w:r>
        <w:rPr>
          <w:rFonts w:ascii="Arial"/>
          <w:color w:val="000000"/>
          <w:sz w:val="24"/>
        </w:rPr>
        <w:t>are a</w:t>
      </w:r>
      <w:r>
        <w:rPr>
          <w:rFonts w:ascii="Arial"/>
          <w:color w:val="000000"/>
          <w:sz w:val="24"/>
        </w:rPr>
        <w:t xml:space="preserve"> </w:t>
      </w:r>
      <w:r>
        <w:rPr>
          <w:rFonts w:ascii="Arial"/>
          <w:color w:val="000000"/>
          <w:sz w:val="24"/>
        </w:rPr>
        <w:t>development standard.</w:t>
      </w:r>
      <w:r>
        <w:rPr>
          <w:rFonts w:ascii="Arial"/>
          <w:color w:val="000000"/>
          <w:sz w:val="24"/>
        </w:rPr>
        <w:t xml:space="preserve">  In seeking to summarise those submissions I have added observations or matters that I consider relevant to </w:t>
      </w:r>
      <w:r>
        <w:rPr>
          <w:rFonts w:ascii="Arial"/>
          <w:color w:val="000000"/>
          <w:sz w:val="24"/>
        </w:rPr>
        <w:t>Henroth</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contentions, relieving me of the need to repeat what has already been addressed in these reasons.</w:t>
      </w:r>
      <w:r>
        <w:rPr>
          <w:rFonts w:ascii="Arial"/>
          <w:color w:val="000000"/>
          <w:sz w:val="24"/>
        </w:rPr>
        <w:t xml:space="preserve">  In particular, to the extent that the Council sought support for its submissions on this issue from the decision in </w:t>
      </w:r>
      <w:r>
        <w:rPr>
          <w:rFonts w:ascii="Arial"/>
          <w:i/>
          <w:color w:val="000000"/>
          <w:sz w:val="24"/>
        </w:rPr>
        <w:t>El</w:t>
      </w:r>
      <w:r>
        <w:rPr>
          <w:rFonts w:ascii="Arial"/>
          <w:i/>
          <w:color w:val="000000"/>
          <w:sz w:val="24"/>
        </w:rPr>
        <w:t>i</w:t>
      </w:r>
      <w:r>
        <w:rPr>
          <w:rFonts w:ascii="Arial"/>
          <w:i/>
          <w:color w:val="000000"/>
          <w:sz w:val="24"/>
        </w:rPr>
        <w:t>matta</w:t>
      </w:r>
      <w:r>
        <w:rPr>
          <w:rFonts w:ascii="Arial"/>
          <w:color w:val="000000"/>
          <w:sz w:val="24"/>
        </w:rPr>
        <w:t>,</w:t>
      </w:r>
      <w:r>
        <w:rPr>
          <w:rFonts w:ascii="Arial"/>
          <w:color w:val="000000"/>
          <w:sz w:val="24"/>
        </w:rPr>
        <w:t> I consider the provisions cl 6.14 and its interrelationship with cl 4.3 of LEP</w:t>
      </w:r>
      <w:r>
        <w:rPr>
          <w:rFonts w:ascii="Arial"/>
          <w:color w:val="000000"/>
          <w:sz w:val="24"/>
        </w:rPr>
        <w:t xml:space="preserve"> </w:t>
      </w:r>
      <w:r>
        <w:rPr>
          <w:rFonts w:ascii="Arial"/>
          <w:color w:val="000000"/>
          <w:sz w:val="24"/>
        </w:rPr>
        <w:t>2015</w:t>
      </w:r>
      <w:r>
        <w:rPr>
          <w:rFonts w:ascii="Arial"/>
          <w:color w:val="000000"/>
          <w:sz w:val="24"/>
        </w:rPr>
        <w:t xml:space="preserve">, can properly be distinguished from those considered in </w:t>
      </w:r>
      <w:r>
        <w:rPr>
          <w:rFonts w:ascii="Arial"/>
          <w:i/>
          <w:color w:val="000000"/>
          <w:sz w:val="24"/>
        </w:rPr>
        <w:t>El</w:t>
      </w:r>
      <w:r>
        <w:rPr>
          <w:rFonts w:ascii="Arial"/>
          <w:i/>
          <w:color w:val="000000"/>
          <w:sz w:val="24"/>
        </w:rPr>
        <w:t>i</w:t>
      </w:r>
      <w:r>
        <w:rPr>
          <w:rFonts w:ascii="Arial"/>
          <w:i/>
          <w:color w:val="000000"/>
          <w:sz w:val="24"/>
        </w:rPr>
        <w:t>matta</w:t>
      </w:r>
      <w:r>
        <w:rPr>
          <w:rFonts w:ascii="Arial"/>
          <w:color w:val="000000"/>
          <w:sz w:val="24"/>
        </w:rPr>
        <w:t>.</w:t>
      </w:r>
      <w:r>
        <w:rPr>
          <w:rFonts w:ascii="Arial"/>
          <w:color w:val="000000"/>
          <w:sz w:val="24"/>
        </w:rPr>
        <w:t xml:space="preserve">  The reasoning in </w:t>
      </w:r>
      <w:r>
        <w:rPr>
          <w:rFonts w:ascii="Arial"/>
          <w:i/>
          <w:color w:val="000000"/>
          <w:sz w:val="24"/>
        </w:rPr>
        <w:t>Australian Unity</w:t>
      </w:r>
      <w:r>
        <w:rPr>
          <w:rFonts w:ascii="Arial"/>
          <w:color w:val="000000"/>
          <w:sz w:val="24"/>
        </w:rPr>
        <w:t xml:space="preserve"> </w:t>
      </w:r>
      <w:r>
        <w:rPr>
          <w:rFonts w:ascii="Arial"/>
          <w:color w:val="000000"/>
          <w:sz w:val="24"/>
        </w:rPr>
        <w:t xml:space="preserve">seems to me, with respect, to be apt to the provisions presently being considered. It is not a choice between the reasoning in </w:t>
      </w:r>
      <w:r>
        <w:rPr>
          <w:rFonts w:ascii="Arial"/>
          <w:i/>
          <w:color w:val="000000"/>
          <w:sz w:val="24"/>
        </w:rPr>
        <w:t>Elimatta</w:t>
      </w:r>
      <w:r>
        <w:rPr>
          <w:rFonts w:ascii="Arial"/>
          <w:color w:val="000000"/>
          <w:sz w:val="24"/>
        </w:rPr>
        <w:t xml:space="preserve"> </w:t>
      </w:r>
      <w:r>
        <w:rPr>
          <w:rFonts w:ascii="Arial"/>
          <w:color w:val="000000"/>
          <w:sz w:val="24"/>
        </w:rPr>
        <w:t xml:space="preserve">or </w:t>
      </w:r>
      <w:r>
        <w:rPr>
          <w:rFonts w:ascii="Arial"/>
          <w:i/>
          <w:color w:val="000000"/>
          <w:sz w:val="24"/>
        </w:rPr>
        <w:t>Australian Unity</w:t>
      </w:r>
      <w:r>
        <w:rPr>
          <w:rFonts w:ascii="Arial"/>
          <w:color w:val="000000"/>
          <w:sz w:val="24"/>
        </w:rPr>
        <w:t xml:space="preserve"> </w:t>
      </w:r>
      <w:r>
        <w:rPr>
          <w:rFonts w:ascii="Arial"/>
          <w:color w:val="000000"/>
          <w:sz w:val="24"/>
        </w:rPr>
        <w:t>as the Council submits (CFWS at par</w:t>
      </w:r>
      <w:r>
        <w:rPr>
          <w:rFonts w:ascii="Arial"/>
          <w:color w:val="000000"/>
          <w:sz w:val="24"/>
        </w:rPr>
        <w:t>s</w:t>
      </w:r>
      <w:r>
        <w:rPr>
          <w:rFonts w:ascii="Arial"/>
          <w:color w:val="000000"/>
          <w:sz w:val="24"/>
        </w:rPr>
        <w:t xml:space="preserve"> </w:t>
      </w:r>
      <w:r>
        <w:rPr>
          <w:rFonts w:ascii="Arial"/>
          <w:color w:val="000000"/>
          <w:sz w:val="24"/>
        </w:rPr>
        <w:t>34,</w:t>
      </w:r>
      <w:r>
        <w:rPr>
          <w:rFonts w:ascii="Arial"/>
          <w:color w:val="000000"/>
          <w:sz w:val="24"/>
        </w:rPr>
        <w:t xml:space="preserve"> </w:t>
      </w:r>
      <w:r>
        <w:rPr>
          <w:rFonts w:ascii="Arial"/>
          <w:color w:val="000000"/>
          <w:sz w:val="24"/>
        </w:rPr>
        <w:t>99)</w:t>
      </w:r>
      <w:r>
        <w:rPr>
          <w:rFonts w:ascii="Arial"/>
          <w:color w:val="000000"/>
          <w:sz w:val="24"/>
        </w:rPr>
        <w:t>;</w:t>
      </w:r>
      <w:r>
        <w:rPr>
          <w:rFonts w:ascii="Arial"/>
          <w:color w:val="000000"/>
          <w:sz w:val="24"/>
        </w:rPr>
        <w:t xml:space="preserve"> </w:t>
      </w:r>
      <w:r>
        <w:rPr>
          <w:rFonts w:ascii="Arial"/>
          <w:color w:val="000000"/>
          <w:sz w:val="24"/>
        </w:rPr>
        <w:t xml:space="preserve">the form of the clause is different and, in this instance, </w:t>
      </w:r>
      <w:r>
        <w:rPr>
          <w:rFonts w:ascii="Arial"/>
          <w:i/>
          <w:color w:val="000000"/>
          <w:sz w:val="24"/>
        </w:rPr>
        <w:t>Australian Unity</w:t>
      </w:r>
      <w:r>
        <w:rPr>
          <w:rFonts w:ascii="Arial"/>
          <w:color w:val="000000"/>
          <w:sz w:val="24"/>
        </w:rPr>
        <w:t xml:space="preserve"> </w:t>
      </w:r>
      <w:r>
        <w:rPr>
          <w:rFonts w:ascii="Arial"/>
          <w:color w:val="000000"/>
          <w:sz w:val="24"/>
        </w:rPr>
        <w:t xml:space="preserve">is relevant. </w:t>
      </w:r>
    </w:p>
    <w:p>
      <w:pPr>
        <w:pStyle w:val="CaselawNumbered10"/>
        <w:numPr>
          <w:ilvl w:val="0"/>
          <w:numId w:val="91"/>
        </w:numPr>
        <w:spacing w:before="150" w:after="0"/>
        <w:ind w:left="600" w:hanging="600"/>
      </w:pPr>
      <w:r>
        <w:rPr>
          <w:rFonts w:ascii="Arial"/>
          <w:color w:val="000000"/>
          <w:sz w:val="24"/>
        </w:rPr>
        <w:t>Accordingly, for</w:t>
      </w:r>
      <w:r>
        <w:rPr>
          <w:rFonts w:ascii="Arial"/>
          <w:color w:val="000000"/>
          <w:sz w:val="24"/>
        </w:rPr>
        <w:t xml:space="preserve"> </w:t>
      </w:r>
      <w:r>
        <w:rPr>
          <w:rFonts w:ascii="Arial"/>
          <w:color w:val="000000"/>
          <w:sz w:val="24"/>
        </w:rPr>
        <w:t xml:space="preserve">the reasons submitted by </w:t>
      </w:r>
      <w:r>
        <w:rPr>
          <w:rFonts w:ascii="Arial"/>
          <w:color w:val="000000"/>
          <w:sz w:val="24"/>
        </w:rPr>
        <w:t>Henroth</w:t>
      </w:r>
      <w:r>
        <w:rPr>
          <w:rFonts w:ascii="Arial"/>
          <w:color w:val="000000"/>
          <w:sz w:val="24"/>
        </w:rPr>
        <w:t xml:space="preserve"> </w:t>
      </w:r>
      <w:r>
        <w:rPr>
          <w:rFonts w:ascii="Arial"/>
          <w:color w:val="000000"/>
          <w:sz w:val="24"/>
        </w:rPr>
        <w:t>I find that in operation the subparagraphs in cl 6.14(4)(c)</w:t>
      </w:r>
      <w:r>
        <w:rPr>
          <w:rFonts w:ascii="Arial"/>
          <w:color w:val="000000"/>
          <w:sz w:val="24"/>
        </w:rPr>
        <w:t xml:space="preserve"> </w:t>
      </w:r>
      <w:r>
        <w:rPr>
          <w:rFonts w:ascii="Arial"/>
          <w:color w:val="000000"/>
          <w:sz w:val="24"/>
        </w:rPr>
        <w:t xml:space="preserve">and (d) </w:t>
      </w:r>
      <w:r>
        <w:rPr>
          <w:rFonts w:ascii="Arial"/>
          <w:color w:val="000000"/>
          <w:sz w:val="24"/>
        </w:rPr>
        <w:t>cannot be construed as anything other than</w:t>
      </w:r>
      <w:r>
        <w:rPr>
          <w:rFonts w:ascii="Arial"/>
          <w:color w:val="000000"/>
          <w:sz w:val="24"/>
        </w:rPr>
        <w:t> a development standard. Thereby</w:t>
      </w:r>
      <w:r>
        <w:rPr>
          <w:rFonts w:ascii="Arial"/>
          <w:color w:val="000000"/>
          <w:sz w:val="24"/>
        </w:rPr>
        <w:t>,</w:t>
      </w:r>
      <w:r>
        <w:rPr>
          <w:rFonts w:ascii="Arial"/>
          <w:color w:val="000000"/>
          <w:sz w:val="24"/>
        </w:rPr>
        <w:t xml:space="preserve"> </w:t>
      </w:r>
      <w:r>
        <w:rPr>
          <w:rFonts w:ascii="Arial"/>
          <w:color w:val="000000"/>
          <w:sz w:val="24"/>
        </w:rPr>
        <w:t>it is amenable to variation under cl 4.6 of LEP</w:t>
      </w:r>
      <w:r>
        <w:rPr>
          <w:rFonts w:ascii="Arial"/>
          <w:color w:val="000000"/>
          <w:sz w:val="24"/>
        </w:rPr>
        <w:t xml:space="preserve"> </w:t>
      </w:r>
      <w:r>
        <w:rPr>
          <w:rFonts w:ascii="Arial"/>
          <w:color w:val="000000"/>
          <w:sz w:val="24"/>
        </w:rPr>
        <w:t>2015</w:t>
      </w:r>
      <w:r>
        <w:rPr>
          <w:rFonts w:ascii="Arial"/>
          <w:color w:val="000000"/>
          <w:sz w:val="24"/>
        </w:rPr>
        <w:t xml:space="preserve">. </w:t>
      </w:r>
    </w:p>
    <w:p>
      <w:pPr>
        <w:pStyle w:val="CaselawHeading2"/>
        <w:keepNext/>
        <w:spacing w:before="150" w:after="150" w:line="264"/>
        <w:ind w:left="0"/>
        <w:jc w:val="left"/>
      </w:pPr>
      <w:r>
        <w:rPr>
          <w:rFonts w:ascii="Arial"/>
        </w:rPr>
        <w:t xml:space="preserve">Contention 5 - Non-compliance with LEP </w:t>
      </w:r>
      <w:r>
        <w:rPr>
          <w:rFonts w:ascii="Arial"/>
        </w:rPr>
        <w:t xml:space="preserve">2015 </w:t>
      </w:r>
      <w:r>
        <w:rPr>
          <w:rFonts w:ascii="Arial"/>
        </w:rPr>
        <w:t>and Contention 6 - Non-compliance with the draft LEP</w:t>
      </w:r>
    </w:p>
    <w:p>
      <w:pPr>
        <w:pStyle w:val="CaselawHeading3"/>
        <w:keepNext/>
        <w:spacing w:before="150" w:after="150" w:line="264"/>
        <w:ind w:left="0"/>
        <w:jc w:val="left"/>
      </w:pPr>
      <w:r>
        <w:rPr>
          <w:rFonts w:ascii="Arial"/>
        </w:rPr>
        <w:t>Driveway/public road connection to Norfolk Road</w:t>
      </w:r>
      <w:r>
        <w:rPr>
          <w:rFonts w:ascii="Arial"/>
        </w:rPr>
        <w:t xml:space="preserve"> </w:t>
      </w:r>
    </w:p>
    <w:p>
      <w:pPr>
        <w:pStyle w:val="CaselawNumbered10"/>
        <w:numPr>
          <w:ilvl w:val="0"/>
          <w:numId w:val="92"/>
        </w:numPr>
        <w:spacing w:before="150" w:after="0"/>
        <w:ind w:left="600" w:hanging="600"/>
      </w:pPr>
      <w:r>
        <w:rPr>
          <w:rFonts w:ascii="Arial"/>
          <w:color w:val="000000"/>
          <w:sz w:val="24"/>
        </w:rPr>
        <w:t xml:space="preserve">The planning experts are agreed that 87 Norfolk Road will provide access to the residential accommodation parking (basement), and for limited vehicular access and on street parking along Norfolk Lane. </w:t>
      </w:r>
    </w:p>
    <w:p>
      <w:pPr>
        <w:pStyle w:val="CaselawNumbered10"/>
        <w:numPr>
          <w:ilvl w:val="0"/>
          <w:numId w:val="92"/>
        </w:numPr>
        <w:spacing w:before="150" w:after="0"/>
        <w:ind w:left="600" w:hanging="600"/>
      </w:pPr>
      <w:r>
        <w:rPr>
          <w:rFonts w:ascii="Arial"/>
          <w:color w:val="000000"/>
          <w:sz w:val="24"/>
        </w:rPr>
        <w:t xml:space="preserve">Ms Bartlett gave evidence that the </w:t>
      </w:r>
      <w:r>
        <w:rPr>
          <w:rFonts w:ascii="Arial"/>
          <w:color w:val="000000"/>
          <w:sz w:val="24"/>
        </w:rPr>
        <w:t>“</w:t>
      </w:r>
      <w:r>
        <w:rPr>
          <w:rFonts w:ascii="Arial"/>
          <w:color w:val="000000"/>
          <w:sz w:val="24"/>
        </w:rPr>
        <w:t>road</w:t>
      </w:r>
      <w:r>
        <w:rPr>
          <w:rFonts w:ascii="Arial"/>
          <w:color w:val="000000"/>
          <w:sz w:val="24"/>
        </w:rPr>
        <w:t xml:space="preserve">” </w:t>
      </w:r>
      <w:r>
        <w:rPr>
          <w:rFonts w:ascii="Arial"/>
          <w:color w:val="000000"/>
          <w:sz w:val="24"/>
        </w:rPr>
        <w:t xml:space="preserve">to the residential basement is contrary to the R2 zone objectives for several reasons (Ex 10 par 42). </w:t>
      </w:r>
    </w:p>
    <w:p>
      <w:pPr>
        <w:pStyle w:val="CaselawQuote"/>
        <w:spacing w:before="150" w:after="150"/>
        <w:ind w:left="1350"/>
        <w:jc w:val="left"/>
      </w:pPr>
      <w:r>
        <w:rPr>
          <w:rFonts w:ascii="Arial"/>
          <w:color w:val="000000"/>
          <w:sz w:val="22"/>
        </w:rPr>
        <w:t>“a. The proposal will remove a low-density residential dwelling and replace it with a new access road/driveway singularly to serve a mixed use and high density residential development, thus reducing the housing needs of the community.</w:t>
      </w:r>
    </w:p>
    <w:p>
      <w:pPr>
        <w:pStyle w:val="CaselawQuote"/>
        <w:spacing w:before="150" w:after="150"/>
        <w:ind w:left="1350"/>
        <w:jc w:val="left"/>
      </w:pPr>
      <w:r>
        <w:rPr>
          <w:rFonts w:ascii="Arial"/>
          <w:color w:val="000000"/>
          <w:sz w:val="22"/>
        </w:rPr>
        <w:t>b. The location of ‘Norfolk Lane’ contravenes the Indicative Structure Plan of the DCP, which removes the ability for any genuine low or medium density housing to be created on the site, by placing a ‘road’ or ‘access’ point so far south that it prevents low-density buildings from fitting between ‘Norfolk Lane’ and the 10m southern boundary setback. Whilst the dwellings to the north of ‘Norfolk Lane’ are intended to appear as medium density ‘townhouses’, they are Class 2 buildings that form the podium of a larger, high-density, shop-top housing development.</w:t>
      </w:r>
    </w:p>
    <w:p>
      <w:pPr>
        <w:pStyle w:val="CaselawQuote"/>
        <w:spacing w:before="150" w:after="150"/>
        <w:ind w:left="1350"/>
        <w:jc w:val="left"/>
      </w:pPr>
      <w:r>
        <w:rPr>
          <w:rFonts w:ascii="Arial"/>
          <w:color w:val="000000"/>
          <w:sz w:val="22"/>
        </w:rPr>
        <w:t>c. The proposed access will not ‘enable other land uses that provide facilities or services to meet the day to day needs of residents. Local residents seeking to utilise either the local retail or childcare will either walk to the site, or drive to the main retail and other use parking area – they will not drive to ‘Norfolk Lane’, as it does not provide any improved direct access to retail uses than the primary vehicular access point on Waterloo Road. It will also have less certainty about parking given the limited on-street parking environment.</w:t>
      </w:r>
    </w:p>
    <w:p>
      <w:pPr>
        <w:pStyle w:val="CaselawQuote"/>
        <w:spacing w:before="150" w:after="150"/>
        <w:ind w:left="1350"/>
        <w:jc w:val="left"/>
      </w:pPr>
      <w:r>
        <w:rPr>
          <w:rFonts w:ascii="Arial"/>
          <w:color w:val="000000"/>
          <w:sz w:val="22"/>
        </w:rPr>
        <w:t>d. The proposed access way will create inappropriate additional environmental and amenity impacts on the R2 zone including noise, traffic, air quality, and visual and acoustic privacy. Primarily, these impacts will be from residents and visitors utilising ‘Norfolk Lane’ for either access to residential basement, or for the 14 on street visitor parking spaces. This is not compatible with the existing residential uses and adversely affects the living environmental and amenity of the area.</w:t>
      </w:r>
    </w:p>
    <w:p>
      <w:pPr>
        <w:pStyle w:val="CaselawQuote"/>
        <w:spacing w:before="150" w:after="150"/>
        <w:ind w:left="1350"/>
        <w:jc w:val="left"/>
      </w:pPr>
      <w:r>
        <w:rPr>
          <w:rFonts w:ascii="Arial"/>
          <w:color w:val="000000"/>
          <w:sz w:val="22"/>
        </w:rPr>
        <w:t>e. The access way will remove an existing low-density residential dwelling and will reduce surrounding local amenity. It will also reduce landscape outcomes on the site, which is contrary to the low-density character of the zone.”</w:t>
      </w:r>
    </w:p>
    <w:p>
      <w:pPr>
        <w:pStyle w:val="CaselawNumbered10"/>
        <w:numPr>
          <w:ilvl w:val="0"/>
          <w:numId w:val="93"/>
        </w:numPr>
        <w:spacing w:before="150" w:after="0"/>
        <w:ind w:left="600" w:hanging="600"/>
      </w:pPr>
      <w:r>
        <w:rPr>
          <w:rFonts w:ascii="Arial"/>
          <w:color w:val="000000"/>
          <w:sz w:val="24"/>
        </w:rPr>
        <w:t xml:space="preserve">It is agreed that the development within the B2 (Local Centre) zone is generally consistent with the zone objectives. Albeit Ms Bartlett believes that </w:t>
      </w:r>
      <w:r>
        <w:rPr>
          <w:rFonts w:ascii="Arial"/>
          <w:color w:val="000000"/>
          <w:sz w:val="24"/>
        </w:rPr>
        <w:t xml:space="preserve">the </w:t>
      </w:r>
      <w:r>
        <w:rPr>
          <w:rFonts w:ascii="Arial"/>
          <w:color w:val="000000"/>
          <w:sz w:val="24"/>
        </w:rPr>
        <w:t xml:space="preserve">current proposal does not </w:t>
      </w:r>
      <w:r>
        <w:rPr>
          <w:rFonts w:ascii="Arial"/>
          <w:color w:val="000000"/>
          <w:sz w:val="24"/>
        </w:rPr>
        <w:t>“</w:t>
      </w:r>
      <w:r>
        <w:rPr>
          <w:rFonts w:ascii="Arial"/>
          <w:color w:val="000000"/>
          <w:sz w:val="24"/>
        </w:rPr>
        <w:t>maximise public transport patronage and encourage walking and cycling</w:t>
      </w:r>
      <w:r>
        <w:rPr>
          <w:rFonts w:ascii="Arial"/>
          <w:color w:val="000000"/>
          <w:sz w:val="24"/>
        </w:rPr>
        <w:t xml:space="preserve">” </w:t>
      </w:r>
      <w:r>
        <w:rPr>
          <w:rFonts w:ascii="Arial"/>
          <w:color w:val="000000"/>
          <w:sz w:val="24"/>
        </w:rPr>
        <w:t xml:space="preserve">due to its inconsistency with the DCP design principles and ISP. </w:t>
      </w:r>
    </w:p>
    <w:p>
      <w:pPr>
        <w:pStyle w:val="CaselawNumbered10"/>
        <w:numPr>
          <w:ilvl w:val="0"/>
          <w:numId w:val="93"/>
        </w:numPr>
        <w:spacing w:before="150" w:after="0"/>
        <w:ind w:left="600" w:hanging="600"/>
      </w:pPr>
      <w:r>
        <w:rPr>
          <w:rFonts w:ascii="Arial"/>
          <w:color w:val="000000"/>
          <w:sz w:val="24"/>
        </w:rPr>
        <w:t xml:space="preserve">With respect to the draft LEP, Ms Bartlett gave evidence that the new road on the residential zoned lot is also inconsistent with the additional R2 zone objectives and the additional zone objective for the B2 land (Ex 10 par 44). </w:t>
      </w:r>
    </w:p>
    <w:p>
      <w:pPr>
        <w:pStyle w:val="CaselawNumbered10"/>
        <w:numPr>
          <w:ilvl w:val="0"/>
          <w:numId w:val="93"/>
        </w:numPr>
        <w:spacing w:before="150" w:after="0"/>
        <w:ind w:left="600" w:hanging="600"/>
      </w:pPr>
      <w:r>
        <w:rPr>
          <w:rFonts w:ascii="Arial"/>
          <w:color w:val="000000"/>
          <w:sz w:val="24"/>
        </w:rPr>
        <w:t>Having considered her written and oral evidence in respect of this contention, I prefer Mr Ryan</w:t>
      </w:r>
      <w:r>
        <w:rPr>
          <w:rFonts w:ascii="Arial"/>
          <w:color w:val="000000"/>
          <w:sz w:val="24"/>
        </w:rPr>
        <w:t>’</w:t>
      </w:r>
      <w:r>
        <w:rPr>
          <w:rFonts w:ascii="Arial"/>
          <w:color w:val="000000"/>
          <w:sz w:val="24"/>
        </w:rPr>
        <w:t xml:space="preserve">s evidence in response to par 42 of the joint report for the following reasons. </w:t>
      </w:r>
    </w:p>
    <w:p>
      <w:pPr>
        <w:pStyle w:val="CaselawBullet"/>
        <w:numPr>
          <w:ilvl w:val="0"/>
          <w:numId w:val="94"/>
        </w:numPr>
        <w:spacing w:before="150" w:after="0"/>
        <w:ind w:left="600" w:hanging="250"/>
      </w:pPr>
      <w:r>
        <w:rPr>
          <w:rFonts w:ascii="Arial"/>
          <w:color w:val="000000"/>
          <w:sz w:val="24"/>
        </w:rPr>
        <w:t xml:space="preserve">In removing one dwelling to construct the road the development provides access to a significant number of dwellings on the development site. These new dwellings are medium density form appropriate to the B2 zone. As a result of this development, the net housing supply is significantly improved without contradicting the relevant zone objectives in each zone (par 42(a)). </w:t>
      </w:r>
    </w:p>
    <w:p>
      <w:pPr>
        <w:pStyle w:val="CaselawBullet"/>
        <w:numPr>
          <w:ilvl w:val="0"/>
          <w:numId w:val="94"/>
        </w:numPr>
        <w:spacing w:before="150" w:after="0"/>
        <w:ind w:left="600" w:hanging="250"/>
      </w:pPr>
      <w:r>
        <w:rPr>
          <w:rFonts w:ascii="Arial"/>
          <w:color w:val="000000"/>
          <w:sz w:val="24"/>
        </w:rPr>
        <w:t xml:space="preserve">The development includes medium density dwellings at a relatively low density in the southern part of the site designated for such in the ISP, and when compared to the rest of the site. The precise location of those dwellings and the BCA classification does not mean that they are not consistent with the intent of the DCP. The greater separation of the dwellings from the southern rear </w:t>
      </w:r>
      <w:r>
        <w:rPr>
          <w:rFonts w:ascii="Arial"/>
          <w:color w:val="000000"/>
          <w:sz w:val="24"/>
        </w:rPr>
        <w:t xml:space="preserve">– </w:t>
      </w:r>
      <w:r>
        <w:rPr>
          <w:rFonts w:ascii="Arial"/>
          <w:color w:val="000000"/>
          <w:sz w:val="24"/>
        </w:rPr>
        <w:t xml:space="preserve">being the boundary of the dwellings fronting Norfolk Road </w:t>
      </w:r>
      <w:r>
        <w:rPr>
          <w:rFonts w:ascii="Arial"/>
          <w:color w:val="000000"/>
          <w:sz w:val="24"/>
        </w:rPr>
        <w:t xml:space="preserve">– </w:t>
      </w:r>
      <w:r>
        <w:rPr>
          <w:rFonts w:ascii="Arial"/>
          <w:color w:val="000000"/>
          <w:sz w:val="24"/>
        </w:rPr>
        <w:t xml:space="preserve">provides a better outcome in terms of their impacts on the dwellings fronting Norfolk Road (par 42(b)). </w:t>
      </w:r>
    </w:p>
    <w:p>
      <w:pPr>
        <w:pStyle w:val="CaselawBullet"/>
        <w:numPr>
          <w:ilvl w:val="0"/>
          <w:numId w:val="94"/>
        </w:numPr>
        <w:spacing w:before="150" w:after="0"/>
        <w:ind w:left="600" w:hanging="250"/>
      </w:pPr>
      <w:r>
        <w:rPr>
          <w:rFonts w:ascii="Arial"/>
          <w:color w:val="000000"/>
          <w:sz w:val="24"/>
        </w:rPr>
        <w:t xml:space="preserve">A road can be a facility that meets the day to day needs of residents by facilitating their access and connectivity needs (par 43(c)). </w:t>
      </w:r>
    </w:p>
    <w:p>
      <w:pPr>
        <w:pStyle w:val="CaselawBullet"/>
        <w:numPr>
          <w:ilvl w:val="0"/>
          <w:numId w:val="94"/>
        </w:numPr>
        <w:spacing w:before="150" w:after="0"/>
        <w:ind w:left="600" w:hanging="250"/>
      </w:pPr>
      <w:r>
        <w:rPr>
          <w:rFonts w:ascii="Arial"/>
          <w:color w:val="000000"/>
          <w:sz w:val="24"/>
        </w:rPr>
        <w:t>I am satisfied on Henroth</w:t>
      </w:r>
      <w:r>
        <w:rPr>
          <w:rFonts w:ascii="Arial"/>
          <w:color w:val="000000"/>
          <w:sz w:val="24"/>
        </w:rPr>
        <w:t>’</w:t>
      </w:r>
      <w:r>
        <w:rPr>
          <w:rFonts w:ascii="Arial"/>
          <w:color w:val="000000"/>
          <w:sz w:val="24"/>
        </w:rPr>
        <w:t xml:space="preserve">s urban design, acoustic and traffic evidence that the living environment and amenity of the area is not adversely affected (par 42(d)). </w:t>
      </w:r>
    </w:p>
    <w:p>
      <w:pPr>
        <w:pStyle w:val="CaselawBullet"/>
        <w:numPr>
          <w:ilvl w:val="0"/>
          <w:numId w:val="94"/>
        </w:numPr>
        <w:spacing w:before="150" w:after="0"/>
        <w:ind w:left="600" w:hanging="250"/>
      </w:pPr>
      <w:r>
        <w:rPr>
          <w:rFonts w:ascii="Arial"/>
          <w:color w:val="000000"/>
          <w:sz w:val="24"/>
        </w:rPr>
        <w:t xml:space="preserve">No. 87 Norfolk Road will be landscaped apart from the road carriageway if the Council prefers landscaping. However, the absence of landscaping or buildings does not detract from the low-density residential form of the zone (par 42(e)). </w:t>
      </w:r>
    </w:p>
    <w:p>
      <w:pPr>
        <w:pStyle w:val="CaselawNumbered10"/>
        <w:numPr>
          <w:ilvl w:val="0"/>
          <w:numId w:val="95"/>
        </w:numPr>
        <w:spacing w:before="150" w:after="0"/>
        <w:ind w:left="600" w:hanging="600"/>
      </w:pPr>
      <w:r>
        <w:rPr>
          <w:rFonts w:ascii="Arial"/>
          <w:color w:val="000000"/>
          <w:sz w:val="24"/>
        </w:rPr>
        <w:t xml:space="preserve">Mr Ryan said </w:t>
      </w:r>
      <w:r>
        <w:rPr>
          <w:rFonts w:ascii="Arial"/>
          <w:color w:val="000000"/>
          <w:sz w:val="24"/>
        </w:rPr>
        <w:t xml:space="preserve">that the consistency of roads with zone objectives should be considered in the context of LEP mapping protocols that now zone roads consistent with the adjoining land zoning. For example, the full extent of Waterloo Road is zoned R2. The fact that Waterloo Road carries significant traffic associated with the intensive industrial, commercial and other non-residential uses that front it, and the associated noise and other impacts it generates, could be considered at odds with some of the objectives of its R2 zoning. </w:t>
      </w:r>
      <w:r>
        <w:rPr>
          <w:rFonts w:ascii="Arial"/>
          <w:color w:val="000000"/>
          <w:sz w:val="24"/>
        </w:rPr>
        <w:t>Therefore, it</w:t>
      </w:r>
      <w:r>
        <w:rPr>
          <w:rFonts w:ascii="Arial"/>
          <w:color w:val="000000"/>
          <w:sz w:val="24"/>
        </w:rPr>
        <w:t xml:space="preserve"> </w:t>
      </w:r>
      <w:r>
        <w:rPr>
          <w:rFonts w:ascii="Arial"/>
          <w:color w:val="000000"/>
          <w:sz w:val="24"/>
        </w:rPr>
        <w:t>does not follow that development within road corridors such as Waterloo Road is inappropriate or should not be approved solely on the basis of the zone objectives.</w:t>
      </w:r>
    </w:p>
    <w:p>
      <w:pPr>
        <w:pStyle w:val="CaselawNumbered10"/>
        <w:numPr>
          <w:ilvl w:val="0"/>
          <w:numId w:val="95"/>
        </w:numPr>
        <w:spacing w:before="150" w:after="0"/>
        <w:ind w:left="600" w:hanging="600"/>
      </w:pPr>
      <w:r>
        <w:rPr>
          <w:rFonts w:ascii="Arial"/>
          <w:color w:val="000000"/>
          <w:sz w:val="24"/>
        </w:rPr>
        <w:t>In relation to par 43</w:t>
      </w:r>
      <w:r>
        <w:rPr>
          <w:rFonts w:ascii="Arial"/>
          <w:color w:val="000000"/>
          <w:sz w:val="24"/>
        </w:rPr>
        <w:t xml:space="preserve"> </w:t>
      </w:r>
      <w:r>
        <w:rPr>
          <w:rFonts w:ascii="Arial"/>
          <w:color w:val="000000"/>
          <w:sz w:val="24"/>
        </w:rPr>
        <w:t>of Ms Bartlett</w:t>
      </w:r>
      <w:r>
        <w:rPr>
          <w:rFonts w:ascii="Arial"/>
          <w:color w:val="000000"/>
          <w:sz w:val="24"/>
        </w:rPr>
        <w:t>’</w:t>
      </w:r>
      <w:r>
        <w:rPr>
          <w:rFonts w:ascii="Arial"/>
          <w:color w:val="000000"/>
          <w:sz w:val="24"/>
        </w:rPr>
        <w:t>s evidence</w:t>
      </w:r>
      <w:r>
        <w:rPr>
          <w:rFonts w:ascii="Arial"/>
          <w:color w:val="000000"/>
          <w:sz w:val="24"/>
        </w:rPr>
        <w:t xml:space="preserve">, </w:t>
      </w:r>
      <w:r>
        <w:rPr>
          <w:rFonts w:ascii="Arial"/>
          <w:color w:val="000000"/>
          <w:sz w:val="24"/>
        </w:rPr>
        <w:t xml:space="preserve">Mr Ryan said that </w:t>
      </w:r>
      <w:r>
        <w:rPr>
          <w:rFonts w:ascii="Arial"/>
          <w:color w:val="000000"/>
          <w:sz w:val="24"/>
        </w:rPr>
        <w:t>the development proposes a major new mixed</w:t>
      </w:r>
      <w:r>
        <w:rPr>
          <w:rFonts w:ascii="Arial"/>
          <w:color w:val="000000"/>
          <w:sz w:val="24"/>
        </w:rPr>
        <w:t>-</w:t>
      </w:r>
      <w:r>
        <w:rPr>
          <w:rFonts w:ascii="Arial"/>
          <w:color w:val="000000"/>
          <w:sz w:val="24"/>
        </w:rPr>
        <w:t>use residential, child care and publicly accessible recreational development with an enhanced retail offerings on a large site directly adjacent public bus stops. Future residents living on the site can be expected to utilise the commercial and community facilities on the site, which would reduce their need for private vehicle use and encourage walking.</w:t>
      </w:r>
    </w:p>
    <w:p>
      <w:pPr>
        <w:pStyle w:val="CaselawNumbered10"/>
        <w:numPr>
          <w:ilvl w:val="0"/>
          <w:numId w:val="95"/>
        </w:numPr>
        <w:spacing w:before="150" w:after="0"/>
        <w:ind w:left="600" w:hanging="600"/>
      </w:pPr>
      <w:r>
        <w:rPr>
          <w:rFonts w:ascii="Arial"/>
          <w:color w:val="000000"/>
          <w:sz w:val="24"/>
        </w:rPr>
        <w:t>Furthermore, t</w:t>
      </w:r>
      <w:r>
        <w:rPr>
          <w:rFonts w:ascii="Arial"/>
          <w:color w:val="000000"/>
          <w:sz w:val="24"/>
        </w:rPr>
        <w:t xml:space="preserve">he VPA accompanying the application </w:t>
      </w:r>
      <w:r>
        <w:rPr>
          <w:rFonts w:ascii="Arial"/>
          <w:color w:val="000000"/>
          <w:sz w:val="24"/>
        </w:rPr>
        <w:t xml:space="preserve">will </w:t>
      </w:r>
      <w:r>
        <w:rPr>
          <w:rFonts w:ascii="Arial"/>
          <w:color w:val="000000"/>
          <w:sz w:val="24"/>
        </w:rPr>
        <w:t xml:space="preserve">include upgraded footpath within the Waterloo Road reserve and new bike paths from the site to Lockwood Park and to the north-south regional cycleway which runs along Maiden Street-Roberts Road. </w:t>
      </w:r>
      <w:r>
        <w:rPr>
          <w:rFonts w:ascii="Arial"/>
          <w:color w:val="000000"/>
          <w:sz w:val="24"/>
        </w:rPr>
        <w:t xml:space="preserve">He believes all of these </w:t>
      </w:r>
      <w:r>
        <w:rPr>
          <w:rFonts w:ascii="Arial"/>
          <w:color w:val="000000"/>
          <w:sz w:val="24"/>
        </w:rPr>
        <w:t>initiatives are likely to add to public transport patronage and/or encourage walking and cycling.</w:t>
      </w:r>
    </w:p>
    <w:p>
      <w:pPr>
        <w:pStyle w:val="CaselawHeading3"/>
        <w:keepNext/>
        <w:spacing w:before="150" w:after="150" w:line="264"/>
        <w:ind w:left="0"/>
        <w:jc w:val="left"/>
      </w:pPr>
      <w:r>
        <w:rPr>
          <w:rFonts w:ascii="Arial"/>
        </w:rPr>
        <w:t xml:space="preserve">Contention 5 </w:t>
      </w:r>
      <w:r>
        <w:rPr>
          <w:rFonts w:ascii="Arial"/>
        </w:rPr>
        <w:t xml:space="preserve">– </w:t>
      </w:r>
      <w:r>
        <w:rPr>
          <w:rFonts w:ascii="Arial"/>
        </w:rPr>
        <w:t>Finding</w:t>
      </w:r>
      <w:r>
        <w:rPr>
          <w:rFonts w:ascii="Arial"/>
        </w:rPr>
        <w:t xml:space="preserve"> </w:t>
      </w:r>
    </w:p>
    <w:p>
      <w:pPr>
        <w:pStyle w:val="CaselawNumbered10"/>
        <w:numPr>
          <w:ilvl w:val="0"/>
          <w:numId w:val="96"/>
        </w:numPr>
        <w:spacing w:before="150" w:after="0"/>
        <w:ind w:left="600" w:hanging="600"/>
      </w:pPr>
      <w:r>
        <w:rPr>
          <w:rFonts w:ascii="Arial"/>
          <w:color w:val="000000"/>
          <w:sz w:val="24"/>
        </w:rPr>
        <w:t>For those reasons</w:t>
      </w:r>
      <w:r>
        <w:rPr>
          <w:rFonts w:ascii="Arial"/>
          <w:color w:val="000000"/>
          <w:sz w:val="24"/>
        </w:rPr>
        <w:t>,</w:t>
      </w:r>
      <w:r>
        <w:rPr>
          <w:rFonts w:ascii="Arial"/>
          <w:color w:val="000000"/>
          <w:sz w:val="24"/>
        </w:rPr>
        <w:t xml:space="preserve"> </w:t>
      </w:r>
      <w:r>
        <w:rPr>
          <w:rFonts w:ascii="Arial"/>
          <w:color w:val="000000"/>
          <w:sz w:val="24"/>
        </w:rPr>
        <w:t xml:space="preserve">I find that </w:t>
      </w:r>
      <w:r>
        <w:rPr>
          <w:rFonts w:ascii="Arial"/>
          <w:color w:val="000000"/>
          <w:sz w:val="24"/>
        </w:rPr>
        <w:t xml:space="preserve">there is no issue arising from LEP 2015 or the draft LEP. </w:t>
      </w:r>
      <w:r>
        <w:rPr>
          <w:rFonts w:ascii="Arial"/>
          <w:color w:val="000000"/>
          <w:sz w:val="24"/>
        </w:rPr>
        <w:t xml:space="preserve">Contention 5 is resolved. </w:t>
      </w:r>
    </w:p>
    <w:p>
      <w:pPr>
        <w:pStyle w:val="CaselawHeading2"/>
        <w:keepNext/>
        <w:spacing w:before="150" w:after="150" w:line="264"/>
        <w:ind w:left="0"/>
        <w:jc w:val="left"/>
      </w:pPr>
      <w:r>
        <w:rPr>
          <w:rFonts w:ascii="Arial"/>
        </w:rPr>
        <w:t>C</w:t>
      </w:r>
      <w:r>
        <w:rPr>
          <w:rFonts w:ascii="Arial"/>
        </w:rPr>
        <w:t>ontention 6 - Non-compliance with cl 6.14 of LEP</w:t>
      </w:r>
      <w:r>
        <w:rPr>
          <w:rFonts w:ascii="Arial"/>
        </w:rPr>
        <w:t xml:space="preserve"> </w:t>
      </w:r>
      <w:r>
        <w:rPr>
          <w:rFonts w:ascii="Arial"/>
        </w:rPr>
        <w:t>2015</w:t>
      </w:r>
      <w:r>
        <w:rPr>
          <w:rFonts w:ascii="Arial"/>
        </w:rPr>
        <w:t xml:space="preserve"> </w:t>
      </w:r>
    </w:p>
    <w:p>
      <w:pPr>
        <w:pStyle w:val="CaselawNumbered10"/>
        <w:numPr>
          <w:ilvl w:val="0"/>
          <w:numId w:val="97"/>
        </w:numPr>
        <w:spacing w:before="150" w:after="0"/>
        <w:ind w:left="600" w:hanging="600"/>
      </w:pPr>
      <w:r>
        <w:rPr>
          <w:rFonts w:ascii="Arial"/>
          <w:color w:val="000000"/>
          <w:sz w:val="24"/>
        </w:rPr>
        <w:t>T</w:t>
      </w:r>
      <w:r>
        <w:rPr>
          <w:rFonts w:ascii="Arial"/>
          <w:color w:val="000000"/>
          <w:sz w:val="24"/>
        </w:rPr>
        <w:t xml:space="preserve">he Council contends that the </w:t>
      </w:r>
      <w:r>
        <w:rPr>
          <w:rFonts w:ascii="Arial"/>
          <w:color w:val="000000"/>
          <w:sz w:val="24"/>
        </w:rPr>
        <w:t xml:space="preserve">following requirements </w:t>
      </w:r>
      <w:r>
        <w:rPr>
          <w:rFonts w:ascii="Arial"/>
          <w:color w:val="000000"/>
          <w:sz w:val="24"/>
        </w:rPr>
        <w:t>of cl 6.14(4)</w:t>
      </w:r>
      <w:r>
        <w:rPr>
          <w:rFonts w:ascii="Arial"/>
          <w:color w:val="000000"/>
          <w:sz w:val="24"/>
        </w:rPr>
        <w:t xml:space="preserve"> </w:t>
      </w:r>
      <w:r>
        <w:rPr>
          <w:rFonts w:ascii="Arial"/>
          <w:color w:val="000000"/>
          <w:sz w:val="24"/>
        </w:rPr>
        <w:t>are not complied with, and e</w:t>
      </w:r>
      <w:r>
        <w:rPr>
          <w:rFonts w:ascii="Arial"/>
          <w:color w:val="000000"/>
          <w:sz w:val="24"/>
        </w:rPr>
        <w:t xml:space="preserve">ven if those requirements are development </w:t>
      </w:r>
      <w:r>
        <w:rPr>
          <w:rFonts w:ascii="Arial"/>
          <w:color w:val="000000"/>
          <w:sz w:val="24"/>
        </w:rPr>
        <w:t>standards amenable to variation</w:t>
      </w:r>
      <w:r>
        <w:rPr>
          <w:rFonts w:ascii="Arial"/>
          <w:color w:val="000000"/>
          <w:sz w:val="24"/>
        </w:rPr>
        <w:t xml:space="preserve"> </w:t>
      </w:r>
      <w:r>
        <w:rPr>
          <w:rFonts w:ascii="Arial"/>
          <w:color w:val="000000"/>
          <w:sz w:val="24"/>
        </w:rPr>
        <w:t xml:space="preserve">under cl 4.6, </w:t>
      </w:r>
      <w:r>
        <w:rPr>
          <w:rFonts w:ascii="Arial"/>
          <w:color w:val="000000"/>
          <w:sz w:val="24"/>
        </w:rPr>
        <w:t xml:space="preserve">it submits that </w:t>
      </w:r>
      <w:r>
        <w:rPr>
          <w:rFonts w:ascii="Arial"/>
          <w:color w:val="000000"/>
          <w:sz w:val="24"/>
        </w:rPr>
        <w:t>Henroth</w:t>
      </w:r>
      <w:r>
        <w:rPr>
          <w:rFonts w:ascii="Arial"/>
          <w:color w:val="000000"/>
          <w:sz w:val="24"/>
        </w:rPr>
        <w:t>’</w:t>
      </w:r>
      <w:r>
        <w:rPr>
          <w:rFonts w:ascii="Arial"/>
          <w:color w:val="000000"/>
          <w:sz w:val="24"/>
        </w:rPr>
        <w:t xml:space="preserve">s </w:t>
      </w:r>
      <w:r>
        <w:rPr>
          <w:rFonts w:ascii="Arial"/>
          <w:color w:val="000000"/>
          <w:sz w:val="24"/>
        </w:rPr>
        <w:t>cl 4.6 written request</w:t>
      </w:r>
      <w:r>
        <w:rPr>
          <w:rFonts w:ascii="Arial"/>
          <w:color w:val="000000"/>
          <w:sz w:val="24"/>
        </w:rPr>
        <w:t>s</w:t>
      </w:r>
      <w:r>
        <w:rPr>
          <w:rFonts w:ascii="Arial"/>
          <w:color w:val="000000"/>
          <w:sz w:val="24"/>
        </w:rPr>
        <w:t xml:space="preserve"> </w:t>
      </w:r>
      <w:r>
        <w:rPr>
          <w:rFonts w:ascii="Arial"/>
          <w:color w:val="000000"/>
          <w:sz w:val="24"/>
        </w:rPr>
        <w:t>do not adequately demonstrate that compliance with the development standard is unreasonable or unnecessary or that there are sufficient environmental planning grounds to justify contravening the development standard.</w:t>
      </w:r>
    </w:p>
    <w:p>
      <w:pPr>
        <w:pStyle w:val="CaselawHeading3"/>
        <w:keepNext/>
        <w:spacing w:before="150" w:after="150" w:line="264"/>
        <w:ind w:left="0"/>
        <w:jc w:val="left"/>
      </w:pPr>
      <w:r>
        <w:rPr>
          <w:rFonts w:ascii="Arial"/>
        </w:rPr>
        <w:t>C</w:t>
      </w:r>
      <w:r>
        <w:rPr>
          <w:rFonts w:ascii="Arial"/>
        </w:rPr>
        <w:t>lause</w:t>
      </w:r>
      <w:r>
        <w:rPr>
          <w:rFonts w:ascii="Arial"/>
        </w:rPr>
        <w:t xml:space="preserve"> </w:t>
      </w:r>
      <w:r>
        <w:rPr>
          <w:rFonts w:ascii="Arial"/>
        </w:rPr>
        <w:t>6.14(4)(a)</w:t>
      </w:r>
      <w:r>
        <w:rPr>
          <w:rFonts w:ascii="Arial"/>
        </w:rPr>
        <w:t xml:space="preserve"> </w:t>
      </w:r>
      <w:r>
        <w:rPr>
          <w:rFonts w:ascii="Arial"/>
        </w:rPr>
        <w:t>–</w:t>
      </w:r>
      <w:r>
        <w:rPr>
          <w:rFonts w:ascii="Arial"/>
        </w:rPr>
        <w:t xml:space="preserve"> </w:t>
      </w:r>
      <w:r>
        <w:rPr>
          <w:rFonts w:ascii="Arial"/>
        </w:rPr>
        <w:t>P</w:t>
      </w:r>
      <w:r>
        <w:rPr>
          <w:rFonts w:ascii="Arial"/>
        </w:rPr>
        <w:t>roposed consolidation</w:t>
      </w:r>
      <w:r>
        <w:rPr>
          <w:rFonts w:ascii="Arial"/>
        </w:rPr>
        <w:t xml:space="preserve"> </w:t>
      </w:r>
      <w:r>
        <w:rPr>
          <w:rFonts w:ascii="Arial"/>
        </w:rPr>
        <w:t xml:space="preserve">– </w:t>
      </w:r>
      <w:r>
        <w:rPr>
          <w:rFonts w:ascii="Arial"/>
        </w:rPr>
        <w:t>N</w:t>
      </w:r>
      <w:r>
        <w:rPr>
          <w:rFonts w:ascii="Arial"/>
        </w:rPr>
        <w:t>o issue</w:t>
      </w:r>
      <w:r>
        <w:rPr>
          <w:rFonts w:ascii="Arial"/>
        </w:rPr>
        <w:t>,</w:t>
      </w:r>
      <w:r>
        <w:rPr>
          <w:rFonts w:ascii="Arial"/>
        </w:rPr>
        <w:t xml:space="preserve"> </w:t>
      </w:r>
      <w:r>
        <w:rPr>
          <w:rFonts w:ascii="Arial"/>
        </w:rPr>
        <w:t>capable of compliance</w:t>
      </w:r>
      <w:r>
        <w:rPr>
          <w:rFonts w:ascii="Arial"/>
        </w:rPr>
        <w:t xml:space="preserve"> </w:t>
      </w:r>
    </w:p>
    <w:p>
      <w:pPr>
        <w:pStyle w:val="CaselawNumbered10"/>
        <w:numPr>
          <w:ilvl w:val="0"/>
          <w:numId w:val="98"/>
        </w:numPr>
        <w:spacing w:before="150" w:after="0"/>
        <w:ind w:left="600" w:hanging="600"/>
      </w:pPr>
      <w:r>
        <w:rPr>
          <w:rFonts w:ascii="Arial"/>
          <w:color w:val="000000"/>
          <w:sz w:val="24"/>
        </w:rPr>
        <w:t xml:space="preserve">The requirement in cl </w:t>
      </w:r>
      <w:r>
        <w:rPr>
          <w:rFonts w:ascii="Arial"/>
          <w:color w:val="000000"/>
          <w:sz w:val="24"/>
        </w:rPr>
        <w:t xml:space="preserve">6.14(4)(a) </w:t>
      </w:r>
      <w:r>
        <w:rPr>
          <w:rFonts w:ascii="Arial"/>
          <w:color w:val="000000"/>
          <w:sz w:val="24"/>
        </w:rPr>
        <w:t xml:space="preserve">for the consolidation of </w:t>
      </w:r>
      <w:r>
        <w:rPr>
          <w:rFonts w:ascii="Arial"/>
          <w:color w:val="000000"/>
          <w:sz w:val="24"/>
        </w:rPr>
        <w:t xml:space="preserve">the two parcels of land comprising 353-355 Waterloo Road into one lot </w:t>
      </w:r>
      <w:r>
        <w:rPr>
          <w:rFonts w:ascii="Arial"/>
          <w:color w:val="000000"/>
          <w:sz w:val="24"/>
        </w:rPr>
        <w:t xml:space="preserve">has not yet occurred. However, </w:t>
      </w:r>
      <w:r>
        <w:rPr>
          <w:rFonts w:ascii="Arial"/>
          <w:color w:val="000000"/>
          <w:sz w:val="24"/>
        </w:rPr>
        <w:t>Henroth has lodged a plan of consolidation for registration with the NSW Land and Registry Services (Ex L)</w:t>
      </w:r>
      <w:r>
        <w:rPr>
          <w:rFonts w:ascii="Arial"/>
          <w:color w:val="000000"/>
          <w:sz w:val="24"/>
        </w:rPr>
        <w:t xml:space="preserve"> </w:t>
      </w:r>
      <w:r>
        <w:rPr>
          <w:rFonts w:ascii="Arial"/>
          <w:color w:val="000000"/>
          <w:sz w:val="24"/>
        </w:rPr>
        <w:t>on 26 June 2024 (confirmed by email to the Court on 28 June 2024)</w:t>
      </w:r>
      <w:r>
        <w:rPr>
          <w:rFonts w:ascii="Arial"/>
          <w:color w:val="000000"/>
          <w:sz w:val="24"/>
        </w:rPr>
        <w:t xml:space="preserve">. </w:t>
      </w:r>
    </w:p>
    <w:p>
      <w:pPr>
        <w:pStyle w:val="CaselawHeading3"/>
        <w:keepNext/>
        <w:spacing w:before="150" w:after="150" w:line="264"/>
        <w:ind w:left="0"/>
        <w:jc w:val="left"/>
      </w:pPr>
      <w:r>
        <w:rPr>
          <w:rFonts w:ascii="Arial"/>
        </w:rPr>
        <w:t xml:space="preserve">Clause </w:t>
      </w:r>
      <w:r>
        <w:rPr>
          <w:rFonts w:ascii="Arial"/>
        </w:rPr>
        <w:t xml:space="preserve">6.14(4)(b) - </w:t>
      </w:r>
      <w:r>
        <w:rPr>
          <w:rFonts w:ascii="Arial"/>
        </w:rPr>
        <w:t>I</w:t>
      </w:r>
      <w:r>
        <w:rPr>
          <w:rFonts w:ascii="Arial"/>
        </w:rPr>
        <w:t>nsufficient commercial floorspace</w:t>
      </w:r>
    </w:p>
    <w:p>
      <w:pPr>
        <w:pStyle w:val="CaselawHeading4"/>
        <w:keepNext/>
        <w:spacing w:before="150" w:after="150" w:line="264"/>
        <w:ind w:left="600"/>
        <w:jc w:val="left"/>
      </w:pPr>
      <w:r>
        <w:rPr>
          <w:rFonts w:ascii="Arial"/>
        </w:rPr>
        <w:t>Council</w:t>
      </w:r>
      <w:r>
        <w:rPr>
          <w:rFonts w:ascii="Arial"/>
        </w:rPr>
        <w:t>’</w:t>
      </w:r>
      <w:r>
        <w:rPr>
          <w:rFonts w:ascii="Arial"/>
        </w:rPr>
        <w:t>s position</w:t>
      </w:r>
      <w:r>
        <w:rPr>
          <w:rFonts w:ascii="Arial"/>
        </w:rPr>
        <w:t xml:space="preserve"> </w:t>
      </w:r>
    </w:p>
    <w:p>
      <w:pPr>
        <w:pStyle w:val="CaselawNumbered10"/>
        <w:numPr>
          <w:ilvl w:val="0"/>
          <w:numId w:val="99"/>
        </w:numPr>
        <w:spacing w:before="150" w:after="0"/>
        <w:ind w:left="600" w:hanging="600"/>
      </w:pPr>
      <w:r>
        <w:rPr>
          <w:rFonts w:ascii="Arial"/>
          <w:color w:val="000000"/>
          <w:sz w:val="24"/>
        </w:rPr>
        <w:t xml:space="preserve">Clause </w:t>
      </w:r>
      <w:r>
        <w:rPr>
          <w:rFonts w:ascii="Arial"/>
          <w:color w:val="000000"/>
          <w:sz w:val="24"/>
        </w:rPr>
        <w:t xml:space="preserve">6.14(4)(b) </w:t>
      </w:r>
      <w:r>
        <w:rPr>
          <w:rFonts w:ascii="Arial"/>
          <w:color w:val="000000"/>
          <w:sz w:val="24"/>
        </w:rPr>
        <w:t xml:space="preserve">requires </w:t>
      </w:r>
      <w:r>
        <w:rPr>
          <w:rFonts w:ascii="Arial"/>
          <w:color w:val="000000"/>
          <w:sz w:val="24"/>
        </w:rPr>
        <w:t xml:space="preserve">the development to include </w:t>
      </w:r>
      <w:r>
        <w:rPr>
          <w:rFonts w:ascii="Arial"/>
          <w:color w:val="000000"/>
          <w:sz w:val="24"/>
        </w:rPr>
        <w:t>“</w:t>
      </w:r>
      <w:r>
        <w:rPr>
          <w:rFonts w:ascii="Arial"/>
          <w:color w:val="000000"/>
          <w:sz w:val="24"/>
        </w:rPr>
        <w:t>floor space used for the purposes of commercial premises that is equivalent to a floor space ratio of at least 0.35:1</w:t>
      </w:r>
      <w:r>
        <w:rPr>
          <w:rFonts w:ascii="Arial"/>
          <w:color w:val="000000"/>
          <w:sz w:val="24"/>
        </w:rPr>
        <w:t>”</w:t>
      </w:r>
      <w:r>
        <w:rPr>
          <w:rFonts w:ascii="Arial"/>
          <w:color w:val="000000"/>
          <w:sz w:val="24"/>
        </w:rPr>
        <w:t xml:space="preserve">. </w:t>
      </w:r>
    </w:p>
    <w:p>
      <w:pPr>
        <w:pStyle w:val="CaselawNumbered10"/>
        <w:numPr>
          <w:ilvl w:val="0"/>
          <w:numId w:val="99"/>
        </w:numPr>
        <w:spacing w:before="150" w:after="0"/>
        <w:ind w:left="600" w:hanging="600"/>
      </w:pPr>
      <w:r>
        <w:rPr>
          <w:rFonts w:ascii="Arial"/>
          <w:color w:val="000000"/>
          <w:sz w:val="24"/>
        </w:rPr>
        <w:t xml:space="preserve">An Architectural Plan (GFA Diagrams, GFA and Parking Summary, Drawing DA-770-030 Rev F) states that the retail FSR for the Stage 1 DA is 0.37:1 on the basis that the existing retail on the </w:t>
      </w:r>
      <w:r>
        <w:rPr>
          <w:rFonts w:ascii="Arial"/>
          <w:color w:val="000000"/>
          <w:sz w:val="24"/>
        </w:rPr>
        <w:t>s</w:t>
      </w:r>
      <w:r>
        <w:rPr>
          <w:rFonts w:ascii="Arial"/>
          <w:color w:val="000000"/>
          <w:sz w:val="24"/>
        </w:rPr>
        <w:t>ite (comprising 24,575m</w:t>
      </w:r>
      <w:r>
        <w:rPr>
          <w:rFonts w:ascii="Arial"/>
          <w:color w:val="000000"/>
          <w:sz w:val="24"/>
        </w:rPr>
        <w:t>2</w:t>
      </w:r>
      <w:r>
        <w:rPr>
          <w:rFonts w:ascii="Arial"/>
          <w:color w:val="000000"/>
          <w:sz w:val="24"/>
        </w:rPr>
        <w:t xml:space="preserve">) is included. In isolation from the existing development on the </w:t>
      </w:r>
      <w:r>
        <w:rPr>
          <w:rFonts w:ascii="Arial"/>
          <w:color w:val="000000"/>
          <w:sz w:val="24"/>
        </w:rPr>
        <w:t>s</w:t>
      </w:r>
      <w:r>
        <w:rPr>
          <w:rFonts w:ascii="Arial"/>
          <w:color w:val="000000"/>
          <w:sz w:val="24"/>
        </w:rPr>
        <w:t>ite, the development the subject of the Stage 1 DA will result in retail GFA of 2,857m</w:t>
      </w:r>
      <w:r>
        <w:rPr>
          <w:rFonts w:ascii="Arial"/>
          <w:color w:val="000000"/>
          <w:sz w:val="24"/>
        </w:rPr>
        <w:t>2</w:t>
      </w:r>
      <w:r>
        <w:rPr>
          <w:rFonts w:ascii="Arial"/>
          <w:color w:val="000000"/>
          <w:sz w:val="24"/>
        </w:rPr>
        <w:t>, childcare GFA of 882m</w:t>
      </w:r>
      <w:r>
        <w:rPr>
          <w:rFonts w:ascii="Arial"/>
          <w:color w:val="000000"/>
          <w:sz w:val="24"/>
        </w:rPr>
        <w:t>2</w:t>
      </w:r>
      <w:r>
        <w:rPr>
          <w:rFonts w:ascii="Arial"/>
          <w:color w:val="000000"/>
          <w:sz w:val="24"/>
        </w:rPr>
        <w:t xml:space="preserve"> </w:t>
      </w:r>
      <w:r>
        <w:rPr>
          <w:rFonts w:ascii="Arial"/>
          <w:color w:val="000000"/>
          <w:sz w:val="24"/>
        </w:rPr>
        <w:t>and residential GFA of 8,227m</w:t>
      </w:r>
      <w:r>
        <w:rPr>
          <w:rFonts w:ascii="Arial"/>
          <w:color w:val="000000"/>
          <w:sz w:val="24"/>
        </w:rPr>
        <w:t>2</w:t>
      </w:r>
      <w:r>
        <w:rPr>
          <w:rFonts w:ascii="Arial"/>
          <w:color w:val="000000"/>
          <w:sz w:val="24"/>
        </w:rPr>
        <w:t xml:space="preserve"> </w:t>
      </w:r>
      <w:r>
        <w:rPr>
          <w:rFonts w:ascii="Arial"/>
          <w:color w:val="000000"/>
          <w:sz w:val="24"/>
        </w:rPr>
        <w:t>- as such, the retail GFA comprises 2,857m</w:t>
      </w:r>
      <w:r>
        <w:rPr>
          <w:rFonts w:ascii="Arial"/>
          <w:color w:val="000000"/>
          <w:sz w:val="24"/>
        </w:rPr>
        <w:t>2</w:t>
      </w:r>
      <w:r>
        <w:rPr>
          <w:rFonts w:ascii="Arial"/>
          <w:color w:val="000000"/>
          <w:sz w:val="24"/>
        </w:rPr>
        <w:t xml:space="preserve"> </w:t>
      </w:r>
      <w:r>
        <w:rPr>
          <w:rFonts w:ascii="Arial"/>
          <w:color w:val="000000"/>
          <w:sz w:val="24"/>
        </w:rPr>
        <w:t>out of the proposed total GFA of 11,966m</w:t>
      </w:r>
      <w:r>
        <w:rPr>
          <w:rFonts w:ascii="Arial"/>
          <w:color w:val="000000"/>
          <w:sz w:val="24"/>
        </w:rPr>
        <w:t>2</w:t>
      </w:r>
      <w:r>
        <w:rPr>
          <w:rFonts w:ascii="Arial"/>
          <w:color w:val="000000"/>
          <w:sz w:val="24"/>
        </w:rPr>
        <w:t xml:space="preserve"> </w:t>
      </w:r>
      <w:r>
        <w:rPr>
          <w:rFonts w:ascii="Arial"/>
          <w:color w:val="000000"/>
          <w:sz w:val="24"/>
        </w:rPr>
        <w:t>(representing an FSR of 0.24:1).</w:t>
      </w:r>
    </w:p>
    <w:p>
      <w:pPr>
        <w:pStyle w:val="CaselawNumbered10"/>
        <w:numPr>
          <w:ilvl w:val="0"/>
          <w:numId w:val="99"/>
        </w:numPr>
        <w:spacing w:before="150" w:after="0"/>
        <w:ind w:left="600" w:hanging="600"/>
      </w:pPr>
      <w:r>
        <w:rPr>
          <w:rFonts w:ascii="Arial"/>
          <w:color w:val="000000"/>
          <w:sz w:val="24"/>
        </w:rPr>
        <w:t>In the Supplementary Urban Design and Planning JER</w:t>
      </w:r>
      <w:r>
        <w:rPr>
          <w:rFonts w:ascii="Arial"/>
          <w:color w:val="000000"/>
          <w:sz w:val="24"/>
        </w:rPr>
        <w:t xml:space="preserve"> </w:t>
      </w:r>
      <w:r>
        <w:rPr>
          <w:rFonts w:ascii="Arial"/>
          <w:color w:val="000000"/>
          <w:sz w:val="24"/>
        </w:rPr>
        <w:t>(Ex 20)</w:t>
      </w:r>
      <w:r>
        <w:rPr>
          <w:rFonts w:ascii="Arial"/>
          <w:color w:val="000000"/>
          <w:sz w:val="24"/>
        </w:rPr>
        <w:t>, Mr Ryan</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evidence is </w:t>
      </w:r>
      <w:r>
        <w:rPr>
          <w:rFonts w:ascii="Arial"/>
          <w:color w:val="000000"/>
          <w:sz w:val="24"/>
        </w:rPr>
        <w:t xml:space="preserve">that </w:t>
      </w:r>
      <w:r>
        <w:rPr>
          <w:rFonts w:ascii="Arial"/>
          <w:color w:val="000000"/>
          <w:sz w:val="24"/>
        </w:rPr>
        <w:t>“</w:t>
      </w:r>
      <w:r>
        <w:rPr>
          <w:rFonts w:ascii="Arial"/>
          <w:color w:val="000000"/>
          <w:sz w:val="24"/>
        </w:rPr>
        <w:t xml:space="preserve">FSR is measured across whole site in accordance with </w:t>
      </w:r>
      <w:r>
        <w:rPr>
          <w:rFonts w:ascii="Arial"/>
          <w:color w:val="000000"/>
          <w:sz w:val="24"/>
        </w:rPr>
        <w:t>c</w:t>
      </w:r>
      <w:r>
        <w:rPr>
          <w:rFonts w:ascii="Arial"/>
          <w:color w:val="000000"/>
          <w:sz w:val="24"/>
        </w:rPr>
        <w:t xml:space="preserve">l 4.5 of BLEP rather than a portion of that site. 0.35 is achieved based on </w:t>
      </w:r>
      <w:r>
        <w:rPr>
          <w:rFonts w:ascii="Arial"/>
          <w:color w:val="000000"/>
          <w:sz w:val="24"/>
        </w:rPr>
        <w:t>c</w:t>
      </w:r>
      <w:r>
        <w:rPr>
          <w:rFonts w:ascii="Arial"/>
          <w:color w:val="000000"/>
          <w:sz w:val="24"/>
        </w:rPr>
        <w:t>l 4.5</w:t>
      </w:r>
      <w:r>
        <w:rPr>
          <w:rFonts w:ascii="Arial"/>
          <w:color w:val="000000"/>
          <w:sz w:val="24"/>
        </w:rPr>
        <w:t>”</w:t>
      </w:r>
      <w:r>
        <w:rPr>
          <w:rFonts w:ascii="Arial"/>
          <w:color w:val="000000"/>
          <w:sz w:val="24"/>
        </w:rPr>
        <w:t xml:space="preserve">: at p 2. On the other hand, Ms Bartlett is of the opinion that </w:t>
      </w:r>
      <w:r>
        <w:rPr>
          <w:rFonts w:ascii="Arial"/>
          <w:color w:val="000000"/>
          <w:sz w:val="24"/>
        </w:rPr>
        <w:t>“</w:t>
      </w:r>
      <w:r>
        <w:rPr>
          <w:rFonts w:ascii="Arial"/>
          <w:color w:val="000000"/>
          <w:sz w:val="24"/>
        </w:rPr>
        <w:t xml:space="preserve">consistency needs to be applied to </w:t>
      </w:r>
      <w:r>
        <w:rPr>
          <w:rFonts w:ascii="Arial"/>
          <w:color w:val="000000"/>
          <w:sz w:val="24"/>
        </w:rPr>
        <w:t>‘</w:t>
      </w:r>
      <w:r>
        <w:rPr>
          <w:rFonts w:ascii="Arial"/>
          <w:color w:val="000000"/>
          <w:sz w:val="24"/>
        </w:rPr>
        <w:t>the development</w:t>
      </w:r>
      <w:r>
        <w:rPr>
          <w:rFonts w:ascii="Arial"/>
          <w:color w:val="000000"/>
          <w:sz w:val="24"/>
        </w:rPr>
        <w:t>’</w:t>
      </w:r>
      <w:r>
        <w:rPr>
          <w:rFonts w:ascii="Arial"/>
          <w:color w:val="000000"/>
          <w:sz w:val="24"/>
        </w:rPr>
        <w:t xml:space="preserve"> </w:t>
      </w:r>
      <w:r>
        <w:rPr>
          <w:rFonts w:ascii="Arial"/>
          <w:color w:val="000000"/>
          <w:sz w:val="24"/>
        </w:rPr>
        <w:t>and its application between basement in the southern setback and 0.35:1 FSR applicable across whole site</w:t>
      </w:r>
      <w:r>
        <w:rPr>
          <w:rFonts w:ascii="Arial"/>
          <w:color w:val="000000"/>
          <w:sz w:val="24"/>
        </w:rPr>
        <w:t>”</w:t>
      </w:r>
      <w:r>
        <w:rPr>
          <w:rFonts w:ascii="Arial"/>
          <w:color w:val="000000"/>
          <w:sz w:val="24"/>
        </w:rPr>
        <w:t>: at p 2.</w:t>
      </w:r>
    </w:p>
    <w:p>
      <w:pPr>
        <w:pStyle w:val="CaselawNumbered10"/>
        <w:numPr>
          <w:ilvl w:val="0"/>
          <w:numId w:val="99"/>
        </w:numPr>
        <w:spacing w:before="150" w:after="0"/>
        <w:ind w:left="600" w:hanging="600"/>
      </w:pPr>
      <w:r>
        <w:rPr>
          <w:rFonts w:ascii="Arial"/>
          <w:color w:val="000000"/>
          <w:sz w:val="24"/>
        </w:rPr>
        <w:t xml:space="preserve">The Council says that the </w:t>
      </w:r>
      <w:r>
        <w:rPr>
          <w:rFonts w:ascii="Arial"/>
          <w:color w:val="000000"/>
          <w:sz w:val="24"/>
        </w:rPr>
        <w:t>“</w:t>
      </w:r>
      <w:r>
        <w:rPr>
          <w:rFonts w:ascii="Arial"/>
          <w:color w:val="000000"/>
          <w:sz w:val="24"/>
        </w:rPr>
        <w:t>development</w:t>
      </w:r>
      <w:r>
        <w:rPr>
          <w:rFonts w:ascii="Arial"/>
          <w:color w:val="000000"/>
          <w:sz w:val="24"/>
        </w:rPr>
        <w:t>”</w:t>
      </w:r>
      <w:r>
        <w:rPr>
          <w:rFonts w:ascii="Arial"/>
          <w:color w:val="000000"/>
          <w:sz w:val="24"/>
        </w:rPr>
        <w:t xml:space="preserve"> </w:t>
      </w:r>
      <w:r>
        <w:rPr>
          <w:rFonts w:ascii="Arial"/>
          <w:color w:val="000000"/>
          <w:sz w:val="24"/>
        </w:rPr>
        <w:t xml:space="preserve">in cl 6.14(4) must be the development the subject of the application for development consent having regard to the chapeau of that provision - that is, </w:t>
      </w:r>
      <w:r>
        <w:rPr>
          <w:rFonts w:ascii="Arial"/>
          <w:color w:val="000000"/>
          <w:sz w:val="24"/>
        </w:rPr>
        <w:t>“</w:t>
      </w:r>
      <w:r>
        <w:rPr>
          <w:rFonts w:ascii="Arial"/>
          <w:color w:val="000000"/>
          <w:sz w:val="24"/>
        </w:rPr>
        <w:t>development consent must not be granted to development</w:t>
      </w:r>
      <w:r>
        <w:rPr>
          <w:rFonts w:ascii="Arial"/>
          <w:color w:val="000000"/>
          <w:sz w:val="24"/>
        </w:rPr>
        <w:t>”</w:t>
      </w:r>
      <w:r>
        <w:rPr>
          <w:rFonts w:ascii="Arial"/>
          <w:color w:val="000000"/>
          <w:sz w:val="24"/>
        </w:rPr>
        <w:t xml:space="preserve">. The draftsperson could have substituted the word </w:t>
      </w:r>
      <w:r>
        <w:rPr>
          <w:rFonts w:ascii="Arial"/>
          <w:color w:val="000000"/>
          <w:sz w:val="24"/>
        </w:rPr>
        <w:t>“</w:t>
      </w:r>
      <w:r>
        <w:rPr>
          <w:rFonts w:ascii="Arial"/>
          <w:color w:val="000000"/>
          <w:sz w:val="24"/>
        </w:rPr>
        <w:t>development</w:t>
      </w:r>
      <w:r>
        <w:rPr>
          <w:rFonts w:ascii="Arial"/>
          <w:color w:val="000000"/>
          <w:sz w:val="24"/>
        </w:rPr>
        <w:t>”</w:t>
      </w:r>
      <w:r>
        <w:rPr>
          <w:rFonts w:ascii="Arial"/>
          <w:color w:val="000000"/>
          <w:sz w:val="24"/>
        </w:rPr>
        <w:t xml:space="preserve"> </w:t>
      </w:r>
      <w:r>
        <w:rPr>
          <w:rFonts w:ascii="Arial"/>
          <w:color w:val="000000"/>
          <w:sz w:val="24"/>
        </w:rPr>
        <w:t xml:space="preserve">for </w:t>
      </w:r>
      <w:r>
        <w:rPr>
          <w:rFonts w:ascii="Arial"/>
          <w:color w:val="000000"/>
          <w:sz w:val="24"/>
        </w:rPr>
        <w:t>“</w:t>
      </w:r>
      <w:r>
        <w:rPr>
          <w:rFonts w:ascii="Arial"/>
          <w:color w:val="000000"/>
          <w:sz w:val="24"/>
        </w:rPr>
        <w:t>site</w:t>
      </w:r>
      <w:r>
        <w:rPr>
          <w:rFonts w:ascii="Arial"/>
          <w:color w:val="000000"/>
          <w:sz w:val="24"/>
        </w:rPr>
        <w:t>”</w:t>
      </w:r>
      <w:r>
        <w:rPr>
          <w:rFonts w:ascii="Arial"/>
          <w:color w:val="000000"/>
          <w:sz w:val="24"/>
        </w:rPr>
        <w:t xml:space="preserve"> </w:t>
      </w:r>
      <w:r>
        <w:rPr>
          <w:rFonts w:ascii="Arial"/>
          <w:color w:val="000000"/>
          <w:sz w:val="24"/>
        </w:rPr>
        <w:t>if the intention had been for the retail FSR to be calculated across 353-355 Waterloo Road. The Council says that the consent authority is required by cl 6.14(4)(b) to be satisfied about retail FSR relevant to the present stage of the development (</w:t>
      </w:r>
      <w:r>
        <w:rPr>
          <w:rFonts w:ascii="Arial"/>
          <w:color w:val="000000"/>
          <w:sz w:val="24"/>
        </w:rPr>
        <w:t>i.e.</w:t>
      </w:r>
      <w:r>
        <w:rPr>
          <w:rFonts w:ascii="Arial"/>
          <w:color w:val="000000"/>
          <w:sz w:val="24"/>
        </w:rPr>
        <w:t xml:space="preserve"> </w:t>
      </w:r>
      <w:r>
        <w:rPr>
          <w:rFonts w:ascii="Arial"/>
          <w:color w:val="000000"/>
          <w:sz w:val="24"/>
        </w:rPr>
        <w:t>Stage 1 DA):</w:t>
      </w:r>
      <w:r>
        <w:rPr>
          <w:rFonts w:ascii="Arial"/>
          <w:i/>
          <w:color w:val="000000"/>
          <w:sz w:val="24"/>
        </w:rPr>
        <w:t xml:space="preserve"> NCV Enterprises P</w:t>
      </w:r>
      <w:r>
        <w:rPr>
          <w:rFonts w:ascii="Arial"/>
          <w:i/>
          <w:color w:val="000000"/>
          <w:sz w:val="24"/>
        </w:rPr>
        <w:t>t</w:t>
      </w:r>
      <w:r>
        <w:rPr>
          <w:rFonts w:ascii="Arial"/>
          <w:i/>
          <w:color w:val="000000"/>
          <w:sz w:val="24"/>
        </w:rPr>
        <w:t>y Ltd v Tweed Shire Council</w:t>
      </w:r>
      <w:r>
        <w:rPr>
          <w:rFonts w:ascii="Arial"/>
          <w:color w:val="000000"/>
          <w:sz w:val="24"/>
        </w:rPr>
        <w:t xml:space="preserve"> </w:t>
      </w:r>
      <w:r>
        <w:rPr>
          <w:rFonts w:ascii="Arial"/>
          <w:color w:val="000000"/>
          <w:sz w:val="24"/>
        </w:rPr>
        <w:t xml:space="preserve">[2024] NSWLEC 14 at [75] per Pepper J. Further, the context indicates that the use of the words </w:t>
      </w:r>
      <w:r>
        <w:rPr>
          <w:rFonts w:ascii="Arial"/>
          <w:color w:val="000000"/>
          <w:sz w:val="24"/>
        </w:rPr>
        <w:t>“</w:t>
      </w:r>
      <w:r>
        <w:rPr>
          <w:rFonts w:ascii="Arial"/>
          <w:color w:val="000000"/>
          <w:sz w:val="24"/>
        </w:rPr>
        <w:t>results in a building</w:t>
      </w:r>
      <w:r>
        <w:rPr>
          <w:rFonts w:ascii="Arial"/>
          <w:color w:val="000000"/>
          <w:sz w:val="24"/>
        </w:rPr>
        <w:t>”</w:t>
      </w:r>
      <w:r>
        <w:rPr>
          <w:rFonts w:ascii="Arial"/>
          <w:color w:val="000000"/>
          <w:sz w:val="24"/>
        </w:rPr>
        <w:t xml:space="preserve"> </w:t>
      </w:r>
      <w:r>
        <w:rPr>
          <w:rFonts w:ascii="Arial"/>
          <w:color w:val="000000"/>
          <w:sz w:val="24"/>
        </w:rPr>
        <w:t xml:space="preserve">in the chapeau of cl 6.14(4) suggests that the retail FSR of an existing building on 353-355 Waterloo Road is not relevant to cl 6.14(4)(b) </w:t>
      </w:r>
      <w:r>
        <w:rPr>
          <w:rFonts w:ascii="Arial"/>
          <w:color w:val="000000"/>
          <w:sz w:val="24"/>
        </w:rPr>
        <w:t xml:space="preserve">as </w:t>
      </w:r>
      <w:r>
        <w:rPr>
          <w:rFonts w:ascii="Arial"/>
          <w:color w:val="000000"/>
          <w:sz w:val="24"/>
        </w:rPr>
        <w:t xml:space="preserve">it will not </w:t>
      </w:r>
      <w:r>
        <w:rPr>
          <w:rFonts w:ascii="Arial"/>
          <w:color w:val="000000"/>
          <w:sz w:val="24"/>
        </w:rPr>
        <w:t>“</w:t>
      </w:r>
      <w:r>
        <w:rPr>
          <w:rFonts w:ascii="Arial"/>
          <w:color w:val="000000"/>
          <w:sz w:val="24"/>
        </w:rPr>
        <w:t>result</w:t>
      </w:r>
      <w:r>
        <w:rPr>
          <w:rFonts w:ascii="Arial"/>
          <w:color w:val="000000"/>
          <w:sz w:val="24"/>
        </w:rPr>
        <w:t>”</w:t>
      </w:r>
      <w:r>
        <w:rPr>
          <w:rFonts w:ascii="Arial"/>
          <w:color w:val="000000"/>
          <w:sz w:val="24"/>
        </w:rPr>
        <w:t xml:space="preserve"> </w:t>
      </w:r>
      <w:r>
        <w:rPr>
          <w:rFonts w:ascii="Arial"/>
          <w:color w:val="000000"/>
          <w:sz w:val="24"/>
        </w:rPr>
        <w:t xml:space="preserve">from development the subject of the Stage 1 DA: </w:t>
      </w:r>
      <w:r>
        <w:rPr>
          <w:rFonts w:ascii="Arial"/>
          <w:i/>
          <w:color w:val="000000"/>
          <w:sz w:val="24"/>
        </w:rPr>
        <w:t>Landcorp Australia Pty Ltd v The Council of the City of Sydney</w:t>
      </w:r>
      <w:r>
        <w:rPr>
          <w:rFonts w:ascii="Arial"/>
          <w:color w:val="000000"/>
          <w:sz w:val="24"/>
        </w:rPr>
        <w:t xml:space="preserve"> </w:t>
      </w:r>
      <w:r>
        <w:rPr>
          <w:rFonts w:ascii="Arial"/>
          <w:color w:val="000000"/>
          <w:sz w:val="24"/>
        </w:rPr>
        <w:t>[2020] NSWLEC 174 (</w:t>
      </w:r>
      <w:r>
        <w:rPr>
          <w:rFonts w:ascii="Arial"/>
          <w:i/>
          <w:color w:val="000000"/>
          <w:sz w:val="24"/>
        </w:rPr>
        <w:t>Landcorp</w:t>
      </w:r>
      <w:r>
        <w:rPr>
          <w:rFonts w:ascii="Arial"/>
          <w:color w:val="000000"/>
          <w:sz w:val="24"/>
        </w:rPr>
        <w:t>) at [50]-[51] per Duggan J.</w:t>
      </w:r>
    </w:p>
    <w:p>
      <w:pPr>
        <w:pStyle w:val="CaselawNumbered10"/>
        <w:numPr>
          <w:ilvl w:val="0"/>
          <w:numId w:val="99"/>
        </w:numPr>
        <w:spacing w:before="150" w:after="0"/>
        <w:ind w:left="600" w:hanging="600"/>
      </w:pPr>
      <w:r>
        <w:rPr>
          <w:rFonts w:ascii="Arial"/>
          <w:color w:val="000000"/>
          <w:sz w:val="24"/>
        </w:rPr>
        <w:t xml:space="preserve">The </w:t>
      </w:r>
      <w:r>
        <w:rPr>
          <w:rFonts w:ascii="Arial"/>
          <w:color w:val="000000"/>
          <w:sz w:val="24"/>
        </w:rPr>
        <w:t>Council contends</w:t>
      </w:r>
      <w:r>
        <w:rPr>
          <w:rFonts w:ascii="Arial"/>
          <w:color w:val="000000"/>
          <w:sz w:val="24"/>
        </w:rPr>
        <w:t xml:space="preserve"> </w:t>
      </w:r>
      <w:r>
        <w:rPr>
          <w:rFonts w:ascii="Arial"/>
          <w:color w:val="000000"/>
          <w:sz w:val="24"/>
        </w:rPr>
        <w:t xml:space="preserve">that the definition of </w:t>
      </w:r>
      <w:r>
        <w:rPr>
          <w:rFonts w:ascii="Arial"/>
          <w:color w:val="000000"/>
          <w:sz w:val="24"/>
        </w:rPr>
        <w:t>“</w:t>
      </w:r>
      <w:r>
        <w:rPr>
          <w:rFonts w:ascii="Arial"/>
          <w:color w:val="000000"/>
          <w:sz w:val="24"/>
        </w:rPr>
        <w:t>floor space ratio</w:t>
      </w:r>
      <w:r>
        <w:rPr>
          <w:rFonts w:ascii="Arial"/>
          <w:color w:val="000000"/>
          <w:sz w:val="24"/>
        </w:rPr>
        <w:t xml:space="preserve">” </w:t>
      </w:r>
      <w:r>
        <w:rPr>
          <w:rFonts w:ascii="Arial"/>
          <w:color w:val="000000"/>
          <w:sz w:val="24"/>
        </w:rPr>
        <w:t xml:space="preserve">in </w:t>
      </w:r>
      <w:r>
        <w:rPr>
          <w:rFonts w:ascii="Arial"/>
          <w:color w:val="000000"/>
          <w:sz w:val="24"/>
        </w:rPr>
        <w:t xml:space="preserve">cl 4.5(2) of LEP 2015 is not relevant for the purpose of cl 6.14(4)(b) because that expression is not used in the words </w:t>
      </w:r>
      <w:r>
        <w:rPr>
          <w:rFonts w:ascii="Arial"/>
          <w:color w:val="000000"/>
          <w:sz w:val="24"/>
        </w:rPr>
        <w:t>“</w:t>
      </w:r>
      <w:r>
        <w:rPr>
          <w:rFonts w:ascii="Arial"/>
          <w:color w:val="000000"/>
          <w:sz w:val="24"/>
        </w:rPr>
        <w:t>includes floor space used for the purposes of commercial premises</w:t>
      </w:r>
      <w:r>
        <w:rPr>
          <w:rFonts w:ascii="Arial"/>
          <w:color w:val="000000"/>
          <w:sz w:val="24"/>
        </w:rPr>
        <w:t>”</w:t>
      </w:r>
      <w:r>
        <w:rPr>
          <w:rFonts w:ascii="Arial"/>
          <w:color w:val="000000"/>
          <w:sz w:val="24"/>
        </w:rPr>
        <w:t xml:space="preserve"> </w:t>
      </w:r>
      <w:r>
        <w:rPr>
          <w:rFonts w:ascii="Arial"/>
          <w:color w:val="000000"/>
          <w:sz w:val="24"/>
        </w:rPr>
        <w:t xml:space="preserve">and, to the extent that it is used, it is by reference to the </w:t>
      </w:r>
      <w:r>
        <w:rPr>
          <w:rFonts w:ascii="Arial"/>
          <w:color w:val="000000"/>
          <w:sz w:val="24"/>
        </w:rPr>
        <w:t>“</w:t>
      </w:r>
      <w:r>
        <w:rPr>
          <w:rFonts w:ascii="Arial"/>
          <w:color w:val="000000"/>
          <w:sz w:val="24"/>
        </w:rPr>
        <w:t>development</w:t>
      </w:r>
      <w:r>
        <w:rPr>
          <w:rFonts w:ascii="Arial"/>
          <w:color w:val="000000"/>
          <w:sz w:val="24"/>
        </w:rPr>
        <w:t>”</w:t>
      </w:r>
      <w:r>
        <w:rPr>
          <w:rFonts w:ascii="Arial"/>
          <w:color w:val="000000"/>
          <w:sz w:val="24"/>
        </w:rPr>
        <w:t xml:space="preserve"> </w:t>
      </w:r>
      <w:r>
        <w:rPr>
          <w:rFonts w:ascii="Arial"/>
          <w:color w:val="000000"/>
          <w:sz w:val="24"/>
        </w:rPr>
        <w:t>the subject of the Stage 1 DA.</w:t>
      </w:r>
      <w:r>
        <w:rPr>
          <w:rFonts w:ascii="Arial"/>
          <w:color w:val="000000"/>
          <w:sz w:val="24"/>
        </w:rPr>
        <w:t xml:space="preserve"> </w:t>
      </w:r>
    </w:p>
    <w:p>
      <w:pPr>
        <w:pStyle w:val="CaselawNumbered10"/>
        <w:numPr>
          <w:ilvl w:val="0"/>
          <w:numId w:val="99"/>
        </w:numPr>
        <w:spacing w:before="150" w:after="0"/>
        <w:ind w:left="600" w:hanging="600"/>
      </w:pPr>
      <w:r>
        <w:rPr>
          <w:rFonts w:ascii="Arial"/>
          <w:color w:val="000000"/>
          <w:sz w:val="24"/>
        </w:rPr>
        <w:t xml:space="preserve">As </w:t>
      </w:r>
      <w:r>
        <w:rPr>
          <w:rFonts w:ascii="Arial"/>
          <w:color w:val="000000"/>
          <w:sz w:val="24"/>
        </w:rPr>
        <w:t xml:space="preserve">the </w:t>
      </w:r>
      <w:r>
        <w:rPr>
          <w:rFonts w:ascii="Arial"/>
          <w:color w:val="000000"/>
          <w:sz w:val="24"/>
        </w:rPr>
        <w:t xml:space="preserve">development does not comply with </w:t>
      </w:r>
      <w:r>
        <w:rPr>
          <w:rFonts w:ascii="Arial"/>
          <w:color w:val="000000"/>
          <w:sz w:val="24"/>
        </w:rPr>
        <w:t>cl 6.14(4)(b)</w:t>
      </w:r>
      <w:r>
        <w:rPr>
          <w:rFonts w:ascii="Arial"/>
          <w:color w:val="000000"/>
          <w:sz w:val="24"/>
        </w:rPr>
        <w:t>,</w:t>
      </w:r>
      <w:r>
        <w:rPr>
          <w:rFonts w:ascii="Arial"/>
          <w:color w:val="000000"/>
          <w:sz w:val="24"/>
        </w:rPr>
        <w:t xml:space="preserve"> </w:t>
      </w:r>
      <w:r>
        <w:rPr>
          <w:rFonts w:ascii="Arial"/>
          <w:color w:val="000000"/>
          <w:sz w:val="24"/>
        </w:rPr>
        <w:t xml:space="preserve">the Council submits that </w:t>
      </w:r>
      <w:r>
        <w:rPr>
          <w:rFonts w:ascii="Arial"/>
          <w:color w:val="000000"/>
          <w:sz w:val="24"/>
        </w:rPr>
        <w:t xml:space="preserve">this non-compliance is </w:t>
      </w:r>
      <w:r>
        <w:rPr>
          <w:rFonts w:ascii="Arial"/>
          <w:color w:val="000000"/>
          <w:sz w:val="24"/>
        </w:rPr>
        <w:t>fatal to the Stage 1 DA</w:t>
      </w:r>
      <w:r>
        <w:rPr>
          <w:rFonts w:ascii="Arial"/>
          <w:color w:val="000000"/>
          <w:sz w:val="24"/>
        </w:rPr>
        <w:t xml:space="preserve">, </w:t>
      </w:r>
      <w:r>
        <w:rPr>
          <w:rFonts w:ascii="Arial"/>
          <w:color w:val="000000"/>
          <w:sz w:val="24"/>
        </w:rPr>
        <w:t>in the absence of any cl 4.6 written request</w:t>
      </w:r>
      <w:r>
        <w:rPr>
          <w:rFonts w:ascii="Arial"/>
          <w:color w:val="000000"/>
          <w:sz w:val="24"/>
        </w:rPr>
        <w:t xml:space="preserve">, </w:t>
      </w:r>
      <w:r>
        <w:rPr>
          <w:rFonts w:ascii="Arial"/>
          <w:color w:val="000000"/>
          <w:sz w:val="24"/>
        </w:rPr>
        <w:t>if, contrary to Contention 2, the Court finds that the requirement is a development standard)</w:t>
      </w:r>
      <w:r>
        <w:rPr>
          <w:rFonts w:ascii="Arial"/>
          <w:color w:val="000000"/>
          <w:sz w:val="24"/>
        </w:rPr>
        <w:t xml:space="preserve"> </w:t>
      </w:r>
      <w:r>
        <w:rPr>
          <w:rFonts w:ascii="Arial"/>
          <w:color w:val="000000"/>
          <w:sz w:val="24"/>
        </w:rPr>
        <w:t>and the DA must be refused consent</w:t>
      </w:r>
      <w:r>
        <w:rPr>
          <w:rFonts w:ascii="Arial"/>
          <w:color w:val="000000"/>
          <w:sz w:val="24"/>
        </w:rPr>
        <w:t>.</w:t>
      </w:r>
    </w:p>
    <w:p>
      <w:pPr>
        <w:pStyle w:val="CaselawHeading4"/>
        <w:keepNext/>
        <w:spacing w:before="150" w:after="150" w:line="264"/>
        <w:ind w:left="600"/>
        <w:jc w:val="left"/>
      </w:pPr>
      <w:r>
        <w:rPr>
          <w:rFonts w:ascii="Arial"/>
        </w:rPr>
        <w:t>Henroth</w:t>
      </w:r>
      <w:r>
        <w:rPr>
          <w:rFonts w:ascii="Arial"/>
        </w:rPr>
        <w:t>’</w:t>
      </w:r>
      <w:r>
        <w:rPr>
          <w:rFonts w:ascii="Arial"/>
        </w:rPr>
        <w:t>s</w:t>
      </w:r>
      <w:r>
        <w:rPr>
          <w:rFonts w:ascii="Arial"/>
        </w:rPr>
        <w:t xml:space="preserve"> </w:t>
      </w:r>
      <w:r>
        <w:rPr>
          <w:rFonts w:ascii="Arial"/>
        </w:rPr>
        <w:t>position</w:t>
      </w:r>
      <w:r>
        <w:rPr>
          <w:rFonts w:ascii="Arial"/>
        </w:rPr>
        <w:t xml:space="preserve"> </w:t>
      </w:r>
      <w:r>
        <w:rPr>
          <w:rFonts w:ascii="Arial"/>
        </w:rPr>
        <w:t xml:space="preserve"> </w:t>
      </w:r>
    </w:p>
    <w:p>
      <w:pPr>
        <w:pStyle w:val="CaselawNumbered10"/>
        <w:numPr>
          <w:ilvl w:val="0"/>
          <w:numId w:val="100"/>
        </w:numPr>
        <w:spacing w:before="150" w:after="0"/>
        <w:ind w:left="600" w:hanging="600"/>
      </w:pPr>
      <w:r>
        <w:rPr>
          <w:rFonts w:ascii="Arial"/>
          <w:color w:val="000000"/>
          <w:sz w:val="24"/>
        </w:rPr>
        <w:t>Henroth</w:t>
      </w:r>
      <w:r>
        <w:rPr>
          <w:rFonts w:ascii="Arial"/>
          <w:color w:val="000000"/>
          <w:sz w:val="24"/>
        </w:rPr>
        <w:t xml:space="preserve"> </w:t>
      </w:r>
      <w:r>
        <w:rPr>
          <w:rFonts w:ascii="Arial"/>
          <w:color w:val="000000"/>
          <w:sz w:val="24"/>
        </w:rPr>
        <w:t xml:space="preserve">relies on the definition of </w:t>
      </w:r>
      <w:r>
        <w:rPr>
          <w:rFonts w:ascii="Arial"/>
          <w:color w:val="000000"/>
          <w:sz w:val="24"/>
        </w:rPr>
        <w:t>“</w:t>
      </w:r>
      <w:r>
        <w:rPr>
          <w:rFonts w:ascii="Arial"/>
          <w:color w:val="000000"/>
          <w:sz w:val="24"/>
        </w:rPr>
        <w:t>floor space ratio</w:t>
      </w:r>
      <w:r>
        <w:rPr>
          <w:rFonts w:ascii="Arial"/>
          <w:color w:val="000000"/>
          <w:sz w:val="24"/>
        </w:rPr>
        <w:t xml:space="preserve">” </w:t>
      </w:r>
      <w:r>
        <w:rPr>
          <w:rFonts w:ascii="Arial"/>
          <w:color w:val="000000"/>
          <w:sz w:val="24"/>
        </w:rPr>
        <w:t>in LEP</w:t>
      </w:r>
      <w:r>
        <w:rPr>
          <w:rFonts w:ascii="Arial"/>
          <w:color w:val="000000"/>
          <w:sz w:val="24"/>
        </w:rPr>
        <w:t xml:space="preserve"> </w:t>
      </w:r>
      <w:r>
        <w:rPr>
          <w:rFonts w:ascii="Arial"/>
          <w:color w:val="000000"/>
          <w:sz w:val="24"/>
        </w:rPr>
        <w:t>2015</w:t>
      </w:r>
      <w:r>
        <w:rPr>
          <w:rFonts w:ascii="Arial"/>
          <w:color w:val="000000"/>
          <w:sz w:val="24"/>
        </w:rPr>
        <w:t xml:space="preserve"> </w:t>
      </w:r>
      <w:r>
        <w:rPr>
          <w:rFonts w:ascii="Arial"/>
          <w:color w:val="000000"/>
          <w:sz w:val="24"/>
        </w:rPr>
        <w:t>for the purpose of cl 6.14(4)(b) and submits that there is no foundation to support the Council</w:t>
      </w:r>
      <w:r>
        <w:rPr>
          <w:rFonts w:ascii="Arial"/>
          <w:color w:val="000000"/>
          <w:sz w:val="24"/>
        </w:rPr>
        <w:t>’</w:t>
      </w:r>
      <w:r>
        <w:rPr>
          <w:rFonts w:ascii="Arial"/>
          <w:color w:val="000000"/>
          <w:sz w:val="24"/>
        </w:rPr>
        <w:t xml:space="preserve">s claim </w:t>
      </w:r>
      <w:r>
        <w:rPr>
          <w:rFonts w:ascii="Arial"/>
          <w:color w:val="000000"/>
          <w:sz w:val="24"/>
        </w:rPr>
        <w:t>that the</w:t>
      </w:r>
      <w:r>
        <w:rPr>
          <w:rFonts w:ascii="Arial"/>
          <w:color w:val="000000"/>
          <w:sz w:val="24"/>
        </w:rPr>
        <w:t xml:space="preserve"> </w:t>
      </w:r>
      <w:r>
        <w:rPr>
          <w:rFonts w:ascii="Arial"/>
          <w:color w:val="000000"/>
          <w:sz w:val="24"/>
        </w:rPr>
        <w:t xml:space="preserve">definition is </w:t>
      </w:r>
      <w:r>
        <w:rPr>
          <w:rFonts w:ascii="Arial"/>
          <w:color w:val="000000"/>
          <w:sz w:val="24"/>
        </w:rPr>
        <w:t>irrelevant to this clause</w:t>
      </w:r>
      <w:r>
        <w:rPr>
          <w:rFonts w:ascii="Arial"/>
          <w:color w:val="000000"/>
          <w:sz w:val="24"/>
        </w:rPr>
        <w:t xml:space="preserve">. The </w:t>
      </w:r>
      <w:r>
        <w:rPr>
          <w:rFonts w:ascii="Arial"/>
          <w:color w:val="000000"/>
          <w:sz w:val="24"/>
        </w:rPr>
        <w:t xml:space="preserve">term </w:t>
      </w:r>
      <w:r>
        <w:rPr>
          <w:rFonts w:ascii="Arial"/>
          <w:color w:val="000000"/>
          <w:sz w:val="24"/>
        </w:rPr>
        <w:t>“</w:t>
      </w:r>
      <w:r>
        <w:rPr>
          <w:rFonts w:ascii="Arial"/>
          <w:color w:val="000000"/>
          <w:sz w:val="24"/>
        </w:rPr>
        <w:t xml:space="preserve">floor space </w:t>
      </w:r>
      <w:r>
        <w:rPr>
          <w:rFonts w:ascii="Arial"/>
          <w:color w:val="000000"/>
          <w:sz w:val="24"/>
        </w:rPr>
        <w:t>ratio</w:t>
      </w:r>
      <w:r>
        <w:rPr>
          <w:rFonts w:ascii="Arial"/>
          <w:color w:val="000000"/>
          <w:sz w:val="24"/>
        </w:rPr>
        <w:t xml:space="preserve">” </w:t>
      </w:r>
      <w:r>
        <w:rPr>
          <w:rFonts w:ascii="Arial"/>
          <w:color w:val="000000"/>
          <w:sz w:val="24"/>
        </w:rPr>
        <w:t>is</w:t>
      </w:r>
      <w:r>
        <w:rPr>
          <w:rFonts w:ascii="Arial"/>
          <w:color w:val="000000"/>
          <w:sz w:val="24"/>
        </w:rPr>
        <w:t xml:space="preserve"> </w:t>
      </w:r>
      <w:r>
        <w:rPr>
          <w:rFonts w:ascii="Arial"/>
          <w:color w:val="000000"/>
          <w:sz w:val="24"/>
        </w:rPr>
        <w:t xml:space="preserve">a </w:t>
      </w:r>
      <w:r>
        <w:rPr>
          <w:rFonts w:ascii="Arial"/>
          <w:color w:val="000000"/>
          <w:sz w:val="24"/>
        </w:rPr>
        <w:t>“</w:t>
      </w:r>
      <w:r>
        <w:rPr>
          <w:rFonts w:ascii="Arial"/>
          <w:color w:val="000000"/>
          <w:sz w:val="24"/>
        </w:rPr>
        <w:t>term of art</w:t>
      </w:r>
      <w:r>
        <w:rPr>
          <w:rFonts w:ascii="Arial"/>
          <w:color w:val="000000"/>
          <w:sz w:val="24"/>
        </w:rPr>
        <w:t xml:space="preserve">” </w:t>
      </w:r>
      <w:r>
        <w:rPr>
          <w:rFonts w:ascii="Arial"/>
          <w:color w:val="000000"/>
          <w:sz w:val="24"/>
        </w:rPr>
        <w:t xml:space="preserve">that depends, for its construction, on </w:t>
      </w:r>
      <w:r>
        <w:rPr>
          <w:rFonts w:ascii="Arial"/>
          <w:color w:val="000000"/>
          <w:sz w:val="24"/>
        </w:rPr>
        <w:t xml:space="preserve">the definition in </w:t>
      </w:r>
      <w:r>
        <w:rPr>
          <w:rFonts w:ascii="Arial"/>
          <w:color w:val="000000"/>
          <w:sz w:val="24"/>
        </w:rPr>
        <w:t>cl 4.5 of the LEP (</w:t>
      </w:r>
      <w:r>
        <w:rPr>
          <w:rFonts w:ascii="Arial"/>
          <w:color w:val="000000"/>
          <w:sz w:val="24"/>
        </w:rPr>
        <w:t>Tcpt, 21 June 2024, p 248(17)</w:t>
      </w:r>
      <w:r>
        <w:rPr>
          <w:rFonts w:ascii="Arial"/>
          <w:color w:val="000000"/>
          <w:sz w:val="24"/>
        </w:rPr>
        <w:t>)</w:t>
      </w:r>
      <w:r>
        <w:rPr>
          <w:rFonts w:ascii="Arial"/>
          <w:color w:val="000000"/>
          <w:sz w:val="24"/>
        </w:rPr>
        <w:t xml:space="preserve">. </w:t>
      </w:r>
      <w:r>
        <w:rPr>
          <w:rFonts w:ascii="Arial"/>
          <w:color w:val="000000"/>
          <w:sz w:val="24"/>
        </w:rPr>
        <w:t>W</w:t>
      </w:r>
      <w:r>
        <w:rPr>
          <w:rFonts w:ascii="Arial"/>
          <w:color w:val="000000"/>
          <w:sz w:val="24"/>
        </w:rPr>
        <w:t xml:space="preserve">ithout </w:t>
      </w:r>
      <w:r>
        <w:rPr>
          <w:rFonts w:ascii="Arial"/>
          <w:color w:val="000000"/>
          <w:sz w:val="24"/>
        </w:rPr>
        <w:t xml:space="preserve">the </w:t>
      </w:r>
      <w:r>
        <w:rPr>
          <w:rFonts w:ascii="Arial"/>
          <w:color w:val="000000"/>
          <w:sz w:val="24"/>
        </w:rPr>
        <w:t xml:space="preserve">formula </w:t>
      </w:r>
      <w:r>
        <w:rPr>
          <w:rFonts w:ascii="Arial"/>
          <w:color w:val="000000"/>
          <w:sz w:val="24"/>
        </w:rPr>
        <w:t xml:space="preserve">in the </w:t>
      </w:r>
      <w:r>
        <w:rPr>
          <w:rFonts w:ascii="Arial"/>
          <w:color w:val="000000"/>
          <w:sz w:val="24"/>
        </w:rPr>
        <w:t xml:space="preserve">definition </w:t>
      </w:r>
      <w:r>
        <w:rPr>
          <w:rFonts w:ascii="Arial"/>
          <w:color w:val="000000"/>
          <w:sz w:val="24"/>
        </w:rPr>
        <w:t>Hen</w:t>
      </w:r>
      <w:r>
        <w:rPr>
          <w:rFonts w:ascii="Arial"/>
          <w:color w:val="000000"/>
          <w:sz w:val="24"/>
        </w:rPr>
        <w:t>ro</w:t>
      </w:r>
      <w:r>
        <w:rPr>
          <w:rFonts w:ascii="Arial"/>
          <w:color w:val="000000"/>
          <w:sz w:val="24"/>
        </w:rPr>
        <w:t xml:space="preserve">th </w:t>
      </w:r>
      <w:r>
        <w:rPr>
          <w:rFonts w:ascii="Arial"/>
          <w:color w:val="000000"/>
          <w:sz w:val="24"/>
        </w:rPr>
        <w:t xml:space="preserve">contends that </w:t>
      </w:r>
      <w:r>
        <w:rPr>
          <w:rFonts w:ascii="Arial"/>
          <w:color w:val="000000"/>
          <w:sz w:val="24"/>
        </w:rPr>
        <w:t xml:space="preserve">you cannot determine the </w:t>
      </w:r>
      <w:r>
        <w:rPr>
          <w:rFonts w:ascii="Arial"/>
          <w:color w:val="000000"/>
          <w:sz w:val="24"/>
        </w:rPr>
        <w:t>FSR</w:t>
      </w:r>
      <w:r>
        <w:rPr>
          <w:rFonts w:ascii="Arial"/>
          <w:color w:val="000000"/>
          <w:sz w:val="24"/>
        </w:rPr>
        <w:t xml:space="preserve"> </w:t>
      </w:r>
      <w:r>
        <w:rPr>
          <w:rFonts w:ascii="Arial"/>
          <w:color w:val="000000"/>
          <w:sz w:val="24"/>
        </w:rPr>
        <w:t xml:space="preserve">of anything on a site. </w:t>
      </w:r>
      <w:r>
        <w:rPr>
          <w:rFonts w:ascii="Arial"/>
          <w:color w:val="000000"/>
          <w:sz w:val="24"/>
        </w:rPr>
        <w:t>And, w</w:t>
      </w:r>
      <w:r>
        <w:rPr>
          <w:rFonts w:ascii="Arial"/>
          <w:color w:val="000000"/>
          <w:sz w:val="24"/>
        </w:rPr>
        <w:t xml:space="preserve">here the formula depends for its denominator on the area of an allotment </w:t>
      </w:r>
      <w:r>
        <w:rPr>
          <w:rFonts w:ascii="Arial"/>
          <w:color w:val="000000"/>
          <w:sz w:val="24"/>
        </w:rPr>
        <w:t xml:space="preserve">you cannot attempt to redefine its meaning when the phrase is used in wording of cl 6.14. </w:t>
      </w:r>
    </w:p>
    <w:p>
      <w:pPr>
        <w:pStyle w:val="CaselawNumbered10"/>
        <w:numPr>
          <w:ilvl w:val="0"/>
          <w:numId w:val="100"/>
        </w:numPr>
        <w:spacing w:before="150" w:after="0"/>
        <w:ind w:left="600" w:hanging="600"/>
      </w:pPr>
      <w:r>
        <w:rPr>
          <w:rFonts w:ascii="Arial"/>
          <w:color w:val="000000"/>
          <w:sz w:val="24"/>
        </w:rPr>
        <w:t xml:space="preserve">In any </w:t>
      </w:r>
      <w:r>
        <w:rPr>
          <w:rFonts w:ascii="Arial"/>
          <w:color w:val="000000"/>
          <w:sz w:val="24"/>
        </w:rPr>
        <w:t>event,</w:t>
      </w:r>
      <w:r>
        <w:rPr>
          <w:rFonts w:ascii="Arial"/>
          <w:color w:val="000000"/>
          <w:sz w:val="24"/>
        </w:rPr>
        <w:t xml:space="preserve"> </w:t>
      </w:r>
      <w:r>
        <w:rPr>
          <w:rFonts w:ascii="Arial"/>
          <w:color w:val="000000"/>
          <w:sz w:val="24"/>
        </w:rPr>
        <w:t>Henroth</w:t>
      </w:r>
      <w:r>
        <w:rPr>
          <w:rFonts w:ascii="Arial"/>
          <w:color w:val="000000"/>
          <w:sz w:val="24"/>
        </w:rPr>
        <w:t xml:space="preserve"> </w:t>
      </w:r>
      <w:r>
        <w:rPr>
          <w:rFonts w:ascii="Arial"/>
          <w:color w:val="000000"/>
          <w:sz w:val="24"/>
        </w:rPr>
        <w:t xml:space="preserve">submits that the Council has failed to clearly identify what the site area is for the purpose of cl 6.14 in the absence </w:t>
      </w:r>
      <w:r>
        <w:rPr>
          <w:rFonts w:ascii="Arial"/>
          <w:color w:val="000000"/>
          <w:sz w:val="24"/>
        </w:rPr>
        <w:t xml:space="preserve">of </w:t>
      </w:r>
      <w:r>
        <w:rPr>
          <w:rFonts w:ascii="Arial"/>
          <w:color w:val="000000"/>
          <w:sz w:val="24"/>
        </w:rPr>
        <w:t xml:space="preserve">the </w:t>
      </w:r>
      <w:r>
        <w:rPr>
          <w:rFonts w:ascii="Arial"/>
          <w:color w:val="000000"/>
          <w:sz w:val="24"/>
        </w:rPr>
        <w:t xml:space="preserve">FSR </w:t>
      </w:r>
      <w:r>
        <w:rPr>
          <w:rFonts w:ascii="Arial"/>
          <w:color w:val="000000"/>
          <w:sz w:val="24"/>
        </w:rPr>
        <w:t>definition</w:t>
      </w:r>
      <w:r>
        <w:rPr>
          <w:rFonts w:ascii="Arial"/>
          <w:color w:val="000000"/>
          <w:sz w:val="24"/>
        </w:rPr>
        <w:t xml:space="preserve"> </w:t>
      </w:r>
      <w:r>
        <w:rPr>
          <w:rFonts w:ascii="Arial"/>
          <w:color w:val="000000"/>
          <w:sz w:val="24"/>
        </w:rPr>
        <w:t>in the LEP</w:t>
      </w:r>
      <w:r>
        <w:rPr>
          <w:rFonts w:ascii="Arial"/>
          <w:color w:val="000000"/>
          <w:sz w:val="24"/>
        </w:rPr>
        <w:t xml:space="preserve">. Is it </w:t>
      </w:r>
      <w:r>
        <w:rPr>
          <w:rFonts w:ascii="Arial"/>
          <w:color w:val="000000"/>
          <w:sz w:val="24"/>
        </w:rPr>
        <w:t>S</w:t>
      </w:r>
      <w:r>
        <w:rPr>
          <w:rFonts w:ascii="Arial"/>
          <w:color w:val="000000"/>
          <w:sz w:val="24"/>
        </w:rPr>
        <w:t xml:space="preserve">tage 1 and 2 or a portion of </w:t>
      </w:r>
      <w:r>
        <w:rPr>
          <w:rFonts w:ascii="Arial"/>
          <w:color w:val="000000"/>
          <w:sz w:val="24"/>
        </w:rPr>
        <w:t>S</w:t>
      </w:r>
      <w:r>
        <w:rPr>
          <w:rFonts w:ascii="Arial"/>
          <w:color w:val="000000"/>
          <w:sz w:val="24"/>
        </w:rPr>
        <w:t xml:space="preserve">tage 1 in which the buildings are located? </w:t>
      </w:r>
    </w:p>
    <w:p>
      <w:pPr>
        <w:pStyle w:val="CaselawNumbered10"/>
        <w:numPr>
          <w:ilvl w:val="0"/>
          <w:numId w:val="100"/>
        </w:numPr>
        <w:spacing w:before="150" w:after="0"/>
        <w:ind w:left="600" w:hanging="600"/>
      </w:pPr>
      <w:r>
        <w:rPr>
          <w:rFonts w:ascii="Arial"/>
          <w:color w:val="000000"/>
          <w:sz w:val="24"/>
        </w:rPr>
        <w:t>Henroth</w:t>
      </w:r>
      <w:r>
        <w:rPr>
          <w:rFonts w:ascii="Arial"/>
          <w:color w:val="000000"/>
          <w:sz w:val="24"/>
        </w:rPr>
        <w:t xml:space="preserve"> </w:t>
      </w:r>
      <w:r>
        <w:rPr>
          <w:rFonts w:ascii="Arial"/>
          <w:color w:val="000000"/>
          <w:sz w:val="24"/>
        </w:rPr>
        <w:t xml:space="preserve">also claims that </w:t>
      </w:r>
      <w:r>
        <w:rPr>
          <w:rFonts w:ascii="Arial"/>
          <w:color w:val="000000"/>
          <w:sz w:val="24"/>
        </w:rPr>
        <w:t>the Council</w:t>
      </w:r>
      <w:r>
        <w:rPr>
          <w:rFonts w:ascii="Arial"/>
          <w:color w:val="000000"/>
          <w:sz w:val="24"/>
        </w:rPr>
        <w:t>’</w:t>
      </w:r>
      <w:r>
        <w:rPr>
          <w:rFonts w:ascii="Arial"/>
          <w:color w:val="000000"/>
          <w:sz w:val="24"/>
        </w:rPr>
        <w:t>s use of the contextual reference to development as being equally used in the chapeau as it is in cl 6.14</w:t>
      </w:r>
      <w:r>
        <w:rPr>
          <w:rFonts w:ascii="Arial"/>
          <w:color w:val="000000"/>
          <w:sz w:val="24"/>
        </w:rPr>
        <w:t xml:space="preserve"> </w:t>
      </w:r>
      <w:r>
        <w:rPr>
          <w:rFonts w:ascii="Arial"/>
          <w:color w:val="000000"/>
          <w:sz w:val="24"/>
        </w:rPr>
        <w:t>as non</w:t>
      </w:r>
      <w:r>
        <w:rPr>
          <w:rFonts w:ascii="Arial"/>
          <w:color w:val="000000"/>
          <w:sz w:val="24"/>
        </w:rPr>
        <w:t>-</w:t>
      </w:r>
      <w:r>
        <w:rPr>
          <w:rFonts w:ascii="Arial"/>
          <w:color w:val="000000"/>
          <w:sz w:val="24"/>
        </w:rPr>
        <w:t>sensical</w:t>
      </w:r>
      <w:r>
        <w:rPr>
          <w:rFonts w:ascii="Arial"/>
          <w:color w:val="000000"/>
          <w:sz w:val="24"/>
        </w:rPr>
        <w:t xml:space="preserve">. </w:t>
      </w:r>
      <w:r>
        <w:rPr>
          <w:rFonts w:ascii="Arial"/>
          <w:color w:val="000000"/>
          <w:sz w:val="24"/>
        </w:rPr>
        <w:t>It</w:t>
      </w:r>
      <w:r>
        <w:rPr>
          <w:rFonts w:ascii="Arial"/>
          <w:color w:val="000000"/>
          <w:sz w:val="24"/>
        </w:rPr>
        <w:t xml:space="preserve"> </w:t>
      </w:r>
      <w:r>
        <w:rPr>
          <w:rFonts w:ascii="Arial"/>
          <w:color w:val="000000"/>
          <w:sz w:val="24"/>
        </w:rPr>
        <w:t>submits that there is simply no point in defining FSR in the LEP unless it is relevant to the concept where it</w:t>
      </w:r>
      <w:r>
        <w:rPr>
          <w:rFonts w:ascii="Arial"/>
          <w:color w:val="000000"/>
          <w:sz w:val="24"/>
        </w:rPr>
        <w:t xml:space="preserve"> </w:t>
      </w:r>
      <w:r>
        <w:rPr>
          <w:rFonts w:ascii="Arial"/>
          <w:color w:val="000000"/>
          <w:sz w:val="24"/>
        </w:rPr>
        <w:t>i</w:t>
      </w:r>
      <w:r>
        <w:rPr>
          <w:rFonts w:ascii="Arial"/>
          <w:color w:val="000000"/>
          <w:sz w:val="24"/>
        </w:rPr>
        <w:t xml:space="preserve">s used in the LEP including, in particular, in cl 6.14(4)(b). </w:t>
      </w:r>
    </w:p>
    <w:p>
      <w:pPr>
        <w:pStyle w:val="CaselawNumbered10"/>
        <w:numPr>
          <w:ilvl w:val="0"/>
          <w:numId w:val="100"/>
        </w:numPr>
        <w:spacing w:before="150" w:after="0"/>
        <w:ind w:left="600" w:hanging="600"/>
      </w:pPr>
      <w:r>
        <w:rPr>
          <w:rFonts w:ascii="Arial"/>
          <w:color w:val="000000"/>
          <w:sz w:val="24"/>
        </w:rPr>
        <w:t xml:space="preserve">Applying the definition, </w:t>
      </w:r>
      <w:r>
        <w:rPr>
          <w:rFonts w:ascii="Arial"/>
          <w:color w:val="000000"/>
          <w:sz w:val="24"/>
        </w:rPr>
        <w:t>Henroth</w:t>
      </w:r>
      <w:r>
        <w:rPr>
          <w:rFonts w:ascii="Arial"/>
          <w:color w:val="000000"/>
          <w:sz w:val="24"/>
        </w:rPr>
        <w:t xml:space="preserve"> </w:t>
      </w:r>
      <w:r>
        <w:rPr>
          <w:rFonts w:ascii="Arial"/>
          <w:color w:val="000000"/>
          <w:sz w:val="24"/>
        </w:rPr>
        <w:t xml:space="preserve">submits that </w:t>
      </w:r>
      <w:r>
        <w:rPr>
          <w:rFonts w:ascii="Arial"/>
          <w:color w:val="000000"/>
          <w:sz w:val="24"/>
        </w:rPr>
        <w:t xml:space="preserve">the development is </w:t>
      </w:r>
      <w:r>
        <w:rPr>
          <w:rFonts w:ascii="Arial"/>
          <w:color w:val="000000"/>
          <w:sz w:val="24"/>
        </w:rPr>
        <w:t xml:space="preserve">more than </w:t>
      </w:r>
      <w:r>
        <w:rPr>
          <w:rFonts w:ascii="Arial"/>
          <w:color w:val="000000"/>
          <w:sz w:val="24"/>
        </w:rPr>
        <w:t xml:space="preserve">compliant </w:t>
      </w:r>
      <w:r>
        <w:rPr>
          <w:rFonts w:ascii="Arial"/>
          <w:color w:val="000000"/>
          <w:sz w:val="24"/>
        </w:rPr>
        <w:t xml:space="preserve">with cl 6.14(4)(b) as </w:t>
      </w:r>
      <w:r>
        <w:rPr>
          <w:rFonts w:ascii="Arial"/>
          <w:color w:val="000000"/>
          <w:sz w:val="24"/>
        </w:rPr>
        <w:t xml:space="preserve">it includes a floor space used for the purpose of commercial premises that is equivalent to a </w:t>
      </w:r>
      <w:r>
        <w:rPr>
          <w:rFonts w:ascii="Arial"/>
          <w:color w:val="000000"/>
          <w:sz w:val="24"/>
        </w:rPr>
        <w:t>FSR</w:t>
      </w:r>
      <w:r>
        <w:rPr>
          <w:rFonts w:ascii="Arial"/>
          <w:color w:val="000000"/>
          <w:sz w:val="24"/>
        </w:rPr>
        <w:t xml:space="preserve"> </w:t>
      </w:r>
      <w:r>
        <w:rPr>
          <w:rFonts w:ascii="Arial"/>
          <w:color w:val="000000"/>
          <w:sz w:val="24"/>
        </w:rPr>
        <w:t xml:space="preserve">of at least </w:t>
      </w:r>
      <w:r>
        <w:rPr>
          <w:rFonts w:ascii="Arial"/>
          <w:color w:val="000000"/>
          <w:sz w:val="24"/>
        </w:rPr>
        <w:t>0</w:t>
      </w:r>
      <w:r>
        <w:rPr>
          <w:rFonts w:ascii="Arial"/>
          <w:color w:val="000000"/>
          <w:sz w:val="24"/>
        </w:rPr>
        <w:t xml:space="preserve">.35:1 </w:t>
      </w:r>
      <w:r>
        <w:rPr>
          <w:rFonts w:ascii="Arial"/>
          <w:color w:val="000000"/>
          <w:sz w:val="24"/>
        </w:rPr>
        <w:t>(Addendum SEE, Ex D p4 Table 1</w:t>
      </w:r>
      <w:r>
        <w:rPr>
          <w:rFonts w:ascii="Arial"/>
          <w:color w:val="000000"/>
          <w:sz w:val="24"/>
        </w:rPr>
        <w:t>; EX A tab 2 DA 770-303; T</w:t>
      </w:r>
      <w:r>
        <w:rPr>
          <w:rFonts w:ascii="Arial"/>
          <w:color w:val="000000"/>
          <w:sz w:val="24"/>
        </w:rPr>
        <w:t>cp</w:t>
      </w:r>
      <w:r>
        <w:rPr>
          <w:rFonts w:ascii="Arial"/>
          <w:color w:val="000000"/>
          <w:sz w:val="24"/>
        </w:rPr>
        <w:t>t</w:t>
      </w:r>
      <w:r>
        <w:rPr>
          <w:rFonts w:ascii="Arial"/>
          <w:color w:val="000000"/>
          <w:sz w:val="24"/>
        </w:rPr>
        <w:t>,</w:t>
      </w:r>
      <w:r>
        <w:rPr>
          <w:rFonts w:ascii="Arial"/>
          <w:color w:val="000000"/>
          <w:sz w:val="24"/>
        </w:rPr>
        <w:t xml:space="preserve"> </w:t>
      </w:r>
      <w:r>
        <w:rPr>
          <w:rFonts w:ascii="Arial"/>
          <w:color w:val="000000"/>
          <w:sz w:val="24"/>
        </w:rPr>
        <w:t>20</w:t>
      </w:r>
      <w:r>
        <w:rPr>
          <w:rFonts w:ascii="Arial"/>
          <w:color w:val="000000"/>
          <w:sz w:val="24"/>
        </w:rPr>
        <w:t xml:space="preserve"> </w:t>
      </w:r>
      <w:r>
        <w:rPr>
          <w:rFonts w:ascii="Arial"/>
          <w:color w:val="000000"/>
          <w:sz w:val="24"/>
        </w:rPr>
        <w:t>June 20</w:t>
      </w:r>
      <w:r>
        <w:rPr>
          <w:rFonts w:ascii="Arial"/>
          <w:color w:val="000000"/>
          <w:sz w:val="24"/>
        </w:rPr>
        <w:t>24</w:t>
      </w:r>
      <w:r>
        <w:rPr>
          <w:rFonts w:ascii="Arial"/>
          <w:color w:val="000000"/>
          <w:sz w:val="24"/>
        </w:rPr>
        <w:t>,</w:t>
      </w:r>
      <w:r>
        <w:rPr>
          <w:rFonts w:ascii="Arial"/>
          <w:color w:val="000000"/>
          <w:sz w:val="24"/>
        </w:rPr>
        <w:t xml:space="preserve"> </w:t>
      </w:r>
      <w:r>
        <w:rPr>
          <w:rFonts w:ascii="Arial"/>
          <w:color w:val="000000"/>
          <w:sz w:val="24"/>
        </w:rPr>
        <w:t>p</w:t>
      </w:r>
      <w:r>
        <w:rPr>
          <w:rFonts w:ascii="Arial"/>
          <w:color w:val="000000"/>
          <w:sz w:val="24"/>
        </w:rPr>
        <w:t xml:space="preserve"> </w:t>
      </w:r>
      <w:r>
        <w:rPr>
          <w:rFonts w:ascii="Arial"/>
          <w:color w:val="000000"/>
          <w:sz w:val="24"/>
        </w:rPr>
        <w:t>183</w:t>
      </w:r>
      <w:r>
        <w:rPr>
          <w:rFonts w:ascii="Arial"/>
          <w:color w:val="000000"/>
          <w:sz w:val="24"/>
        </w:rPr>
        <w:t>(</w:t>
      </w:r>
      <w:r>
        <w:rPr>
          <w:rFonts w:ascii="Arial"/>
          <w:color w:val="000000"/>
          <w:sz w:val="24"/>
        </w:rPr>
        <w:t>1-10</w:t>
      </w:r>
      <w:r>
        <w:rPr>
          <w:rFonts w:ascii="Arial"/>
          <w:color w:val="000000"/>
          <w:sz w:val="24"/>
        </w:rPr>
        <w:t>)</w:t>
      </w:r>
      <w:r>
        <w:rPr>
          <w:rFonts w:ascii="Arial"/>
          <w:color w:val="000000"/>
          <w:sz w:val="24"/>
        </w:rPr>
        <w:t>).</w:t>
      </w:r>
    </w:p>
    <w:p>
      <w:pPr>
        <w:pStyle w:val="CaselawHeading4"/>
        <w:keepNext/>
        <w:spacing w:before="150" w:after="150" w:line="264"/>
        <w:ind w:left="600"/>
        <w:jc w:val="left"/>
      </w:pPr>
      <w:r>
        <w:rPr>
          <w:rFonts w:ascii="Arial"/>
        </w:rPr>
        <w:t xml:space="preserve">Clause </w:t>
      </w:r>
      <w:r>
        <w:rPr>
          <w:rFonts w:ascii="Arial"/>
        </w:rPr>
        <w:t>6.14(4)(b)</w:t>
      </w:r>
      <w:r>
        <w:rPr>
          <w:rFonts w:ascii="Arial"/>
        </w:rPr>
        <w:t xml:space="preserve"> </w:t>
      </w:r>
      <w:r>
        <w:rPr>
          <w:rFonts w:ascii="Arial"/>
        </w:rPr>
        <w:t xml:space="preserve">- </w:t>
      </w:r>
      <w:r>
        <w:rPr>
          <w:rFonts w:ascii="Arial"/>
        </w:rPr>
        <w:t>F</w:t>
      </w:r>
      <w:r>
        <w:rPr>
          <w:rFonts w:ascii="Arial"/>
        </w:rPr>
        <w:t>inding</w:t>
      </w:r>
      <w:r>
        <w:rPr>
          <w:rFonts w:ascii="Arial"/>
        </w:rPr>
        <w:t xml:space="preserve"> </w:t>
      </w:r>
    </w:p>
    <w:p>
      <w:pPr>
        <w:pStyle w:val="CaselawNumbered10"/>
        <w:numPr>
          <w:ilvl w:val="0"/>
          <w:numId w:val="101"/>
        </w:numPr>
        <w:spacing w:before="150" w:after="0"/>
        <w:ind w:left="600" w:hanging="600"/>
      </w:pPr>
      <w:r>
        <w:rPr>
          <w:rFonts w:ascii="Arial"/>
          <w:color w:val="000000"/>
          <w:sz w:val="24"/>
        </w:rPr>
        <w:t xml:space="preserve">For the reasons outlined by </w:t>
      </w:r>
      <w:r>
        <w:rPr>
          <w:rFonts w:ascii="Arial"/>
          <w:color w:val="000000"/>
          <w:sz w:val="24"/>
        </w:rPr>
        <w:t>Henroth,</w:t>
      </w:r>
      <w:r>
        <w:rPr>
          <w:rFonts w:ascii="Arial"/>
          <w:color w:val="000000"/>
          <w:sz w:val="24"/>
        </w:rPr>
        <w:t xml:space="preserve"> </w:t>
      </w:r>
      <w:r>
        <w:rPr>
          <w:rFonts w:ascii="Arial"/>
          <w:color w:val="000000"/>
          <w:sz w:val="24"/>
        </w:rPr>
        <w:t xml:space="preserve">I am satisfied that the development complies with cl 6.14(4)(b) as </w:t>
      </w:r>
      <w:r>
        <w:rPr>
          <w:rFonts w:ascii="Arial"/>
          <w:color w:val="000000"/>
          <w:sz w:val="24"/>
        </w:rPr>
        <w:t>it includes</w:t>
      </w:r>
      <w:r>
        <w:rPr>
          <w:rFonts w:ascii="Arial"/>
          <w:color w:val="000000"/>
          <w:sz w:val="24"/>
        </w:rPr>
        <w:t xml:space="preserve"> </w:t>
      </w:r>
      <w:r>
        <w:rPr>
          <w:rFonts w:ascii="Arial"/>
          <w:color w:val="000000"/>
          <w:sz w:val="24"/>
        </w:rPr>
        <w:t xml:space="preserve">floor space used for the purpose of commercial premises that is equivalent to a </w:t>
      </w:r>
      <w:r>
        <w:rPr>
          <w:rFonts w:ascii="Arial"/>
          <w:color w:val="000000"/>
          <w:sz w:val="24"/>
        </w:rPr>
        <w:t>FSR</w:t>
      </w:r>
      <w:r>
        <w:rPr>
          <w:rFonts w:ascii="Arial"/>
          <w:color w:val="000000"/>
          <w:sz w:val="24"/>
        </w:rPr>
        <w:t xml:space="preserve"> </w:t>
      </w:r>
      <w:r>
        <w:rPr>
          <w:rFonts w:ascii="Arial"/>
          <w:color w:val="000000"/>
          <w:sz w:val="24"/>
        </w:rPr>
        <w:t>of at least 0.35:1</w:t>
      </w:r>
      <w:r>
        <w:rPr>
          <w:rFonts w:ascii="Arial"/>
          <w:color w:val="000000"/>
          <w:sz w:val="24"/>
        </w:rPr>
        <w:t xml:space="preserve"> </w:t>
      </w:r>
      <w:r>
        <w:rPr>
          <w:rFonts w:ascii="Arial"/>
          <w:color w:val="000000"/>
          <w:sz w:val="24"/>
        </w:rPr>
        <w:t>(Addendum SEE, Ex D p</w:t>
      </w:r>
      <w:r>
        <w:rPr>
          <w:rFonts w:ascii="Arial"/>
          <w:color w:val="000000"/>
          <w:sz w:val="24"/>
        </w:rPr>
        <w:t xml:space="preserve"> </w:t>
      </w:r>
      <w:r>
        <w:rPr>
          <w:rFonts w:ascii="Arial"/>
          <w:color w:val="000000"/>
          <w:sz w:val="24"/>
        </w:rPr>
        <w:t>4 Table 1)</w:t>
      </w:r>
      <w:r>
        <w:rPr>
          <w:rFonts w:ascii="Arial"/>
          <w:color w:val="000000"/>
          <w:sz w:val="24"/>
        </w:rPr>
        <w:t>. Mr Ryan</w:t>
      </w:r>
      <w:r>
        <w:rPr>
          <w:rFonts w:ascii="Arial"/>
          <w:color w:val="000000"/>
          <w:sz w:val="24"/>
        </w:rPr>
        <w:t>’</w:t>
      </w:r>
      <w:r>
        <w:rPr>
          <w:rFonts w:ascii="Arial"/>
          <w:color w:val="000000"/>
          <w:sz w:val="24"/>
        </w:rPr>
        <w:t xml:space="preserve">s evidence in Table 1 is that Stage 1 will result in an overall FSR of 0.53:1 with a commercial FSR of 0.37:1. </w:t>
      </w:r>
    </w:p>
    <w:p>
      <w:pPr>
        <w:pStyle w:val="CaselawNumbered10"/>
        <w:numPr>
          <w:ilvl w:val="0"/>
          <w:numId w:val="101"/>
        </w:numPr>
        <w:spacing w:before="150" w:after="0"/>
        <w:ind w:left="600" w:hanging="600"/>
      </w:pPr>
      <w:r>
        <w:rPr>
          <w:rFonts w:ascii="Arial"/>
          <w:color w:val="000000"/>
          <w:sz w:val="24"/>
        </w:rPr>
        <w:t xml:space="preserve">As </w:t>
      </w:r>
      <w:r>
        <w:rPr>
          <w:rFonts w:ascii="Arial"/>
          <w:color w:val="000000"/>
          <w:sz w:val="24"/>
        </w:rPr>
        <w:t>Henroth</w:t>
      </w:r>
      <w:r>
        <w:rPr>
          <w:rFonts w:ascii="Arial"/>
          <w:color w:val="000000"/>
          <w:sz w:val="24"/>
        </w:rPr>
        <w:t xml:space="preserve"> </w:t>
      </w:r>
      <w:r>
        <w:rPr>
          <w:rFonts w:ascii="Arial"/>
          <w:color w:val="000000"/>
          <w:sz w:val="24"/>
        </w:rPr>
        <w:t>identifies</w:t>
      </w:r>
      <w:r>
        <w:rPr>
          <w:rFonts w:ascii="Arial"/>
          <w:color w:val="000000"/>
          <w:sz w:val="24"/>
        </w:rPr>
        <w:t>,</w:t>
      </w:r>
      <w:r>
        <w:rPr>
          <w:rFonts w:ascii="Arial"/>
          <w:color w:val="000000"/>
          <w:sz w:val="24"/>
        </w:rPr>
        <w:t xml:space="preserve"> </w:t>
      </w:r>
      <w:r>
        <w:rPr>
          <w:rFonts w:ascii="Arial"/>
          <w:color w:val="000000"/>
          <w:sz w:val="24"/>
        </w:rPr>
        <w:t xml:space="preserve">the phrase </w:t>
      </w:r>
      <w:r>
        <w:rPr>
          <w:rFonts w:ascii="Arial"/>
          <w:color w:val="000000"/>
          <w:sz w:val="24"/>
        </w:rPr>
        <w:t>“</w:t>
      </w:r>
      <w:r>
        <w:rPr>
          <w:rFonts w:ascii="Arial"/>
          <w:color w:val="000000"/>
          <w:sz w:val="24"/>
        </w:rPr>
        <w:t>floor space ratio</w:t>
      </w:r>
      <w:r>
        <w:rPr>
          <w:rFonts w:ascii="Arial"/>
          <w:color w:val="000000"/>
          <w:sz w:val="24"/>
        </w:rPr>
        <w:t xml:space="preserve">” </w:t>
      </w:r>
      <w:r>
        <w:rPr>
          <w:rFonts w:ascii="Arial"/>
          <w:color w:val="000000"/>
          <w:sz w:val="24"/>
        </w:rPr>
        <w:t xml:space="preserve">is in the </w:t>
      </w:r>
      <w:r>
        <w:rPr>
          <w:rFonts w:ascii="Arial"/>
          <w:color w:val="000000"/>
          <w:sz w:val="24"/>
        </w:rPr>
        <w:t>sub</w:t>
      </w:r>
      <w:r>
        <w:rPr>
          <w:rFonts w:ascii="Arial"/>
          <w:color w:val="000000"/>
          <w:sz w:val="24"/>
        </w:rPr>
        <w:t>clause</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absent an</w:t>
      </w:r>
      <w:r>
        <w:rPr>
          <w:rFonts w:ascii="Arial"/>
          <w:color w:val="000000"/>
          <w:sz w:val="24"/>
        </w:rPr>
        <w:t>y</w:t>
      </w:r>
      <w:r>
        <w:rPr>
          <w:rFonts w:ascii="Arial"/>
          <w:color w:val="000000"/>
          <w:sz w:val="24"/>
        </w:rPr>
        <w:t xml:space="preserve"> </w:t>
      </w:r>
      <w:r>
        <w:rPr>
          <w:rFonts w:ascii="Arial"/>
          <w:color w:val="000000"/>
          <w:sz w:val="24"/>
        </w:rPr>
        <w:t xml:space="preserve">express exclusion of the LEP definition </w:t>
      </w:r>
      <w:r>
        <w:rPr>
          <w:rFonts w:ascii="Arial"/>
          <w:color w:val="000000"/>
          <w:sz w:val="24"/>
        </w:rPr>
        <w:t xml:space="preserve">- </w:t>
      </w:r>
      <w:r>
        <w:rPr>
          <w:rFonts w:ascii="Arial"/>
          <w:color w:val="000000"/>
          <w:sz w:val="24"/>
        </w:rPr>
        <w:t>the formula for calculating FSR logically appl</w:t>
      </w:r>
      <w:r>
        <w:rPr>
          <w:rFonts w:ascii="Arial"/>
          <w:color w:val="000000"/>
          <w:sz w:val="24"/>
        </w:rPr>
        <w:t>ies</w:t>
      </w:r>
      <w:r>
        <w:rPr>
          <w:rFonts w:ascii="Arial"/>
          <w:color w:val="000000"/>
          <w:sz w:val="24"/>
        </w:rPr>
        <w:t xml:space="preserve">. </w:t>
      </w:r>
    </w:p>
    <w:p>
      <w:pPr>
        <w:pStyle w:val="CaselawHeading3"/>
        <w:keepNext/>
        <w:spacing w:before="150" w:after="150" w:line="264"/>
        <w:ind w:left="0"/>
        <w:jc w:val="left"/>
      </w:pPr>
      <w:r>
        <w:rPr>
          <w:rFonts w:ascii="Arial"/>
        </w:rPr>
        <w:t xml:space="preserve">Clause 6.14(4)(c) - </w:t>
      </w:r>
      <w:r>
        <w:rPr>
          <w:rFonts w:ascii="Arial"/>
        </w:rPr>
        <w:t>I</w:t>
      </w:r>
      <w:r>
        <w:rPr>
          <w:rFonts w:ascii="Arial"/>
        </w:rPr>
        <w:t>nsufficient southern setback</w:t>
      </w:r>
    </w:p>
    <w:p>
      <w:pPr>
        <w:pStyle w:val="CaselawHeading4"/>
        <w:keepNext/>
        <w:spacing w:before="150" w:after="150" w:line="264"/>
        <w:ind w:left="600"/>
        <w:jc w:val="left"/>
      </w:pPr>
      <w:r>
        <w:rPr>
          <w:rFonts w:ascii="Arial"/>
        </w:rPr>
        <w:t>Council</w:t>
      </w:r>
      <w:r>
        <w:rPr>
          <w:rFonts w:ascii="Arial"/>
        </w:rPr>
        <w:t>’</w:t>
      </w:r>
      <w:r>
        <w:rPr>
          <w:rFonts w:ascii="Arial"/>
        </w:rPr>
        <w:t>s position</w:t>
      </w:r>
      <w:r>
        <w:rPr>
          <w:rFonts w:ascii="Arial"/>
        </w:rPr>
        <w:t xml:space="preserve"> </w:t>
      </w:r>
    </w:p>
    <w:p>
      <w:pPr>
        <w:pStyle w:val="CaselawNumbered10"/>
        <w:numPr>
          <w:ilvl w:val="0"/>
          <w:numId w:val="102"/>
        </w:numPr>
        <w:spacing w:before="150" w:after="0"/>
        <w:ind w:left="600" w:hanging="600"/>
      </w:pPr>
      <w:r>
        <w:rPr>
          <w:rFonts w:ascii="Arial"/>
          <w:color w:val="000000"/>
          <w:sz w:val="24"/>
        </w:rPr>
        <w:t>Clause 6.14(4)</w:t>
      </w:r>
      <w:r>
        <w:rPr>
          <w:rFonts w:ascii="Arial"/>
          <w:color w:val="000000"/>
          <w:sz w:val="24"/>
        </w:rPr>
        <w:t>(</w:t>
      </w:r>
      <w:r>
        <w:rPr>
          <w:rFonts w:ascii="Arial"/>
          <w:color w:val="000000"/>
          <w:sz w:val="24"/>
        </w:rPr>
        <w:t xml:space="preserve">c) requires the development to have </w:t>
      </w:r>
      <w:r>
        <w:rPr>
          <w:rFonts w:ascii="Arial"/>
          <w:color w:val="000000"/>
          <w:sz w:val="24"/>
        </w:rPr>
        <w:t>“</w:t>
      </w:r>
      <w:r>
        <w:rPr>
          <w:rFonts w:ascii="Arial"/>
          <w:color w:val="000000"/>
          <w:sz w:val="24"/>
        </w:rPr>
        <w:t>a building setback of at least 10 metres from the southern boundary adjoining 81-105 Norfolk Road and 351 Waterloo Road, Greenacre</w:t>
      </w:r>
      <w:r>
        <w:rPr>
          <w:rFonts w:ascii="Arial"/>
          <w:color w:val="000000"/>
          <w:sz w:val="24"/>
        </w:rPr>
        <w:t>”</w:t>
      </w:r>
      <w:r>
        <w:rPr>
          <w:rFonts w:ascii="Arial"/>
          <w:color w:val="000000"/>
          <w:sz w:val="24"/>
        </w:rPr>
        <w:t xml:space="preserve">. The Stage 1 DA proposes a new basement, which forms part of the proposed building, within the </w:t>
      </w:r>
      <w:r>
        <w:rPr>
          <w:rFonts w:ascii="Arial"/>
          <w:color w:val="000000"/>
          <w:sz w:val="24"/>
        </w:rPr>
        <w:t>10m</w:t>
      </w:r>
      <w:r>
        <w:rPr>
          <w:rFonts w:ascii="Arial"/>
          <w:color w:val="000000"/>
          <w:sz w:val="24"/>
        </w:rPr>
        <w:t xml:space="preserve"> </w:t>
      </w:r>
      <w:r>
        <w:rPr>
          <w:rFonts w:ascii="Arial"/>
          <w:color w:val="000000"/>
          <w:sz w:val="24"/>
        </w:rPr>
        <w:t>setback in breach of this requirement.</w:t>
      </w:r>
    </w:p>
    <w:p>
      <w:pPr>
        <w:pStyle w:val="CaselawNumbered10"/>
        <w:numPr>
          <w:ilvl w:val="0"/>
          <w:numId w:val="102"/>
        </w:numPr>
        <w:spacing w:before="150" w:after="0"/>
        <w:ind w:left="600" w:hanging="600"/>
      </w:pPr>
      <w:r>
        <w:rPr>
          <w:rFonts w:ascii="Arial"/>
          <w:color w:val="000000"/>
          <w:sz w:val="24"/>
        </w:rPr>
        <w:t>In the Planning JER</w:t>
      </w:r>
      <w:r>
        <w:rPr>
          <w:rFonts w:ascii="Arial"/>
          <w:color w:val="000000"/>
          <w:sz w:val="24"/>
        </w:rPr>
        <w:t xml:space="preserve"> </w:t>
      </w:r>
      <w:r>
        <w:rPr>
          <w:rFonts w:ascii="Arial"/>
          <w:color w:val="000000"/>
          <w:sz w:val="24"/>
        </w:rPr>
        <w:t>(Ex 10)</w:t>
      </w:r>
      <w:r>
        <w:rPr>
          <w:rFonts w:ascii="Arial"/>
          <w:color w:val="000000"/>
          <w:sz w:val="24"/>
        </w:rPr>
        <w:t xml:space="preserve">, Mr Ryan says that it is arguable that the setback requirements only relate to building elements above ground level: at </w:t>
      </w:r>
      <w:r>
        <w:rPr>
          <w:rFonts w:ascii="Arial"/>
          <w:color w:val="000000"/>
          <w:sz w:val="24"/>
        </w:rPr>
        <w:t xml:space="preserve">par </w:t>
      </w:r>
      <w:r>
        <w:rPr>
          <w:rFonts w:ascii="Arial"/>
          <w:color w:val="000000"/>
          <w:sz w:val="24"/>
        </w:rPr>
        <w:t xml:space="preserve">12. In the cl 4.6 written request (Ex B) (Request), he also relies on the findings of the Court in </w:t>
      </w:r>
      <w:r>
        <w:rPr>
          <w:rFonts w:ascii="Arial"/>
          <w:i/>
          <w:color w:val="000000"/>
          <w:sz w:val="24"/>
        </w:rPr>
        <w:t>Landcorp</w:t>
      </w:r>
      <w:r>
        <w:rPr>
          <w:rFonts w:ascii="Arial"/>
          <w:color w:val="000000"/>
          <w:sz w:val="24"/>
        </w:rPr>
        <w:t xml:space="preserve"> </w:t>
      </w:r>
      <w:r>
        <w:rPr>
          <w:rFonts w:ascii="Arial"/>
          <w:color w:val="000000"/>
          <w:sz w:val="24"/>
        </w:rPr>
        <w:t xml:space="preserve">to the effect that no </w:t>
      </w:r>
      <w:r>
        <w:rPr>
          <w:rFonts w:ascii="Arial"/>
          <w:b/>
          <w:color w:val="000000"/>
          <w:sz w:val="24"/>
        </w:rPr>
        <w:t>new development</w:t>
      </w:r>
      <w:r>
        <w:rPr>
          <w:rFonts w:ascii="Arial"/>
          <w:color w:val="000000"/>
          <w:sz w:val="24"/>
        </w:rPr>
        <w:t xml:space="preserve"> </w:t>
      </w:r>
      <w:r>
        <w:rPr>
          <w:rFonts w:ascii="Arial"/>
          <w:color w:val="000000"/>
          <w:sz w:val="24"/>
        </w:rPr>
        <w:t>encroaches within the setback and, therefore, compliance is not necessary: at p 7.</w:t>
      </w:r>
      <w:r>
        <w:rPr>
          <w:rFonts w:ascii="Arial"/>
          <w:color w:val="000000"/>
          <w:sz w:val="24"/>
        </w:rPr>
        <w:t xml:space="preserve"> </w:t>
      </w:r>
      <w:r>
        <w:rPr>
          <w:rFonts w:ascii="Arial"/>
          <w:color w:val="000000"/>
          <w:sz w:val="24"/>
        </w:rPr>
        <w:t xml:space="preserve">It is an existing basement. </w:t>
      </w:r>
    </w:p>
    <w:p>
      <w:pPr>
        <w:pStyle w:val="CaselawNumbered10"/>
        <w:numPr>
          <w:ilvl w:val="0"/>
          <w:numId w:val="102"/>
        </w:numPr>
        <w:spacing w:before="150" w:after="0"/>
        <w:ind w:left="600" w:hanging="600"/>
      </w:pPr>
      <w:r>
        <w:rPr>
          <w:rFonts w:ascii="Arial"/>
          <w:color w:val="000000"/>
          <w:sz w:val="24"/>
        </w:rPr>
        <w:t xml:space="preserve">Whereas </w:t>
      </w:r>
      <w:r>
        <w:rPr>
          <w:rFonts w:ascii="Arial"/>
          <w:color w:val="000000"/>
          <w:sz w:val="24"/>
        </w:rPr>
        <w:t xml:space="preserve">Ms Bartlett says that development the subject of the Stage 1 DA is proposing </w:t>
      </w:r>
      <w:r>
        <w:rPr>
          <w:rFonts w:ascii="Arial"/>
          <w:color w:val="000000"/>
          <w:sz w:val="24"/>
        </w:rPr>
        <w:t>“</w:t>
      </w:r>
      <w:r>
        <w:rPr>
          <w:rFonts w:ascii="Arial"/>
          <w:color w:val="000000"/>
          <w:sz w:val="24"/>
        </w:rPr>
        <w:t>development</w:t>
      </w:r>
      <w:r>
        <w:rPr>
          <w:rFonts w:ascii="Arial"/>
          <w:color w:val="000000"/>
          <w:sz w:val="24"/>
        </w:rPr>
        <w:t>”</w:t>
      </w:r>
      <w:r>
        <w:rPr>
          <w:rFonts w:ascii="Arial"/>
          <w:color w:val="000000"/>
          <w:sz w:val="24"/>
        </w:rPr>
        <w:t xml:space="preserve"> </w:t>
      </w:r>
      <w:r>
        <w:rPr>
          <w:rFonts w:ascii="Arial"/>
          <w:color w:val="000000"/>
          <w:sz w:val="24"/>
        </w:rPr>
        <w:t xml:space="preserve">(as defined in the EPA Act) in the existing basement: </w:t>
      </w:r>
      <w:r>
        <w:rPr>
          <w:rFonts w:ascii="Arial"/>
          <w:color w:val="000000"/>
          <w:sz w:val="24"/>
        </w:rPr>
        <w:t>Ex 10</w:t>
      </w:r>
      <w:r>
        <w:rPr>
          <w:rFonts w:ascii="Arial"/>
          <w:color w:val="000000"/>
          <w:sz w:val="24"/>
        </w:rPr>
        <w:t xml:space="preserve"> </w:t>
      </w:r>
      <w:r>
        <w:rPr>
          <w:rFonts w:ascii="Arial"/>
          <w:color w:val="000000"/>
          <w:sz w:val="24"/>
        </w:rPr>
        <w:t xml:space="preserve">at </w:t>
      </w:r>
      <w:r>
        <w:rPr>
          <w:rFonts w:ascii="Arial"/>
          <w:color w:val="000000"/>
          <w:sz w:val="24"/>
        </w:rPr>
        <w:t xml:space="preserve">par </w:t>
      </w:r>
      <w:r>
        <w:rPr>
          <w:rFonts w:ascii="Arial"/>
          <w:color w:val="000000"/>
          <w:sz w:val="24"/>
        </w:rPr>
        <w:t xml:space="preserve">7. She also refers to the definition of </w:t>
      </w:r>
      <w:r>
        <w:rPr>
          <w:rFonts w:ascii="Arial"/>
          <w:color w:val="000000"/>
          <w:sz w:val="24"/>
        </w:rPr>
        <w:t>“</w:t>
      </w:r>
      <w:r>
        <w:rPr>
          <w:rFonts w:ascii="Arial"/>
          <w:color w:val="000000"/>
          <w:sz w:val="24"/>
        </w:rPr>
        <w:t>basement</w:t>
      </w:r>
      <w:r>
        <w:rPr>
          <w:rFonts w:ascii="Arial"/>
          <w:color w:val="000000"/>
          <w:sz w:val="24"/>
        </w:rPr>
        <w:t>”</w:t>
      </w:r>
      <w:r>
        <w:rPr>
          <w:rFonts w:ascii="Arial"/>
          <w:color w:val="000000"/>
          <w:sz w:val="24"/>
        </w:rPr>
        <w:t xml:space="preserve"> </w:t>
      </w:r>
      <w:r>
        <w:rPr>
          <w:rFonts w:ascii="Arial"/>
          <w:color w:val="000000"/>
          <w:sz w:val="24"/>
        </w:rPr>
        <w:t xml:space="preserve">in LEP 2015 which provides that it is </w:t>
      </w:r>
      <w:r>
        <w:rPr>
          <w:rFonts w:ascii="Arial"/>
          <w:color w:val="000000"/>
          <w:sz w:val="24"/>
        </w:rPr>
        <w:t>“</w:t>
      </w:r>
      <w:r>
        <w:rPr>
          <w:rFonts w:ascii="Arial"/>
          <w:color w:val="000000"/>
          <w:sz w:val="24"/>
        </w:rPr>
        <w:t>the space of a building</w:t>
      </w:r>
      <w:r>
        <w:rPr>
          <w:rFonts w:ascii="Arial"/>
          <w:color w:val="000000"/>
          <w:sz w:val="24"/>
        </w:rPr>
        <w:t>”</w:t>
      </w:r>
      <w:r>
        <w:rPr>
          <w:rFonts w:ascii="Arial"/>
          <w:color w:val="000000"/>
          <w:sz w:val="24"/>
        </w:rPr>
        <w:t xml:space="preserve">: </w:t>
      </w:r>
      <w:r>
        <w:rPr>
          <w:rFonts w:ascii="Arial"/>
          <w:color w:val="000000"/>
          <w:sz w:val="24"/>
        </w:rPr>
        <w:t>Ex 10</w:t>
      </w:r>
      <w:r>
        <w:rPr>
          <w:rFonts w:ascii="Arial"/>
          <w:color w:val="000000"/>
          <w:sz w:val="24"/>
        </w:rPr>
        <w:t xml:space="preserve"> </w:t>
      </w:r>
      <w:r>
        <w:rPr>
          <w:rFonts w:ascii="Arial"/>
          <w:color w:val="000000"/>
          <w:sz w:val="24"/>
        </w:rPr>
        <w:t xml:space="preserve">par </w:t>
      </w:r>
      <w:r>
        <w:rPr>
          <w:rFonts w:ascii="Arial"/>
          <w:color w:val="000000"/>
          <w:sz w:val="24"/>
        </w:rPr>
        <w:t>8. It follows that no distinction can reasonably be drawn from the existing building and the proposed new building.</w:t>
      </w:r>
    </w:p>
    <w:p>
      <w:pPr>
        <w:pStyle w:val="CaselawNumbered10"/>
        <w:numPr>
          <w:ilvl w:val="0"/>
          <w:numId w:val="102"/>
        </w:numPr>
        <w:spacing w:before="150" w:after="0"/>
        <w:ind w:left="600" w:hanging="600"/>
      </w:pPr>
      <w:r>
        <w:rPr>
          <w:rFonts w:ascii="Arial"/>
          <w:color w:val="000000"/>
          <w:sz w:val="24"/>
        </w:rPr>
        <w:t xml:space="preserve">For those reasons, the Council </w:t>
      </w:r>
      <w:r>
        <w:rPr>
          <w:rFonts w:ascii="Arial"/>
          <w:color w:val="000000"/>
          <w:sz w:val="24"/>
        </w:rPr>
        <w:t xml:space="preserve">submits </w:t>
      </w:r>
      <w:r>
        <w:rPr>
          <w:rFonts w:ascii="Arial"/>
          <w:color w:val="000000"/>
          <w:sz w:val="24"/>
        </w:rPr>
        <w:t xml:space="preserve">that non-compliance with cl 6.14(4)(c) is fatal to the Stage 1 DA in the absence of a satisfactory cl 4.6 written request (if, contrary to Contention 2, the Court finds that the requirement is a development standard). </w:t>
      </w:r>
    </w:p>
    <w:p>
      <w:pPr>
        <w:pStyle w:val="CaselawHeading4"/>
        <w:keepNext/>
        <w:spacing w:before="150" w:after="150" w:line="264"/>
        <w:ind w:left="600"/>
        <w:jc w:val="left"/>
      </w:pPr>
      <w:r>
        <w:rPr>
          <w:rFonts w:ascii="Arial"/>
        </w:rPr>
        <w:t>Henroth</w:t>
      </w:r>
      <w:r>
        <w:rPr>
          <w:rFonts w:ascii="Arial"/>
        </w:rPr>
        <w:t>’</w:t>
      </w:r>
      <w:r>
        <w:rPr>
          <w:rFonts w:ascii="Arial"/>
        </w:rPr>
        <w:t>s</w:t>
      </w:r>
      <w:r>
        <w:rPr>
          <w:rFonts w:ascii="Arial"/>
        </w:rPr>
        <w:t xml:space="preserve"> </w:t>
      </w:r>
      <w:r>
        <w:rPr>
          <w:rFonts w:ascii="Arial"/>
        </w:rPr>
        <w:t>position</w:t>
      </w:r>
    </w:p>
    <w:p>
      <w:pPr>
        <w:pStyle w:val="CaselawNumbered10"/>
        <w:numPr>
          <w:ilvl w:val="0"/>
          <w:numId w:val="103"/>
        </w:numPr>
        <w:spacing w:before="150" w:after="0"/>
        <w:ind w:left="600" w:hanging="600"/>
      </w:pPr>
      <w:r>
        <w:rPr>
          <w:rFonts w:ascii="Arial"/>
          <w:color w:val="000000"/>
          <w:sz w:val="24"/>
        </w:rPr>
        <w:t>Henroth</w:t>
      </w:r>
      <w:r>
        <w:rPr>
          <w:rFonts w:ascii="Arial"/>
          <w:color w:val="000000"/>
          <w:sz w:val="24"/>
        </w:rPr>
        <w:t xml:space="preserve"> </w:t>
      </w:r>
      <w:r>
        <w:rPr>
          <w:rFonts w:ascii="Arial"/>
          <w:color w:val="000000"/>
          <w:sz w:val="24"/>
        </w:rPr>
        <w:t>concedes that the basement is closer than 10m</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However, its first proposition is </w:t>
      </w:r>
      <w:r>
        <w:rPr>
          <w:rFonts w:ascii="Arial"/>
          <w:color w:val="000000"/>
          <w:sz w:val="24"/>
        </w:rPr>
        <w:t>that the</w:t>
      </w:r>
      <w:r>
        <w:rPr>
          <w:rFonts w:ascii="Arial"/>
          <w:color w:val="000000"/>
          <w:sz w:val="24"/>
        </w:rPr>
        <w:t xml:space="preserve"> </w:t>
      </w:r>
      <w:r>
        <w:rPr>
          <w:rFonts w:ascii="Arial"/>
          <w:color w:val="000000"/>
          <w:sz w:val="24"/>
        </w:rPr>
        <w:t>chapeau to cl</w:t>
      </w:r>
      <w:r>
        <w:rPr>
          <w:rFonts w:ascii="Arial"/>
          <w:color w:val="000000"/>
          <w:sz w:val="24"/>
        </w:rPr>
        <w:t xml:space="preserve"> </w:t>
      </w:r>
      <w:r>
        <w:rPr>
          <w:rFonts w:ascii="Arial"/>
          <w:color w:val="000000"/>
          <w:sz w:val="24"/>
        </w:rPr>
        <w:t xml:space="preserve">6.14 is concerned with a consent that results in a building. Where the consent does not result in a building - because the building is already </w:t>
      </w:r>
      <w:r>
        <w:rPr>
          <w:rFonts w:ascii="Arial"/>
          <w:color w:val="000000"/>
          <w:sz w:val="24"/>
        </w:rPr>
        <w:t>there, then</w:t>
      </w:r>
      <w:r>
        <w:rPr>
          <w:rFonts w:ascii="Arial"/>
          <w:color w:val="000000"/>
          <w:sz w:val="24"/>
        </w:rPr>
        <w:t xml:space="preserve"> </w:t>
      </w:r>
      <w:r>
        <w:rPr>
          <w:rFonts w:ascii="Arial"/>
          <w:color w:val="000000"/>
          <w:sz w:val="24"/>
        </w:rPr>
        <w:t xml:space="preserve">cl 6.14(4)(c) has no application. </w:t>
      </w:r>
    </w:p>
    <w:p>
      <w:pPr>
        <w:pStyle w:val="CaselawNumbered10"/>
        <w:numPr>
          <w:ilvl w:val="0"/>
          <w:numId w:val="103"/>
        </w:numPr>
        <w:spacing w:before="150" w:after="0"/>
        <w:ind w:left="600" w:hanging="600"/>
      </w:pPr>
      <w:r>
        <w:rPr>
          <w:rFonts w:ascii="Arial"/>
          <w:color w:val="000000"/>
          <w:sz w:val="24"/>
        </w:rPr>
        <w:t>Henroth</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second proposition is that the </w:t>
      </w:r>
      <w:r>
        <w:rPr>
          <w:rFonts w:ascii="Arial"/>
          <w:color w:val="000000"/>
          <w:sz w:val="24"/>
        </w:rPr>
        <w:t>“</w:t>
      </w:r>
      <w:r>
        <w:rPr>
          <w:rFonts w:ascii="Arial"/>
          <w:color w:val="000000"/>
          <w:sz w:val="24"/>
        </w:rPr>
        <w:t>development</w:t>
      </w:r>
      <w:r>
        <w:rPr>
          <w:rFonts w:ascii="Arial"/>
          <w:color w:val="000000"/>
          <w:sz w:val="24"/>
        </w:rPr>
        <w:t>”</w:t>
      </w:r>
      <w:r>
        <w:rPr>
          <w:rFonts w:ascii="Arial"/>
          <w:color w:val="000000"/>
          <w:sz w:val="24"/>
        </w:rPr>
        <w:t xml:space="preserve"> </w:t>
      </w:r>
      <w:r>
        <w:rPr>
          <w:rFonts w:ascii="Arial"/>
          <w:color w:val="000000"/>
          <w:sz w:val="24"/>
        </w:rPr>
        <w:t>referenced in subcl</w:t>
      </w:r>
      <w:r>
        <w:rPr>
          <w:rFonts w:ascii="Arial"/>
          <w:color w:val="000000"/>
          <w:sz w:val="24"/>
        </w:rPr>
        <w:t> </w:t>
      </w:r>
      <w:r>
        <w:rPr>
          <w:rFonts w:ascii="Arial"/>
          <w:color w:val="000000"/>
          <w:sz w:val="24"/>
        </w:rPr>
        <w:t xml:space="preserve">(c) must be the development as referenced in the </w:t>
      </w:r>
      <w:r>
        <w:rPr>
          <w:rFonts w:ascii="Arial"/>
          <w:color w:val="000000"/>
          <w:sz w:val="24"/>
        </w:rPr>
        <w:t>c</w:t>
      </w:r>
      <w:r>
        <w:rPr>
          <w:rFonts w:ascii="Arial"/>
          <w:color w:val="000000"/>
          <w:sz w:val="24"/>
        </w:rPr>
        <w:t>hapeau to cl</w:t>
      </w:r>
      <w:r>
        <w:rPr>
          <w:rFonts w:ascii="Arial"/>
          <w:color w:val="000000"/>
          <w:sz w:val="24"/>
        </w:rPr>
        <w:t> </w:t>
      </w:r>
      <w:r>
        <w:rPr>
          <w:rFonts w:ascii="Arial"/>
          <w:color w:val="000000"/>
          <w:sz w:val="24"/>
        </w:rPr>
        <w:t>6.14</w:t>
      </w:r>
      <w:r>
        <w:rPr>
          <w:rFonts w:ascii="Arial"/>
          <w:color w:val="000000"/>
          <w:sz w:val="24"/>
        </w:rPr>
        <w:t>(4)</w:t>
      </w:r>
      <w:r>
        <w:rPr>
          <w:rFonts w:ascii="Arial"/>
          <w:color w:val="000000"/>
          <w:sz w:val="24"/>
        </w:rPr>
        <w:t xml:space="preserve">. </w:t>
      </w:r>
    </w:p>
    <w:p>
      <w:pPr>
        <w:pStyle w:val="CaselawNumbered10"/>
        <w:numPr>
          <w:ilvl w:val="0"/>
          <w:numId w:val="103"/>
        </w:numPr>
        <w:spacing w:before="150" w:after="0"/>
        <w:ind w:left="600" w:hanging="600"/>
      </w:pPr>
      <w:r>
        <w:rPr>
          <w:rFonts w:ascii="Arial"/>
          <w:color w:val="000000"/>
          <w:sz w:val="24"/>
        </w:rPr>
        <w:t xml:space="preserve">The </w:t>
      </w:r>
      <w:r>
        <w:rPr>
          <w:rFonts w:ascii="Arial"/>
          <w:color w:val="000000"/>
          <w:sz w:val="24"/>
        </w:rPr>
        <w:t>c</w:t>
      </w:r>
      <w:r>
        <w:rPr>
          <w:rFonts w:ascii="Arial"/>
          <w:color w:val="000000"/>
          <w:sz w:val="24"/>
        </w:rPr>
        <w:t>hapeau is referencing the height of the building. Therefore, if you have a subterranean part of the building then that part of the building is not relevant for the purposes of subcl (c).</w:t>
      </w:r>
    </w:p>
    <w:p>
      <w:pPr>
        <w:pStyle w:val="CaselawNumbered10"/>
        <w:numPr>
          <w:ilvl w:val="0"/>
          <w:numId w:val="103"/>
        </w:numPr>
        <w:spacing w:before="150" w:after="0"/>
        <w:ind w:left="600" w:hanging="600"/>
      </w:pPr>
      <w:r>
        <w:rPr>
          <w:rFonts w:ascii="Arial"/>
          <w:color w:val="000000"/>
          <w:sz w:val="24"/>
        </w:rPr>
        <w:t>Henroth</w:t>
      </w:r>
      <w:r>
        <w:rPr>
          <w:rFonts w:ascii="Arial"/>
          <w:color w:val="000000"/>
          <w:sz w:val="24"/>
        </w:rPr>
        <w:t xml:space="preserve"> </w:t>
      </w:r>
      <w:r>
        <w:rPr>
          <w:rFonts w:ascii="Arial"/>
          <w:color w:val="000000"/>
          <w:sz w:val="24"/>
        </w:rPr>
        <w:t xml:space="preserve">acknowledges that the </w:t>
      </w:r>
      <w:r>
        <w:rPr>
          <w:rFonts w:ascii="Arial"/>
          <w:color w:val="000000"/>
          <w:sz w:val="24"/>
        </w:rPr>
        <w:t xml:space="preserve">definition of </w:t>
      </w:r>
      <w:r>
        <w:rPr>
          <w:rFonts w:ascii="Arial"/>
          <w:color w:val="000000"/>
          <w:sz w:val="24"/>
        </w:rPr>
        <w:t>“</w:t>
      </w:r>
      <w:r>
        <w:rPr>
          <w:rFonts w:ascii="Arial"/>
          <w:color w:val="000000"/>
          <w:sz w:val="24"/>
        </w:rPr>
        <w:t>building</w:t>
      </w:r>
      <w:r>
        <w:rPr>
          <w:rFonts w:ascii="Arial"/>
          <w:color w:val="000000"/>
          <w:sz w:val="24"/>
        </w:rPr>
        <w:t xml:space="preserve">” </w:t>
      </w:r>
      <w:r>
        <w:rPr>
          <w:rFonts w:ascii="Arial"/>
          <w:color w:val="000000"/>
          <w:sz w:val="24"/>
        </w:rPr>
        <w:t xml:space="preserve">in s 1.4 of the EPA Act </w:t>
      </w:r>
      <w:r>
        <w:rPr>
          <w:rFonts w:ascii="Arial"/>
          <w:color w:val="000000"/>
          <w:sz w:val="24"/>
        </w:rPr>
        <w:t xml:space="preserve">refers to part of a building. However, </w:t>
      </w:r>
      <w:r>
        <w:rPr>
          <w:rFonts w:ascii="Arial"/>
          <w:color w:val="000000"/>
          <w:sz w:val="24"/>
        </w:rPr>
        <w:t>it</w:t>
      </w:r>
      <w:r>
        <w:rPr>
          <w:rFonts w:ascii="Arial"/>
          <w:color w:val="000000"/>
          <w:sz w:val="24"/>
        </w:rPr>
        <w:t xml:space="preserve"> </w:t>
      </w:r>
      <w:r>
        <w:rPr>
          <w:rFonts w:ascii="Arial"/>
          <w:color w:val="000000"/>
          <w:sz w:val="24"/>
        </w:rPr>
        <w:t xml:space="preserve">contends that </w:t>
      </w:r>
      <w:r>
        <w:rPr>
          <w:rFonts w:ascii="Arial"/>
          <w:color w:val="000000"/>
          <w:sz w:val="24"/>
        </w:rPr>
        <w:t xml:space="preserve">s 1.4(1) invites a consideration of the context of the use of the word and provides </w:t>
      </w:r>
      <w:r>
        <w:rPr>
          <w:rFonts w:ascii="Arial"/>
          <w:color w:val="000000"/>
          <w:sz w:val="24"/>
        </w:rPr>
        <w:t>“</w:t>
      </w:r>
      <w:r>
        <w:rPr>
          <w:rFonts w:ascii="Arial"/>
          <w:i/>
          <w:color w:val="000000"/>
          <w:sz w:val="24"/>
        </w:rPr>
        <w:t>In this Act, accepting in so far as the context or the subject matter otherwise indicates or requires</w:t>
      </w:r>
      <w:r>
        <w:rPr>
          <w:rFonts w:ascii="Arial"/>
          <w:color w:val="000000"/>
          <w:sz w:val="24"/>
        </w:rPr>
        <w:t>”</w:t>
      </w:r>
      <w:r>
        <w:rPr>
          <w:rFonts w:ascii="Arial"/>
          <w:color w:val="000000"/>
          <w:sz w:val="24"/>
        </w:rPr>
        <w:t xml:space="preserve">. </w:t>
      </w:r>
      <w:r>
        <w:rPr>
          <w:rFonts w:ascii="Arial"/>
          <w:color w:val="000000"/>
          <w:sz w:val="24"/>
        </w:rPr>
        <w:t>Therefore,</w:t>
      </w:r>
      <w:r>
        <w:rPr>
          <w:rFonts w:ascii="Arial"/>
          <w:color w:val="000000"/>
          <w:sz w:val="24"/>
        </w:rPr>
        <w:t xml:space="preserve"> </w:t>
      </w:r>
      <w:r>
        <w:rPr>
          <w:rFonts w:ascii="Arial"/>
          <w:color w:val="000000"/>
          <w:sz w:val="24"/>
        </w:rPr>
        <w:t xml:space="preserve">the proper construction of </w:t>
      </w:r>
      <w:r>
        <w:rPr>
          <w:rFonts w:ascii="Arial"/>
          <w:color w:val="000000"/>
          <w:sz w:val="24"/>
        </w:rPr>
        <w:t xml:space="preserve">cl </w:t>
      </w:r>
      <w:r>
        <w:rPr>
          <w:rFonts w:ascii="Arial"/>
          <w:color w:val="000000"/>
          <w:sz w:val="24"/>
        </w:rPr>
        <w:t xml:space="preserve">6.14(4) when talking about height is in a context where you are not concerned with something like a basement that is </w:t>
      </w:r>
      <w:r>
        <w:rPr>
          <w:rFonts w:ascii="Arial"/>
          <w:color w:val="000000"/>
          <w:sz w:val="24"/>
        </w:rPr>
        <w:t>effectively</w:t>
      </w:r>
      <w:r>
        <w:rPr>
          <w:rFonts w:ascii="Arial"/>
          <w:color w:val="000000"/>
          <w:sz w:val="24"/>
        </w:rPr>
        <w:t xml:space="preserve"> </w:t>
      </w:r>
      <w:r>
        <w:rPr>
          <w:rFonts w:ascii="Arial"/>
          <w:color w:val="000000"/>
          <w:sz w:val="24"/>
        </w:rPr>
        <w:t>underground.</w:t>
      </w:r>
      <w:r>
        <w:rPr>
          <w:rFonts w:ascii="Arial"/>
          <w:color w:val="000000"/>
          <w:sz w:val="24"/>
        </w:rPr>
        <w:t xml:space="preserve"> </w:t>
      </w:r>
    </w:p>
    <w:p>
      <w:pPr>
        <w:pStyle w:val="CaselawNumbered10"/>
        <w:numPr>
          <w:ilvl w:val="0"/>
          <w:numId w:val="103"/>
        </w:numPr>
        <w:spacing w:before="150" w:after="0"/>
        <w:ind w:left="600" w:hanging="600"/>
      </w:pPr>
      <w:r>
        <w:rPr>
          <w:rFonts w:ascii="Arial"/>
          <w:color w:val="000000"/>
          <w:sz w:val="24"/>
        </w:rPr>
        <w:t>Henroth</w:t>
      </w:r>
      <w:r>
        <w:rPr>
          <w:rFonts w:ascii="Arial"/>
          <w:color w:val="000000"/>
          <w:sz w:val="24"/>
        </w:rPr>
        <w:t xml:space="preserve"> </w:t>
      </w:r>
      <w:r>
        <w:rPr>
          <w:rFonts w:ascii="Arial"/>
          <w:color w:val="000000"/>
          <w:sz w:val="24"/>
        </w:rPr>
        <w:t xml:space="preserve">submits that if </w:t>
      </w:r>
      <w:r>
        <w:rPr>
          <w:rFonts w:ascii="Arial"/>
          <w:color w:val="000000"/>
          <w:sz w:val="24"/>
        </w:rPr>
        <w:t>the Court does not accept the above argument</w:t>
      </w:r>
      <w:r>
        <w:rPr>
          <w:rFonts w:ascii="Arial"/>
          <w:color w:val="000000"/>
          <w:sz w:val="24"/>
        </w:rPr>
        <w:t>s</w:t>
      </w:r>
      <w:r>
        <w:rPr>
          <w:rFonts w:ascii="Arial"/>
          <w:color w:val="000000"/>
          <w:sz w:val="24"/>
        </w:rPr>
        <w:t xml:space="preserve"> </w:t>
      </w:r>
      <w:r>
        <w:rPr>
          <w:rFonts w:ascii="Arial"/>
          <w:color w:val="000000"/>
          <w:sz w:val="24"/>
        </w:rPr>
        <w:t xml:space="preserve">it </w:t>
      </w:r>
      <w:r>
        <w:rPr>
          <w:rFonts w:ascii="Arial"/>
          <w:color w:val="000000"/>
          <w:sz w:val="24"/>
        </w:rPr>
        <w:t xml:space="preserve">relies on </w:t>
      </w:r>
      <w:r>
        <w:rPr>
          <w:rFonts w:ascii="Arial"/>
          <w:color w:val="000000"/>
          <w:sz w:val="24"/>
        </w:rPr>
        <w:t xml:space="preserve">the </w:t>
      </w:r>
      <w:r>
        <w:rPr>
          <w:rFonts w:ascii="Arial"/>
          <w:color w:val="000000"/>
          <w:sz w:val="24"/>
        </w:rPr>
        <w:t>R</w:t>
      </w:r>
      <w:r>
        <w:rPr>
          <w:rFonts w:ascii="Arial"/>
          <w:color w:val="000000"/>
          <w:sz w:val="24"/>
        </w:rPr>
        <w:t xml:space="preserve">equest </w:t>
      </w:r>
      <w:r>
        <w:rPr>
          <w:rFonts w:ascii="Arial"/>
          <w:color w:val="000000"/>
          <w:sz w:val="24"/>
        </w:rPr>
        <w:t>(</w:t>
      </w:r>
      <w:r>
        <w:rPr>
          <w:rFonts w:ascii="Arial"/>
          <w:color w:val="000000"/>
          <w:sz w:val="24"/>
        </w:rPr>
        <w:t>Ex B</w:t>
      </w:r>
      <w:r>
        <w:rPr>
          <w:rFonts w:ascii="Arial"/>
          <w:color w:val="000000"/>
          <w:sz w:val="24"/>
        </w:rPr>
        <w:t>)</w:t>
      </w:r>
      <w:r>
        <w:rPr>
          <w:rFonts w:ascii="Arial"/>
          <w:color w:val="000000"/>
          <w:sz w:val="24"/>
        </w:rPr>
        <w:t xml:space="preserve"> </w:t>
      </w:r>
      <w:r>
        <w:rPr>
          <w:rFonts w:ascii="Arial"/>
          <w:color w:val="000000"/>
          <w:sz w:val="24"/>
        </w:rPr>
        <w:t>to vary the development standard in cl 6.14(4)(c)</w:t>
      </w:r>
      <w:r>
        <w:rPr>
          <w:rFonts w:ascii="Arial"/>
          <w:color w:val="000000"/>
          <w:sz w:val="24"/>
        </w:rPr>
        <w:t xml:space="preserve"> </w:t>
      </w:r>
      <w:r>
        <w:rPr>
          <w:rFonts w:ascii="Arial"/>
          <w:color w:val="000000"/>
          <w:sz w:val="24"/>
        </w:rPr>
        <w:t>in this case</w:t>
      </w:r>
      <w:r>
        <w:rPr>
          <w:rFonts w:ascii="Arial"/>
          <w:color w:val="000000"/>
          <w:sz w:val="24"/>
        </w:rPr>
        <w:t xml:space="preserve">. </w:t>
      </w:r>
    </w:p>
    <w:p>
      <w:pPr>
        <w:pStyle w:val="CaselawHeading4"/>
        <w:keepNext/>
        <w:spacing w:before="150" w:after="150" w:line="264"/>
        <w:ind w:left="600"/>
        <w:jc w:val="left"/>
      </w:pPr>
      <w:r>
        <w:rPr>
          <w:rFonts w:ascii="Arial"/>
        </w:rPr>
        <w:t xml:space="preserve">Clause </w:t>
      </w:r>
      <w:r>
        <w:rPr>
          <w:rFonts w:ascii="Arial"/>
        </w:rPr>
        <w:t>6.14(4)(c)</w:t>
      </w:r>
      <w:r>
        <w:rPr>
          <w:rFonts w:ascii="Arial"/>
        </w:rPr>
        <w:t xml:space="preserve"> </w:t>
      </w:r>
      <w:r>
        <w:rPr>
          <w:rFonts w:ascii="Arial"/>
        </w:rPr>
        <w:t xml:space="preserve">- </w:t>
      </w:r>
      <w:r>
        <w:rPr>
          <w:rFonts w:ascii="Arial"/>
        </w:rPr>
        <w:t>F</w:t>
      </w:r>
      <w:r>
        <w:rPr>
          <w:rFonts w:ascii="Arial"/>
        </w:rPr>
        <w:t>inding</w:t>
      </w:r>
      <w:r>
        <w:rPr>
          <w:rFonts w:ascii="Arial"/>
        </w:rPr>
        <w:t xml:space="preserve"> </w:t>
      </w:r>
    </w:p>
    <w:p>
      <w:pPr>
        <w:pStyle w:val="CaselawNumbered10"/>
        <w:numPr>
          <w:ilvl w:val="0"/>
          <w:numId w:val="104"/>
        </w:numPr>
        <w:spacing w:before="150" w:after="0"/>
        <w:ind w:left="600" w:hanging="600"/>
      </w:pPr>
      <w:r>
        <w:rPr>
          <w:rFonts w:ascii="Arial"/>
          <w:color w:val="000000"/>
          <w:sz w:val="24"/>
        </w:rPr>
        <w:t>Henroth</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evidence is that all </w:t>
      </w:r>
      <w:r>
        <w:rPr>
          <w:rFonts w:ascii="Arial"/>
          <w:b/>
          <w:color w:val="000000"/>
          <w:sz w:val="24"/>
        </w:rPr>
        <w:t>new buildings</w:t>
      </w:r>
      <w:r>
        <w:rPr>
          <w:rFonts w:ascii="Arial"/>
          <w:color w:val="000000"/>
          <w:sz w:val="24"/>
        </w:rPr>
        <w:t xml:space="preserve"> </w:t>
      </w:r>
      <w:r>
        <w:rPr>
          <w:rFonts w:ascii="Arial"/>
          <w:color w:val="000000"/>
          <w:sz w:val="24"/>
        </w:rPr>
        <w:t>are at least 10m from the southern boundar</w:t>
      </w:r>
      <w:r>
        <w:rPr>
          <w:rFonts w:ascii="Arial"/>
          <w:color w:val="000000"/>
          <w:sz w:val="24"/>
        </w:rPr>
        <w:t xml:space="preserve">y (Ex A DA 110-003; </w:t>
      </w:r>
      <w:r>
        <w:rPr>
          <w:rFonts w:ascii="Arial"/>
          <w:color w:val="000000"/>
          <w:sz w:val="24"/>
        </w:rPr>
        <w:t>A</w:t>
      </w:r>
      <w:r>
        <w:rPr>
          <w:rFonts w:ascii="Arial"/>
          <w:color w:val="000000"/>
          <w:sz w:val="24"/>
        </w:rPr>
        <w:t xml:space="preserve">ddendum </w:t>
      </w:r>
      <w:r>
        <w:rPr>
          <w:rFonts w:ascii="Arial"/>
          <w:color w:val="000000"/>
          <w:sz w:val="24"/>
        </w:rPr>
        <w:t xml:space="preserve">SEE Table 1). </w:t>
      </w:r>
      <w:r>
        <w:rPr>
          <w:rFonts w:ascii="Arial"/>
          <w:color w:val="000000"/>
          <w:sz w:val="24"/>
        </w:rPr>
        <w:t xml:space="preserve">The </w:t>
      </w:r>
      <w:r>
        <w:rPr>
          <w:rFonts w:ascii="Arial"/>
          <w:color w:val="000000"/>
          <w:sz w:val="24"/>
        </w:rPr>
        <w:t>encroachment only relates to the existing basement</w:t>
      </w:r>
      <w:r>
        <w:rPr>
          <w:rFonts w:ascii="Arial"/>
          <w:color w:val="000000"/>
          <w:sz w:val="24"/>
        </w:rPr>
        <w:t>,</w:t>
      </w:r>
      <w:r>
        <w:rPr>
          <w:rFonts w:ascii="Arial"/>
          <w:color w:val="000000"/>
          <w:sz w:val="24"/>
        </w:rPr>
        <w:t xml:space="preserve"> </w:t>
      </w:r>
      <w:r>
        <w:rPr>
          <w:rFonts w:ascii="Arial"/>
          <w:color w:val="000000"/>
          <w:sz w:val="24"/>
        </w:rPr>
        <w:t xml:space="preserve">not the new </w:t>
      </w:r>
      <w:r>
        <w:rPr>
          <w:rFonts w:ascii="Arial"/>
          <w:color w:val="000000"/>
          <w:sz w:val="24"/>
        </w:rPr>
        <w:t>basement</w:t>
      </w:r>
      <w:r>
        <w:rPr>
          <w:rFonts w:ascii="Arial"/>
          <w:color w:val="000000"/>
          <w:sz w:val="24"/>
        </w:rPr>
        <w:t xml:space="preserve">. </w:t>
      </w:r>
    </w:p>
    <w:p>
      <w:pPr>
        <w:pStyle w:val="CaselawNumbered10"/>
        <w:numPr>
          <w:ilvl w:val="0"/>
          <w:numId w:val="104"/>
        </w:numPr>
        <w:spacing w:before="150" w:after="0"/>
        <w:ind w:left="600" w:hanging="600"/>
      </w:pPr>
      <w:r>
        <w:rPr>
          <w:rFonts w:ascii="Arial"/>
          <w:color w:val="000000"/>
          <w:sz w:val="24"/>
        </w:rPr>
        <w:t xml:space="preserve">I accept that the definition of </w:t>
      </w:r>
      <w:r>
        <w:rPr>
          <w:rFonts w:ascii="Arial"/>
          <w:color w:val="000000"/>
          <w:sz w:val="24"/>
        </w:rPr>
        <w:t>“</w:t>
      </w:r>
      <w:r>
        <w:rPr>
          <w:rFonts w:ascii="Arial"/>
          <w:color w:val="000000"/>
          <w:sz w:val="24"/>
        </w:rPr>
        <w:t>building</w:t>
      </w:r>
      <w:r>
        <w:rPr>
          <w:rFonts w:ascii="Arial"/>
          <w:color w:val="000000"/>
          <w:sz w:val="24"/>
        </w:rPr>
        <w:t>”</w:t>
      </w:r>
      <w:r>
        <w:rPr>
          <w:rFonts w:ascii="Arial"/>
          <w:color w:val="000000"/>
          <w:sz w:val="24"/>
        </w:rPr>
        <w:t xml:space="preserve"> </w:t>
      </w:r>
      <w:r>
        <w:rPr>
          <w:rFonts w:ascii="Arial"/>
          <w:color w:val="000000"/>
          <w:sz w:val="24"/>
        </w:rPr>
        <w:t xml:space="preserve">includes part of a building. </w:t>
      </w:r>
      <w:r>
        <w:rPr>
          <w:rFonts w:ascii="Arial"/>
          <w:color w:val="000000"/>
          <w:sz w:val="24"/>
        </w:rPr>
        <w:t>However, the</w:t>
      </w:r>
      <w:r>
        <w:rPr>
          <w:rFonts w:ascii="Arial"/>
          <w:color w:val="000000"/>
          <w:sz w:val="24"/>
        </w:rPr>
        <w:t xml:space="preserve"> </w:t>
      </w:r>
      <w:r>
        <w:rPr>
          <w:rFonts w:ascii="Arial"/>
          <w:color w:val="000000"/>
          <w:sz w:val="24"/>
        </w:rPr>
        <w:t xml:space="preserve">existing </w:t>
      </w:r>
      <w:r>
        <w:rPr>
          <w:rFonts w:ascii="Arial"/>
          <w:color w:val="000000"/>
          <w:sz w:val="24"/>
        </w:rPr>
        <w:t xml:space="preserve">basement </w:t>
      </w:r>
      <w:r>
        <w:rPr>
          <w:rFonts w:ascii="Arial"/>
          <w:color w:val="000000"/>
          <w:sz w:val="24"/>
        </w:rPr>
        <w:t xml:space="preserve">is not </w:t>
      </w:r>
      <w:r>
        <w:rPr>
          <w:rFonts w:ascii="Arial"/>
          <w:color w:val="000000"/>
          <w:sz w:val="24"/>
        </w:rPr>
        <w:t>“</w:t>
      </w:r>
      <w:r>
        <w:rPr>
          <w:rFonts w:ascii="Arial"/>
          <w:color w:val="000000"/>
          <w:sz w:val="24"/>
        </w:rPr>
        <w:t>development that results in a building with a height greater than the maximum height shown on the land on the Height of Buildings Map</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cl </w:t>
      </w:r>
      <w:r>
        <w:rPr>
          <w:rFonts w:ascii="Arial"/>
          <w:color w:val="000000"/>
          <w:sz w:val="24"/>
        </w:rPr>
        <w:t>6.14(4)</w:t>
      </w:r>
      <w:r>
        <w:rPr>
          <w:rFonts w:ascii="Arial"/>
          <w:color w:val="000000"/>
          <w:sz w:val="24"/>
        </w:rPr>
        <w:t xml:space="preserve">. </w:t>
      </w:r>
    </w:p>
    <w:p>
      <w:pPr>
        <w:pStyle w:val="CaselawNumbered10"/>
        <w:numPr>
          <w:ilvl w:val="0"/>
          <w:numId w:val="104"/>
        </w:numPr>
        <w:spacing w:before="150" w:after="0"/>
        <w:ind w:left="600" w:hanging="600"/>
      </w:pPr>
      <w:r>
        <w:rPr>
          <w:rFonts w:ascii="Arial"/>
          <w:color w:val="000000"/>
          <w:sz w:val="24"/>
        </w:rPr>
        <w:t xml:space="preserve">The premise of the control is the height of the building: chapeau to subcl (4). </w:t>
      </w:r>
      <w:r>
        <w:rPr>
          <w:rFonts w:ascii="Arial"/>
          <w:color w:val="000000"/>
          <w:sz w:val="24"/>
        </w:rPr>
        <w:t>“</w:t>
      </w:r>
      <w:r>
        <w:rPr>
          <w:rFonts w:ascii="Arial"/>
          <w:color w:val="000000"/>
          <w:sz w:val="24"/>
        </w:rPr>
        <w:t>Height, as defined is the vertical distance from ground level to the highest point of the building.</w:t>
      </w:r>
      <w:r>
        <w:rPr>
          <w:rFonts w:ascii="Arial"/>
          <w:color w:val="000000"/>
          <w:sz w:val="24"/>
        </w:rPr>
        <w:t xml:space="preserve">” </w:t>
      </w:r>
      <w:r>
        <w:rPr>
          <w:rFonts w:ascii="Arial"/>
          <w:color w:val="000000"/>
          <w:sz w:val="24"/>
        </w:rPr>
        <w:t xml:space="preserve">A component of building located below ground has no impact on the </w:t>
      </w:r>
      <w:r>
        <w:rPr>
          <w:rFonts w:ascii="Arial"/>
          <w:color w:val="000000"/>
          <w:sz w:val="24"/>
        </w:rPr>
        <w:t>height.</w:t>
      </w:r>
      <w:r>
        <w:rPr>
          <w:rFonts w:ascii="Arial"/>
          <w:color w:val="000000"/>
          <w:sz w:val="24"/>
        </w:rPr>
        <w:t xml:space="preserve"> </w:t>
      </w:r>
    </w:p>
    <w:p>
      <w:pPr>
        <w:pStyle w:val="CaselawNumbered10"/>
        <w:numPr>
          <w:ilvl w:val="0"/>
          <w:numId w:val="104"/>
        </w:numPr>
        <w:spacing w:before="150" w:after="0"/>
        <w:ind w:left="600" w:hanging="600"/>
      </w:pPr>
      <w:r>
        <w:rPr>
          <w:rFonts w:ascii="Arial"/>
          <w:color w:val="000000"/>
          <w:sz w:val="24"/>
        </w:rPr>
        <w:t xml:space="preserve">Under the amended development scheme, no part of the proposed </w:t>
      </w:r>
      <w:r>
        <w:rPr>
          <w:rFonts w:ascii="Arial"/>
          <w:i/>
          <w:color w:val="000000"/>
          <w:sz w:val="24"/>
        </w:rPr>
        <w:t>new building</w:t>
      </w:r>
      <w:r>
        <w:rPr>
          <w:rFonts w:ascii="Arial"/>
          <w:color w:val="000000"/>
          <w:sz w:val="24"/>
        </w:rPr>
        <w:t xml:space="preserve"> </w:t>
      </w:r>
      <w:r>
        <w:rPr>
          <w:rFonts w:ascii="Arial"/>
          <w:color w:val="000000"/>
          <w:sz w:val="24"/>
        </w:rPr>
        <w:t xml:space="preserve">will encroach within the southern setback prescribed and </w:t>
      </w:r>
      <w:r>
        <w:rPr>
          <w:rFonts w:ascii="Arial"/>
          <w:color w:val="000000"/>
          <w:sz w:val="24"/>
        </w:rPr>
        <w:t xml:space="preserve">cl </w:t>
      </w:r>
      <w:r>
        <w:rPr>
          <w:rFonts w:ascii="Arial"/>
          <w:color w:val="000000"/>
          <w:sz w:val="24"/>
        </w:rPr>
        <w:t xml:space="preserve">6.14(4)(c). </w:t>
      </w:r>
    </w:p>
    <w:p>
      <w:pPr>
        <w:pStyle w:val="CaselawNumbered10"/>
        <w:numPr>
          <w:ilvl w:val="0"/>
          <w:numId w:val="104"/>
        </w:numPr>
        <w:spacing w:before="150" w:after="0"/>
        <w:ind w:left="600" w:hanging="600"/>
      </w:pPr>
      <w:r>
        <w:rPr>
          <w:rFonts w:ascii="Arial"/>
          <w:color w:val="000000"/>
          <w:sz w:val="24"/>
        </w:rPr>
        <w:t xml:space="preserve">As </w:t>
      </w:r>
      <w:r>
        <w:rPr>
          <w:rFonts w:ascii="Arial"/>
          <w:color w:val="000000"/>
          <w:sz w:val="24"/>
        </w:rPr>
        <w:t>Henroth</w:t>
      </w:r>
      <w:r>
        <w:rPr>
          <w:rFonts w:ascii="Arial"/>
          <w:color w:val="000000"/>
          <w:sz w:val="24"/>
        </w:rPr>
        <w:t xml:space="preserve"> </w:t>
      </w:r>
      <w:r>
        <w:rPr>
          <w:rFonts w:ascii="Arial"/>
          <w:color w:val="000000"/>
          <w:sz w:val="24"/>
        </w:rPr>
        <w:t>submits</w:t>
      </w:r>
      <w:r>
        <w:rPr>
          <w:rFonts w:ascii="Arial"/>
          <w:color w:val="000000"/>
          <w:sz w:val="24"/>
        </w:rPr>
        <w:t>,</w:t>
      </w:r>
      <w:r>
        <w:rPr>
          <w:rFonts w:ascii="Arial"/>
          <w:color w:val="000000"/>
          <w:sz w:val="24"/>
        </w:rPr>
        <w:t xml:space="preserve"> </w:t>
      </w:r>
      <w:r>
        <w:rPr>
          <w:rFonts w:ascii="Arial"/>
          <w:color w:val="000000"/>
          <w:sz w:val="24"/>
        </w:rPr>
        <w:t xml:space="preserve">the reasoning of the Court </w:t>
      </w:r>
      <w:r>
        <w:rPr>
          <w:rFonts w:ascii="Arial"/>
          <w:color w:val="000000"/>
          <w:sz w:val="24"/>
        </w:rPr>
        <w:t xml:space="preserve">in </w:t>
      </w:r>
      <w:r>
        <w:rPr>
          <w:rFonts w:ascii="Arial"/>
          <w:i/>
          <w:color w:val="000000"/>
          <w:sz w:val="24"/>
        </w:rPr>
        <w:t>Landcorp</w:t>
      </w:r>
      <w:r>
        <w:rPr>
          <w:rFonts w:ascii="Arial"/>
          <w:color w:val="000000"/>
          <w:sz w:val="24"/>
        </w:rPr>
        <w:t xml:space="preserve"> </w:t>
      </w:r>
      <w:r>
        <w:rPr>
          <w:rFonts w:ascii="Arial"/>
          <w:color w:val="000000"/>
          <w:sz w:val="24"/>
        </w:rPr>
        <w:t xml:space="preserve">at [50] </w:t>
      </w:r>
      <w:r>
        <w:rPr>
          <w:rFonts w:ascii="Arial"/>
          <w:color w:val="000000"/>
          <w:sz w:val="24"/>
        </w:rPr>
        <w:t>(</w:t>
      </w:r>
      <w:r>
        <w:rPr>
          <w:rFonts w:ascii="Arial"/>
          <w:color w:val="000000"/>
          <w:sz w:val="24"/>
        </w:rPr>
        <w:t>per Du</w:t>
      </w:r>
      <w:r>
        <w:rPr>
          <w:rFonts w:ascii="Arial"/>
          <w:color w:val="000000"/>
          <w:sz w:val="24"/>
        </w:rPr>
        <w:t>g</w:t>
      </w:r>
      <w:r>
        <w:rPr>
          <w:rFonts w:ascii="Arial"/>
          <w:color w:val="000000"/>
          <w:sz w:val="24"/>
        </w:rPr>
        <w:t>gan J</w:t>
      </w:r>
      <w:r>
        <w:rPr>
          <w:rFonts w:ascii="Arial"/>
          <w:color w:val="000000"/>
          <w:sz w:val="24"/>
        </w:rPr>
        <w:t>)</w:t>
      </w:r>
      <w:r>
        <w:rPr>
          <w:rFonts w:ascii="Arial"/>
          <w:color w:val="000000"/>
          <w:sz w:val="24"/>
        </w:rPr>
        <w:t xml:space="preserve"> </w:t>
      </w:r>
      <w:r>
        <w:rPr>
          <w:rFonts w:ascii="Arial"/>
          <w:color w:val="000000"/>
          <w:sz w:val="24"/>
        </w:rPr>
        <w:t>is relevant to the facts at hand. In that case</w:t>
      </w:r>
      <w:r>
        <w:rPr>
          <w:rFonts w:ascii="Arial"/>
          <w:color w:val="000000"/>
          <w:sz w:val="24"/>
        </w:rPr>
        <w:t>,</w:t>
      </w:r>
      <w:r>
        <w:rPr>
          <w:rFonts w:ascii="Arial"/>
          <w:color w:val="000000"/>
          <w:sz w:val="24"/>
        </w:rPr>
        <w:t xml:space="preserve"> </w:t>
      </w:r>
      <w:r>
        <w:rPr>
          <w:rFonts w:ascii="Arial"/>
          <w:color w:val="000000"/>
          <w:sz w:val="24"/>
        </w:rPr>
        <w:t>the Court found on the facts that</w:t>
      </w:r>
      <w:r>
        <w:rPr>
          <w:rFonts w:ascii="Arial"/>
          <w:color w:val="000000"/>
          <w:sz w:val="24"/>
        </w:rPr>
        <w:t>:</w:t>
      </w:r>
    </w:p>
    <w:p>
      <w:pPr>
        <w:pStyle w:val="CaselawQuote"/>
        <w:spacing w:before="150" w:after="150"/>
        <w:ind w:left="1350"/>
        <w:jc w:val="left"/>
      </w:pPr>
      <w:r>
        <w:rPr>
          <w:rFonts w:ascii="Arial"/>
          <w:color w:val="000000"/>
          <w:sz w:val="22"/>
        </w:rPr>
        <w:t xml:space="preserve">“… This context indicates that where the building exists and there is no change to the sunlight impacts of that building from other development on the subject site </w:t>
      </w:r>
      <w:r>
        <w:rPr>
          <w:rFonts w:ascii="Arial"/>
          <w:color w:val="000000"/>
          <w:sz w:val="22"/>
        </w:rPr>
        <w:t>…</w:t>
      </w:r>
      <w:r>
        <w:rPr>
          <w:rFonts w:ascii="Arial"/>
          <w:color w:val="000000"/>
          <w:sz w:val="22"/>
        </w:rPr>
        <w:t xml:space="preserve"> </w:t>
      </w:r>
      <w:r>
        <w:rPr>
          <w:rFonts w:ascii="Arial"/>
          <w:color w:val="000000"/>
          <w:sz w:val="22"/>
        </w:rPr>
        <w:t>the provisions of the clause are not relevantly applicable to that development”.</w:t>
      </w:r>
      <w:r>
        <w:rPr>
          <w:rFonts w:ascii="Arial"/>
          <w:color w:val="000000"/>
          <w:sz w:val="22"/>
        </w:rPr>
        <w:t xml:space="preserve"> </w:t>
      </w:r>
    </w:p>
    <w:p>
      <w:pPr>
        <w:pStyle w:val="CaselawNumbered10"/>
        <w:numPr>
          <w:ilvl w:val="0"/>
          <w:numId w:val="105"/>
        </w:numPr>
        <w:spacing w:before="150" w:after="0"/>
        <w:ind w:left="600" w:hanging="600"/>
      </w:pPr>
      <w:r>
        <w:rPr>
          <w:rFonts w:ascii="Arial"/>
          <w:color w:val="000000"/>
          <w:sz w:val="24"/>
        </w:rPr>
        <w:t>I</w:t>
      </w:r>
      <w:r>
        <w:rPr>
          <w:rFonts w:ascii="Arial"/>
          <w:color w:val="000000"/>
          <w:sz w:val="24"/>
        </w:rPr>
        <w:t xml:space="preserve">n the circumstances of the current </w:t>
      </w:r>
      <w:r>
        <w:rPr>
          <w:rFonts w:ascii="Arial"/>
          <w:color w:val="000000"/>
          <w:sz w:val="24"/>
        </w:rPr>
        <w:t>development,</w:t>
      </w:r>
      <w:r>
        <w:rPr>
          <w:rFonts w:ascii="Arial"/>
          <w:color w:val="000000"/>
          <w:sz w:val="24"/>
        </w:rPr>
        <w:t xml:space="preserve"> </w:t>
      </w:r>
      <w:r>
        <w:rPr>
          <w:rFonts w:ascii="Arial"/>
          <w:color w:val="000000"/>
          <w:sz w:val="24"/>
        </w:rPr>
        <w:t xml:space="preserve">I accept that </w:t>
      </w:r>
      <w:r>
        <w:rPr>
          <w:rFonts w:ascii="Arial"/>
          <w:color w:val="000000"/>
          <w:sz w:val="24"/>
        </w:rPr>
        <w:t>no new development encroaches within the prescribed setback</w:t>
      </w:r>
      <w:r>
        <w:rPr>
          <w:rFonts w:ascii="Arial"/>
          <w:color w:val="000000"/>
          <w:sz w:val="24"/>
        </w:rPr>
        <w:t>,</w:t>
      </w:r>
      <w:r>
        <w:rPr>
          <w:rFonts w:ascii="Arial"/>
          <w:color w:val="000000"/>
          <w:sz w:val="24"/>
        </w:rPr>
        <w:t xml:space="preserve"> </w:t>
      </w:r>
      <w:r>
        <w:rPr>
          <w:rFonts w:ascii="Arial"/>
          <w:color w:val="000000"/>
          <w:sz w:val="24"/>
        </w:rPr>
        <w:t>and that</w:t>
      </w:r>
      <w:r>
        <w:rPr>
          <w:rFonts w:ascii="Arial"/>
          <w:color w:val="000000"/>
          <w:sz w:val="24"/>
        </w:rPr>
        <w:t xml:space="preserve"> </w:t>
      </w:r>
      <w:r>
        <w:rPr>
          <w:rFonts w:ascii="Arial"/>
          <w:color w:val="000000"/>
          <w:sz w:val="24"/>
        </w:rPr>
        <w:t xml:space="preserve">setback </w:t>
      </w:r>
      <w:r>
        <w:rPr>
          <w:rFonts w:ascii="Arial"/>
          <w:color w:val="000000"/>
          <w:sz w:val="24"/>
        </w:rPr>
        <w:t xml:space="preserve">does not apply to the existing </w:t>
      </w:r>
      <w:r>
        <w:rPr>
          <w:rFonts w:ascii="Arial"/>
          <w:color w:val="000000"/>
          <w:sz w:val="24"/>
        </w:rPr>
        <w:t>“</w:t>
      </w:r>
      <w:r>
        <w:rPr>
          <w:rFonts w:ascii="Arial"/>
          <w:color w:val="000000"/>
          <w:sz w:val="24"/>
        </w:rPr>
        <w:t>encroaching structure</w:t>
      </w:r>
      <w:r>
        <w:rPr>
          <w:rFonts w:ascii="Arial"/>
          <w:color w:val="000000"/>
          <w:sz w:val="24"/>
        </w:rPr>
        <w:t xml:space="preserve">” </w:t>
      </w:r>
      <w:r>
        <w:rPr>
          <w:rFonts w:ascii="Arial"/>
          <w:color w:val="000000"/>
          <w:sz w:val="24"/>
        </w:rPr>
        <w:t xml:space="preserve">- </w:t>
      </w:r>
      <w:r>
        <w:rPr>
          <w:rFonts w:ascii="Arial"/>
          <w:color w:val="000000"/>
          <w:sz w:val="24"/>
        </w:rPr>
        <w:t xml:space="preserve">cl </w:t>
      </w:r>
      <w:r>
        <w:rPr>
          <w:rFonts w:ascii="Arial"/>
          <w:color w:val="000000"/>
          <w:sz w:val="24"/>
        </w:rPr>
        <w:t>6.14</w:t>
      </w:r>
      <w:r>
        <w:rPr>
          <w:rFonts w:ascii="Arial"/>
          <w:color w:val="000000"/>
          <w:sz w:val="24"/>
        </w:rPr>
        <w:t xml:space="preserve">(4)(c) </w:t>
      </w:r>
      <w:r>
        <w:rPr>
          <w:rFonts w:ascii="Arial"/>
          <w:color w:val="000000"/>
          <w:sz w:val="24"/>
        </w:rPr>
        <w:t xml:space="preserve"> </w:t>
      </w:r>
      <w:r>
        <w:rPr>
          <w:rFonts w:ascii="Arial"/>
          <w:color w:val="000000"/>
          <w:sz w:val="24"/>
        </w:rPr>
        <w:t>is complied with</w:t>
      </w:r>
      <w:r>
        <w:rPr>
          <w:rFonts w:ascii="Arial"/>
          <w:color w:val="000000"/>
          <w:sz w:val="24"/>
        </w:rPr>
        <w:t xml:space="preserve">. </w:t>
      </w:r>
      <w:r>
        <w:rPr>
          <w:rFonts w:ascii="Arial"/>
          <w:color w:val="000000"/>
          <w:sz w:val="24"/>
        </w:rPr>
        <w:t xml:space="preserve">To be clear, </w:t>
      </w:r>
      <w:r>
        <w:rPr>
          <w:rFonts w:ascii="Arial"/>
          <w:color w:val="000000"/>
          <w:sz w:val="24"/>
        </w:rPr>
        <w:t xml:space="preserve">I </w:t>
      </w:r>
      <w:r>
        <w:rPr>
          <w:rFonts w:ascii="Arial"/>
          <w:color w:val="000000"/>
          <w:sz w:val="24"/>
        </w:rPr>
        <w:t xml:space="preserve">find </w:t>
      </w:r>
      <w:r>
        <w:rPr>
          <w:rFonts w:ascii="Arial"/>
          <w:color w:val="000000"/>
          <w:sz w:val="24"/>
        </w:rPr>
        <w:t xml:space="preserve">that </w:t>
      </w:r>
      <w:r>
        <w:rPr>
          <w:rFonts w:ascii="Arial"/>
          <w:color w:val="000000"/>
          <w:sz w:val="24"/>
        </w:rPr>
        <w:t>the existing basement</w:t>
      </w:r>
      <w:r>
        <w:rPr>
          <w:rFonts w:ascii="Arial"/>
          <w:color w:val="000000"/>
          <w:sz w:val="24"/>
        </w:rPr>
        <w:t>’</w:t>
      </w:r>
      <w:r>
        <w:rPr>
          <w:rFonts w:ascii="Arial"/>
          <w:color w:val="000000"/>
          <w:sz w:val="24"/>
        </w:rPr>
        <w:t xml:space="preserve">s </w:t>
      </w:r>
      <w:r>
        <w:rPr>
          <w:rFonts w:ascii="Arial"/>
          <w:color w:val="000000"/>
          <w:sz w:val="24"/>
        </w:rPr>
        <w:t>encroachment into the 10m southern setback is not relevant for the purpose</w:t>
      </w:r>
      <w:r>
        <w:rPr>
          <w:rFonts w:ascii="Arial"/>
          <w:color w:val="000000"/>
          <w:sz w:val="24"/>
        </w:rPr>
        <w:t>s</w:t>
      </w:r>
      <w:r>
        <w:rPr>
          <w:rFonts w:ascii="Arial"/>
          <w:color w:val="000000"/>
          <w:sz w:val="24"/>
        </w:rPr>
        <w:t xml:space="preserve"> </w:t>
      </w:r>
      <w:r>
        <w:rPr>
          <w:rFonts w:ascii="Arial"/>
          <w:color w:val="000000"/>
          <w:sz w:val="24"/>
        </w:rPr>
        <w:t>of cl</w:t>
      </w:r>
      <w:r>
        <w:rPr>
          <w:rFonts w:ascii="Arial"/>
          <w:color w:val="000000"/>
          <w:sz w:val="24"/>
        </w:rPr>
        <w:t xml:space="preserve"> </w:t>
      </w:r>
      <w:r>
        <w:rPr>
          <w:rFonts w:ascii="Arial"/>
          <w:color w:val="000000"/>
          <w:sz w:val="24"/>
        </w:rPr>
        <w:t>6.14(4)(c).</w:t>
      </w:r>
      <w:r>
        <w:rPr>
          <w:rFonts w:ascii="Arial"/>
          <w:color w:val="000000"/>
          <w:sz w:val="24"/>
        </w:rPr>
        <w:t xml:space="preserve"> </w:t>
      </w:r>
      <w:r>
        <w:rPr>
          <w:rFonts w:ascii="Arial"/>
          <w:color w:val="000000"/>
          <w:sz w:val="24"/>
        </w:rPr>
        <w:t>Therefore, that subclause is not infringed by this development</w:t>
      </w:r>
      <w:r>
        <w:rPr>
          <w:rFonts w:ascii="Arial"/>
          <w:color w:val="000000"/>
          <w:sz w:val="24"/>
        </w:rPr>
        <w:t xml:space="preserve"> </w:t>
      </w:r>
      <w:r>
        <w:rPr>
          <w:rFonts w:ascii="Arial"/>
          <w:color w:val="000000"/>
          <w:sz w:val="24"/>
        </w:rPr>
        <w:t>and complied with</w:t>
      </w:r>
      <w:r>
        <w:rPr>
          <w:rFonts w:ascii="Arial"/>
          <w:color w:val="000000"/>
          <w:sz w:val="24"/>
        </w:rPr>
        <w:t xml:space="preserve">. </w:t>
      </w:r>
    </w:p>
    <w:p>
      <w:pPr>
        <w:pStyle w:val="CaselawHeading3"/>
        <w:keepNext/>
        <w:spacing w:before="150" w:after="150" w:line="264"/>
        <w:ind w:left="0"/>
        <w:jc w:val="left"/>
      </w:pPr>
      <w:r>
        <w:rPr>
          <w:rFonts w:ascii="Arial"/>
        </w:rPr>
        <w:t>C</w:t>
      </w:r>
      <w:r>
        <w:rPr>
          <w:rFonts w:ascii="Arial"/>
        </w:rPr>
        <w:t>lause</w:t>
      </w:r>
      <w:r>
        <w:rPr>
          <w:rFonts w:ascii="Arial"/>
        </w:rPr>
        <w:t xml:space="preserve"> </w:t>
      </w:r>
      <w:r>
        <w:rPr>
          <w:rFonts w:ascii="Arial"/>
        </w:rPr>
        <w:t>6.14(4)(d)</w:t>
      </w:r>
      <w:r>
        <w:rPr>
          <w:rFonts w:ascii="Arial"/>
        </w:rPr>
        <w:t xml:space="preserve"> </w:t>
      </w:r>
      <w:r>
        <w:rPr>
          <w:rFonts w:ascii="Arial"/>
        </w:rPr>
        <w:t xml:space="preserve">- </w:t>
      </w:r>
      <w:r>
        <w:rPr>
          <w:rFonts w:ascii="Arial"/>
        </w:rPr>
        <w:t>I</w:t>
      </w:r>
      <w:r>
        <w:rPr>
          <w:rFonts w:ascii="Arial"/>
        </w:rPr>
        <w:t>nsufficient eastern setback</w:t>
      </w:r>
    </w:p>
    <w:p>
      <w:pPr>
        <w:pStyle w:val="CaselawHeading4"/>
        <w:keepNext/>
        <w:spacing w:before="150" w:after="150" w:line="264"/>
        <w:ind w:left="600"/>
        <w:jc w:val="left"/>
      </w:pPr>
      <w:r>
        <w:rPr>
          <w:rFonts w:ascii="Arial"/>
        </w:rPr>
        <w:t>Council</w:t>
      </w:r>
      <w:r>
        <w:rPr>
          <w:rFonts w:ascii="Arial"/>
        </w:rPr>
        <w:t>’</w:t>
      </w:r>
      <w:r>
        <w:rPr>
          <w:rFonts w:ascii="Arial"/>
        </w:rPr>
        <w:t>s position</w:t>
      </w:r>
      <w:r>
        <w:rPr>
          <w:rFonts w:ascii="Arial"/>
        </w:rPr>
        <w:t xml:space="preserve"> </w:t>
      </w:r>
    </w:p>
    <w:p>
      <w:pPr>
        <w:pStyle w:val="CaselawNumbered10"/>
        <w:numPr>
          <w:ilvl w:val="0"/>
          <w:numId w:val="106"/>
        </w:numPr>
        <w:spacing w:before="150" w:after="0"/>
        <w:ind w:left="600" w:hanging="600"/>
      </w:pPr>
      <w:r>
        <w:rPr>
          <w:rFonts w:ascii="Arial"/>
          <w:color w:val="000000"/>
          <w:sz w:val="24"/>
        </w:rPr>
        <w:t xml:space="preserve">Clause 6.14(4)(d) requires the development to have </w:t>
      </w:r>
      <w:r>
        <w:rPr>
          <w:rFonts w:ascii="Arial"/>
          <w:color w:val="000000"/>
          <w:sz w:val="24"/>
        </w:rPr>
        <w:t>“</w:t>
      </w:r>
      <w:r>
        <w:rPr>
          <w:rFonts w:ascii="Arial"/>
          <w:color w:val="000000"/>
          <w:sz w:val="24"/>
        </w:rPr>
        <w:t xml:space="preserve">a building setback of at least 15 metres, including a </w:t>
      </w:r>
      <w:r>
        <w:rPr>
          <w:rFonts w:ascii="Arial"/>
          <w:color w:val="000000"/>
          <w:sz w:val="24"/>
        </w:rPr>
        <w:t>6-metre-wide</w:t>
      </w:r>
      <w:r>
        <w:rPr>
          <w:rFonts w:ascii="Arial"/>
          <w:color w:val="000000"/>
          <w:sz w:val="24"/>
        </w:rPr>
        <w:t xml:space="preserve"> </w:t>
      </w:r>
      <w:r>
        <w:rPr>
          <w:rFonts w:ascii="Arial"/>
          <w:color w:val="000000"/>
          <w:sz w:val="24"/>
        </w:rPr>
        <w:t>deep soil zone, from the eastern boundary adjoining Norfolk Reserve</w:t>
      </w:r>
      <w:r>
        <w:rPr>
          <w:rFonts w:ascii="Arial"/>
          <w:color w:val="000000"/>
          <w:sz w:val="24"/>
        </w:rPr>
        <w:t>”</w:t>
      </w:r>
      <w:r>
        <w:rPr>
          <w:rFonts w:ascii="Arial"/>
          <w:color w:val="000000"/>
          <w:sz w:val="24"/>
        </w:rPr>
        <w:t>.</w:t>
      </w:r>
    </w:p>
    <w:p>
      <w:pPr>
        <w:pStyle w:val="CaselawNumbered10"/>
        <w:numPr>
          <w:ilvl w:val="0"/>
          <w:numId w:val="106"/>
        </w:numPr>
        <w:spacing w:before="150" w:after="0"/>
        <w:ind w:left="600" w:hanging="600"/>
      </w:pPr>
      <w:r>
        <w:rPr>
          <w:rFonts w:ascii="Arial"/>
          <w:color w:val="000000"/>
          <w:sz w:val="24"/>
        </w:rPr>
        <w:t xml:space="preserve">The Council is critical of </w:t>
      </w:r>
      <w:r>
        <w:rPr>
          <w:rFonts w:ascii="Arial"/>
          <w:color w:val="000000"/>
          <w:sz w:val="24"/>
        </w:rPr>
        <w:t>Mr Ryan</w:t>
      </w:r>
      <w:r>
        <w:rPr>
          <w:rFonts w:ascii="Arial"/>
          <w:color w:val="000000"/>
          <w:sz w:val="24"/>
        </w:rPr>
        <w:t>’</w:t>
      </w:r>
      <w:r>
        <w:rPr>
          <w:rFonts w:ascii="Arial"/>
          <w:color w:val="000000"/>
          <w:sz w:val="24"/>
        </w:rPr>
        <w:t xml:space="preserve">s evidence </w:t>
      </w:r>
      <w:r>
        <w:rPr>
          <w:rFonts w:ascii="Arial"/>
          <w:color w:val="000000"/>
          <w:sz w:val="24"/>
        </w:rPr>
        <w:t xml:space="preserve">that </w:t>
      </w:r>
      <w:r>
        <w:rPr>
          <w:rFonts w:ascii="Arial"/>
          <w:color w:val="000000"/>
          <w:sz w:val="24"/>
        </w:rPr>
        <w:t>“…</w:t>
      </w:r>
      <w:r>
        <w:rPr>
          <w:rFonts w:ascii="Arial"/>
          <w:color w:val="000000"/>
          <w:sz w:val="24"/>
        </w:rPr>
        <w:t>it is arguable that the setback requirements only relate to building elements above ground level</w:t>
      </w:r>
      <w:r>
        <w:rPr>
          <w:rFonts w:ascii="Arial"/>
          <w:color w:val="000000"/>
          <w:sz w:val="24"/>
        </w:rPr>
        <w:t>”</w:t>
      </w:r>
      <w:r>
        <w:rPr>
          <w:rFonts w:ascii="Arial"/>
          <w:color w:val="000000"/>
          <w:sz w:val="24"/>
        </w:rPr>
        <w:t xml:space="preserve">: at </w:t>
      </w:r>
      <w:r>
        <w:rPr>
          <w:rFonts w:ascii="Arial"/>
          <w:color w:val="000000"/>
          <w:sz w:val="24"/>
        </w:rPr>
        <w:t xml:space="preserve">Ex 10 </w:t>
      </w:r>
      <w:r>
        <w:rPr>
          <w:rFonts w:ascii="Arial"/>
          <w:color w:val="000000"/>
          <w:sz w:val="24"/>
        </w:rPr>
        <w:t xml:space="preserve">par </w:t>
      </w:r>
      <w:r>
        <w:rPr>
          <w:rFonts w:ascii="Arial"/>
          <w:color w:val="000000"/>
          <w:sz w:val="24"/>
        </w:rPr>
        <w:t xml:space="preserve">12. The breach of the setback requirement arises as a result of a new basement so Mr Ryan does not make the same argument that he made with respect to cl 6.14(4)(c) </w:t>
      </w:r>
      <w:r>
        <w:rPr>
          <w:rFonts w:ascii="Arial"/>
          <w:color w:val="000000"/>
          <w:sz w:val="24"/>
        </w:rPr>
        <w:t xml:space="preserve">it </w:t>
      </w:r>
      <w:r>
        <w:rPr>
          <w:rFonts w:ascii="Arial"/>
          <w:color w:val="000000"/>
          <w:sz w:val="24"/>
        </w:rPr>
        <w:t>arises from an existing encroachment.</w:t>
      </w:r>
    </w:p>
    <w:p>
      <w:pPr>
        <w:pStyle w:val="CaselawNumbered10"/>
        <w:numPr>
          <w:ilvl w:val="0"/>
          <w:numId w:val="106"/>
        </w:numPr>
        <w:spacing w:before="150" w:after="0"/>
        <w:ind w:left="600" w:hanging="600"/>
      </w:pPr>
      <w:r>
        <w:rPr>
          <w:rFonts w:ascii="Arial"/>
          <w:color w:val="000000"/>
          <w:sz w:val="24"/>
        </w:rPr>
        <w:t xml:space="preserve">For those reasons, non-compliance with cl 6.14(4)(d) is fatal to the Stage 1 DA in the absence of a satisfactory cl 4.6 written request (if, contrary to Contention 2, the Court finds that the requirement is a development standard). Whether the </w:t>
      </w:r>
      <w:r>
        <w:rPr>
          <w:rFonts w:ascii="Arial"/>
          <w:color w:val="000000"/>
          <w:sz w:val="24"/>
        </w:rPr>
        <w:t>written r</w:t>
      </w:r>
      <w:r>
        <w:rPr>
          <w:rFonts w:ascii="Arial"/>
          <w:color w:val="000000"/>
          <w:sz w:val="24"/>
        </w:rPr>
        <w:t>equest is satisfactory is addressed below.</w:t>
      </w:r>
    </w:p>
    <w:p>
      <w:pPr>
        <w:pStyle w:val="CaselawHeading4"/>
        <w:keepNext/>
        <w:spacing w:before="150" w:after="150" w:line="264"/>
        <w:ind w:left="600"/>
        <w:jc w:val="left"/>
      </w:pPr>
      <w:r>
        <w:rPr>
          <w:rFonts w:ascii="Arial"/>
        </w:rPr>
        <w:t>H</w:t>
      </w:r>
      <w:r>
        <w:rPr>
          <w:rFonts w:ascii="Arial"/>
        </w:rPr>
        <w:t>enroth</w:t>
      </w:r>
      <w:r>
        <w:rPr>
          <w:rFonts w:ascii="Arial"/>
        </w:rPr>
        <w:t>’</w:t>
      </w:r>
      <w:r>
        <w:rPr>
          <w:rFonts w:ascii="Arial"/>
        </w:rPr>
        <w:t>s</w:t>
      </w:r>
      <w:r>
        <w:rPr>
          <w:rFonts w:ascii="Arial"/>
        </w:rPr>
        <w:t xml:space="preserve"> </w:t>
      </w:r>
      <w:r>
        <w:rPr>
          <w:rFonts w:ascii="Arial"/>
        </w:rPr>
        <w:t>position</w:t>
      </w:r>
      <w:r>
        <w:rPr>
          <w:rFonts w:ascii="Arial"/>
        </w:rPr>
        <w:t xml:space="preserve"> </w:t>
      </w:r>
    </w:p>
    <w:p>
      <w:pPr>
        <w:pStyle w:val="CaselawNumbered10"/>
        <w:numPr>
          <w:ilvl w:val="0"/>
          <w:numId w:val="107"/>
        </w:numPr>
        <w:spacing w:before="150" w:after="0"/>
        <w:ind w:left="600" w:hanging="600"/>
      </w:pPr>
      <w:r>
        <w:rPr>
          <w:rFonts w:ascii="Arial"/>
          <w:color w:val="000000"/>
          <w:sz w:val="24"/>
        </w:rPr>
        <w:t xml:space="preserve">The </w:t>
      </w:r>
      <w:r>
        <w:rPr>
          <w:rFonts w:ascii="Arial"/>
          <w:color w:val="000000"/>
          <w:sz w:val="24"/>
        </w:rPr>
        <w:t>S</w:t>
      </w:r>
      <w:r>
        <w:rPr>
          <w:rFonts w:ascii="Arial"/>
          <w:color w:val="000000"/>
          <w:sz w:val="24"/>
        </w:rPr>
        <w:t xml:space="preserve">tage 1 DA involves constructing a portion of </w:t>
      </w:r>
      <w:r>
        <w:rPr>
          <w:rFonts w:ascii="Arial"/>
          <w:color w:val="000000"/>
          <w:sz w:val="24"/>
        </w:rPr>
        <w:t>B</w:t>
      </w:r>
      <w:r>
        <w:rPr>
          <w:rFonts w:ascii="Arial"/>
          <w:color w:val="000000"/>
          <w:sz w:val="24"/>
        </w:rPr>
        <w:t xml:space="preserve">asement </w:t>
      </w:r>
      <w:r>
        <w:rPr>
          <w:rFonts w:ascii="Arial"/>
          <w:color w:val="000000"/>
          <w:sz w:val="24"/>
        </w:rPr>
        <w:t>L</w:t>
      </w:r>
      <w:r>
        <w:rPr>
          <w:rFonts w:ascii="Arial"/>
          <w:color w:val="000000"/>
          <w:sz w:val="24"/>
        </w:rPr>
        <w:t>evel 01</w:t>
      </w:r>
      <w:r>
        <w:rPr>
          <w:rFonts w:ascii="Arial"/>
          <w:color w:val="000000"/>
          <w:sz w:val="24"/>
        </w:rPr>
        <w:t xml:space="preserve"> </w:t>
      </w:r>
      <w:r>
        <w:rPr>
          <w:rFonts w:ascii="Arial"/>
          <w:color w:val="000000"/>
          <w:sz w:val="24"/>
        </w:rPr>
        <w:t>and</w:t>
      </w:r>
      <w:r>
        <w:rPr>
          <w:rFonts w:ascii="Arial"/>
          <w:color w:val="000000"/>
          <w:sz w:val="24"/>
        </w:rPr>
        <w:t xml:space="preserve"> </w:t>
      </w:r>
      <w:r>
        <w:rPr>
          <w:rFonts w:ascii="Arial"/>
          <w:color w:val="000000"/>
          <w:sz w:val="24"/>
        </w:rPr>
        <w:t xml:space="preserve">02 into the 15m setback on the eastern part of the development. The encroachment is about 7.5m into the 15m setback. </w:t>
      </w:r>
      <w:r>
        <w:rPr>
          <w:rFonts w:ascii="Arial"/>
          <w:color w:val="000000"/>
          <w:sz w:val="24"/>
        </w:rPr>
        <w:t>In any event</w:t>
      </w:r>
      <w:r>
        <w:rPr>
          <w:rFonts w:ascii="Arial"/>
          <w:color w:val="000000"/>
          <w:sz w:val="24"/>
        </w:rPr>
        <w:t>,</w:t>
      </w:r>
      <w:r>
        <w:rPr>
          <w:rFonts w:ascii="Arial"/>
          <w:color w:val="000000"/>
          <w:sz w:val="24"/>
        </w:rPr>
        <w:t xml:space="preserve"> </w:t>
      </w:r>
      <w:r>
        <w:rPr>
          <w:rFonts w:ascii="Arial"/>
          <w:color w:val="000000"/>
          <w:sz w:val="24"/>
        </w:rPr>
        <w:t xml:space="preserve">there is no satisfactory </w:t>
      </w:r>
      <w:r>
        <w:rPr>
          <w:rFonts w:ascii="Arial"/>
          <w:color w:val="000000"/>
          <w:sz w:val="24"/>
        </w:rPr>
        <w:t>evidence that t</w:t>
      </w:r>
      <w:r>
        <w:rPr>
          <w:rFonts w:ascii="Arial"/>
          <w:color w:val="000000"/>
          <w:sz w:val="24"/>
        </w:rPr>
        <w:t xml:space="preserve">his encroachment </w:t>
      </w:r>
      <w:r>
        <w:rPr>
          <w:rFonts w:ascii="Arial"/>
          <w:color w:val="000000"/>
          <w:sz w:val="24"/>
        </w:rPr>
        <w:t xml:space="preserve">will adversely </w:t>
      </w:r>
      <w:r>
        <w:rPr>
          <w:rFonts w:ascii="Arial"/>
          <w:color w:val="000000"/>
          <w:sz w:val="24"/>
        </w:rPr>
        <w:t>affect the deep soil zone which runs north-south along the eastern boundary and has a width of 6m</w:t>
      </w:r>
      <w:r>
        <w:rPr>
          <w:rFonts w:ascii="Arial"/>
          <w:color w:val="000000"/>
          <w:sz w:val="24"/>
        </w:rPr>
        <w:t xml:space="preserve"> </w:t>
      </w:r>
      <w:r>
        <w:rPr>
          <w:rFonts w:ascii="Arial"/>
          <w:color w:val="000000"/>
          <w:sz w:val="24"/>
        </w:rPr>
        <w:t>referred to in the standard</w:t>
      </w:r>
      <w:r>
        <w:rPr>
          <w:rFonts w:ascii="Arial"/>
          <w:color w:val="000000"/>
          <w:sz w:val="24"/>
        </w:rPr>
        <w:t xml:space="preserve">. </w:t>
      </w:r>
      <w:r>
        <w:rPr>
          <w:rFonts w:ascii="Arial"/>
          <w:color w:val="000000"/>
          <w:sz w:val="24"/>
        </w:rPr>
        <w:t>Henroth</w:t>
      </w:r>
      <w:r>
        <w:rPr>
          <w:rFonts w:ascii="Arial"/>
          <w:color w:val="000000"/>
          <w:sz w:val="24"/>
        </w:rPr>
        <w:t xml:space="preserve"> </w:t>
      </w:r>
      <w:r>
        <w:rPr>
          <w:rFonts w:ascii="Arial"/>
          <w:color w:val="000000"/>
          <w:sz w:val="24"/>
        </w:rPr>
        <w:t xml:space="preserve">argues </w:t>
      </w:r>
      <w:r>
        <w:rPr>
          <w:rFonts w:ascii="Arial"/>
          <w:color w:val="000000"/>
          <w:sz w:val="24"/>
        </w:rPr>
        <w:t>that the</w:t>
      </w:r>
      <w:r>
        <w:rPr>
          <w:rFonts w:ascii="Arial"/>
          <w:color w:val="000000"/>
          <w:sz w:val="24"/>
        </w:rPr>
        <w:t xml:space="preserve"> </w:t>
      </w:r>
      <w:r>
        <w:rPr>
          <w:rFonts w:ascii="Arial"/>
          <w:color w:val="000000"/>
          <w:sz w:val="24"/>
        </w:rPr>
        <w:t xml:space="preserve">setback </w:t>
      </w:r>
      <w:r>
        <w:rPr>
          <w:rFonts w:ascii="Arial"/>
          <w:color w:val="000000"/>
          <w:sz w:val="24"/>
        </w:rPr>
        <w:t>required</w:t>
      </w:r>
      <w:r>
        <w:rPr>
          <w:rFonts w:ascii="Arial"/>
          <w:color w:val="000000"/>
          <w:sz w:val="24"/>
        </w:rPr>
        <w:t xml:space="preserve"> </w:t>
      </w:r>
      <w:r>
        <w:rPr>
          <w:rFonts w:ascii="Arial"/>
          <w:color w:val="000000"/>
          <w:sz w:val="24"/>
        </w:rPr>
        <w:t xml:space="preserve">by </w:t>
      </w:r>
      <w:r>
        <w:rPr>
          <w:rFonts w:ascii="Arial"/>
          <w:color w:val="000000"/>
          <w:sz w:val="24"/>
        </w:rPr>
        <w:t>the clause only relate</w:t>
      </w:r>
      <w:r>
        <w:rPr>
          <w:rFonts w:ascii="Arial"/>
          <w:color w:val="000000"/>
          <w:sz w:val="24"/>
        </w:rPr>
        <w:t>s</w:t>
      </w:r>
      <w:r>
        <w:rPr>
          <w:rFonts w:ascii="Arial"/>
          <w:color w:val="000000"/>
          <w:sz w:val="24"/>
        </w:rPr>
        <w:t xml:space="preserve"> </w:t>
      </w:r>
      <w:r>
        <w:rPr>
          <w:rFonts w:ascii="Arial"/>
          <w:color w:val="000000"/>
          <w:sz w:val="24"/>
        </w:rPr>
        <w:t>to building elements above ground</w:t>
      </w:r>
      <w:r>
        <w:rPr>
          <w:rFonts w:ascii="Arial"/>
          <w:color w:val="000000"/>
          <w:sz w:val="24"/>
        </w:rPr>
        <w:t xml:space="preserve"> </w:t>
      </w:r>
      <w:r>
        <w:rPr>
          <w:rFonts w:ascii="Arial"/>
          <w:color w:val="000000"/>
          <w:sz w:val="24"/>
        </w:rPr>
        <w:t>for reasons as outline above</w:t>
      </w:r>
      <w:r>
        <w:rPr>
          <w:rFonts w:ascii="Arial"/>
          <w:color w:val="000000"/>
          <w:sz w:val="24"/>
        </w:rPr>
        <w:t>. M</w:t>
      </w:r>
      <w:r>
        <w:rPr>
          <w:rFonts w:ascii="Arial"/>
          <w:color w:val="000000"/>
          <w:sz w:val="24"/>
        </w:rPr>
        <w:t>r</w:t>
      </w:r>
      <w:r>
        <w:rPr>
          <w:rFonts w:ascii="Arial"/>
          <w:color w:val="000000"/>
          <w:sz w:val="24"/>
        </w:rPr>
        <w:t xml:space="preserve"> </w:t>
      </w:r>
      <w:r>
        <w:rPr>
          <w:rFonts w:ascii="Arial"/>
          <w:color w:val="000000"/>
          <w:sz w:val="24"/>
        </w:rPr>
        <w:t xml:space="preserve">Ryan </w:t>
      </w:r>
      <w:r>
        <w:rPr>
          <w:rFonts w:ascii="Arial"/>
          <w:color w:val="000000"/>
          <w:sz w:val="24"/>
        </w:rPr>
        <w:t xml:space="preserve">submits </w:t>
      </w:r>
      <w:r>
        <w:rPr>
          <w:rFonts w:ascii="Arial"/>
          <w:color w:val="000000"/>
          <w:sz w:val="24"/>
        </w:rPr>
        <w:t xml:space="preserve">this </w:t>
      </w:r>
      <w:r>
        <w:rPr>
          <w:rFonts w:ascii="Arial"/>
          <w:color w:val="000000"/>
          <w:sz w:val="24"/>
        </w:rPr>
        <w:t xml:space="preserve">is a </w:t>
      </w:r>
      <w:r>
        <w:rPr>
          <w:rFonts w:ascii="Arial"/>
          <w:color w:val="000000"/>
          <w:sz w:val="24"/>
        </w:rPr>
        <w:t xml:space="preserve">reasonable assumption given the purpose of the clause is to enable additional building height if </w:t>
      </w:r>
      <w:r>
        <w:rPr>
          <w:rFonts w:ascii="Arial"/>
          <w:color w:val="000000"/>
          <w:sz w:val="24"/>
        </w:rPr>
        <w:t>certain requirements</w:t>
      </w:r>
      <w:r>
        <w:rPr>
          <w:rFonts w:ascii="Arial"/>
          <w:color w:val="000000"/>
          <w:sz w:val="24"/>
        </w:rPr>
        <w:t xml:space="preserve"> </w:t>
      </w:r>
      <w:r>
        <w:rPr>
          <w:rFonts w:ascii="Arial"/>
          <w:color w:val="000000"/>
          <w:sz w:val="24"/>
        </w:rPr>
        <w:t xml:space="preserve">are achieved. </w:t>
      </w:r>
    </w:p>
    <w:p>
      <w:pPr>
        <w:pStyle w:val="CaselawHeading4"/>
        <w:keepNext/>
        <w:spacing w:before="150" w:after="150" w:line="264"/>
        <w:ind w:left="600"/>
        <w:jc w:val="left"/>
      </w:pPr>
      <w:r>
        <w:rPr>
          <w:rFonts w:ascii="Arial"/>
        </w:rPr>
        <w:t xml:space="preserve">Clause </w:t>
      </w:r>
      <w:r>
        <w:rPr>
          <w:rFonts w:ascii="Arial"/>
        </w:rPr>
        <w:t>6.14(4)(d)</w:t>
      </w:r>
      <w:r>
        <w:rPr>
          <w:rFonts w:ascii="Arial"/>
        </w:rPr>
        <w:t xml:space="preserve"> </w:t>
      </w:r>
      <w:r>
        <w:rPr>
          <w:rFonts w:ascii="Arial"/>
        </w:rPr>
        <w:t xml:space="preserve">- </w:t>
      </w:r>
      <w:r>
        <w:rPr>
          <w:rFonts w:ascii="Arial"/>
        </w:rPr>
        <w:t>F</w:t>
      </w:r>
      <w:r>
        <w:rPr>
          <w:rFonts w:ascii="Arial"/>
        </w:rPr>
        <w:t>inding</w:t>
      </w:r>
      <w:r>
        <w:rPr>
          <w:rFonts w:ascii="Arial"/>
        </w:rPr>
        <w:t xml:space="preserve"> </w:t>
      </w:r>
    </w:p>
    <w:p>
      <w:pPr>
        <w:pStyle w:val="CaselawNumbered10"/>
        <w:numPr>
          <w:ilvl w:val="0"/>
          <w:numId w:val="108"/>
        </w:numPr>
        <w:spacing w:before="150" w:after="0"/>
        <w:ind w:left="600" w:hanging="600"/>
      </w:pPr>
      <w:r>
        <w:rPr>
          <w:rFonts w:ascii="Arial"/>
          <w:color w:val="000000"/>
          <w:sz w:val="24"/>
        </w:rPr>
        <w:t>For the reason identified earlier</w:t>
      </w:r>
      <w:r>
        <w:rPr>
          <w:rFonts w:ascii="Arial"/>
          <w:color w:val="000000"/>
          <w:sz w:val="24"/>
        </w:rPr>
        <w:t>,</w:t>
      </w:r>
      <w:r>
        <w:rPr>
          <w:rFonts w:ascii="Arial"/>
          <w:color w:val="000000"/>
          <w:sz w:val="24"/>
        </w:rPr>
        <w:t xml:space="preserve"> </w:t>
      </w:r>
      <w:r>
        <w:rPr>
          <w:rFonts w:ascii="Arial"/>
          <w:color w:val="000000"/>
          <w:sz w:val="24"/>
        </w:rPr>
        <w:t xml:space="preserve">I do not accept that the basement development below ground is relevant to this </w:t>
      </w:r>
      <w:r>
        <w:rPr>
          <w:rFonts w:ascii="Arial"/>
          <w:color w:val="000000"/>
          <w:sz w:val="24"/>
        </w:rPr>
        <w:t>sub</w:t>
      </w:r>
      <w:r>
        <w:rPr>
          <w:rFonts w:ascii="Arial"/>
          <w:color w:val="000000"/>
          <w:sz w:val="24"/>
        </w:rPr>
        <w:t>clause. I also note that t</w:t>
      </w:r>
      <w:r>
        <w:rPr>
          <w:rFonts w:ascii="Arial"/>
          <w:color w:val="000000"/>
          <w:sz w:val="24"/>
        </w:rPr>
        <w:t>his encroachment does not affect the deep soil zone which runs north-south along the eastern boundary and has a width of 6m</w:t>
      </w:r>
      <w:r>
        <w:rPr>
          <w:rFonts w:ascii="Arial"/>
          <w:color w:val="000000"/>
          <w:sz w:val="24"/>
        </w:rPr>
        <w:t xml:space="preserve"> </w:t>
      </w:r>
      <w:r>
        <w:rPr>
          <w:rFonts w:ascii="Arial"/>
          <w:color w:val="000000"/>
          <w:sz w:val="24"/>
        </w:rPr>
        <w:t xml:space="preserve">so therefore it is in my assessment acceptable. </w:t>
      </w:r>
    </w:p>
    <w:p>
      <w:pPr>
        <w:pStyle w:val="CaselawHeading3"/>
        <w:keepNext/>
        <w:spacing w:before="150" w:after="150" w:line="264"/>
        <w:ind w:left="0"/>
        <w:jc w:val="left"/>
      </w:pPr>
      <w:r>
        <w:rPr>
          <w:rFonts w:ascii="Arial"/>
        </w:rPr>
        <w:t>C</w:t>
      </w:r>
      <w:r>
        <w:rPr>
          <w:rFonts w:ascii="Arial"/>
        </w:rPr>
        <w:t>lause</w:t>
      </w:r>
      <w:r>
        <w:rPr>
          <w:rFonts w:ascii="Arial"/>
        </w:rPr>
        <w:t xml:space="preserve"> </w:t>
      </w:r>
      <w:r>
        <w:rPr>
          <w:rFonts w:ascii="Arial"/>
        </w:rPr>
        <w:t>6.14(4)(</w:t>
      </w:r>
      <w:r>
        <w:rPr>
          <w:rFonts w:ascii="Arial"/>
        </w:rPr>
        <w:t>f</w:t>
      </w:r>
      <w:r>
        <w:rPr>
          <w:rFonts w:ascii="Arial"/>
        </w:rPr>
        <w:t xml:space="preserve">) - </w:t>
      </w:r>
      <w:r>
        <w:rPr>
          <w:rFonts w:ascii="Arial"/>
        </w:rPr>
        <w:t>A</w:t>
      </w:r>
      <w:r>
        <w:rPr>
          <w:rFonts w:ascii="Arial"/>
        </w:rPr>
        <w:t>dverse environmental impacts on Norfolk Reserve</w:t>
      </w:r>
    </w:p>
    <w:p>
      <w:pPr>
        <w:pStyle w:val="CaselawNumbered10"/>
        <w:numPr>
          <w:ilvl w:val="0"/>
          <w:numId w:val="109"/>
        </w:numPr>
        <w:spacing w:before="150" w:after="0"/>
        <w:ind w:left="600" w:hanging="600"/>
      </w:pPr>
      <w:r>
        <w:rPr>
          <w:rFonts w:ascii="Arial"/>
          <w:color w:val="000000"/>
          <w:sz w:val="24"/>
        </w:rPr>
        <w:t xml:space="preserve">In light of the agreement reached between the parties' ecologists, this aspect of the </w:t>
      </w:r>
      <w:r>
        <w:rPr>
          <w:rFonts w:ascii="Arial"/>
          <w:color w:val="000000"/>
          <w:sz w:val="24"/>
        </w:rPr>
        <w:t>c</w:t>
      </w:r>
      <w:r>
        <w:rPr>
          <w:rFonts w:ascii="Arial"/>
          <w:color w:val="000000"/>
          <w:sz w:val="24"/>
        </w:rPr>
        <w:t>ontentions is not pressed by the Council.</w:t>
      </w:r>
      <w:r>
        <w:rPr>
          <w:rFonts w:ascii="Arial"/>
          <w:color w:val="000000"/>
          <w:sz w:val="24"/>
        </w:rPr>
        <w:t xml:space="preserve"> </w:t>
      </w:r>
      <w:r>
        <w:rPr>
          <w:rFonts w:ascii="Arial"/>
          <w:color w:val="000000"/>
          <w:sz w:val="24"/>
        </w:rPr>
        <w:t xml:space="preserve">I accept </w:t>
      </w:r>
      <w:r>
        <w:rPr>
          <w:rFonts w:ascii="Arial"/>
          <w:color w:val="000000"/>
          <w:sz w:val="24"/>
        </w:rPr>
        <w:t>that it</w:t>
      </w:r>
      <w:r>
        <w:rPr>
          <w:rFonts w:ascii="Arial"/>
          <w:color w:val="000000"/>
          <w:sz w:val="24"/>
        </w:rPr>
        <w:t xml:space="preserve"> </w:t>
      </w:r>
      <w:r>
        <w:rPr>
          <w:rFonts w:ascii="Arial"/>
          <w:color w:val="000000"/>
          <w:sz w:val="24"/>
        </w:rPr>
        <w:t xml:space="preserve">is complied with. </w:t>
      </w:r>
    </w:p>
    <w:p>
      <w:pPr>
        <w:pStyle w:val="CaselawHeading3"/>
        <w:keepNext/>
        <w:spacing w:before="150" w:after="150" w:line="264"/>
        <w:ind w:left="0"/>
        <w:jc w:val="left"/>
      </w:pPr>
      <w:r>
        <w:rPr>
          <w:rFonts w:ascii="Arial"/>
        </w:rPr>
        <w:t>Clause</w:t>
      </w:r>
      <w:r>
        <w:rPr>
          <w:rFonts w:ascii="Arial"/>
        </w:rPr>
        <w:t xml:space="preserve"> </w:t>
      </w:r>
      <w:r>
        <w:rPr>
          <w:rFonts w:ascii="Arial"/>
        </w:rPr>
        <w:t xml:space="preserve">4.6 </w:t>
      </w:r>
      <w:r>
        <w:rPr>
          <w:rFonts w:ascii="Arial"/>
        </w:rPr>
        <w:t xml:space="preserve">written request </w:t>
      </w:r>
      <w:r>
        <w:rPr>
          <w:rFonts w:ascii="Arial"/>
        </w:rPr>
        <w:t>to vary cl 6.14</w:t>
      </w:r>
      <w:r>
        <w:rPr>
          <w:rFonts w:ascii="Arial"/>
        </w:rPr>
        <w:t>(4)</w:t>
      </w:r>
      <w:r>
        <w:rPr>
          <w:rFonts w:ascii="Arial"/>
        </w:rPr>
        <w:t xml:space="preserve">(c) and </w:t>
      </w:r>
      <w:r>
        <w:rPr>
          <w:rFonts w:ascii="Arial"/>
        </w:rPr>
        <w:t>(4)</w:t>
      </w:r>
      <w:r>
        <w:rPr>
          <w:rFonts w:ascii="Arial"/>
        </w:rPr>
        <w:t>(d)</w:t>
      </w:r>
      <w:r>
        <w:rPr>
          <w:rFonts w:ascii="Arial"/>
        </w:rPr>
        <w:t xml:space="preserve"> </w:t>
      </w:r>
      <w:r>
        <w:rPr>
          <w:rFonts w:ascii="Arial"/>
        </w:rPr>
        <w:t xml:space="preserve">- </w:t>
      </w:r>
      <w:r>
        <w:rPr>
          <w:rFonts w:ascii="Arial"/>
        </w:rPr>
        <w:t>C</w:t>
      </w:r>
      <w:r>
        <w:rPr>
          <w:rFonts w:ascii="Arial"/>
        </w:rPr>
        <w:t>onsideration and Findings</w:t>
      </w:r>
    </w:p>
    <w:p>
      <w:pPr>
        <w:pStyle w:val="CaselawNumbered10"/>
        <w:numPr>
          <w:ilvl w:val="0"/>
          <w:numId w:val="110"/>
        </w:numPr>
        <w:spacing w:before="150" w:after="0"/>
        <w:ind w:left="600" w:hanging="600"/>
      </w:pPr>
      <w:r>
        <w:rPr>
          <w:rFonts w:ascii="Arial"/>
          <w:color w:val="000000"/>
          <w:sz w:val="24"/>
        </w:rPr>
        <w:t xml:space="preserve">In the event that I am wrong in my determination that the standard is complied with and cl 6.14(4)(c) </w:t>
      </w:r>
      <w:r>
        <w:rPr>
          <w:rFonts w:ascii="Arial"/>
          <w:color w:val="000000"/>
          <w:sz w:val="24"/>
        </w:rPr>
        <w:t xml:space="preserve">and (d) </w:t>
      </w:r>
      <w:r>
        <w:rPr>
          <w:rFonts w:ascii="Arial"/>
          <w:color w:val="000000"/>
          <w:sz w:val="24"/>
        </w:rPr>
        <w:t>applies to the existing basement</w:t>
      </w:r>
      <w:r>
        <w:rPr>
          <w:rFonts w:ascii="Arial"/>
          <w:color w:val="000000"/>
          <w:sz w:val="24"/>
        </w:rPr>
        <w:t>s</w:t>
      </w:r>
      <w:r>
        <w:rPr>
          <w:rFonts w:ascii="Arial"/>
          <w:color w:val="000000"/>
          <w:sz w:val="24"/>
        </w:rPr>
        <w:t>,</w:t>
      </w:r>
      <w:r>
        <w:rPr>
          <w:rFonts w:ascii="Arial"/>
          <w:color w:val="000000"/>
          <w:sz w:val="24"/>
        </w:rPr>
        <w:t xml:space="preserve"> </w:t>
      </w:r>
      <w:r>
        <w:rPr>
          <w:rFonts w:ascii="Arial"/>
          <w:color w:val="000000"/>
          <w:sz w:val="24"/>
        </w:rPr>
        <w:t xml:space="preserve">I am satisfied for the reasons outlined in the cl 4.6 written request prepared by </w:t>
      </w:r>
      <w:r>
        <w:rPr>
          <w:rFonts w:ascii="Arial"/>
          <w:color w:val="000000"/>
          <w:sz w:val="24"/>
        </w:rPr>
        <w:t>Gyde</w:t>
      </w:r>
      <w:r>
        <w:rPr>
          <w:rFonts w:ascii="Arial"/>
          <w:color w:val="000000"/>
          <w:sz w:val="24"/>
        </w:rPr>
        <w:t xml:space="preserve"> </w:t>
      </w:r>
      <w:r>
        <w:rPr>
          <w:rFonts w:ascii="Arial"/>
          <w:color w:val="000000"/>
          <w:sz w:val="24"/>
        </w:rPr>
        <w:t>Consulting</w:t>
      </w:r>
      <w:r>
        <w:rPr>
          <w:rFonts w:ascii="Arial"/>
          <w:color w:val="000000"/>
          <w:sz w:val="24"/>
        </w:rPr>
        <w:t xml:space="preserve"> </w:t>
      </w:r>
      <w:r>
        <w:rPr>
          <w:rFonts w:ascii="Arial"/>
          <w:color w:val="000000"/>
          <w:sz w:val="24"/>
        </w:rPr>
        <w:t>dated 11 June 2024 (Ex B) that this development standard which concerns an aspect of the building; namely its height, can be varied under cl</w:t>
      </w:r>
      <w:r>
        <w:rPr>
          <w:rFonts w:ascii="Arial"/>
          <w:color w:val="000000"/>
          <w:sz w:val="24"/>
        </w:rPr>
        <w:t> </w:t>
      </w:r>
      <w:r>
        <w:rPr>
          <w:rFonts w:ascii="Arial"/>
          <w:color w:val="000000"/>
          <w:sz w:val="24"/>
        </w:rPr>
        <w:t xml:space="preserve">4.6. </w:t>
      </w:r>
    </w:p>
    <w:p>
      <w:pPr>
        <w:pStyle w:val="CaselawNumbered10"/>
        <w:numPr>
          <w:ilvl w:val="0"/>
          <w:numId w:val="110"/>
        </w:numPr>
        <w:spacing w:before="150" w:after="0"/>
        <w:ind w:left="600" w:hanging="600"/>
      </w:pPr>
      <w:r>
        <w:rPr>
          <w:rFonts w:ascii="Arial"/>
          <w:color w:val="000000"/>
          <w:sz w:val="24"/>
        </w:rPr>
        <w:t xml:space="preserve">Clause 6.14 is a site-specific development standard to provide additional height at the site, subject to compliance with a series of requirements, one of which is minimum setbacks to the southern and eastern boundaries. </w:t>
      </w:r>
    </w:p>
    <w:p>
      <w:pPr>
        <w:pStyle w:val="CaselawNumbered10"/>
        <w:numPr>
          <w:ilvl w:val="0"/>
          <w:numId w:val="110"/>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 xml:space="preserve">equest seeks to vary the minimum setback to the southern and eastern side setbacks of the basement structure levels. The variation to the southern setback results from the retention of part of the existing basement structure at </w:t>
      </w:r>
      <w:r>
        <w:rPr>
          <w:rFonts w:ascii="Arial"/>
          <w:color w:val="000000"/>
          <w:sz w:val="24"/>
        </w:rPr>
        <w:t>B</w:t>
      </w:r>
      <w:r>
        <w:rPr>
          <w:rFonts w:ascii="Arial"/>
          <w:color w:val="000000"/>
          <w:sz w:val="24"/>
        </w:rPr>
        <w:t xml:space="preserve">asement </w:t>
      </w:r>
      <w:r>
        <w:rPr>
          <w:rFonts w:ascii="Arial"/>
          <w:color w:val="000000"/>
          <w:sz w:val="24"/>
        </w:rPr>
        <w:t>L</w:t>
      </w:r>
      <w:r>
        <w:rPr>
          <w:rFonts w:ascii="Arial"/>
          <w:color w:val="000000"/>
          <w:sz w:val="24"/>
        </w:rPr>
        <w:t xml:space="preserve">evel 01, while the variation to the eastern setback results from an extension of the existing basement on </w:t>
      </w:r>
      <w:r>
        <w:rPr>
          <w:rFonts w:ascii="Arial"/>
          <w:color w:val="000000"/>
          <w:sz w:val="24"/>
        </w:rPr>
        <w:t>B</w:t>
      </w:r>
      <w:r>
        <w:rPr>
          <w:rFonts w:ascii="Arial"/>
          <w:color w:val="000000"/>
          <w:sz w:val="24"/>
        </w:rPr>
        <w:t xml:space="preserve">asement </w:t>
      </w:r>
      <w:r>
        <w:rPr>
          <w:rFonts w:ascii="Arial"/>
          <w:color w:val="000000"/>
          <w:sz w:val="24"/>
        </w:rPr>
        <w:t>L</w:t>
      </w:r>
      <w:r>
        <w:rPr>
          <w:rFonts w:ascii="Arial"/>
          <w:color w:val="000000"/>
          <w:sz w:val="24"/>
        </w:rPr>
        <w:t xml:space="preserve">evel 01 and the construction of a new basement on </w:t>
      </w:r>
      <w:r>
        <w:rPr>
          <w:rFonts w:ascii="Arial"/>
          <w:color w:val="000000"/>
          <w:sz w:val="24"/>
        </w:rPr>
        <w:t>B</w:t>
      </w:r>
      <w:r>
        <w:rPr>
          <w:rFonts w:ascii="Arial"/>
          <w:color w:val="000000"/>
          <w:sz w:val="24"/>
        </w:rPr>
        <w:t xml:space="preserve">asement </w:t>
      </w:r>
      <w:r>
        <w:rPr>
          <w:rFonts w:ascii="Arial"/>
          <w:color w:val="000000"/>
          <w:sz w:val="24"/>
        </w:rPr>
        <w:t>L</w:t>
      </w:r>
      <w:r>
        <w:rPr>
          <w:rFonts w:ascii="Arial"/>
          <w:color w:val="000000"/>
          <w:sz w:val="24"/>
        </w:rPr>
        <w:t>evel 02 to accommodate car parking spaces and plant. There is no encroachment into these setbacks above ground.</w:t>
      </w:r>
    </w:p>
    <w:p>
      <w:pPr>
        <w:pStyle w:val="CaselawNumbered10"/>
        <w:numPr>
          <w:ilvl w:val="0"/>
          <w:numId w:val="110"/>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 xml:space="preserve">equest addresses the preconditions in cl 4.6 to enable consent to be granted to the application in circumstances should this </w:t>
      </w:r>
      <w:r>
        <w:rPr>
          <w:rFonts w:ascii="Arial"/>
          <w:color w:val="000000"/>
          <w:sz w:val="24"/>
        </w:rPr>
        <w:t>be</w:t>
      </w:r>
      <w:r>
        <w:rPr>
          <w:rFonts w:ascii="Arial"/>
          <w:color w:val="000000"/>
          <w:sz w:val="24"/>
        </w:rPr>
        <w:t xml:space="preserve"> </w:t>
      </w:r>
      <w:r>
        <w:rPr>
          <w:rFonts w:ascii="Arial"/>
          <w:color w:val="000000"/>
          <w:sz w:val="24"/>
        </w:rPr>
        <w:t xml:space="preserve">a variation to </w:t>
      </w:r>
      <w:r>
        <w:rPr>
          <w:rFonts w:ascii="Arial"/>
          <w:color w:val="000000"/>
          <w:sz w:val="24"/>
        </w:rPr>
        <w:t xml:space="preserve">standards in </w:t>
      </w:r>
      <w:r>
        <w:rPr>
          <w:rFonts w:ascii="Arial"/>
          <w:color w:val="000000"/>
          <w:sz w:val="24"/>
        </w:rPr>
        <w:t>cl 6.14</w:t>
      </w:r>
      <w:r>
        <w:rPr>
          <w:rFonts w:ascii="Arial"/>
          <w:color w:val="000000"/>
          <w:sz w:val="24"/>
        </w:rPr>
        <w:t>(4)</w:t>
      </w:r>
      <w:r>
        <w:rPr>
          <w:rFonts w:ascii="Arial"/>
          <w:color w:val="000000"/>
          <w:sz w:val="24"/>
        </w:rPr>
        <w:t xml:space="preserve">(c) and (d). </w:t>
      </w:r>
    </w:p>
    <w:p>
      <w:pPr>
        <w:pStyle w:val="CaselawNumbered10"/>
        <w:numPr>
          <w:ilvl w:val="0"/>
          <w:numId w:val="110"/>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 xml:space="preserve">equest states that the SEE prepared by Glenn dated January </w:t>
      </w:r>
      <w:r>
        <w:rPr>
          <w:rFonts w:ascii="Arial"/>
          <w:color w:val="000000"/>
          <w:sz w:val="24"/>
        </w:rPr>
        <w:t>20</w:t>
      </w:r>
      <w:r>
        <w:rPr>
          <w:rFonts w:ascii="Arial"/>
          <w:color w:val="000000"/>
          <w:sz w:val="24"/>
        </w:rPr>
        <w:t xml:space="preserve">23 accompanying the original DA demonstrates all other requirements of cl 6.14(4) have </w:t>
      </w:r>
      <w:r>
        <w:rPr>
          <w:rFonts w:ascii="Arial"/>
          <w:color w:val="000000"/>
          <w:sz w:val="24"/>
        </w:rPr>
        <w:t>been</w:t>
      </w:r>
      <w:r>
        <w:rPr>
          <w:rFonts w:ascii="Arial"/>
          <w:color w:val="000000"/>
          <w:sz w:val="24"/>
        </w:rPr>
        <w:t xml:space="preserve"> </w:t>
      </w:r>
      <w:r>
        <w:rPr>
          <w:rFonts w:ascii="Arial"/>
          <w:color w:val="000000"/>
          <w:sz w:val="24"/>
        </w:rPr>
        <w:t xml:space="preserve">met. As </w:t>
      </w:r>
      <w:r>
        <w:rPr>
          <w:rFonts w:ascii="Arial"/>
          <w:color w:val="000000"/>
          <w:sz w:val="24"/>
        </w:rPr>
        <w:t>such, discretion</w:t>
      </w:r>
      <w:r>
        <w:rPr>
          <w:rFonts w:ascii="Arial"/>
          <w:color w:val="000000"/>
          <w:sz w:val="24"/>
        </w:rPr>
        <w:t xml:space="preserve"> </w:t>
      </w:r>
      <w:r>
        <w:rPr>
          <w:rFonts w:ascii="Arial"/>
          <w:color w:val="000000"/>
          <w:sz w:val="24"/>
        </w:rPr>
        <w:t xml:space="preserve">is available to the </w:t>
      </w:r>
      <w:r>
        <w:rPr>
          <w:rFonts w:ascii="Arial"/>
          <w:color w:val="000000"/>
          <w:sz w:val="24"/>
        </w:rPr>
        <w:t>C</w:t>
      </w:r>
      <w:r>
        <w:rPr>
          <w:rFonts w:ascii="Arial"/>
          <w:color w:val="000000"/>
          <w:sz w:val="24"/>
        </w:rPr>
        <w:t xml:space="preserve">ourt to approve the additional height available under cl 6.14(2) subject to a variation being granted to the requirements of </w:t>
      </w:r>
      <w:r>
        <w:rPr>
          <w:rFonts w:ascii="Arial"/>
          <w:color w:val="000000"/>
          <w:sz w:val="24"/>
        </w:rPr>
        <w:t>subcll</w:t>
      </w:r>
      <w:r>
        <w:rPr>
          <w:rFonts w:ascii="Arial"/>
          <w:color w:val="000000"/>
          <w:sz w:val="24"/>
        </w:rPr>
        <w:t xml:space="preserve"> </w:t>
      </w:r>
      <w:r>
        <w:rPr>
          <w:rFonts w:ascii="Arial"/>
          <w:color w:val="000000"/>
          <w:sz w:val="24"/>
        </w:rPr>
        <w:t xml:space="preserve">(c) and (d). At p 12 the </w:t>
      </w:r>
      <w:r>
        <w:rPr>
          <w:rFonts w:ascii="Arial"/>
          <w:color w:val="000000"/>
          <w:sz w:val="24"/>
        </w:rPr>
        <w:t>R</w:t>
      </w:r>
      <w:r>
        <w:rPr>
          <w:rFonts w:ascii="Arial"/>
          <w:color w:val="000000"/>
          <w:sz w:val="24"/>
        </w:rPr>
        <w:t xml:space="preserve">equest states that the revised drawings Stage 1 </w:t>
      </w:r>
      <w:r>
        <w:rPr>
          <w:rFonts w:ascii="Arial"/>
          <w:color w:val="000000"/>
          <w:sz w:val="24"/>
        </w:rPr>
        <w:t>D</w:t>
      </w:r>
      <w:r>
        <w:rPr>
          <w:rFonts w:ascii="Arial"/>
          <w:color w:val="000000"/>
          <w:sz w:val="24"/>
        </w:rPr>
        <w:t xml:space="preserve">A plan </w:t>
      </w:r>
      <w:r>
        <w:rPr>
          <w:rFonts w:ascii="Arial"/>
          <w:color w:val="000000"/>
          <w:sz w:val="24"/>
        </w:rPr>
        <w:t>B</w:t>
      </w:r>
      <w:r>
        <w:rPr>
          <w:rFonts w:ascii="Arial"/>
          <w:color w:val="000000"/>
          <w:sz w:val="24"/>
        </w:rPr>
        <w:t xml:space="preserve">asement </w:t>
      </w:r>
      <w:r>
        <w:rPr>
          <w:rFonts w:ascii="Arial"/>
          <w:color w:val="000000"/>
          <w:sz w:val="24"/>
        </w:rPr>
        <w:t>L</w:t>
      </w:r>
      <w:r>
        <w:rPr>
          <w:rFonts w:ascii="Arial"/>
          <w:color w:val="000000"/>
          <w:sz w:val="24"/>
        </w:rPr>
        <w:t>evel 01 indicate the location and extent of the proposed setback variations being sought (</w:t>
      </w:r>
      <w:r>
        <w:rPr>
          <w:rFonts w:ascii="Arial"/>
          <w:color w:val="000000"/>
          <w:sz w:val="24"/>
        </w:rPr>
        <w:t>F</w:t>
      </w:r>
      <w:r>
        <w:rPr>
          <w:rFonts w:ascii="Arial"/>
          <w:color w:val="000000"/>
          <w:sz w:val="24"/>
        </w:rPr>
        <w:t xml:space="preserve">igs 4 and 5). </w:t>
      </w:r>
    </w:p>
    <w:p>
      <w:pPr>
        <w:pStyle w:val="CaselawNormal"/>
        <w:spacing w:before="150" w:after="150"/>
        <w:ind w:left="600"/>
        <w:jc w:val="left"/>
      </w:pPr>
      <w:r>
        <w:drawing>
          <wp:inline distT="0" distB="0" distL="0" distR="0">
            <wp:extent cx="4974550" cy="28067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0"/>
                    <a:stretch>
                      <a:fillRect/>
                    </a:stretch>
                  </pic:blipFill>
                  <pic:spPr>
                    <a:xfrm>
                      <a:off x="0" y="0"/>
                      <a:ext cx="4974550" cy="2806700"/>
                    </a:xfrm>
                    <a:prstGeom prst="rect">
                      <a:avLst/>
                    </a:prstGeom>
                  </pic:spPr>
                </pic:pic>
              </a:graphicData>
            </a:graphic>
          </wp:inline>
        </w:drawing>
      </w:r>
    </w:p>
    <w:p>
      <w:pPr>
        <w:pStyle w:val="CaselawNormal"/>
        <w:spacing w:before="150" w:after="150"/>
        <w:ind w:left="600"/>
        <w:jc w:val="left"/>
      </w:pPr>
      <w:r>
        <w:drawing>
          <wp:inline distT="0" distB="0" distL="0" distR="0">
            <wp:extent cx="4984338" cy="28829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1"/>
                    <a:stretch>
                      <a:fillRect/>
                    </a:stretch>
                  </pic:blipFill>
                  <pic:spPr>
                    <a:xfrm>
                      <a:off x="0" y="0"/>
                      <a:ext cx="4984338" cy="2882900"/>
                    </a:xfrm>
                    <a:prstGeom prst="rect">
                      <a:avLst/>
                    </a:prstGeom>
                  </pic:spPr>
                </pic:pic>
              </a:graphicData>
            </a:graphic>
          </wp:inline>
        </w:drawing>
      </w:r>
    </w:p>
    <w:p>
      <w:pPr>
        <w:pStyle w:val="CaselawNumbered10"/>
        <w:numPr>
          <w:ilvl w:val="0"/>
          <w:numId w:val="111"/>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 xml:space="preserve">equest emphasises that the variations only relate to the basement levels. Above ground, the building </w:t>
      </w:r>
      <w:r>
        <w:rPr>
          <w:rFonts w:ascii="Arial"/>
          <w:color w:val="000000"/>
          <w:sz w:val="24"/>
        </w:rPr>
        <w:t xml:space="preserve">are accepted to </w:t>
      </w:r>
      <w:r>
        <w:rPr>
          <w:rFonts w:ascii="Arial"/>
          <w:color w:val="000000"/>
          <w:sz w:val="24"/>
        </w:rPr>
        <w:t>compl</w:t>
      </w:r>
      <w:r>
        <w:rPr>
          <w:rFonts w:ascii="Arial"/>
          <w:color w:val="000000"/>
          <w:sz w:val="24"/>
        </w:rPr>
        <w:t>y</w:t>
      </w:r>
      <w:r>
        <w:rPr>
          <w:rFonts w:ascii="Arial"/>
          <w:color w:val="000000"/>
          <w:sz w:val="24"/>
        </w:rPr>
        <w:t xml:space="preserve"> </w:t>
      </w:r>
      <w:r>
        <w:rPr>
          <w:rFonts w:ascii="Arial"/>
          <w:color w:val="000000"/>
          <w:sz w:val="24"/>
        </w:rPr>
        <w:t xml:space="preserve">with the southern and eastern setback requirements </w:t>
      </w:r>
      <w:r>
        <w:rPr>
          <w:rFonts w:ascii="Arial"/>
          <w:color w:val="000000"/>
          <w:sz w:val="24"/>
        </w:rPr>
        <w:t>cl 6.14(4)</w:t>
      </w:r>
      <w:r>
        <w:rPr>
          <w:rFonts w:ascii="Arial"/>
          <w:color w:val="000000"/>
          <w:sz w:val="24"/>
        </w:rPr>
        <w:t xml:space="preserve">(c) and (d). </w:t>
      </w:r>
    </w:p>
    <w:p>
      <w:pPr>
        <w:pStyle w:val="CaselawHeading4"/>
        <w:keepNext/>
        <w:spacing w:before="150" w:after="150" w:line="264"/>
        <w:ind w:left="600"/>
        <w:jc w:val="left"/>
      </w:pPr>
      <w:r>
        <w:rPr>
          <w:rFonts w:ascii="Arial"/>
        </w:rPr>
        <w:t>Southern setback</w:t>
      </w:r>
      <w:r>
        <w:rPr>
          <w:rFonts w:ascii="Arial"/>
        </w:rPr>
        <w:t xml:space="preserve"> </w:t>
      </w:r>
    </w:p>
    <w:p>
      <w:pPr>
        <w:pStyle w:val="CaselawNumbered10"/>
        <w:numPr>
          <w:ilvl w:val="0"/>
          <w:numId w:val="112"/>
        </w:numPr>
        <w:spacing w:before="150" w:after="0"/>
        <w:ind w:left="600" w:hanging="600"/>
      </w:pPr>
      <w:r>
        <w:rPr>
          <w:rFonts w:ascii="Arial"/>
          <w:color w:val="000000"/>
          <w:sz w:val="24"/>
        </w:rPr>
        <w:t xml:space="preserve">A large portion of the existing basement structure is proposed to be retained as part of the </w:t>
      </w:r>
      <w:r>
        <w:rPr>
          <w:rFonts w:ascii="Arial"/>
          <w:color w:val="000000"/>
          <w:sz w:val="24"/>
        </w:rPr>
        <w:t>S</w:t>
      </w:r>
      <w:r>
        <w:rPr>
          <w:rFonts w:ascii="Arial"/>
          <w:color w:val="000000"/>
          <w:sz w:val="24"/>
        </w:rPr>
        <w:t>tage 1 DA works. Access to that basement is from the existing at</w:t>
      </w:r>
      <w:r>
        <w:rPr>
          <w:rFonts w:ascii="Arial"/>
          <w:color w:val="000000"/>
          <w:sz w:val="24"/>
        </w:rPr>
        <w:t>-</w:t>
      </w:r>
      <w:r>
        <w:rPr>
          <w:rFonts w:ascii="Arial"/>
          <w:color w:val="000000"/>
          <w:sz w:val="24"/>
        </w:rPr>
        <w:t>grade car park. The existing use for car parking and storage functions will continue.</w:t>
      </w:r>
    </w:p>
    <w:p>
      <w:pPr>
        <w:pStyle w:val="CaselawNumbered10"/>
        <w:numPr>
          <w:ilvl w:val="0"/>
          <w:numId w:val="112"/>
        </w:numPr>
        <w:spacing w:before="150" w:after="0"/>
        <w:ind w:left="600" w:hanging="600"/>
      </w:pPr>
      <w:r>
        <w:rPr>
          <w:rFonts w:ascii="Arial"/>
          <w:color w:val="000000"/>
          <w:sz w:val="24"/>
        </w:rPr>
        <w:t>The encroachment of the existing basement level into the 10-metre setback varies between 6.4m and 7.6m. The basement level also encroaches into the setback at the southwestern corner between 2.8</w:t>
      </w:r>
      <w:r>
        <w:rPr>
          <w:rFonts w:ascii="Arial"/>
          <w:color w:val="000000"/>
          <w:sz w:val="24"/>
        </w:rPr>
        <w:t>m</w:t>
      </w:r>
      <w:r>
        <w:rPr>
          <w:rFonts w:ascii="Arial"/>
          <w:color w:val="000000"/>
          <w:sz w:val="24"/>
        </w:rPr>
        <w:t xml:space="preserve"> </w:t>
      </w:r>
      <w:r>
        <w:rPr>
          <w:rFonts w:ascii="Arial"/>
          <w:color w:val="000000"/>
          <w:sz w:val="24"/>
        </w:rPr>
        <w:t>and 2.9</w:t>
      </w:r>
      <w:r>
        <w:rPr>
          <w:rFonts w:ascii="Arial"/>
          <w:color w:val="000000"/>
          <w:sz w:val="24"/>
        </w:rPr>
        <w:t>m</w:t>
      </w:r>
      <w:r>
        <w:rPr>
          <w:rFonts w:ascii="Arial"/>
          <w:color w:val="000000"/>
          <w:sz w:val="24"/>
        </w:rPr>
        <w:t xml:space="preserve"> </w:t>
      </w:r>
      <w:r>
        <w:rPr>
          <w:rFonts w:ascii="Arial"/>
          <w:color w:val="000000"/>
          <w:sz w:val="24"/>
        </w:rPr>
        <w:t>(</w:t>
      </w:r>
      <w:r>
        <w:rPr>
          <w:rFonts w:ascii="Arial"/>
          <w:color w:val="000000"/>
          <w:sz w:val="24"/>
        </w:rPr>
        <w:t>F</w:t>
      </w:r>
      <w:r>
        <w:rPr>
          <w:rFonts w:ascii="Arial"/>
          <w:color w:val="000000"/>
          <w:sz w:val="24"/>
        </w:rPr>
        <w:t xml:space="preserve">ig 6). The encroachment results in a setback from the southern boundary that varies between 2.5m and </w:t>
      </w:r>
      <w:r>
        <w:rPr>
          <w:rFonts w:ascii="Arial"/>
          <w:color w:val="000000"/>
          <w:sz w:val="24"/>
        </w:rPr>
        <w:t>3.5m for</w:t>
      </w:r>
      <w:r>
        <w:rPr>
          <w:rFonts w:ascii="Arial"/>
          <w:color w:val="000000"/>
          <w:sz w:val="24"/>
        </w:rPr>
        <w:t xml:space="preserve"> </w:t>
      </w:r>
      <w:r>
        <w:rPr>
          <w:rFonts w:ascii="Arial"/>
          <w:color w:val="000000"/>
          <w:sz w:val="24"/>
        </w:rPr>
        <w:t>the main basement structure and 7.2</w:t>
      </w:r>
      <w:r>
        <w:rPr>
          <w:rFonts w:ascii="Arial"/>
          <w:color w:val="000000"/>
          <w:sz w:val="24"/>
        </w:rPr>
        <w:t>m</w:t>
      </w:r>
      <w:r>
        <w:rPr>
          <w:rFonts w:ascii="Arial"/>
          <w:color w:val="000000"/>
          <w:sz w:val="24"/>
        </w:rPr>
        <w:t xml:space="preserve"> </w:t>
      </w:r>
      <w:r>
        <w:rPr>
          <w:rFonts w:ascii="Arial"/>
          <w:color w:val="000000"/>
          <w:sz w:val="24"/>
        </w:rPr>
        <w:t xml:space="preserve">for the southwestern variation. </w:t>
      </w:r>
    </w:p>
    <w:p>
      <w:pPr>
        <w:pStyle w:val="CaselawHeading4"/>
        <w:keepNext/>
        <w:spacing w:before="150" w:after="150" w:line="264"/>
        <w:ind w:left="600"/>
        <w:jc w:val="left"/>
      </w:pPr>
      <w:r>
        <w:rPr>
          <w:rFonts w:ascii="Arial"/>
        </w:rPr>
        <w:t>E</w:t>
      </w:r>
      <w:r>
        <w:rPr>
          <w:rFonts w:ascii="Arial"/>
        </w:rPr>
        <w:t>astern setback</w:t>
      </w:r>
    </w:p>
    <w:p>
      <w:pPr>
        <w:pStyle w:val="CaselawNumbered10"/>
        <w:numPr>
          <w:ilvl w:val="0"/>
          <w:numId w:val="113"/>
        </w:numPr>
        <w:spacing w:before="150" w:after="0"/>
        <w:ind w:left="600" w:hanging="600"/>
      </w:pPr>
      <w:r>
        <w:rPr>
          <w:rFonts w:ascii="Arial"/>
          <w:color w:val="000000"/>
          <w:sz w:val="24"/>
        </w:rPr>
        <w:t xml:space="preserve">The </w:t>
      </w:r>
      <w:r>
        <w:rPr>
          <w:rFonts w:ascii="Arial"/>
          <w:color w:val="000000"/>
          <w:sz w:val="24"/>
        </w:rPr>
        <w:t>S</w:t>
      </w:r>
      <w:r>
        <w:rPr>
          <w:rFonts w:ascii="Arial"/>
          <w:color w:val="000000"/>
          <w:sz w:val="24"/>
        </w:rPr>
        <w:t xml:space="preserve">tage 1 DA involves constructing a portion of </w:t>
      </w:r>
      <w:r>
        <w:rPr>
          <w:rFonts w:ascii="Arial"/>
          <w:color w:val="000000"/>
          <w:sz w:val="24"/>
        </w:rPr>
        <w:t>B</w:t>
      </w:r>
      <w:r>
        <w:rPr>
          <w:rFonts w:ascii="Arial"/>
          <w:color w:val="000000"/>
          <w:sz w:val="24"/>
        </w:rPr>
        <w:t xml:space="preserve">asement </w:t>
      </w:r>
      <w:r>
        <w:rPr>
          <w:rFonts w:ascii="Arial"/>
          <w:color w:val="000000"/>
          <w:sz w:val="24"/>
        </w:rPr>
        <w:t>L</w:t>
      </w:r>
      <w:r>
        <w:rPr>
          <w:rFonts w:ascii="Arial"/>
          <w:color w:val="000000"/>
          <w:sz w:val="24"/>
        </w:rPr>
        <w:t>evel 01</w:t>
      </w:r>
      <w:r>
        <w:rPr>
          <w:rFonts w:ascii="Arial"/>
          <w:color w:val="000000"/>
          <w:sz w:val="24"/>
        </w:rPr>
        <w:t xml:space="preserve"> </w:t>
      </w:r>
      <w:r>
        <w:rPr>
          <w:rFonts w:ascii="Arial"/>
          <w:color w:val="000000"/>
          <w:sz w:val="24"/>
        </w:rPr>
        <w:t xml:space="preserve">and </w:t>
      </w:r>
      <w:r>
        <w:rPr>
          <w:rFonts w:ascii="Arial"/>
          <w:color w:val="000000"/>
          <w:sz w:val="24"/>
        </w:rPr>
        <w:t>02 into the 15m setback on the eastern part of the development. The encroachment is about 7.5m into the 15m setback (</w:t>
      </w:r>
      <w:r>
        <w:rPr>
          <w:rFonts w:ascii="Arial"/>
          <w:color w:val="000000"/>
          <w:sz w:val="24"/>
        </w:rPr>
        <w:t>F</w:t>
      </w:r>
      <w:r>
        <w:rPr>
          <w:rFonts w:ascii="Arial"/>
          <w:color w:val="000000"/>
          <w:sz w:val="24"/>
        </w:rPr>
        <w:t>igs 7 and 8).</w:t>
      </w:r>
      <w:r>
        <w:rPr>
          <w:rFonts w:ascii="Arial"/>
          <w:color w:val="000000"/>
          <w:sz w:val="24"/>
        </w:rPr>
        <w:t xml:space="preserve"> </w:t>
      </w:r>
      <w:r>
        <w:rPr>
          <w:rFonts w:ascii="Arial"/>
          <w:color w:val="000000"/>
          <w:sz w:val="24"/>
        </w:rPr>
        <w:t>T</w:t>
      </w:r>
      <w:r>
        <w:rPr>
          <w:rFonts w:ascii="Arial"/>
          <w:color w:val="000000"/>
          <w:sz w:val="24"/>
        </w:rPr>
        <w:t xml:space="preserve">his encroachment does not affect the deep soil zone which runs north-south along the eastern boundary and has a width of 6m. </w:t>
      </w:r>
      <w:r>
        <w:rPr>
          <w:rFonts w:ascii="Arial"/>
          <w:color w:val="000000"/>
          <w:sz w:val="24"/>
        </w:rPr>
        <w:t>T</w:t>
      </w:r>
      <w:r>
        <w:rPr>
          <w:rFonts w:ascii="Arial"/>
          <w:color w:val="000000"/>
          <w:sz w:val="24"/>
        </w:rPr>
        <w:t xml:space="preserve">he </w:t>
      </w:r>
      <w:r>
        <w:rPr>
          <w:rFonts w:ascii="Arial"/>
          <w:color w:val="000000"/>
          <w:sz w:val="24"/>
        </w:rPr>
        <w:t>a</w:t>
      </w:r>
      <w:r>
        <w:rPr>
          <w:rFonts w:ascii="Arial"/>
          <w:color w:val="000000"/>
          <w:sz w:val="24"/>
        </w:rPr>
        <w:t xml:space="preserve">rea of encroachment will be used as car parking for retail customers and childcare centre and plant on </w:t>
      </w:r>
      <w:r>
        <w:rPr>
          <w:rFonts w:ascii="Arial"/>
          <w:color w:val="000000"/>
          <w:sz w:val="24"/>
        </w:rPr>
        <w:t>B</w:t>
      </w:r>
      <w:r>
        <w:rPr>
          <w:rFonts w:ascii="Arial"/>
          <w:color w:val="000000"/>
          <w:sz w:val="24"/>
        </w:rPr>
        <w:t xml:space="preserve">asement </w:t>
      </w:r>
      <w:r>
        <w:rPr>
          <w:rFonts w:ascii="Arial"/>
          <w:color w:val="000000"/>
          <w:sz w:val="24"/>
        </w:rPr>
        <w:t xml:space="preserve">Level </w:t>
      </w:r>
      <w:r>
        <w:rPr>
          <w:rFonts w:ascii="Arial"/>
          <w:color w:val="000000"/>
          <w:sz w:val="24"/>
        </w:rPr>
        <w:t>01 and car parking and storage for the residents of St</w:t>
      </w:r>
      <w:r>
        <w:rPr>
          <w:rFonts w:ascii="Arial"/>
          <w:color w:val="000000"/>
          <w:sz w:val="24"/>
        </w:rPr>
        <w:t>a</w:t>
      </w:r>
      <w:r>
        <w:rPr>
          <w:rFonts w:ascii="Arial"/>
          <w:color w:val="000000"/>
          <w:sz w:val="24"/>
        </w:rPr>
        <w:t>ge</w:t>
      </w:r>
      <w:r>
        <w:rPr>
          <w:rFonts w:ascii="Arial"/>
          <w:color w:val="000000"/>
          <w:sz w:val="24"/>
        </w:rPr>
        <w:t xml:space="preserve"> </w:t>
      </w:r>
      <w:r>
        <w:rPr>
          <w:rFonts w:ascii="Arial"/>
          <w:color w:val="000000"/>
          <w:sz w:val="24"/>
        </w:rPr>
        <w:t xml:space="preserve">1 on </w:t>
      </w:r>
      <w:r>
        <w:rPr>
          <w:rFonts w:ascii="Arial"/>
          <w:color w:val="000000"/>
          <w:sz w:val="24"/>
        </w:rPr>
        <w:t>B</w:t>
      </w:r>
      <w:r>
        <w:rPr>
          <w:rFonts w:ascii="Arial"/>
          <w:color w:val="000000"/>
          <w:sz w:val="24"/>
        </w:rPr>
        <w:t xml:space="preserve">asement </w:t>
      </w:r>
      <w:r>
        <w:rPr>
          <w:rFonts w:ascii="Arial"/>
          <w:color w:val="000000"/>
          <w:sz w:val="24"/>
        </w:rPr>
        <w:t xml:space="preserve">Level </w:t>
      </w:r>
      <w:r>
        <w:rPr>
          <w:rFonts w:ascii="Arial"/>
          <w:color w:val="000000"/>
          <w:sz w:val="24"/>
        </w:rPr>
        <w:t xml:space="preserve">02. The proposed eastern setback for both levels is 7.5m. </w:t>
      </w:r>
    </w:p>
    <w:p>
      <w:pPr>
        <w:pStyle w:val="CaselawNumbered10"/>
        <w:numPr>
          <w:ilvl w:val="0"/>
          <w:numId w:val="113"/>
        </w:numPr>
        <w:spacing w:before="150" w:after="0"/>
        <w:ind w:left="600" w:hanging="600"/>
      </w:pPr>
      <w:r>
        <w:rPr>
          <w:rFonts w:ascii="Arial"/>
          <w:color w:val="000000"/>
          <w:sz w:val="24"/>
        </w:rPr>
        <w:t xml:space="preserve">Clause 6.14 does not specify any </w:t>
      </w:r>
      <w:r>
        <w:rPr>
          <w:rFonts w:ascii="Arial"/>
          <w:color w:val="000000"/>
          <w:sz w:val="24"/>
        </w:rPr>
        <w:t>objectives,</w:t>
      </w:r>
      <w:r>
        <w:rPr>
          <w:rFonts w:ascii="Arial"/>
          <w:color w:val="000000"/>
          <w:sz w:val="24"/>
        </w:rPr>
        <w:t xml:space="preserve"> </w:t>
      </w:r>
      <w:r>
        <w:rPr>
          <w:rFonts w:ascii="Arial"/>
          <w:color w:val="000000"/>
          <w:sz w:val="24"/>
        </w:rPr>
        <w:t xml:space="preserve">therefore the </w:t>
      </w:r>
      <w:r>
        <w:rPr>
          <w:rFonts w:ascii="Arial"/>
          <w:color w:val="000000"/>
          <w:sz w:val="24"/>
        </w:rPr>
        <w:t>R</w:t>
      </w:r>
      <w:r>
        <w:rPr>
          <w:rFonts w:ascii="Arial"/>
          <w:color w:val="000000"/>
          <w:sz w:val="24"/>
        </w:rPr>
        <w:t>equest has infer</w:t>
      </w:r>
      <w:r>
        <w:rPr>
          <w:rFonts w:ascii="Arial"/>
          <w:color w:val="000000"/>
          <w:sz w:val="24"/>
        </w:rPr>
        <w:t>red</w:t>
      </w:r>
      <w:r>
        <w:rPr>
          <w:rFonts w:ascii="Arial"/>
          <w:color w:val="000000"/>
          <w:sz w:val="24"/>
        </w:rPr>
        <w:t xml:space="preserve"> </w:t>
      </w:r>
      <w:r>
        <w:rPr>
          <w:rFonts w:ascii="Arial"/>
          <w:color w:val="000000"/>
          <w:sz w:val="24"/>
        </w:rPr>
        <w:t xml:space="preserve">the objectives of the standard. The </w:t>
      </w:r>
      <w:r>
        <w:rPr>
          <w:rFonts w:ascii="Arial"/>
          <w:color w:val="000000"/>
          <w:sz w:val="24"/>
        </w:rPr>
        <w:t>R</w:t>
      </w:r>
      <w:r>
        <w:rPr>
          <w:rFonts w:ascii="Arial"/>
          <w:color w:val="000000"/>
          <w:sz w:val="24"/>
        </w:rPr>
        <w:t xml:space="preserve">equest aligns the objectives with the objectives prescribed in cl 4.3 of LEP </w:t>
      </w:r>
      <w:r>
        <w:rPr>
          <w:rFonts w:ascii="Arial"/>
          <w:color w:val="000000"/>
          <w:sz w:val="24"/>
        </w:rPr>
        <w:t xml:space="preserve">2015 </w:t>
      </w:r>
      <w:r>
        <w:rPr>
          <w:rFonts w:ascii="Arial"/>
          <w:color w:val="000000"/>
          <w:sz w:val="24"/>
        </w:rPr>
        <w:t xml:space="preserve">which deals with the maximum height of buildings. </w:t>
      </w:r>
      <w:r>
        <w:rPr>
          <w:rFonts w:ascii="Arial"/>
          <w:color w:val="000000"/>
          <w:sz w:val="24"/>
        </w:rPr>
        <w:t>Table</w:t>
      </w:r>
      <w:r>
        <w:rPr>
          <w:rFonts w:ascii="Arial"/>
          <w:color w:val="000000"/>
          <w:sz w:val="24"/>
        </w:rPr>
        <w:t xml:space="preserve"> </w:t>
      </w:r>
      <w:r>
        <w:rPr>
          <w:rFonts w:ascii="Arial"/>
          <w:color w:val="000000"/>
          <w:sz w:val="24"/>
        </w:rPr>
        <w:t xml:space="preserve">1 assesses the development against the objectives in cl 4.3 and I accept </w:t>
      </w:r>
      <w:r>
        <w:rPr>
          <w:rFonts w:ascii="Arial"/>
          <w:color w:val="000000"/>
          <w:sz w:val="24"/>
        </w:rPr>
        <w:t>that the</w:t>
      </w:r>
      <w:r>
        <w:rPr>
          <w:rFonts w:ascii="Arial"/>
          <w:color w:val="000000"/>
          <w:sz w:val="24"/>
        </w:rPr>
        <w:t xml:space="preserve"> </w:t>
      </w:r>
      <w:r>
        <w:rPr>
          <w:rFonts w:ascii="Arial"/>
          <w:color w:val="000000"/>
          <w:sz w:val="24"/>
        </w:rPr>
        <w:t>assessment demonstrates that the proposed height of the Stage 1 DA achieves the infer</w:t>
      </w:r>
      <w:r>
        <w:rPr>
          <w:rFonts w:ascii="Arial"/>
          <w:color w:val="000000"/>
          <w:sz w:val="24"/>
        </w:rPr>
        <w:t>r</w:t>
      </w:r>
      <w:r>
        <w:rPr>
          <w:rFonts w:ascii="Arial"/>
          <w:color w:val="000000"/>
          <w:sz w:val="24"/>
        </w:rPr>
        <w:t xml:space="preserve">ed objectives of cl 6.14(4)(c) and (d) notwithstanding the non-compliances for the reasons stated in Table 1 </w:t>
      </w:r>
      <w:r>
        <w:rPr>
          <w:rFonts w:ascii="Arial"/>
          <w:color w:val="000000"/>
          <w:sz w:val="24"/>
        </w:rPr>
        <w:t xml:space="preserve">(Request pp 16-18) </w:t>
      </w:r>
      <w:r>
        <w:rPr>
          <w:rFonts w:ascii="Arial"/>
          <w:color w:val="000000"/>
          <w:sz w:val="24"/>
        </w:rPr>
        <w:t xml:space="preserve">as set out below: </w:t>
      </w:r>
    </w:p>
    <w:p>
      <w:pPr>
        <w:pStyle w:val="CaselawNormal"/>
        <w:spacing w:before="150" w:after="150"/>
        <w:ind w:left="600"/>
        <w:jc w:val="left"/>
      </w:pPr>
      <w:r>
        <w:drawing>
          <wp:inline distT="0" distB="0" distL="0" distR="0">
            <wp:extent cx="5134980" cy="15240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2"/>
                    <a:stretch>
                      <a:fillRect/>
                    </a:stretch>
                  </pic:blipFill>
                  <pic:spPr>
                    <a:xfrm>
                      <a:off x="0" y="0"/>
                      <a:ext cx="5134980" cy="1524000"/>
                    </a:xfrm>
                    <a:prstGeom prst="rect">
                      <a:avLst/>
                    </a:prstGeom>
                  </pic:spPr>
                </pic:pic>
              </a:graphicData>
            </a:graphic>
          </wp:inline>
        </w:drawing>
      </w:r>
    </w:p>
    <w:p>
      <w:pPr>
        <w:pStyle w:val="CaselawNormal"/>
        <w:spacing w:before="150" w:after="150"/>
        <w:ind w:left="600"/>
        <w:jc w:val="left"/>
      </w:pPr>
      <w:r>
        <w:drawing>
          <wp:inline distT="0" distB="0" distL="0" distR="0">
            <wp:extent cx="5042115" cy="692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3"/>
                    <a:stretch>
                      <a:fillRect/>
                    </a:stretch>
                  </pic:blipFill>
                  <pic:spPr>
                    <a:xfrm>
                      <a:off x="0" y="0"/>
                      <a:ext cx="5042115" cy="6921500"/>
                    </a:xfrm>
                    <a:prstGeom prst="rect">
                      <a:avLst/>
                    </a:prstGeom>
                  </pic:spPr>
                </pic:pic>
              </a:graphicData>
            </a:graphic>
          </wp:inline>
        </w:drawing>
      </w:r>
    </w:p>
    <w:p>
      <w:pPr>
        <w:pStyle w:val="CaselawNormal"/>
        <w:spacing w:before="150" w:after="150"/>
        <w:ind w:left="600"/>
        <w:jc w:val="left"/>
      </w:pPr>
      <w:r>
        <w:drawing>
          <wp:inline distT="0" distB="0" distL="0" distR="0">
            <wp:extent cx="5219595" cy="34798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4"/>
                    <a:stretch>
                      <a:fillRect/>
                    </a:stretch>
                  </pic:blipFill>
                  <pic:spPr>
                    <a:xfrm>
                      <a:off x="0" y="0"/>
                      <a:ext cx="5219595" cy="3479800"/>
                    </a:xfrm>
                    <a:prstGeom prst="rect">
                      <a:avLst/>
                    </a:prstGeom>
                  </pic:spPr>
                </pic:pic>
              </a:graphicData>
            </a:graphic>
          </wp:inline>
        </w:drawing>
      </w:r>
    </w:p>
    <w:p>
      <w:pPr>
        <w:pStyle w:val="CaselawNumbered10"/>
        <w:numPr>
          <w:ilvl w:val="0"/>
          <w:numId w:val="114"/>
        </w:numPr>
        <w:spacing w:before="150" w:after="0"/>
        <w:ind w:left="600" w:hanging="600"/>
      </w:pPr>
      <w:r>
        <w:rPr>
          <w:rFonts w:ascii="Arial"/>
          <w:color w:val="000000"/>
          <w:sz w:val="24"/>
        </w:rPr>
        <w:t>Accordingly, as the inferred objectives are achieved in this case</w:t>
      </w:r>
      <w:r>
        <w:rPr>
          <w:rFonts w:ascii="Arial"/>
          <w:color w:val="000000"/>
          <w:sz w:val="24"/>
        </w:rPr>
        <w:t>,</w:t>
      </w:r>
      <w:r>
        <w:rPr>
          <w:rFonts w:ascii="Arial"/>
          <w:color w:val="000000"/>
          <w:sz w:val="24"/>
        </w:rPr>
        <w:t xml:space="preserve"> </w:t>
      </w:r>
      <w:r>
        <w:rPr>
          <w:rFonts w:ascii="Arial"/>
          <w:color w:val="000000"/>
          <w:sz w:val="24"/>
        </w:rPr>
        <w:t>I accept that compliance with the height of building development standard is demonstrated to be unreasonable and unnecessary in this case and cl 4.6(3)(a) is thereby satisfied</w:t>
      </w:r>
      <w:r>
        <w:rPr>
          <w:rFonts w:ascii="Arial"/>
          <w:color w:val="000000"/>
          <w:sz w:val="24"/>
        </w:rPr>
        <w:t>:</w:t>
      </w:r>
      <w:r>
        <w:rPr>
          <w:rFonts w:ascii="Arial"/>
          <w:color w:val="000000"/>
          <w:sz w:val="24"/>
        </w:rPr>
        <w:t xml:space="preserve"> </w:t>
      </w:r>
      <w:r>
        <w:rPr>
          <w:rFonts w:ascii="Arial"/>
          <w:i/>
          <w:color w:val="000000"/>
          <w:sz w:val="24"/>
        </w:rPr>
        <w:t xml:space="preserve">Wehbe v Pittwater </w:t>
      </w:r>
      <w:r>
        <w:rPr>
          <w:rFonts w:ascii="Arial"/>
          <w:i/>
          <w:color w:val="000000"/>
          <w:sz w:val="24"/>
        </w:rPr>
        <w:t xml:space="preserve">Council </w:t>
      </w:r>
      <w:r>
        <w:rPr>
          <w:rFonts w:ascii="Arial"/>
          <w:color w:val="000000"/>
          <w:sz w:val="24"/>
        </w:rPr>
        <w:t>(2007) 156 LGERA 446; [2007] NSWLEC 827</w:t>
      </w:r>
      <w:r>
        <w:rPr>
          <w:rFonts w:ascii="Arial"/>
          <w:color w:val="000000"/>
          <w:sz w:val="24"/>
        </w:rPr>
        <w:t xml:space="preserve"> </w:t>
      </w:r>
      <w:r>
        <w:rPr>
          <w:rFonts w:ascii="Arial"/>
          <w:color w:val="000000"/>
          <w:sz w:val="24"/>
        </w:rPr>
        <w:t>(</w:t>
      </w:r>
      <w:r>
        <w:rPr>
          <w:rFonts w:ascii="Arial"/>
          <w:i/>
          <w:color w:val="000000"/>
          <w:sz w:val="24"/>
        </w:rPr>
        <w:t>Wehbe</w:t>
      </w:r>
      <w:r>
        <w:rPr>
          <w:rFonts w:ascii="Arial"/>
          <w:color w:val="000000"/>
          <w:sz w:val="24"/>
        </w:rPr>
        <w:t>)</w:t>
      </w:r>
      <w:r>
        <w:rPr>
          <w:rFonts w:ascii="Arial"/>
          <w:i/>
          <w:color w:val="000000"/>
          <w:sz w:val="24"/>
        </w:rPr>
        <w:t>.</w:t>
      </w:r>
      <w:r>
        <w:rPr>
          <w:rFonts w:ascii="Arial"/>
          <w:color w:val="000000"/>
          <w:sz w:val="24"/>
        </w:rPr>
        <w:t xml:space="preserve"> </w:t>
      </w:r>
    </w:p>
    <w:p>
      <w:pPr>
        <w:pStyle w:val="CaselawNumbered10"/>
        <w:numPr>
          <w:ilvl w:val="0"/>
          <w:numId w:val="114"/>
        </w:numPr>
        <w:spacing w:before="150" w:after="0"/>
        <w:ind w:left="600" w:hanging="600"/>
      </w:pPr>
      <w:r>
        <w:rPr>
          <w:rFonts w:ascii="Arial"/>
          <w:color w:val="000000"/>
          <w:sz w:val="24"/>
        </w:rPr>
        <w:t xml:space="preserve">The </w:t>
      </w:r>
      <w:r>
        <w:rPr>
          <w:rFonts w:ascii="Arial"/>
          <w:color w:val="000000"/>
          <w:sz w:val="24"/>
        </w:rPr>
        <w:t>R</w:t>
      </w:r>
      <w:r>
        <w:rPr>
          <w:rFonts w:ascii="Arial"/>
          <w:color w:val="000000"/>
          <w:sz w:val="24"/>
        </w:rPr>
        <w:t xml:space="preserve">equest identifies that in the case of </w:t>
      </w:r>
      <w:r>
        <w:rPr>
          <w:rFonts w:ascii="Arial"/>
          <w:i/>
          <w:color w:val="000000"/>
          <w:sz w:val="24"/>
        </w:rPr>
        <w:t>Initial Action</w:t>
      </w:r>
      <w:r>
        <w:rPr>
          <w:rFonts w:ascii="Arial"/>
          <w:i/>
          <w:color w:val="000000"/>
          <w:sz w:val="24"/>
        </w:rPr>
        <w:t xml:space="preserve"> Pty Ltd v Woollahra Municipal Council </w:t>
      </w:r>
      <w:r>
        <w:rPr>
          <w:rFonts w:ascii="Arial"/>
          <w:color w:val="000000"/>
          <w:sz w:val="24"/>
        </w:rPr>
        <w:t>(2018) 236 LGERA 256; [2018] NSWLEC 118</w:t>
      </w:r>
      <w:r>
        <w:rPr>
          <w:rFonts w:ascii="Arial"/>
          <w:i/>
          <w:color w:val="000000"/>
          <w:sz w:val="24"/>
        </w:rPr>
        <w:t xml:space="preserve"> </w:t>
      </w:r>
      <w:r>
        <w:rPr>
          <w:rFonts w:ascii="Arial"/>
          <w:color w:val="000000"/>
          <w:sz w:val="24"/>
        </w:rPr>
        <w:t>at [118]</w:t>
      </w:r>
      <w:r>
        <w:rPr>
          <w:rFonts w:ascii="Arial"/>
          <w:i/>
          <w:color w:val="000000"/>
          <w:sz w:val="24"/>
        </w:rPr>
        <w:t xml:space="preserve"> </w:t>
      </w:r>
      <w:r>
        <w:rPr>
          <w:rFonts w:ascii="Arial"/>
          <w:color w:val="000000"/>
          <w:sz w:val="24"/>
        </w:rPr>
        <w:t>Preston CJ observed that in order for there to be sufficient environmental planning grounds to justify a written request under cl 4.6 to contravene a development standard, the focus must be on the aspect or element of the development that contravenes the development standard, not on the development as a whole.</w:t>
      </w:r>
      <w:r>
        <w:rPr>
          <w:rFonts w:ascii="Arial"/>
          <w:color w:val="000000"/>
          <w:sz w:val="24"/>
        </w:rPr>
        <w:t xml:space="preserve"> </w:t>
      </w:r>
      <w:r>
        <w:rPr>
          <w:rFonts w:ascii="Arial"/>
          <w:color w:val="000000"/>
          <w:sz w:val="24"/>
        </w:rPr>
        <w:t>S</w:t>
      </w:r>
      <w:r>
        <w:rPr>
          <w:rFonts w:ascii="Arial"/>
          <w:color w:val="000000"/>
          <w:sz w:val="24"/>
        </w:rPr>
        <w:t xml:space="preserve">everal environmental planning grounds </w:t>
      </w:r>
      <w:r>
        <w:rPr>
          <w:rFonts w:ascii="Arial"/>
          <w:color w:val="000000"/>
          <w:sz w:val="24"/>
        </w:rPr>
        <w:t xml:space="preserve">are nominated </w:t>
      </w:r>
      <w:r>
        <w:rPr>
          <w:rFonts w:ascii="Arial"/>
          <w:color w:val="000000"/>
          <w:sz w:val="24"/>
        </w:rPr>
        <w:t xml:space="preserve">in the Request to justify the departure from minimum building setbacks development standard in this case </w:t>
      </w:r>
      <w:r>
        <w:rPr>
          <w:rFonts w:ascii="Arial"/>
          <w:color w:val="000000"/>
          <w:sz w:val="24"/>
        </w:rPr>
        <w:t>(p</w:t>
      </w:r>
      <w:r>
        <w:rPr>
          <w:rFonts w:ascii="Arial"/>
          <w:color w:val="000000"/>
          <w:sz w:val="24"/>
        </w:rPr>
        <w:t xml:space="preserve"> </w:t>
      </w:r>
      <w:r>
        <w:rPr>
          <w:rFonts w:ascii="Arial"/>
          <w:color w:val="000000"/>
          <w:sz w:val="24"/>
        </w:rPr>
        <w:t xml:space="preserve">20). </w:t>
      </w:r>
      <w:r>
        <w:rPr>
          <w:rFonts w:ascii="Arial"/>
          <w:color w:val="000000"/>
          <w:sz w:val="24"/>
        </w:rPr>
        <w:t xml:space="preserve">They include: </w:t>
      </w:r>
    </w:p>
    <w:p>
      <w:pPr>
        <w:pStyle w:val="CaselawNumbered1"/>
        <w:numPr>
          <w:ilvl w:val="0"/>
          <w:numId w:val="115"/>
        </w:numPr>
        <w:spacing w:before="150" w:after="0"/>
        <w:ind w:left="1350" w:hanging="750"/>
      </w:pPr>
      <w:r>
        <w:rPr>
          <w:rFonts w:ascii="Arial"/>
          <w:color w:val="000000"/>
          <w:sz w:val="24"/>
        </w:rPr>
        <w:t>The noncompliance</w:t>
      </w:r>
      <w:r>
        <w:rPr>
          <w:rFonts w:ascii="Arial"/>
          <w:color w:val="000000"/>
          <w:sz w:val="24"/>
        </w:rPr>
        <w:t xml:space="preserve"> </w:t>
      </w:r>
      <w:r>
        <w:rPr>
          <w:rFonts w:ascii="Arial"/>
          <w:color w:val="000000"/>
          <w:sz w:val="24"/>
        </w:rPr>
        <w:t xml:space="preserve">(aspect of the </w:t>
      </w:r>
      <w:r>
        <w:rPr>
          <w:rFonts w:ascii="Arial"/>
          <w:color w:val="000000"/>
          <w:sz w:val="24"/>
        </w:rPr>
        <w:t>development)</w:t>
      </w:r>
      <w:r>
        <w:rPr>
          <w:rFonts w:ascii="Arial"/>
          <w:color w:val="000000"/>
          <w:sz w:val="24"/>
        </w:rPr>
        <w:t xml:space="preserve"> </w:t>
      </w:r>
      <w:r>
        <w:rPr>
          <w:rFonts w:ascii="Arial"/>
          <w:color w:val="000000"/>
          <w:sz w:val="24"/>
        </w:rPr>
        <w:t xml:space="preserve">does not result in any identifiable adverse environmental impacts. </w:t>
      </w:r>
    </w:p>
    <w:p>
      <w:pPr>
        <w:pStyle w:val="CaselawNumbered1"/>
        <w:numPr>
          <w:ilvl w:val="0"/>
          <w:numId w:val="115"/>
        </w:numPr>
        <w:spacing w:before="150" w:after="0"/>
        <w:ind w:left="1350" w:hanging="750"/>
      </w:pPr>
      <w:r>
        <w:rPr>
          <w:rFonts w:ascii="Arial"/>
          <w:color w:val="000000"/>
          <w:sz w:val="24"/>
        </w:rPr>
        <w:t xml:space="preserve">The encroachments into the southern and eastern setbacks </w:t>
      </w:r>
      <w:r>
        <w:rPr>
          <w:rFonts w:ascii="Arial"/>
          <w:color w:val="000000"/>
          <w:sz w:val="24"/>
        </w:rPr>
        <w:t>(aspects</w:t>
      </w:r>
      <w:r>
        <w:rPr>
          <w:rFonts w:ascii="Arial"/>
          <w:color w:val="000000"/>
          <w:sz w:val="24"/>
        </w:rPr>
        <w:t xml:space="preserve"> </w:t>
      </w:r>
      <w:r>
        <w:rPr>
          <w:rFonts w:ascii="Arial"/>
          <w:color w:val="000000"/>
          <w:sz w:val="24"/>
        </w:rPr>
        <w:t>of the development) do not contribute any distinguishable bulk</w:t>
      </w:r>
      <w:r>
        <w:rPr>
          <w:rFonts w:ascii="Arial"/>
          <w:color w:val="000000"/>
          <w:sz w:val="24"/>
        </w:rPr>
        <w:t>,</w:t>
      </w:r>
      <w:r>
        <w:rPr>
          <w:rFonts w:ascii="Arial"/>
          <w:color w:val="000000"/>
          <w:sz w:val="24"/>
        </w:rPr>
        <w:t xml:space="preserve"> </w:t>
      </w:r>
      <w:r>
        <w:rPr>
          <w:rFonts w:ascii="Arial"/>
          <w:color w:val="000000"/>
          <w:sz w:val="24"/>
        </w:rPr>
        <w:t xml:space="preserve">scale or density as they are subterranean. </w:t>
      </w:r>
    </w:p>
    <w:p>
      <w:pPr>
        <w:pStyle w:val="CaselawNumbered1"/>
        <w:numPr>
          <w:ilvl w:val="0"/>
          <w:numId w:val="115"/>
        </w:numPr>
        <w:spacing w:before="150" w:after="0"/>
        <w:ind w:left="1350" w:hanging="750"/>
      </w:pPr>
      <w:r>
        <w:rPr>
          <w:rFonts w:ascii="Arial"/>
          <w:color w:val="000000"/>
          <w:sz w:val="24"/>
        </w:rPr>
        <w:t xml:space="preserve">The retention of the basement structure at </w:t>
      </w:r>
      <w:r>
        <w:rPr>
          <w:rFonts w:ascii="Arial"/>
          <w:color w:val="000000"/>
          <w:sz w:val="24"/>
        </w:rPr>
        <w:t>B</w:t>
      </w:r>
      <w:r>
        <w:rPr>
          <w:rFonts w:ascii="Arial"/>
          <w:color w:val="000000"/>
          <w:sz w:val="24"/>
        </w:rPr>
        <w:t xml:space="preserve">asement </w:t>
      </w:r>
      <w:r>
        <w:rPr>
          <w:rFonts w:ascii="Arial"/>
          <w:color w:val="000000"/>
          <w:sz w:val="24"/>
        </w:rPr>
        <w:t>L</w:t>
      </w:r>
      <w:r>
        <w:rPr>
          <w:rFonts w:ascii="Arial"/>
          <w:color w:val="000000"/>
          <w:sz w:val="24"/>
        </w:rPr>
        <w:t>evel 01 is a sustainable response to demolishing a useful fit</w:t>
      </w:r>
      <w:r>
        <w:rPr>
          <w:rFonts w:ascii="Arial"/>
          <w:color w:val="000000"/>
          <w:sz w:val="24"/>
        </w:rPr>
        <w:t>-</w:t>
      </w:r>
      <w:r>
        <w:rPr>
          <w:rFonts w:ascii="Arial"/>
          <w:color w:val="000000"/>
          <w:sz w:val="24"/>
        </w:rPr>
        <w:t>for</w:t>
      </w:r>
      <w:r>
        <w:rPr>
          <w:rFonts w:ascii="Arial"/>
          <w:color w:val="000000"/>
          <w:sz w:val="24"/>
        </w:rPr>
        <w:t>-</w:t>
      </w:r>
      <w:r>
        <w:rPr>
          <w:rFonts w:ascii="Arial"/>
          <w:color w:val="000000"/>
          <w:sz w:val="24"/>
        </w:rPr>
        <w:t xml:space="preserve">purpose structure. </w:t>
      </w:r>
    </w:p>
    <w:p>
      <w:pPr>
        <w:pStyle w:val="CaselawNumbered1"/>
        <w:numPr>
          <w:ilvl w:val="0"/>
          <w:numId w:val="115"/>
        </w:numPr>
        <w:spacing w:before="150" w:after="0"/>
        <w:ind w:left="1350" w:hanging="750"/>
      </w:pPr>
      <w:r>
        <w:rPr>
          <w:rFonts w:ascii="Arial"/>
          <w:color w:val="000000"/>
          <w:sz w:val="24"/>
        </w:rPr>
        <w:t xml:space="preserve">The demolition of the existing basement structure and rebuilding it to comply with the southern setback requirements would not be a sustainable response to the redevelopment of the site. </w:t>
      </w:r>
    </w:p>
    <w:p>
      <w:pPr>
        <w:pStyle w:val="CaselawNumbered1"/>
        <w:numPr>
          <w:ilvl w:val="0"/>
          <w:numId w:val="115"/>
        </w:numPr>
        <w:spacing w:before="150" w:after="0"/>
        <w:ind w:left="1350" w:hanging="750"/>
      </w:pPr>
      <w:r>
        <w:rPr>
          <w:rFonts w:ascii="Arial"/>
          <w:color w:val="000000"/>
          <w:sz w:val="24"/>
        </w:rPr>
        <w:t xml:space="preserve">The extension of the basement levels toward the eastern side setback does not impact the provision of a </w:t>
      </w:r>
      <w:r>
        <w:rPr>
          <w:rFonts w:ascii="Arial"/>
          <w:color w:val="000000"/>
          <w:sz w:val="24"/>
        </w:rPr>
        <w:t>6m</w:t>
      </w:r>
      <w:r>
        <w:rPr>
          <w:rFonts w:ascii="Arial"/>
          <w:color w:val="000000"/>
          <w:sz w:val="24"/>
        </w:rPr>
        <w:t xml:space="preserve"> </w:t>
      </w:r>
      <w:r>
        <w:rPr>
          <w:rFonts w:ascii="Arial"/>
          <w:color w:val="000000"/>
          <w:sz w:val="24"/>
        </w:rPr>
        <w:t>wide deep soil zone.</w:t>
      </w:r>
    </w:p>
    <w:p>
      <w:pPr>
        <w:pStyle w:val="CaselawNumbered10"/>
        <w:numPr>
          <w:ilvl w:val="0"/>
          <w:numId w:val="116"/>
        </w:numPr>
        <w:spacing w:before="150" w:after="0"/>
        <w:ind w:left="600" w:hanging="600"/>
      </w:pPr>
      <w:r>
        <w:rPr>
          <w:rFonts w:ascii="Arial"/>
          <w:color w:val="000000"/>
          <w:sz w:val="24"/>
        </w:rPr>
        <w:t>Based on the above</w:t>
      </w:r>
      <w:r>
        <w:rPr>
          <w:rFonts w:ascii="Arial"/>
          <w:color w:val="000000"/>
          <w:sz w:val="24"/>
        </w:rPr>
        <w:t>,</w:t>
      </w:r>
      <w:r>
        <w:rPr>
          <w:rFonts w:ascii="Arial"/>
          <w:color w:val="000000"/>
          <w:sz w:val="24"/>
        </w:rPr>
        <w:t xml:space="preserve"> </w:t>
      </w:r>
      <w:r>
        <w:rPr>
          <w:rFonts w:ascii="Arial"/>
          <w:color w:val="000000"/>
          <w:sz w:val="24"/>
        </w:rPr>
        <w:t xml:space="preserve">I am satisfied that the Request has demonstrated </w:t>
      </w:r>
      <w:r>
        <w:rPr>
          <w:rFonts w:ascii="Arial"/>
          <w:color w:val="000000"/>
          <w:sz w:val="24"/>
        </w:rPr>
        <w:t xml:space="preserve">that there are </w:t>
      </w:r>
      <w:r>
        <w:rPr>
          <w:rFonts w:ascii="Arial"/>
          <w:color w:val="000000"/>
          <w:sz w:val="24"/>
        </w:rPr>
        <w:t>sufficient environmental planning grounds to justify contravening the development standard in this case: cl</w:t>
      </w:r>
      <w:r>
        <w:rPr>
          <w:rFonts w:ascii="Arial"/>
          <w:color w:val="000000"/>
          <w:sz w:val="24"/>
        </w:rPr>
        <w:t xml:space="preserve"> 4.6(3)(b). </w:t>
      </w:r>
      <w:r>
        <w:rPr>
          <w:rFonts w:ascii="Arial"/>
          <w:color w:val="000000"/>
          <w:sz w:val="24"/>
        </w:rPr>
        <w:t xml:space="preserve">I am satisfied that the </w:t>
      </w:r>
      <w:r>
        <w:rPr>
          <w:rFonts w:ascii="Arial"/>
          <w:color w:val="000000"/>
          <w:sz w:val="24"/>
        </w:rPr>
        <w:t>R</w:t>
      </w:r>
      <w:r>
        <w:rPr>
          <w:rFonts w:ascii="Arial"/>
          <w:color w:val="000000"/>
          <w:sz w:val="24"/>
        </w:rPr>
        <w:t xml:space="preserve">equest has adequately </w:t>
      </w:r>
      <w:r>
        <w:rPr>
          <w:rFonts w:ascii="Arial"/>
          <w:color w:val="000000"/>
          <w:sz w:val="24"/>
        </w:rPr>
        <w:t xml:space="preserve">addressed </w:t>
      </w:r>
      <w:r>
        <w:rPr>
          <w:rFonts w:ascii="Arial"/>
          <w:color w:val="000000"/>
          <w:sz w:val="24"/>
        </w:rPr>
        <w:t xml:space="preserve">the matters required to be demonstrated by subcl (3), and that the development will be in the public interest because it </w:t>
      </w:r>
      <w:r>
        <w:rPr>
          <w:rFonts w:ascii="Arial"/>
          <w:color w:val="000000"/>
          <w:sz w:val="24"/>
        </w:rPr>
        <w:t xml:space="preserve">is consistent with </w:t>
      </w:r>
      <w:r>
        <w:rPr>
          <w:rFonts w:ascii="Arial"/>
          <w:color w:val="000000"/>
          <w:sz w:val="24"/>
        </w:rPr>
        <w:t xml:space="preserve">the inferred objectives </w:t>
      </w:r>
      <w:r>
        <w:rPr>
          <w:rFonts w:ascii="Arial"/>
          <w:color w:val="000000"/>
          <w:sz w:val="24"/>
        </w:rPr>
        <w:t xml:space="preserve">of the particular standard and the objectives of development within the for zone in which the development is proposed to be carried. </w:t>
      </w:r>
    </w:p>
    <w:p>
      <w:pPr>
        <w:pStyle w:val="CaselawNumbered10"/>
        <w:numPr>
          <w:ilvl w:val="0"/>
          <w:numId w:val="116"/>
        </w:numPr>
        <w:spacing w:before="150" w:after="0"/>
        <w:ind w:left="600" w:hanging="600"/>
      </w:pPr>
      <w:r>
        <w:rPr>
          <w:rFonts w:ascii="Arial"/>
          <w:color w:val="000000"/>
          <w:sz w:val="24"/>
        </w:rPr>
        <w:t xml:space="preserve">In respect to the latter, I rely on the reasons </w:t>
      </w:r>
      <w:r>
        <w:rPr>
          <w:rFonts w:ascii="Arial"/>
          <w:color w:val="000000"/>
          <w:sz w:val="24"/>
        </w:rPr>
        <w:t xml:space="preserve">set out in Table 2 </w:t>
      </w:r>
      <w:r>
        <w:rPr>
          <w:rFonts w:ascii="Arial"/>
          <w:color w:val="000000"/>
          <w:sz w:val="24"/>
        </w:rPr>
        <w:t xml:space="preserve">(Request, p 21) </w:t>
      </w:r>
      <w:r>
        <w:rPr>
          <w:rFonts w:ascii="Arial"/>
          <w:color w:val="000000"/>
          <w:sz w:val="24"/>
        </w:rPr>
        <w:t xml:space="preserve">which is reproduced </w:t>
      </w:r>
      <w:r>
        <w:rPr>
          <w:rFonts w:ascii="Arial"/>
          <w:color w:val="000000"/>
          <w:sz w:val="24"/>
        </w:rPr>
        <w:t>below</w:t>
      </w:r>
      <w:r>
        <w:rPr>
          <w:rFonts w:ascii="Arial"/>
          <w:color w:val="000000"/>
          <w:sz w:val="24"/>
        </w:rPr>
        <w:t>:</w:t>
      </w:r>
      <w:r>
        <w:rPr>
          <w:rFonts w:ascii="Arial"/>
          <w:color w:val="000000"/>
          <w:sz w:val="24"/>
        </w:rPr>
        <w:t xml:space="preserve"> </w:t>
      </w:r>
    </w:p>
    <w:p>
      <w:pPr>
        <w:pStyle w:val="CaselawNormal"/>
        <w:spacing w:before="150" w:after="150"/>
        <w:ind w:left="600"/>
        <w:jc w:val="left"/>
      </w:pPr>
      <w:r>
        <w:drawing>
          <wp:inline distT="0" distB="0" distL="0" distR="0">
            <wp:extent cx="5203036" cy="42164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5"/>
                    <a:stretch>
                      <a:fillRect/>
                    </a:stretch>
                  </pic:blipFill>
                  <pic:spPr>
                    <a:xfrm>
                      <a:off x="0" y="0"/>
                      <a:ext cx="5203036" cy="4216400"/>
                    </a:xfrm>
                    <a:prstGeom prst="rect">
                      <a:avLst/>
                    </a:prstGeom>
                  </pic:spPr>
                </pic:pic>
              </a:graphicData>
            </a:graphic>
          </wp:inline>
        </w:drawing>
      </w:r>
    </w:p>
    <w:p>
      <w:pPr>
        <w:pStyle w:val="CaselawNumbered10"/>
        <w:numPr>
          <w:ilvl w:val="0"/>
          <w:numId w:val="117"/>
        </w:numPr>
        <w:spacing w:before="150" w:after="0"/>
        <w:ind w:left="600" w:hanging="600"/>
      </w:pPr>
      <w:r>
        <w:rPr>
          <w:rFonts w:ascii="Arial"/>
          <w:color w:val="000000"/>
          <w:sz w:val="24"/>
        </w:rPr>
        <w:t>As the development satisfies cl 4.6(4) and the Secretary</w:t>
      </w:r>
      <w:r>
        <w:rPr>
          <w:rFonts w:ascii="Arial"/>
          <w:color w:val="000000"/>
          <w:sz w:val="24"/>
        </w:rPr>
        <w:t>’</w:t>
      </w:r>
      <w:r>
        <w:rPr>
          <w:rFonts w:ascii="Arial"/>
          <w:color w:val="000000"/>
          <w:sz w:val="24"/>
        </w:rPr>
        <w:t>s concurrence to the variation as required under cl 4.6(5) can be assumed</w:t>
      </w:r>
      <w:r>
        <w:rPr>
          <w:rFonts w:ascii="Arial"/>
          <w:color w:val="000000"/>
          <w:sz w:val="24"/>
        </w:rPr>
        <w:t>,</w:t>
      </w:r>
      <w:r>
        <w:rPr>
          <w:rFonts w:ascii="Arial"/>
          <w:color w:val="000000"/>
          <w:sz w:val="24"/>
        </w:rPr>
        <w:t xml:space="preserve"> </w:t>
      </w:r>
      <w:r>
        <w:rPr>
          <w:rFonts w:ascii="Arial"/>
          <w:color w:val="000000"/>
          <w:sz w:val="24"/>
        </w:rPr>
        <w:t xml:space="preserve">I uphold the </w:t>
      </w:r>
      <w:r>
        <w:rPr>
          <w:rFonts w:ascii="Arial"/>
          <w:color w:val="000000"/>
          <w:sz w:val="24"/>
        </w:rPr>
        <w:t>R</w:t>
      </w:r>
      <w:r>
        <w:rPr>
          <w:rFonts w:ascii="Arial"/>
          <w:color w:val="000000"/>
          <w:sz w:val="24"/>
        </w:rPr>
        <w:t xml:space="preserve">equest for variation of cl 6.14(4)(c) and (d) in this case. </w:t>
      </w:r>
    </w:p>
    <w:p>
      <w:pPr>
        <w:pStyle w:val="CaselawNumbered10"/>
        <w:numPr>
          <w:ilvl w:val="0"/>
          <w:numId w:val="117"/>
        </w:numPr>
        <w:spacing w:before="150" w:after="0"/>
        <w:ind w:left="600" w:hanging="600"/>
      </w:pPr>
      <w:r>
        <w:rPr>
          <w:rFonts w:ascii="Arial"/>
          <w:color w:val="000000"/>
          <w:sz w:val="24"/>
        </w:rPr>
        <w:t>In forming that view</w:t>
      </w:r>
      <w:r>
        <w:rPr>
          <w:rFonts w:ascii="Arial"/>
          <w:color w:val="000000"/>
          <w:sz w:val="24"/>
        </w:rPr>
        <w:t>,</w:t>
      </w:r>
      <w:r>
        <w:rPr>
          <w:rFonts w:ascii="Arial"/>
          <w:color w:val="000000"/>
          <w:sz w:val="24"/>
        </w:rPr>
        <w:t xml:space="preserve"> </w:t>
      </w:r>
      <w:r>
        <w:rPr>
          <w:rFonts w:ascii="Arial"/>
          <w:color w:val="000000"/>
          <w:sz w:val="24"/>
        </w:rPr>
        <w:t>I have carefully considered the Council</w:t>
      </w:r>
      <w:r>
        <w:rPr>
          <w:rFonts w:ascii="Arial"/>
          <w:color w:val="000000"/>
          <w:sz w:val="24"/>
        </w:rPr>
        <w:t>’</w:t>
      </w:r>
      <w:r>
        <w:rPr>
          <w:rFonts w:ascii="Arial"/>
          <w:color w:val="000000"/>
          <w:sz w:val="24"/>
        </w:rPr>
        <w:t>s written and oral submissions and the planning evidence address</w:t>
      </w:r>
      <w:r>
        <w:rPr>
          <w:rFonts w:ascii="Arial"/>
          <w:color w:val="000000"/>
          <w:sz w:val="24"/>
        </w:rPr>
        <w:t>ing</w:t>
      </w:r>
      <w:r>
        <w:rPr>
          <w:rFonts w:ascii="Arial"/>
          <w:color w:val="000000"/>
          <w:sz w:val="24"/>
        </w:rPr>
        <w:t xml:space="preserve"> </w:t>
      </w:r>
      <w:r>
        <w:rPr>
          <w:rFonts w:ascii="Arial"/>
          <w:color w:val="000000"/>
          <w:sz w:val="24"/>
        </w:rPr>
        <w:t xml:space="preserve">the adequacy of the </w:t>
      </w:r>
      <w:r>
        <w:rPr>
          <w:rFonts w:ascii="Arial"/>
          <w:color w:val="000000"/>
          <w:sz w:val="24"/>
        </w:rPr>
        <w:t>R</w:t>
      </w:r>
      <w:r>
        <w:rPr>
          <w:rFonts w:ascii="Arial"/>
          <w:color w:val="000000"/>
          <w:sz w:val="24"/>
        </w:rPr>
        <w:t xml:space="preserve">equest. </w:t>
      </w:r>
      <w:r>
        <w:rPr>
          <w:rFonts w:ascii="Arial"/>
          <w:color w:val="000000"/>
          <w:sz w:val="24"/>
        </w:rPr>
        <w:t xml:space="preserve">In that regard, </w:t>
      </w:r>
      <w:r>
        <w:rPr>
          <w:rFonts w:ascii="Arial"/>
          <w:color w:val="000000"/>
          <w:sz w:val="24"/>
        </w:rPr>
        <w:t>I do not accept the Council</w:t>
      </w:r>
      <w:r>
        <w:rPr>
          <w:rFonts w:ascii="Arial"/>
          <w:color w:val="000000"/>
          <w:sz w:val="24"/>
        </w:rPr>
        <w:t>’</w:t>
      </w:r>
      <w:r>
        <w:rPr>
          <w:rFonts w:ascii="Arial"/>
          <w:color w:val="000000"/>
          <w:sz w:val="24"/>
        </w:rPr>
        <w:t>s submission that the inferred objectives of the height control in cl 4.3 are irrelevant</w:t>
      </w:r>
      <w:r>
        <w:rPr>
          <w:rFonts w:ascii="Arial"/>
          <w:color w:val="000000"/>
          <w:sz w:val="24"/>
        </w:rPr>
        <w:t xml:space="preserve"> </w:t>
      </w:r>
      <w:r>
        <w:rPr>
          <w:rFonts w:ascii="Arial"/>
          <w:color w:val="000000"/>
          <w:sz w:val="24"/>
        </w:rPr>
        <w:t>to the standard in cl 6.14 (4)(c) and(d</w:t>
      </w:r>
      <w:r>
        <w:rPr>
          <w:rFonts w:ascii="Arial"/>
          <w:color w:val="000000"/>
          <w:sz w:val="24"/>
        </w:rPr>
        <w:t>) because</w:t>
      </w:r>
      <w:r>
        <w:rPr>
          <w:rFonts w:ascii="Arial"/>
          <w:color w:val="000000"/>
          <w:sz w:val="24"/>
        </w:rPr>
        <w:t xml:space="preserve"> </w:t>
      </w:r>
      <w:r>
        <w:rPr>
          <w:rFonts w:ascii="Arial"/>
          <w:color w:val="000000"/>
          <w:sz w:val="24"/>
        </w:rPr>
        <w:t>the development standards in cl 6.14</w:t>
      </w:r>
      <w:r>
        <w:rPr>
          <w:rFonts w:ascii="Arial"/>
          <w:color w:val="000000"/>
          <w:sz w:val="24"/>
        </w:rPr>
        <w:t>(4)</w:t>
      </w:r>
      <w:r>
        <w:rPr>
          <w:rFonts w:ascii="Arial"/>
          <w:color w:val="000000"/>
          <w:sz w:val="24"/>
        </w:rPr>
        <w:t xml:space="preserve">(c) and (d) seek to vary the setbacks. </w:t>
      </w:r>
    </w:p>
    <w:p>
      <w:pPr>
        <w:pStyle w:val="CaselawNumbered10"/>
        <w:numPr>
          <w:ilvl w:val="0"/>
          <w:numId w:val="117"/>
        </w:numPr>
        <w:spacing w:before="150" w:after="0"/>
        <w:ind w:left="600" w:hanging="600"/>
      </w:pPr>
      <w:r>
        <w:rPr>
          <w:rFonts w:ascii="Arial"/>
          <w:color w:val="000000"/>
          <w:sz w:val="24"/>
        </w:rPr>
        <w:t>Clause 6.</w:t>
      </w:r>
      <w:r>
        <w:rPr>
          <w:rFonts w:ascii="Arial"/>
          <w:color w:val="000000"/>
          <w:sz w:val="24"/>
        </w:rPr>
        <w:t>1</w:t>
      </w:r>
      <w:r>
        <w:rPr>
          <w:rFonts w:ascii="Arial"/>
          <w:color w:val="000000"/>
          <w:sz w:val="24"/>
        </w:rPr>
        <w:t>4 is a site-specific clause that enables additional height at the site, subject to compliance with a series of requirements relevantly including setbacks. When read in context the development standard</w:t>
      </w:r>
      <w:r>
        <w:rPr>
          <w:rFonts w:ascii="Arial"/>
          <w:color w:val="000000"/>
          <w:sz w:val="24"/>
        </w:rPr>
        <w:t>s</w:t>
      </w:r>
      <w:r>
        <w:rPr>
          <w:rFonts w:ascii="Arial"/>
          <w:color w:val="000000"/>
          <w:sz w:val="24"/>
        </w:rPr>
        <w:t xml:space="preserve"> </w:t>
      </w:r>
      <w:r>
        <w:rPr>
          <w:rFonts w:ascii="Arial"/>
          <w:color w:val="000000"/>
          <w:sz w:val="24"/>
        </w:rPr>
        <w:t xml:space="preserve">in </w:t>
      </w:r>
      <w:r>
        <w:rPr>
          <w:rFonts w:ascii="Arial"/>
          <w:color w:val="000000"/>
          <w:sz w:val="24"/>
        </w:rPr>
        <w:t xml:space="preserve">cl </w:t>
      </w:r>
      <w:r>
        <w:rPr>
          <w:rFonts w:ascii="Arial"/>
          <w:color w:val="000000"/>
          <w:sz w:val="24"/>
        </w:rPr>
        <w:t>6.14(4)(c) and (</w:t>
      </w:r>
      <w:r>
        <w:rPr>
          <w:rFonts w:ascii="Arial"/>
          <w:color w:val="000000"/>
          <w:sz w:val="24"/>
        </w:rPr>
        <w:t>d)</w:t>
      </w:r>
      <w:r>
        <w:rPr>
          <w:rFonts w:ascii="Arial"/>
          <w:color w:val="000000"/>
          <w:sz w:val="24"/>
        </w:rPr>
        <w:t xml:space="preserve"> </w:t>
      </w:r>
      <w:r>
        <w:rPr>
          <w:rFonts w:ascii="Arial"/>
          <w:color w:val="000000"/>
          <w:sz w:val="24"/>
        </w:rPr>
        <w:t xml:space="preserve">sought to be varied concern setbacks for the purpose of an increase in building </w:t>
      </w:r>
      <w:r>
        <w:rPr>
          <w:rFonts w:ascii="Arial"/>
          <w:color w:val="000000"/>
          <w:sz w:val="24"/>
        </w:rPr>
        <w:t>height.</w:t>
      </w:r>
      <w:r>
        <w:rPr>
          <w:rFonts w:ascii="Arial"/>
          <w:color w:val="000000"/>
          <w:sz w:val="24"/>
        </w:rPr>
        <w:t xml:space="preserve"> </w:t>
      </w:r>
      <w:r>
        <w:rPr>
          <w:rFonts w:ascii="Arial"/>
          <w:color w:val="000000"/>
          <w:sz w:val="24"/>
        </w:rPr>
        <w:t>The</w:t>
      </w:r>
      <w:r>
        <w:rPr>
          <w:rFonts w:ascii="Arial"/>
          <w:color w:val="000000"/>
          <w:sz w:val="24"/>
        </w:rPr>
        <w:t xml:space="preserve"> </w:t>
      </w:r>
      <w:r>
        <w:rPr>
          <w:rFonts w:ascii="Arial"/>
          <w:color w:val="000000"/>
          <w:sz w:val="24"/>
        </w:rPr>
        <w:t xml:space="preserve">request relies on the first test in </w:t>
      </w:r>
      <w:r>
        <w:rPr>
          <w:rFonts w:ascii="Arial"/>
          <w:i/>
          <w:color w:val="000000"/>
          <w:sz w:val="24"/>
        </w:rPr>
        <w:t>Wehbe</w:t>
      </w:r>
      <w:r>
        <w:rPr>
          <w:rFonts w:ascii="Arial"/>
          <w:color w:val="000000"/>
          <w:sz w:val="24"/>
        </w:rPr>
        <w:t xml:space="preserve"> </w:t>
      </w:r>
      <w:r>
        <w:rPr>
          <w:rFonts w:ascii="Arial"/>
          <w:color w:val="000000"/>
          <w:sz w:val="24"/>
        </w:rPr>
        <w:t>on the basis of the inferred objectives of the height control in cl 4.3 of LEP</w:t>
      </w:r>
      <w:r>
        <w:rPr>
          <w:rFonts w:ascii="Arial"/>
          <w:color w:val="000000"/>
          <w:sz w:val="24"/>
        </w:rPr>
        <w:t xml:space="preserve"> </w:t>
      </w:r>
      <w:r>
        <w:rPr>
          <w:rFonts w:ascii="Arial"/>
          <w:color w:val="000000"/>
          <w:sz w:val="24"/>
        </w:rPr>
        <w:t>2015</w:t>
      </w:r>
      <w:r>
        <w:rPr>
          <w:rFonts w:ascii="Arial"/>
          <w:color w:val="000000"/>
          <w:sz w:val="24"/>
        </w:rPr>
        <w:t xml:space="preserve">. </w:t>
      </w:r>
      <w:r>
        <w:rPr>
          <w:rFonts w:ascii="Arial"/>
          <w:color w:val="000000"/>
          <w:sz w:val="24"/>
        </w:rPr>
        <w:t>As I consider these objectives are relevant</w:t>
      </w:r>
      <w:r>
        <w:rPr>
          <w:rFonts w:ascii="Arial"/>
          <w:color w:val="000000"/>
          <w:sz w:val="24"/>
        </w:rPr>
        <w:t>,</w:t>
      </w:r>
      <w:r>
        <w:rPr>
          <w:rFonts w:ascii="Arial"/>
          <w:color w:val="000000"/>
          <w:sz w:val="24"/>
        </w:rPr>
        <w:t xml:space="preserve"> </w:t>
      </w:r>
      <w:r>
        <w:rPr>
          <w:rFonts w:ascii="Arial"/>
          <w:color w:val="000000"/>
          <w:sz w:val="24"/>
        </w:rPr>
        <w:t xml:space="preserve">the first test in </w:t>
      </w:r>
      <w:r>
        <w:rPr>
          <w:rFonts w:ascii="Arial"/>
          <w:i/>
          <w:color w:val="000000"/>
          <w:sz w:val="24"/>
        </w:rPr>
        <w:t>Wehbe</w:t>
      </w:r>
      <w:r>
        <w:rPr>
          <w:rFonts w:ascii="Arial"/>
          <w:color w:val="000000"/>
          <w:sz w:val="24"/>
        </w:rPr>
        <w:t xml:space="preserve"> </w:t>
      </w:r>
      <w:r>
        <w:rPr>
          <w:rFonts w:ascii="Arial"/>
          <w:color w:val="000000"/>
          <w:sz w:val="24"/>
        </w:rPr>
        <w:t xml:space="preserve">was available to </w:t>
      </w:r>
      <w:r>
        <w:rPr>
          <w:rFonts w:ascii="Arial"/>
          <w:color w:val="000000"/>
          <w:sz w:val="24"/>
        </w:rPr>
        <w:t>Henroth</w:t>
      </w:r>
      <w:r>
        <w:rPr>
          <w:rFonts w:ascii="Arial"/>
          <w:color w:val="000000"/>
          <w:sz w:val="24"/>
        </w:rPr>
        <w:t xml:space="preserve"> </w:t>
      </w:r>
      <w:r>
        <w:rPr>
          <w:rFonts w:ascii="Arial"/>
          <w:color w:val="000000"/>
          <w:sz w:val="24"/>
        </w:rPr>
        <w:t>to justify the variatio</w:t>
      </w:r>
      <w:r>
        <w:rPr>
          <w:rFonts w:ascii="Arial"/>
          <w:color w:val="000000"/>
          <w:sz w:val="24"/>
        </w:rPr>
        <w:t>n of the standard</w:t>
      </w:r>
      <w:r>
        <w:rPr>
          <w:rFonts w:ascii="Arial"/>
          <w:color w:val="000000"/>
          <w:sz w:val="24"/>
        </w:rPr>
        <w:t xml:space="preserve">. </w:t>
      </w:r>
      <w:r>
        <w:rPr>
          <w:rFonts w:ascii="Arial"/>
          <w:color w:val="000000"/>
          <w:sz w:val="24"/>
        </w:rPr>
        <w:t>I reject the Council</w:t>
      </w:r>
      <w:r>
        <w:rPr>
          <w:rFonts w:ascii="Arial"/>
          <w:color w:val="000000"/>
          <w:sz w:val="24"/>
        </w:rPr>
        <w:t>’</w:t>
      </w:r>
      <w:r>
        <w:rPr>
          <w:rFonts w:ascii="Arial"/>
          <w:color w:val="000000"/>
          <w:sz w:val="24"/>
        </w:rPr>
        <w:t>s submission to the contrary.</w:t>
      </w:r>
    </w:p>
    <w:p>
      <w:pPr>
        <w:pStyle w:val="CaselawNumbered10"/>
        <w:numPr>
          <w:ilvl w:val="0"/>
          <w:numId w:val="117"/>
        </w:numPr>
        <w:spacing w:before="150" w:after="0"/>
        <w:ind w:left="600" w:hanging="600"/>
      </w:pPr>
      <w:r>
        <w:rPr>
          <w:rFonts w:ascii="Arial"/>
          <w:color w:val="000000"/>
          <w:sz w:val="24"/>
        </w:rPr>
        <w:t xml:space="preserve">I </w:t>
      </w:r>
      <w:r>
        <w:rPr>
          <w:rFonts w:ascii="Arial"/>
          <w:color w:val="000000"/>
          <w:sz w:val="24"/>
        </w:rPr>
        <w:t xml:space="preserve">also disagree with </w:t>
      </w:r>
      <w:r>
        <w:rPr>
          <w:rFonts w:ascii="Arial"/>
          <w:color w:val="000000"/>
          <w:sz w:val="24"/>
        </w:rPr>
        <w:t>Ms Bart</w:t>
      </w:r>
      <w:r>
        <w:rPr>
          <w:rFonts w:ascii="Arial"/>
          <w:color w:val="000000"/>
          <w:sz w:val="24"/>
        </w:rPr>
        <w:t>l</w:t>
      </w:r>
      <w:r>
        <w:rPr>
          <w:rFonts w:ascii="Arial"/>
          <w:color w:val="000000"/>
          <w:sz w:val="24"/>
        </w:rPr>
        <w:t>ett</w:t>
      </w:r>
      <w:r>
        <w:rPr>
          <w:rFonts w:ascii="Arial"/>
          <w:color w:val="000000"/>
          <w:sz w:val="24"/>
        </w:rPr>
        <w:t>’</w:t>
      </w:r>
      <w:r>
        <w:rPr>
          <w:rFonts w:ascii="Arial"/>
          <w:color w:val="000000"/>
          <w:sz w:val="24"/>
        </w:rPr>
        <w:t>s evidence</w:t>
      </w:r>
      <w:r>
        <w:rPr>
          <w:rFonts w:ascii="Arial"/>
          <w:color w:val="000000"/>
          <w:sz w:val="24"/>
        </w:rPr>
        <w:t>,</w:t>
      </w:r>
      <w:r>
        <w:rPr>
          <w:rFonts w:ascii="Arial"/>
          <w:color w:val="000000"/>
          <w:sz w:val="24"/>
        </w:rPr>
        <w:t xml:space="preserve"> </w:t>
      </w:r>
      <w:r>
        <w:rPr>
          <w:rFonts w:ascii="Arial"/>
          <w:color w:val="000000"/>
          <w:sz w:val="24"/>
        </w:rPr>
        <w:t>both oral and written (Ex 10)</w:t>
      </w:r>
      <w:r>
        <w:rPr>
          <w:rFonts w:ascii="Arial"/>
          <w:color w:val="000000"/>
          <w:sz w:val="24"/>
        </w:rPr>
        <w:t>,</w:t>
      </w:r>
      <w:r>
        <w:rPr>
          <w:rFonts w:ascii="Arial"/>
          <w:color w:val="000000"/>
          <w:sz w:val="24"/>
        </w:rPr>
        <w:t xml:space="preserve"> </w:t>
      </w:r>
      <w:r>
        <w:rPr>
          <w:rFonts w:ascii="Arial"/>
          <w:color w:val="000000"/>
          <w:sz w:val="24"/>
        </w:rPr>
        <w:t xml:space="preserve">that the </w:t>
      </w:r>
      <w:r>
        <w:rPr>
          <w:rFonts w:ascii="Arial"/>
          <w:color w:val="000000"/>
          <w:sz w:val="24"/>
        </w:rPr>
        <w:t xml:space="preserve">extent of the changes to the basements mean that they form part of the development and </w:t>
      </w:r>
      <w:r>
        <w:rPr>
          <w:rFonts w:ascii="Arial"/>
          <w:color w:val="000000"/>
          <w:sz w:val="24"/>
        </w:rPr>
        <w:t xml:space="preserve">on that basis </w:t>
      </w:r>
      <w:r>
        <w:rPr>
          <w:rFonts w:ascii="Arial"/>
          <w:color w:val="000000"/>
          <w:sz w:val="24"/>
        </w:rPr>
        <w:t xml:space="preserve">meet the definition of a </w:t>
      </w:r>
      <w:r>
        <w:rPr>
          <w:rFonts w:ascii="Arial"/>
          <w:color w:val="000000"/>
          <w:sz w:val="24"/>
        </w:rPr>
        <w:t>“</w:t>
      </w:r>
      <w:r>
        <w:rPr>
          <w:rFonts w:ascii="Arial"/>
          <w:color w:val="000000"/>
          <w:sz w:val="24"/>
        </w:rPr>
        <w:t>building</w:t>
      </w:r>
      <w:r>
        <w:rPr>
          <w:rFonts w:ascii="Arial"/>
          <w:color w:val="000000"/>
          <w:sz w:val="24"/>
        </w:rPr>
        <w:t>”</w:t>
      </w:r>
      <w:r>
        <w:rPr>
          <w:rFonts w:ascii="Arial"/>
          <w:color w:val="000000"/>
          <w:sz w:val="24"/>
        </w:rPr>
        <w:t xml:space="preserve"> </w:t>
      </w:r>
      <w:r>
        <w:rPr>
          <w:rFonts w:ascii="Arial"/>
          <w:color w:val="000000"/>
          <w:sz w:val="24"/>
        </w:rPr>
        <w:t>under LEP</w:t>
      </w:r>
      <w:r>
        <w:rPr>
          <w:rFonts w:ascii="Arial"/>
          <w:color w:val="000000"/>
          <w:sz w:val="24"/>
        </w:rPr>
        <w:t xml:space="preserve"> </w:t>
      </w:r>
      <w:r>
        <w:rPr>
          <w:rFonts w:ascii="Arial"/>
          <w:color w:val="000000"/>
          <w:sz w:val="24"/>
        </w:rPr>
        <w:t>2015</w:t>
      </w:r>
      <w:r>
        <w:rPr>
          <w:rFonts w:ascii="Arial"/>
          <w:color w:val="000000"/>
          <w:sz w:val="24"/>
        </w:rPr>
        <w:t xml:space="preserve"> </w:t>
      </w:r>
      <w:r>
        <w:rPr>
          <w:rFonts w:ascii="Arial"/>
          <w:color w:val="000000"/>
          <w:sz w:val="24"/>
        </w:rPr>
        <w:t>(Demolition plan - DA-051-001 Rev J (23.11.23))</w:t>
      </w:r>
      <w:r>
        <w:rPr>
          <w:rFonts w:ascii="Arial"/>
          <w:color w:val="000000"/>
          <w:sz w:val="24"/>
        </w:rPr>
        <w:t xml:space="preserve">. </w:t>
      </w:r>
      <w:r>
        <w:rPr>
          <w:rFonts w:ascii="Arial"/>
          <w:color w:val="000000"/>
          <w:sz w:val="24"/>
        </w:rPr>
        <w:t xml:space="preserve">Nor do I accept that </w:t>
      </w:r>
      <w:r>
        <w:rPr>
          <w:rFonts w:ascii="Arial"/>
          <w:color w:val="000000"/>
          <w:sz w:val="24"/>
        </w:rPr>
        <w:t>the LEP and the DCP controls deliberately intended increased setbacks from the southern and eastern boundaries to include below and above ground development in order to manage</w:t>
      </w:r>
      <w:r>
        <w:rPr>
          <w:rFonts w:ascii="Arial"/>
          <w:color w:val="000000"/>
          <w:sz w:val="24"/>
        </w:rPr>
        <w:t>,</w:t>
      </w:r>
      <w:r>
        <w:rPr>
          <w:rFonts w:ascii="Arial"/>
          <w:color w:val="000000"/>
          <w:sz w:val="24"/>
        </w:rPr>
        <w:t xml:space="preserve"> </w:t>
      </w:r>
      <w:r>
        <w:rPr>
          <w:rFonts w:ascii="Arial"/>
          <w:color w:val="000000"/>
          <w:sz w:val="24"/>
        </w:rPr>
        <w:t>for example</w:t>
      </w:r>
      <w:r>
        <w:rPr>
          <w:rFonts w:ascii="Arial"/>
          <w:color w:val="000000"/>
          <w:sz w:val="24"/>
        </w:rPr>
        <w:t>,</w:t>
      </w:r>
      <w:r>
        <w:rPr>
          <w:rFonts w:ascii="Arial"/>
          <w:color w:val="000000"/>
          <w:sz w:val="24"/>
        </w:rPr>
        <w:t xml:space="preserve"> </w:t>
      </w:r>
      <w:r>
        <w:rPr>
          <w:rFonts w:ascii="Arial"/>
          <w:color w:val="000000"/>
          <w:sz w:val="24"/>
        </w:rPr>
        <w:t>the transition to surrounding land, including low density development through buil</w:t>
      </w:r>
      <w:r>
        <w:rPr>
          <w:rFonts w:ascii="Arial"/>
          <w:color w:val="000000"/>
          <w:sz w:val="24"/>
        </w:rPr>
        <w:t>t</w:t>
      </w:r>
      <w:r>
        <w:rPr>
          <w:rFonts w:ascii="Arial"/>
          <w:color w:val="000000"/>
          <w:sz w:val="24"/>
        </w:rPr>
        <w:t xml:space="preserve"> </w:t>
      </w:r>
      <w:r>
        <w:rPr>
          <w:rFonts w:ascii="Arial"/>
          <w:color w:val="000000"/>
          <w:sz w:val="24"/>
        </w:rPr>
        <w:t>form</w:t>
      </w:r>
      <w:r>
        <w:rPr>
          <w:rFonts w:ascii="Arial"/>
          <w:color w:val="000000"/>
          <w:sz w:val="24"/>
        </w:rPr>
        <w:t>,</w:t>
      </w:r>
      <w:r>
        <w:rPr>
          <w:rFonts w:ascii="Arial"/>
          <w:color w:val="000000"/>
          <w:sz w:val="24"/>
        </w:rPr>
        <w:t xml:space="preserve"> </w:t>
      </w:r>
      <w:r>
        <w:rPr>
          <w:rFonts w:ascii="Arial"/>
          <w:color w:val="000000"/>
          <w:sz w:val="24"/>
        </w:rPr>
        <w:t>deep soil planting and additional landscaping: cl 6.14(6)(e) (Ex 10 par 9(a)</w:t>
      </w:r>
      <w:r>
        <w:rPr>
          <w:rFonts w:ascii="Arial"/>
          <w:color w:val="000000"/>
          <w:sz w:val="24"/>
        </w:rPr>
        <w:t>-</w:t>
      </w:r>
      <w:r>
        <w:rPr>
          <w:rFonts w:ascii="Arial"/>
          <w:color w:val="000000"/>
          <w:sz w:val="24"/>
        </w:rPr>
        <w:t xml:space="preserve">(d)). </w:t>
      </w:r>
    </w:p>
    <w:p>
      <w:pPr>
        <w:pStyle w:val="CaselawNumbered10"/>
        <w:numPr>
          <w:ilvl w:val="0"/>
          <w:numId w:val="117"/>
        </w:numPr>
        <w:spacing w:before="150" w:after="0"/>
        <w:ind w:left="600" w:hanging="600"/>
      </w:pPr>
      <w:r>
        <w:rPr>
          <w:rFonts w:ascii="Arial"/>
          <w:color w:val="000000"/>
          <w:sz w:val="24"/>
        </w:rPr>
        <w:t>T</w:t>
      </w:r>
      <w:r>
        <w:rPr>
          <w:rFonts w:ascii="Arial"/>
          <w:color w:val="000000"/>
          <w:sz w:val="24"/>
        </w:rPr>
        <w:t xml:space="preserve">he objectives of cl 4.6 are to provide an appropriate level of flexibility in applying a development standard to </w:t>
      </w:r>
      <w:r>
        <w:rPr>
          <w:rFonts w:ascii="Arial"/>
          <w:color w:val="000000"/>
          <w:sz w:val="24"/>
        </w:rPr>
        <w:t xml:space="preserve">the </w:t>
      </w:r>
      <w:r>
        <w:rPr>
          <w:rFonts w:ascii="Arial"/>
          <w:color w:val="000000"/>
          <w:sz w:val="24"/>
        </w:rPr>
        <w:t xml:space="preserve">development, to </w:t>
      </w:r>
      <w:r>
        <w:rPr>
          <w:rFonts w:ascii="Arial"/>
          <w:color w:val="000000"/>
          <w:sz w:val="24"/>
        </w:rPr>
        <w:t>achieve better outcomes for and from the development. In this case</w:t>
      </w:r>
      <w:r>
        <w:rPr>
          <w:rFonts w:ascii="Arial"/>
          <w:color w:val="000000"/>
          <w:sz w:val="24"/>
        </w:rPr>
        <w:t>,</w:t>
      </w:r>
      <w:r>
        <w:rPr>
          <w:rFonts w:ascii="Arial"/>
          <w:color w:val="000000"/>
          <w:sz w:val="24"/>
        </w:rPr>
        <w:t xml:space="preserve"> </w:t>
      </w:r>
      <w:r>
        <w:rPr>
          <w:rFonts w:ascii="Arial"/>
          <w:color w:val="000000"/>
          <w:sz w:val="24"/>
        </w:rPr>
        <w:t>I am satisfied that the encroachment in the setback</w:t>
      </w:r>
      <w:r>
        <w:rPr>
          <w:rFonts w:ascii="Arial"/>
          <w:color w:val="000000"/>
          <w:sz w:val="24"/>
        </w:rPr>
        <w:t>s</w:t>
      </w:r>
      <w:r>
        <w:rPr>
          <w:rFonts w:ascii="Arial"/>
          <w:color w:val="000000"/>
          <w:sz w:val="24"/>
        </w:rPr>
        <w:t xml:space="preserve"> </w:t>
      </w:r>
      <w:r>
        <w:rPr>
          <w:rFonts w:ascii="Arial"/>
          <w:color w:val="000000"/>
          <w:sz w:val="24"/>
        </w:rPr>
        <w:t xml:space="preserve">by the basements </w:t>
      </w:r>
      <w:r>
        <w:rPr>
          <w:rFonts w:ascii="Arial"/>
          <w:color w:val="000000"/>
          <w:sz w:val="24"/>
        </w:rPr>
        <w:t xml:space="preserve">as proposed do just that </w:t>
      </w:r>
      <w:r>
        <w:rPr>
          <w:rFonts w:ascii="Arial"/>
          <w:color w:val="000000"/>
          <w:sz w:val="24"/>
        </w:rPr>
        <w:t xml:space="preserve">– </w:t>
      </w:r>
      <w:r>
        <w:rPr>
          <w:rFonts w:ascii="Arial"/>
          <w:color w:val="000000"/>
          <w:sz w:val="24"/>
        </w:rPr>
        <w:t>they achieve</w:t>
      </w:r>
      <w:r>
        <w:rPr>
          <w:rFonts w:ascii="Arial"/>
          <w:color w:val="000000"/>
          <w:sz w:val="24"/>
        </w:rPr>
        <w:t xml:space="preserve"> </w:t>
      </w:r>
      <w:r>
        <w:rPr>
          <w:rFonts w:ascii="Arial"/>
          <w:color w:val="000000"/>
          <w:sz w:val="24"/>
        </w:rPr>
        <w:t xml:space="preserve">a better planning outcome for and from the development for the reasons </w:t>
      </w:r>
      <w:r>
        <w:rPr>
          <w:rFonts w:ascii="Arial"/>
          <w:color w:val="000000"/>
          <w:sz w:val="24"/>
        </w:rPr>
        <w:t>outlined in</w:t>
      </w:r>
      <w:r>
        <w:rPr>
          <w:rFonts w:ascii="Arial"/>
          <w:color w:val="000000"/>
          <w:sz w:val="24"/>
        </w:rPr>
        <w:t xml:space="preserve"> </w:t>
      </w:r>
      <w:r>
        <w:rPr>
          <w:rFonts w:ascii="Arial"/>
          <w:color w:val="000000"/>
          <w:sz w:val="24"/>
        </w:rPr>
        <w:t>the Request</w:t>
      </w:r>
      <w:r>
        <w:rPr>
          <w:rFonts w:ascii="Arial"/>
          <w:color w:val="000000"/>
          <w:sz w:val="24"/>
        </w:rPr>
        <w:t xml:space="preserve">. </w:t>
      </w:r>
      <w:r>
        <w:rPr>
          <w:rFonts w:ascii="Arial"/>
          <w:color w:val="000000"/>
          <w:sz w:val="24"/>
        </w:rPr>
        <w:t>The removal of parts of the existing basement to achieve compliance serves no useful positive planning purpose where appropriate deep soil planting and separation can be achieved irrespective of the breach</w:t>
      </w:r>
      <w:r>
        <w:rPr>
          <w:rFonts w:ascii="Arial"/>
          <w:color w:val="000000"/>
          <w:sz w:val="24"/>
        </w:rPr>
        <w:t xml:space="preserve"> </w:t>
      </w:r>
      <w:r>
        <w:rPr>
          <w:rFonts w:ascii="Arial"/>
          <w:color w:val="000000"/>
          <w:sz w:val="24"/>
        </w:rPr>
        <w:t>and the buildings are otherwise compliant.</w:t>
      </w:r>
    </w:p>
    <w:p>
      <w:pPr>
        <w:pStyle w:val="CaselawHeading3"/>
        <w:keepNext/>
        <w:spacing w:before="150" w:after="150" w:line="264"/>
        <w:ind w:left="0"/>
        <w:jc w:val="left"/>
      </w:pPr>
      <w:r>
        <w:rPr>
          <w:rFonts w:ascii="Arial"/>
        </w:rPr>
        <w:t>Cl</w:t>
      </w:r>
      <w:r>
        <w:rPr>
          <w:rFonts w:ascii="Arial"/>
        </w:rPr>
        <w:t>ause</w:t>
      </w:r>
      <w:r>
        <w:rPr>
          <w:rFonts w:ascii="Arial"/>
        </w:rPr>
        <w:t xml:space="preserve"> </w:t>
      </w:r>
      <w:r>
        <w:rPr>
          <w:rFonts w:ascii="Arial"/>
        </w:rPr>
        <w:t>6.14(4)</w:t>
      </w:r>
      <w:r>
        <w:rPr>
          <w:rFonts w:ascii="Arial"/>
        </w:rPr>
        <w:t xml:space="preserve"> </w:t>
      </w:r>
      <w:r>
        <w:rPr>
          <w:rFonts w:ascii="Arial"/>
        </w:rPr>
        <w:t xml:space="preserve">of LEP 2015 </w:t>
      </w:r>
      <w:r>
        <w:rPr>
          <w:rFonts w:ascii="Arial"/>
        </w:rPr>
        <w:t xml:space="preserve">– </w:t>
      </w:r>
      <w:r>
        <w:rPr>
          <w:rFonts w:ascii="Arial"/>
        </w:rPr>
        <w:t>C</w:t>
      </w:r>
      <w:r>
        <w:rPr>
          <w:rFonts w:ascii="Arial"/>
        </w:rPr>
        <w:t>ompliance</w:t>
      </w:r>
      <w:r>
        <w:rPr>
          <w:rFonts w:ascii="Arial"/>
        </w:rPr>
        <w:t xml:space="preserve"> </w:t>
      </w:r>
    </w:p>
    <w:p>
      <w:pPr>
        <w:pStyle w:val="CaselawNumbered10"/>
        <w:numPr>
          <w:ilvl w:val="0"/>
          <w:numId w:val="118"/>
        </w:numPr>
        <w:spacing w:before="150" w:after="0"/>
        <w:ind w:left="600" w:hanging="600"/>
      </w:pPr>
      <w:r>
        <w:rPr>
          <w:rFonts w:ascii="Arial"/>
          <w:color w:val="000000"/>
          <w:sz w:val="24"/>
        </w:rPr>
        <w:t>Accordingly</w:t>
      </w:r>
      <w:r>
        <w:rPr>
          <w:rFonts w:ascii="Arial"/>
          <w:color w:val="000000"/>
          <w:sz w:val="24"/>
        </w:rPr>
        <w:t>,</w:t>
      </w:r>
      <w:r>
        <w:rPr>
          <w:rFonts w:ascii="Arial"/>
          <w:color w:val="000000"/>
          <w:sz w:val="24"/>
        </w:rPr>
        <w:t xml:space="preserve"> </w:t>
      </w:r>
      <w:r>
        <w:rPr>
          <w:rFonts w:ascii="Arial"/>
          <w:color w:val="000000"/>
          <w:sz w:val="24"/>
        </w:rPr>
        <w:t xml:space="preserve">for the above reasons </w:t>
      </w:r>
      <w:r>
        <w:rPr>
          <w:rFonts w:ascii="Arial"/>
          <w:color w:val="000000"/>
          <w:sz w:val="24"/>
        </w:rPr>
        <w:t xml:space="preserve">I am satisfied of the matters in </w:t>
      </w:r>
      <w:r>
        <w:rPr>
          <w:rFonts w:ascii="Arial"/>
          <w:color w:val="000000"/>
          <w:sz w:val="24"/>
        </w:rPr>
        <w:t>sub</w:t>
      </w:r>
      <w:r>
        <w:rPr>
          <w:rFonts w:ascii="Arial"/>
          <w:color w:val="000000"/>
          <w:sz w:val="24"/>
        </w:rPr>
        <w:t>cl</w:t>
      </w:r>
      <w:r>
        <w:rPr>
          <w:rFonts w:ascii="Arial"/>
          <w:color w:val="000000"/>
          <w:sz w:val="24"/>
        </w:rPr>
        <w:t>l</w:t>
      </w:r>
      <w:r>
        <w:rPr>
          <w:rFonts w:ascii="Arial"/>
          <w:color w:val="000000"/>
          <w:sz w:val="24"/>
        </w:rPr>
        <w:t> </w:t>
      </w:r>
      <w:r>
        <w:rPr>
          <w:rFonts w:ascii="Arial"/>
          <w:color w:val="000000"/>
          <w:sz w:val="24"/>
        </w:rPr>
        <w:t>6.14(4)(a)</w:t>
      </w:r>
      <w:r>
        <w:rPr>
          <w:rFonts w:ascii="Arial"/>
          <w:color w:val="000000"/>
          <w:sz w:val="24"/>
        </w:rPr>
        <w:t>,</w:t>
      </w:r>
      <w:r>
        <w:rPr>
          <w:rFonts w:ascii="Arial"/>
          <w:color w:val="000000"/>
          <w:sz w:val="24"/>
        </w:rPr>
        <w:t xml:space="preserve"> </w:t>
      </w:r>
      <w:r>
        <w:rPr>
          <w:rFonts w:ascii="Arial"/>
          <w:color w:val="000000"/>
          <w:sz w:val="24"/>
        </w:rPr>
        <w:t>(b)</w:t>
      </w:r>
      <w:r>
        <w:rPr>
          <w:rFonts w:ascii="Arial"/>
          <w:color w:val="000000"/>
          <w:sz w:val="24"/>
        </w:rPr>
        <w:t>,</w:t>
      </w:r>
      <w:r>
        <w:rPr>
          <w:rFonts w:ascii="Arial"/>
          <w:color w:val="000000"/>
          <w:sz w:val="24"/>
        </w:rPr>
        <w:t xml:space="preserve"> </w:t>
      </w:r>
      <w:r>
        <w:rPr>
          <w:rFonts w:ascii="Arial"/>
          <w:color w:val="000000"/>
          <w:sz w:val="24"/>
        </w:rPr>
        <w:t>(c)</w:t>
      </w:r>
      <w:r>
        <w:rPr>
          <w:rFonts w:ascii="Arial"/>
          <w:color w:val="000000"/>
          <w:sz w:val="24"/>
        </w:rPr>
        <w:t>,</w:t>
      </w:r>
      <w:r>
        <w:rPr>
          <w:rFonts w:ascii="Arial"/>
          <w:color w:val="000000"/>
          <w:sz w:val="24"/>
        </w:rPr>
        <w:t xml:space="preserve"> </w:t>
      </w:r>
      <w:r>
        <w:rPr>
          <w:rFonts w:ascii="Arial"/>
          <w:color w:val="000000"/>
          <w:sz w:val="24"/>
        </w:rPr>
        <w:t>(d)</w:t>
      </w:r>
      <w:r>
        <w:rPr>
          <w:rFonts w:ascii="Arial"/>
          <w:color w:val="000000"/>
          <w:sz w:val="24"/>
        </w:rPr>
        <w:t>,</w:t>
      </w:r>
      <w:r>
        <w:rPr>
          <w:rFonts w:ascii="Arial"/>
          <w:color w:val="000000"/>
          <w:sz w:val="24"/>
        </w:rPr>
        <w:t xml:space="preserve"> </w:t>
      </w:r>
      <w:r>
        <w:rPr>
          <w:rFonts w:ascii="Arial"/>
          <w:color w:val="000000"/>
          <w:sz w:val="24"/>
        </w:rPr>
        <w:t>(e)</w:t>
      </w:r>
      <w:r>
        <w:rPr>
          <w:rFonts w:ascii="Arial"/>
          <w:color w:val="000000"/>
          <w:sz w:val="24"/>
        </w:rPr>
        <w:t xml:space="preserve">, </w:t>
      </w:r>
      <w:r>
        <w:rPr>
          <w:rFonts w:ascii="Arial"/>
          <w:color w:val="000000"/>
          <w:sz w:val="24"/>
        </w:rPr>
        <w:t>(f) and (</w:t>
      </w:r>
      <w:r>
        <w:rPr>
          <w:rFonts w:ascii="Arial"/>
          <w:color w:val="000000"/>
          <w:sz w:val="24"/>
        </w:rPr>
        <w:t>g) and</w:t>
      </w:r>
      <w:r>
        <w:rPr>
          <w:rFonts w:ascii="Arial"/>
          <w:color w:val="000000"/>
          <w:sz w:val="24"/>
        </w:rPr>
        <w:t xml:space="preserve"> </w:t>
      </w:r>
      <w:r>
        <w:rPr>
          <w:rFonts w:ascii="Arial"/>
          <w:color w:val="000000"/>
          <w:sz w:val="24"/>
        </w:rPr>
        <w:t>note as the Council identified</w:t>
      </w:r>
      <w:r>
        <w:rPr>
          <w:rFonts w:ascii="Arial"/>
          <w:color w:val="000000"/>
          <w:sz w:val="24"/>
        </w:rPr>
        <w:t xml:space="preserve"> </w:t>
      </w:r>
      <w:r>
        <w:rPr>
          <w:rFonts w:ascii="Arial"/>
          <w:color w:val="000000"/>
          <w:sz w:val="24"/>
        </w:rPr>
        <w:t>a site</w:t>
      </w:r>
      <w:r>
        <w:rPr>
          <w:rFonts w:ascii="Arial"/>
          <w:color w:val="000000"/>
          <w:sz w:val="24"/>
        </w:rPr>
        <w:t>-</w:t>
      </w:r>
      <w:r>
        <w:rPr>
          <w:rFonts w:ascii="Arial"/>
          <w:color w:val="000000"/>
          <w:sz w:val="24"/>
        </w:rPr>
        <w:t>specific DCP that specifies the mat</w:t>
      </w:r>
      <w:r>
        <w:rPr>
          <w:rFonts w:ascii="Arial"/>
          <w:color w:val="000000"/>
          <w:sz w:val="24"/>
        </w:rPr>
        <w:t>t</w:t>
      </w:r>
      <w:r>
        <w:rPr>
          <w:rFonts w:ascii="Arial"/>
          <w:color w:val="000000"/>
          <w:sz w:val="24"/>
        </w:rPr>
        <w:t>ers in subcl (6)</w:t>
      </w:r>
      <w:r>
        <w:rPr>
          <w:rFonts w:ascii="Arial"/>
          <w:color w:val="000000"/>
          <w:sz w:val="24"/>
        </w:rPr>
        <w:t>.</w:t>
      </w:r>
      <w:r>
        <w:rPr>
          <w:rFonts w:ascii="Arial"/>
          <w:color w:val="000000"/>
          <w:sz w:val="24"/>
        </w:rPr>
        <w:t xml:space="preserve"> </w:t>
      </w:r>
    </w:p>
    <w:p>
      <w:pPr>
        <w:pStyle w:val="CaselawHeading2"/>
        <w:keepNext/>
        <w:spacing w:before="150" w:after="150" w:line="264"/>
        <w:ind w:left="0"/>
        <w:jc w:val="left"/>
      </w:pPr>
      <w:r>
        <w:rPr>
          <w:rFonts w:ascii="Arial"/>
        </w:rPr>
        <w:t xml:space="preserve">Contention 8 </w:t>
      </w:r>
      <w:r>
        <w:rPr>
          <w:rFonts w:ascii="Arial"/>
        </w:rPr>
        <w:t xml:space="preserve">– </w:t>
      </w:r>
      <w:r>
        <w:rPr>
          <w:rFonts w:ascii="Arial"/>
        </w:rPr>
        <w:t>Childcare centres</w:t>
      </w:r>
    </w:p>
    <w:p>
      <w:pPr>
        <w:pStyle w:val="CaselawNumbered10"/>
        <w:numPr>
          <w:ilvl w:val="0"/>
          <w:numId w:val="119"/>
        </w:numPr>
        <w:spacing w:before="150" w:after="0"/>
        <w:ind w:left="600" w:hanging="600"/>
      </w:pPr>
      <w:r>
        <w:rPr>
          <w:rFonts w:ascii="Arial"/>
          <w:color w:val="000000"/>
          <w:sz w:val="24"/>
        </w:rPr>
        <w:t xml:space="preserve">The </w:t>
      </w:r>
      <w:r>
        <w:rPr>
          <w:rFonts w:ascii="Arial"/>
          <w:color w:val="000000"/>
          <w:sz w:val="24"/>
        </w:rPr>
        <w:t xml:space="preserve">planning </w:t>
      </w:r>
      <w:r>
        <w:rPr>
          <w:rFonts w:ascii="Arial"/>
          <w:color w:val="000000"/>
          <w:sz w:val="24"/>
        </w:rPr>
        <w:t>experts agree that if Norfolk Lane is determined to be a road, it meets the definition of a cul</w:t>
      </w:r>
      <w:r>
        <w:rPr>
          <w:rFonts w:ascii="Arial"/>
          <w:color w:val="000000"/>
          <w:sz w:val="24"/>
        </w:rPr>
        <w:t>-</w:t>
      </w:r>
      <w:r>
        <w:rPr>
          <w:rFonts w:ascii="Arial"/>
          <w:color w:val="000000"/>
          <w:sz w:val="24"/>
        </w:rPr>
        <w:t>de</w:t>
      </w:r>
      <w:r>
        <w:rPr>
          <w:rFonts w:ascii="Arial"/>
          <w:color w:val="000000"/>
          <w:sz w:val="24"/>
        </w:rPr>
        <w:t>-</w:t>
      </w:r>
      <w:r>
        <w:rPr>
          <w:rFonts w:ascii="Arial"/>
          <w:color w:val="000000"/>
          <w:sz w:val="24"/>
        </w:rPr>
        <w:t>sac and its carriage way between kerbs can be less tha</w:t>
      </w:r>
      <w:r>
        <w:rPr>
          <w:rFonts w:ascii="Arial"/>
          <w:color w:val="000000"/>
          <w:sz w:val="24"/>
        </w:rPr>
        <w:t>n</w:t>
      </w:r>
      <w:r>
        <w:rPr>
          <w:rFonts w:ascii="Arial"/>
          <w:color w:val="000000"/>
          <w:sz w:val="24"/>
        </w:rPr>
        <w:t xml:space="preserve"> </w:t>
      </w:r>
      <w:r>
        <w:rPr>
          <w:rFonts w:ascii="Arial"/>
          <w:color w:val="000000"/>
          <w:sz w:val="24"/>
        </w:rPr>
        <w:t xml:space="preserve">10m (Ex 10 par 28). </w:t>
      </w:r>
    </w:p>
    <w:p>
      <w:pPr>
        <w:pStyle w:val="CaselawNumbered10"/>
        <w:numPr>
          <w:ilvl w:val="0"/>
          <w:numId w:val="119"/>
        </w:numPr>
        <w:spacing w:before="150" w:after="0"/>
        <w:ind w:left="600" w:hanging="600"/>
      </w:pPr>
      <w:r>
        <w:rPr>
          <w:rFonts w:ascii="Arial"/>
          <w:color w:val="000000"/>
          <w:sz w:val="24"/>
        </w:rPr>
        <w:t>The</w:t>
      </w:r>
      <w:r>
        <w:rPr>
          <w:rFonts w:ascii="Arial"/>
          <w:color w:val="000000"/>
          <w:sz w:val="24"/>
        </w:rPr>
        <w:t>y also</w:t>
      </w:r>
      <w:r>
        <w:rPr>
          <w:rFonts w:ascii="Arial"/>
          <w:color w:val="000000"/>
          <w:sz w:val="24"/>
        </w:rPr>
        <w:t xml:space="preserve"> </w:t>
      </w:r>
      <w:r>
        <w:rPr>
          <w:rFonts w:ascii="Arial"/>
          <w:color w:val="000000"/>
          <w:sz w:val="24"/>
        </w:rPr>
        <w:t xml:space="preserve">agree that the design intent for vehicular access to the childcare centre </w:t>
      </w:r>
      <w:r>
        <w:rPr>
          <w:rFonts w:ascii="Arial"/>
          <w:color w:val="000000"/>
          <w:sz w:val="24"/>
        </w:rPr>
        <w:t xml:space="preserve">is </w:t>
      </w:r>
      <w:r>
        <w:rPr>
          <w:rFonts w:ascii="Arial"/>
          <w:color w:val="000000"/>
          <w:sz w:val="24"/>
        </w:rPr>
        <w:t>to be from Waterloo Road (</w:t>
      </w:r>
      <w:r>
        <w:rPr>
          <w:rFonts w:ascii="Arial"/>
          <w:color w:val="000000"/>
          <w:sz w:val="24"/>
        </w:rPr>
        <w:t xml:space="preserve">Ex 10 </w:t>
      </w:r>
      <w:r>
        <w:rPr>
          <w:rFonts w:ascii="Arial"/>
          <w:color w:val="000000"/>
          <w:sz w:val="24"/>
        </w:rPr>
        <w:t>par</w:t>
      </w:r>
      <w:r>
        <w:rPr>
          <w:rFonts w:ascii="Arial"/>
          <w:color w:val="000000"/>
          <w:sz w:val="24"/>
        </w:rPr>
        <w:t xml:space="preserve"> </w:t>
      </w:r>
      <w:r>
        <w:rPr>
          <w:rFonts w:ascii="Arial"/>
          <w:color w:val="000000"/>
          <w:sz w:val="24"/>
        </w:rPr>
        <w:t xml:space="preserve">27). </w:t>
      </w:r>
      <w:r>
        <w:rPr>
          <w:rFonts w:ascii="Arial"/>
          <w:color w:val="000000"/>
          <w:sz w:val="24"/>
        </w:rPr>
        <w:t>This is eviden</w:t>
      </w:r>
      <w:r>
        <w:rPr>
          <w:rFonts w:ascii="Arial"/>
          <w:color w:val="000000"/>
          <w:sz w:val="24"/>
        </w:rPr>
        <w:t>t</w:t>
      </w:r>
      <w:r>
        <w:rPr>
          <w:rFonts w:ascii="Arial"/>
          <w:color w:val="000000"/>
          <w:sz w:val="24"/>
        </w:rPr>
        <w:t xml:space="preserve"> </w:t>
      </w:r>
      <w:r>
        <w:rPr>
          <w:rFonts w:ascii="Arial"/>
          <w:color w:val="000000"/>
          <w:sz w:val="24"/>
        </w:rPr>
        <w:t xml:space="preserve">by the car parking dedicated to the centre only being accessible from Waterloo Road. </w:t>
      </w:r>
    </w:p>
    <w:p>
      <w:pPr>
        <w:pStyle w:val="CaselawNumbered10"/>
        <w:numPr>
          <w:ilvl w:val="0"/>
          <w:numId w:val="119"/>
        </w:numPr>
        <w:spacing w:before="150" w:after="0"/>
        <w:ind w:left="600" w:hanging="600"/>
      </w:pPr>
      <w:r>
        <w:rPr>
          <w:rFonts w:ascii="Arial"/>
          <w:color w:val="000000"/>
          <w:sz w:val="24"/>
        </w:rPr>
        <w:t xml:space="preserve">Clause 6.8 of the LEP 2015 provides: </w:t>
      </w:r>
    </w:p>
    <w:p>
      <w:pPr>
        <w:pStyle w:val="CaselawQuote"/>
        <w:spacing w:before="150" w:after="150"/>
        <w:ind w:left="1350"/>
        <w:jc w:val="left"/>
      </w:pPr>
      <w:r>
        <w:rPr>
          <w:rFonts w:ascii="Arial"/>
          <w:color w:val="000000"/>
          <w:sz w:val="22"/>
        </w:rPr>
        <w:t>Despite any other provision of this Plan, development consent must not be granted for the purpose of a centre-based child care facility on land if the vehicular access to that land is from—</w:t>
      </w:r>
    </w:p>
    <w:p>
      <w:pPr>
        <w:pStyle w:val="CaselawQuote"/>
        <w:spacing w:before="150" w:after="150"/>
        <w:ind w:left="1350"/>
        <w:jc w:val="left"/>
      </w:pPr>
      <w:r>
        <w:rPr>
          <w:rFonts w:ascii="Arial"/>
          <w:color w:val="000000"/>
          <w:sz w:val="22"/>
        </w:rPr>
        <w:t>(a) a classified road, or</w:t>
      </w:r>
    </w:p>
    <w:p>
      <w:pPr>
        <w:pStyle w:val="CaselawQuote"/>
        <w:spacing w:before="150" w:after="150"/>
        <w:ind w:left="1350"/>
        <w:jc w:val="left"/>
      </w:pPr>
      <w:r>
        <w:rPr>
          <w:rFonts w:ascii="Arial"/>
          <w:color w:val="000000"/>
          <w:sz w:val="22"/>
        </w:rPr>
        <w:t>(b) a cul-de-sac road or a road where the carriageway between kerbs is less than 10 metres.</w:t>
      </w:r>
    </w:p>
    <w:p>
      <w:pPr>
        <w:pStyle w:val="CaselawNumbered10"/>
        <w:numPr>
          <w:ilvl w:val="0"/>
          <w:numId w:val="120"/>
        </w:numPr>
        <w:spacing w:before="150" w:after="0"/>
        <w:ind w:left="600" w:hanging="600"/>
      </w:pPr>
      <w:r>
        <w:rPr>
          <w:rFonts w:ascii="Arial"/>
          <w:color w:val="000000"/>
          <w:sz w:val="24"/>
        </w:rPr>
        <w:t xml:space="preserve">As Waterloo Road is neither a classified </w:t>
      </w:r>
      <w:r>
        <w:rPr>
          <w:rFonts w:ascii="Arial"/>
          <w:color w:val="000000"/>
          <w:sz w:val="24"/>
        </w:rPr>
        <w:t xml:space="preserve">road or a </w:t>
      </w:r>
      <w:r>
        <w:rPr>
          <w:rFonts w:ascii="Arial"/>
          <w:color w:val="000000"/>
          <w:sz w:val="24"/>
        </w:rPr>
        <w:t xml:space="preserve">cul-de-sac road </w:t>
      </w:r>
      <w:r>
        <w:rPr>
          <w:rFonts w:ascii="Arial"/>
          <w:color w:val="000000"/>
          <w:sz w:val="24"/>
        </w:rPr>
        <w:t xml:space="preserve">- </w:t>
      </w:r>
      <w:r>
        <w:rPr>
          <w:rFonts w:ascii="Arial"/>
          <w:color w:val="000000"/>
          <w:sz w:val="24"/>
        </w:rPr>
        <w:t>with a carriage way between kerbs of less than 10m</w:t>
      </w:r>
      <w:r>
        <w:rPr>
          <w:rFonts w:ascii="Arial"/>
          <w:color w:val="000000"/>
          <w:sz w:val="24"/>
        </w:rPr>
        <w:t>,</w:t>
      </w:r>
      <w:r>
        <w:rPr>
          <w:rFonts w:ascii="Arial"/>
          <w:color w:val="000000"/>
          <w:sz w:val="24"/>
        </w:rPr>
        <w:t xml:space="preserve"> </w:t>
      </w:r>
      <w:r>
        <w:rPr>
          <w:rFonts w:ascii="Arial"/>
          <w:color w:val="000000"/>
          <w:sz w:val="24"/>
        </w:rPr>
        <w:t xml:space="preserve">Mr Ryan said that cl 6.8 is complied with by this application. </w:t>
      </w:r>
    </w:p>
    <w:p>
      <w:pPr>
        <w:pStyle w:val="CaselawNumbered10"/>
        <w:numPr>
          <w:ilvl w:val="0"/>
          <w:numId w:val="120"/>
        </w:numPr>
        <w:spacing w:before="150" w:after="0"/>
        <w:ind w:left="600" w:hanging="600"/>
      </w:pPr>
      <w:r>
        <w:rPr>
          <w:rFonts w:ascii="Arial"/>
          <w:color w:val="000000"/>
          <w:sz w:val="24"/>
        </w:rPr>
        <w:t xml:space="preserve">While </w:t>
      </w:r>
      <w:r>
        <w:rPr>
          <w:rFonts w:ascii="Arial"/>
          <w:color w:val="000000"/>
          <w:sz w:val="24"/>
        </w:rPr>
        <w:t>Ms Bartlett</w:t>
      </w:r>
      <w:r>
        <w:rPr>
          <w:rFonts w:ascii="Arial"/>
          <w:color w:val="000000"/>
          <w:sz w:val="24"/>
        </w:rPr>
        <w:t xml:space="preserve"> </w:t>
      </w:r>
      <w:r>
        <w:rPr>
          <w:rFonts w:ascii="Arial"/>
          <w:color w:val="000000"/>
          <w:sz w:val="24"/>
        </w:rPr>
        <w:t xml:space="preserve">expressed a concern about </w:t>
      </w:r>
      <w:r>
        <w:rPr>
          <w:rFonts w:ascii="Arial"/>
          <w:color w:val="000000"/>
          <w:sz w:val="24"/>
        </w:rPr>
        <w:t xml:space="preserve">the use of </w:t>
      </w:r>
      <w:r>
        <w:rPr>
          <w:rFonts w:ascii="Arial"/>
          <w:color w:val="000000"/>
          <w:sz w:val="24"/>
        </w:rPr>
        <w:t>87 Norfolk R</w:t>
      </w:r>
      <w:r>
        <w:rPr>
          <w:rFonts w:ascii="Arial"/>
          <w:color w:val="000000"/>
          <w:sz w:val="24"/>
        </w:rPr>
        <w:t>oa</w:t>
      </w:r>
      <w:r>
        <w:rPr>
          <w:rFonts w:ascii="Arial"/>
          <w:color w:val="000000"/>
          <w:sz w:val="24"/>
        </w:rPr>
        <w:t>d for unauthorised childcare pick up and drop off in contravention of cl 6.8</w:t>
      </w:r>
      <w:r>
        <w:rPr>
          <w:rFonts w:ascii="Arial"/>
          <w:color w:val="000000"/>
          <w:sz w:val="24"/>
        </w:rPr>
        <w:t>,</w:t>
      </w:r>
      <w:r>
        <w:rPr>
          <w:rFonts w:ascii="Arial"/>
          <w:color w:val="000000"/>
          <w:sz w:val="24"/>
        </w:rPr>
        <w:t xml:space="preserve"> </w:t>
      </w:r>
      <w:r>
        <w:rPr>
          <w:rFonts w:ascii="Arial"/>
          <w:color w:val="000000"/>
          <w:sz w:val="24"/>
        </w:rPr>
        <w:t xml:space="preserve">she accepted that the imposition of a condition requiring signage or some other measure that prohibited vehicular access to the childcare centre from Norfolk Road would help resolve the issue. </w:t>
      </w:r>
    </w:p>
    <w:p>
      <w:pPr>
        <w:pStyle w:val="CaselawNumbered10"/>
        <w:numPr>
          <w:ilvl w:val="0"/>
          <w:numId w:val="120"/>
        </w:numPr>
        <w:spacing w:before="150" w:after="0"/>
        <w:ind w:left="600" w:hanging="600"/>
      </w:pPr>
      <w:r>
        <w:rPr>
          <w:rFonts w:ascii="Arial"/>
          <w:color w:val="000000"/>
          <w:sz w:val="24"/>
        </w:rPr>
        <w:t>The Council has proposed such a condition, and it should be imposed.</w:t>
      </w:r>
    </w:p>
    <w:p>
      <w:pPr>
        <w:pStyle w:val="CaselawNumbered10"/>
        <w:numPr>
          <w:ilvl w:val="0"/>
          <w:numId w:val="120"/>
        </w:numPr>
        <w:spacing w:before="150" w:after="0"/>
        <w:ind w:left="600" w:hanging="600"/>
      </w:pPr>
      <w:r>
        <w:rPr>
          <w:rFonts w:ascii="Arial"/>
          <w:color w:val="000000"/>
          <w:sz w:val="24"/>
        </w:rPr>
        <w:t>T</w:t>
      </w:r>
      <w:r>
        <w:rPr>
          <w:rFonts w:ascii="Arial"/>
          <w:color w:val="000000"/>
          <w:sz w:val="24"/>
        </w:rPr>
        <w:t xml:space="preserve">he Council </w:t>
      </w:r>
      <w:r>
        <w:rPr>
          <w:rFonts w:ascii="Arial"/>
          <w:color w:val="000000"/>
          <w:sz w:val="24"/>
        </w:rPr>
        <w:t xml:space="preserve">has </w:t>
      </w:r>
      <w:r>
        <w:rPr>
          <w:rFonts w:ascii="Arial"/>
          <w:color w:val="000000"/>
          <w:sz w:val="24"/>
        </w:rPr>
        <w:t>helpfully summarise</w:t>
      </w:r>
      <w:r>
        <w:rPr>
          <w:rFonts w:ascii="Arial"/>
          <w:color w:val="000000"/>
          <w:sz w:val="24"/>
        </w:rPr>
        <w:t>d</w:t>
      </w:r>
      <w:r>
        <w:rPr>
          <w:rFonts w:ascii="Arial"/>
          <w:color w:val="000000"/>
          <w:sz w:val="24"/>
        </w:rPr>
        <w:t xml:space="preserve"> </w:t>
      </w:r>
      <w:r>
        <w:rPr>
          <w:rFonts w:ascii="Arial"/>
          <w:color w:val="000000"/>
          <w:sz w:val="24"/>
        </w:rPr>
        <w:t>in its CFWS</w:t>
      </w:r>
      <w:r>
        <w:rPr>
          <w:rFonts w:ascii="Arial"/>
          <w:color w:val="000000"/>
          <w:sz w:val="24"/>
        </w:rPr>
        <w:t xml:space="preserve"> </w:t>
      </w:r>
      <w:r>
        <w:rPr>
          <w:rFonts w:ascii="Arial"/>
          <w:color w:val="000000"/>
          <w:sz w:val="24"/>
        </w:rPr>
        <w:t xml:space="preserve">that </w:t>
      </w:r>
      <w:r>
        <w:rPr>
          <w:rFonts w:ascii="Arial"/>
          <w:color w:val="000000"/>
          <w:sz w:val="24"/>
        </w:rPr>
        <w:t xml:space="preserve">contentions 17, 18, 20, 22, 23, 26, 27 28 and 32 have been resolved by the </w:t>
      </w:r>
      <w:r>
        <w:rPr>
          <w:rFonts w:ascii="Arial"/>
          <w:color w:val="000000"/>
          <w:sz w:val="24"/>
        </w:rPr>
        <w:t>Council</w:t>
      </w:r>
      <w:r>
        <w:rPr>
          <w:rFonts w:ascii="Arial"/>
          <w:color w:val="000000"/>
          <w:sz w:val="24"/>
        </w:rPr>
        <w:t>’</w:t>
      </w:r>
      <w:r>
        <w:rPr>
          <w:rFonts w:ascii="Arial"/>
          <w:color w:val="000000"/>
          <w:sz w:val="24"/>
        </w:rPr>
        <w:t xml:space="preserve">s </w:t>
      </w:r>
      <w:r>
        <w:rPr>
          <w:rFonts w:ascii="Arial"/>
          <w:color w:val="000000"/>
          <w:sz w:val="24"/>
        </w:rPr>
        <w:t xml:space="preserve">proposed </w:t>
      </w:r>
      <w:r>
        <w:rPr>
          <w:rFonts w:ascii="Arial"/>
          <w:color w:val="000000"/>
          <w:sz w:val="24"/>
        </w:rPr>
        <w:t>draft conditions of consent</w:t>
      </w:r>
      <w:r>
        <w:rPr>
          <w:rFonts w:ascii="Arial"/>
          <w:color w:val="000000"/>
          <w:sz w:val="24"/>
        </w:rPr>
        <w:t xml:space="preserve"> </w:t>
      </w:r>
      <w:r>
        <w:rPr>
          <w:rFonts w:ascii="Arial"/>
          <w:color w:val="000000"/>
          <w:sz w:val="24"/>
        </w:rPr>
        <w:t>(forwarded to the Court on 28 June 2024).</w:t>
      </w:r>
      <w:r>
        <w:rPr>
          <w:rFonts w:ascii="Arial"/>
          <w:color w:val="000000"/>
          <w:sz w:val="24"/>
        </w:rPr>
        <w:t xml:space="preserve"> </w:t>
      </w:r>
    </w:p>
    <w:p>
      <w:pPr>
        <w:pStyle w:val="CaselawHeading2"/>
        <w:keepNext/>
        <w:spacing w:before="150" w:after="150" w:line="264"/>
        <w:ind w:left="0"/>
        <w:jc w:val="left"/>
      </w:pPr>
      <w:r>
        <w:rPr>
          <w:rFonts w:ascii="Arial"/>
        </w:rPr>
        <w:t>Contentions 39 and 41 - Ecology issues</w:t>
      </w:r>
    </w:p>
    <w:p>
      <w:pPr>
        <w:pStyle w:val="CaselawNumbered10"/>
        <w:numPr>
          <w:ilvl w:val="0"/>
          <w:numId w:val="121"/>
        </w:numPr>
        <w:spacing w:before="150" w:after="0"/>
        <w:ind w:left="600" w:hanging="600"/>
      </w:pPr>
      <w:r>
        <w:rPr>
          <w:rFonts w:ascii="Arial"/>
          <w:color w:val="000000"/>
          <w:sz w:val="24"/>
        </w:rPr>
        <w:t>The parties</w:t>
      </w:r>
      <w:r>
        <w:rPr>
          <w:rFonts w:ascii="Arial"/>
          <w:color w:val="000000"/>
          <w:sz w:val="24"/>
        </w:rPr>
        <w:t>’</w:t>
      </w:r>
      <w:r>
        <w:rPr>
          <w:rFonts w:ascii="Arial"/>
          <w:color w:val="000000"/>
          <w:sz w:val="24"/>
        </w:rPr>
        <w:t xml:space="preserve"> </w:t>
      </w:r>
      <w:r>
        <w:rPr>
          <w:rFonts w:ascii="Arial"/>
          <w:color w:val="000000"/>
          <w:sz w:val="24"/>
        </w:rPr>
        <w:t xml:space="preserve">experts have agreed to amendments to </w:t>
      </w:r>
      <w:r>
        <w:rPr>
          <w:rFonts w:ascii="Arial"/>
          <w:color w:val="000000"/>
          <w:sz w:val="24"/>
        </w:rPr>
        <w:t xml:space="preserve">the </w:t>
      </w:r>
      <w:r>
        <w:rPr>
          <w:rFonts w:ascii="Arial"/>
          <w:color w:val="000000"/>
          <w:sz w:val="24"/>
        </w:rPr>
        <w:t xml:space="preserve">plans and documents to resolve this contention: </w:t>
      </w:r>
      <w:r>
        <w:rPr>
          <w:rFonts w:ascii="Arial"/>
          <w:color w:val="000000"/>
          <w:sz w:val="24"/>
        </w:rPr>
        <w:t>Ex 18</w:t>
      </w:r>
      <w:r>
        <w:rPr>
          <w:rFonts w:ascii="Arial"/>
          <w:color w:val="000000"/>
          <w:sz w:val="24"/>
        </w:rPr>
        <w:t xml:space="preserve"> </w:t>
      </w:r>
      <w:r>
        <w:rPr>
          <w:rFonts w:ascii="Arial"/>
          <w:color w:val="000000"/>
          <w:sz w:val="24"/>
        </w:rPr>
        <w:t>at pp 3-4. Subject to those amendments, this contention is resolved.</w:t>
      </w:r>
    </w:p>
    <w:p>
      <w:pPr>
        <w:pStyle w:val="CaselawHeading2"/>
        <w:keepNext/>
        <w:spacing w:before="150" w:after="150" w:line="264"/>
        <w:ind w:left="0"/>
        <w:jc w:val="left"/>
      </w:pPr>
      <w:r>
        <w:rPr>
          <w:rFonts w:ascii="Arial"/>
        </w:rPr>
        <w:t>Contention</w:t>
      </w:r>
      <w:r>
        <w:rPr>
          <w:rFonts w:ascii="Arial"/>
        </w:rPr>
        <w:t>s</w:t>
      </w:r>
      <w:r>
        <w:rPr>
          <w:rFonts w:ascii="Arial"/>
        </w:rPr>
        <w:t xml:space="preserve"> </w:t>
      </w:r>
      <w:r>
        <w:rPr>
          <w:rFonts w:ascii="Arial"/>
        </w:rPr>
        <w:t xml:space="preserve">48 </w:t>
      </w:r>
      <w:r>
        <w:rPr>
          <w:rFonts w:ascii="Arial"/>
        </w:rPr>
        <w:t xml:space="preserve">and 49 </w:t>
      </w:r>
      <w:r>
        <w:rPr>
          <w:rFonts w:ascii="Arial"/>
        </w:rPr>
        <w:t xml:space="preserve">- </w:t>
      </w:r>
      <w:r>
        <w:rPr>
          <w:rFonts w:ascii="Arial"/>
        </w:rPr>
        <w:t xml:space="preserve">Public </w:t>
      </w:r>
      <w:r>
        <w:rPr>
          <w:rFonts w:ascii="Arial"/>
        </w:rPr>
        <w:t>submissions</w:t>
      </w:r>
      <w:r>
        <w:rPr>
          <w:rFonts w:ascii="Arial"/>
        </w:rPr>
        <w:t xml:space="preserve"> </w:t>
      </w:r>
      <w:r>
        <w:rPr>
          <w:rFonts w:ascii="Arial"/>
        </w:rPr>
        <w:t xml:space="preserve">and Public </w:t>
      </w:r>
      <w:r>
        <w:rPr>
          <w:rFonts w:ascii="Arial"/>
        </w:rPr>
        <w:t>i</w:t>
      </w:r>
      <w:r>
        <w:rPr>
          <w:rFonts w:ascii="Arial"/>
        </w:rPr>
        <w:t>nterest</w:t>
      </w:r>
      <w:r>
        <w:rPr>
          <w:rFonts w:ascii="Arial"/>
        </w:rPr>
        <w:t xml:space="preserve"> </w:t>
      </w:r>
    </w:p>
    <w:p>
      <w:pPr>
        <w:pStyle w:val="CaselawNumbered10"/>
        <w:numPr>
          <w:ilvl w:val="0"/>
          <w:numId w:val="122"/>
        </w:numPr>
        <w:spacing w:before="150" w:after="0"/>
        <w:ind w:left="600" w:hanging="600"/>
      </w:pPr>
      <w:r>
        <w:rPr>
          <w:rFonts w:ascii="Arial"/>
          <w:color w:val="000000"/>
          <w:sz w:val="24"/>
        </w:rPr>
        <w:t>Under s 4.15(1)(d)</w:t>
      </w:r>
      <w:r>
        <w:rPr>
          <w:rFonts w:ascii="Arial"/>
          <w:color w:val="000000"/>
          <w:sz w:val="24"/>
        </w:rPr>
        <w:t xml:space="preserve"> </w:t>
      </w:r>
      <w:r>
        <w:rPr>
          <w:rFonts w:ascii="Arial"/>
          <w:color w:val="000000"/>
          <w:sz w:val="24"/>
        </w:rPr>
        <w:t>of the EPA Act</w:t>
      </w:r>
      <w:r>
        <w:rPr>
          <w:rFonts w:ascii="Arial"/>
          <w:color w:val="000000"/>
          <w:sz w:val="24"/>
        </w:rPr>
        <w:t xml:space="preserve">, the Court is required to consider public submissions made in accordance with the EPA Act or the regulations in determining the DA. </w:t>
      </w:r>
    </w:p>
    <w:p>
      <w:pPr>
        <w:pStyle w:val="CaselawNumbered10"/>
        <w:numPr>
          <w:ilvl w:val="0"/>
          <w:numId w:val="122"/>
        </w:numPr>
        <w:spacing w:before="150" w:after="0"/>
        <w:ind w:left="600" w:hanging="600"/>
      </w:pPr>
      <w:r>
        <w:rPr>
          <w:rFonts w:ascii="Arial"/>
          <w:color w:val="000000"/>
          <w:sz w:val="24"/>
        </w:rPr>
        <w:t xml:space="preserve">The public submissions </w:t>
      </w:r>
      <w:r>
        <w:rPr>
          <w:rFonts w:ascii="Arial"/>
          <w:color w:val="000000"/>
          <w:sz w:val="24"/>
        </w:rPr>
        <w:t xml:space="preserve">in this case are </w:t>
      </w:r>
      <w:r>
        <w:rPr>
          <w:rFonts w:ascii="Arial"/>
          <w:color w:val="000000"/>
          <w:sz w:val="24"/>
        </w:rPr>
        <w:t>included in the Council's List of Objec</w:t>
      </w:r>
      <w:r>
        <w:rPr>
          <w:rFonts w:ascii="Arial"/>
          <w:color w:val="000000"/>
          <w:sz w:val="24"/>
        </w:rPr>
        <w:t>tors</w:t>
      </w:r>
      <w:r>
        <w:rPr>
          <w:rFonts w:ascii="Arial"/>
          <w:color w:val="000000"/>
          <w:sz w:val="24"/>
        </w:rPr>
        <w:t xml:space="preserve"> </w:t>
      </w:r>
      <w:r>
        <w:rPr>
          <w:rFonts w:ascii="Arial"/>
          <w:color w:val="000000"/>
          <w:sz w:val="24"/>
        </w:rPr>
        <w:t>(Ex 13</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The </w:t>
      </w:r>
      <w:r>
        <w:rPr>
          <w:rFonts w:ascii="Arial"/>
          <w:color w:val="000000"/>
          <w:sz w:val="24"/>
        </w:rPr>
        <w:t xml:space="preserve">Council </w:t>
      </w:r>
      <w:r>
        <w:rPr>
          <w:rFonts w:ascii="Arial"/>
          <w:color w:val="000000"/>
          <w:sz w:val="24"/>
        </w:rPr>
        <w:t xml:space="preserve">submits </w:t>
      </w:r>
      <w:r>
        <w:rPr>
          <w:rFonts w:ascii="Arial"/>
          <w:color w:val="000000"/>
          <w:sz w:val="24"/>
        </w:rPr>
        <w:t>that the DA should be refused having regard to th</w:t>
      </w:r>
      <w:r>
        <w:rPr>
          <w:rFonts w:ascii="Arial"/>
          <w:color w:val="000000"/>
          <w:sz w:val="24"/>
        </w:rPr>
        <w:t>ose</w:t>
      </w:r>
      <w:r>
        <w:rPr>
          <w:rFonts w:ascii="Arial"/>
          <w:color w:val="000000"/>
          <w:sz w:val="24"/>
        </w:rPr>
        <w:t xml:space="preserve"> </w:t>
      </w:r>
      <w:r>
        <w:rPr>
          <w:rFonts w:ascii="Arial"/>
          <w:color w:val="000000"/>
          <w:sz w:val="24"/>
        </w:rPr>
        <w:t xml:space="preserve">matters set out in those public submissions. In particular, the submissions made by residents of Norfolk Road (see Items 1c, d, e, g, i, I, m and n) </w:t>
      </w:r>
      <w:r>
        <w:rPr>
          <w:rFonts w:ascii="Arial"/>
          <w:color w:val="000000"/>
          <w:sz w:val="24"/>
        </w:rPr>
        <w:t xml:space="preserve">concerning </w:t>
      </w:r>
      <w:r>
        <w:rPr>
          <w:rFonts w:ascii="Arial"/>
          <w:color w:val="000000"/>
          <w:sz w:val="24"/>
        </w:rPr>
        <w:t>traffic</w:t>
      </w:r>
      <w:r>
        <w:rPr>
          <w:rFonts w:ascii="Arial"/>
          <w:color w:val="000000"/>
          <w:sz w:val="24"/>
        </w:rPr>
        <w:t xml:space="preserve"> </w:t>
      </w:r>
      <w:r>
        <w:rPr>
          <w:rFonts w:ascii="Arial"/>
          <w:color w:val="000000"/>
          <w:sz w:val="24"/>
        </w:rPr>
        <w:t>impacts</w:t>
      </w:r>
      <w:r>
        <w:rPr>
          <w:rFonts w:ascii="Arial"/>
          <w:color w:val="000000"/>
          <w:sz w:val="24"/>
        </w:rPr>
        <w:t>, a</w:t>
      </w:r>
      <w:r>
        <w:rPr>
          <w:rFonts w:ascii="Arial"/>
          <w:color w:val="000000"/>
          <w:sz w:val="24"/>
        </w:rPr>
        <w:t xml:space="preserve">nd the </w:t>
      </w:r>
      <w:r>
        <w:rPr>
          <w:rFonts w:ascii="Arial"/>
          <w:color w:val="000000"/>
          <w:sz w:val="24"/>
        </w:rPr>
        <w:t>suitability of 87 Norfolk Road as the driveway access to the development.</w:t>
      </w:r>
    </w:p>
    <w:p>
      <w:pPr>
        <w:pStyle w:val="CaselawNumbered10"/>
        <w:numPr>
          <w:ilvl w:val="0"/>
          <w:numId w:val="122"/>
        </w:numPr>
        <w:spacing w:before="150" w:after="0"/>
        <w:ind w:left="600" w:hanging="600"/>
      </w:pPr>
      <w:r>
        <w:rPr>
          <w:rFonts w:ascii="Arial"/>
          <w:color w:val="000000"/>
          <w:sz w:val="24"/>
        </w:rPr>
        <w:t>Under s 4.15(1)(e)</w:t>
      </w:r>
      <w:r>
        <w:rPr>
          <w:rFonts w:ascii="Arial"/>
          <w:color w:val="000000"/>
          <w:sz w:val="24"/>
        </w:rPr>
        <w:t xml:space="preserve"> </w:t>
      </w:r>
      <w:r>
        <w:rPr>
          <w:rFonts w:ascii="Arial"/>
          <w:color w:val="000000"/>
          <w:sz w:val="24"/>
        </w:rPr>
        <w:t>of the EPA Act</w:t>
      </w:r>
      <w:r>
        <w:rPr>
          <w:rFonts w:ascii="Arial"/>
          <w:color w:val="000000"/>
          <w:sz w:val="24"/>
        </w:rPr>
        <w:t>, the Court is required to consider the public interest in determining the DA. The Council s</w:t>
      </w:r>
      <w:r>
        <w:rPr>
          <w:rFonts w:ascii="Arial"/>
          <w:color w:val="000000"/>
          <w:sz w:val="24"/>
        </w:rPr>
        <w:t>ubmits</w:t>
      </w:r>
      <w:r>
        <w:rPr>
          <w:rFonts w:ascii="Arial"/>
          <w:color w:val="000000"/>
          <w:sz w:val="24"/>
        </w:rPr>
        <w:t xml:space="preserve"> </w:t>
      </w:r>
      <w:r>
        <w:rPr>
          <w:rFonts w:ascii="Arial"/>
          <w:color w:val="000000"/>
          <w:sz w:val="24"/>
        </w:rPr>
        <w:t xml:space="preserve">that the DA should be refused because the </w:t>
      </w:r>
      <w:r>
        <w:rPr>
          <w:rFonts w:ascii="Arial"/>
          <w:color w:val="000000"/>
          <w:sz w:val="24"/>
        </w:rPr>
        <w:t>p</w:t>
      </w:r>
      <w:r>
        <w:rPr>
          <w:rFonts w:ascii="Arial"/>
          <w:color w:val="000000"/>
          <w:sz w:val="24"/>
        </w:rPr>
        <w:t xml:space="preserve">roposed </w:t>
      </w:r>
      <w:r>
        <w:rPr>
          <w:rFonts w:ascii="Arial"/>
          <w:color w:val="000000"/>
          <w:sz w:val="24"/>
        </w:rPr>
        <w:t>d</w:t>
      </w:r>
      <w:r>
        <w:rPr>
          <w:rFonts w:ascii="Arial"/>
          <w:color w:val="000000"/>
          <w:sz w:val="24"/>
        </w:rPr>
        <w:t xml:space="preserve">evelopment is not in the public interest having regard to the </w:t>
      </w:r>
      <w:r>
        <w:rPr>
          <w:rFonts w:ascii="Arial"/>
          <w:color w:val="000000"/>
          <w:sz w:val="24"/>
        </w:rPr>
        <w:t>c</w:t>
      </w:r>
      <w:r>
        <w:rPr>
          <w:rFonts w:ascii="Arial"/>
          <w:color w:val="000000"/>
          <w:sz w:val="24"/>
        </w:rPr>
        <w:t xml:space="preserve">ontentions in the </w:t>
      </w:r>
      <w:r>
        <w:rPr>
          <w:rFonts w:ascii="Arial"/>
          <w:color w:val="000000"/>
          <w:sz w:val="24"/>
        </w:rPr>
        <w:t>S</w:t>
      </w:r>
      <w:r>
        <w:rPr>
          <w:rFonts w:ascii="Arial"/>
          <w:color w:val="000000"/>
          <w:sz w:val="24"/>
        </w:rPr>
        <w:t>A</w:t>
      </w:r>
      <w:r>
        <w:rPr>
          <w:rFonts w:ascii="Arial"/>
          <w:color w:val="000000"/>
          <w:sz w:val="24"/>
        </w:rPr>
        <w:t>SOFC</w:t>
      </w:r>
      <w:r>
        <w:rPr>
          <w:rFonts w:ascii="Arial"/>
          <w:color w:val="000000"/>
          <w:sz w:val="24"/>
        </w:rPr>
        <w:t>,</w:t>
      </w:r>
      <w:r>
        <w:rPr>
          <w:rFonts w:ascii="Arial"/>
          <w:color w:val="000000"/>
          <w:sz w:val="24"/>
        </w:rPr>
        <w:t xml:space="preserve"> </w:t>
      </w:r>
      <w:r>
        <w:rPr>
          <w:rFonts w:ascii="Arial"/>
          <w:color w:val="000000"/>
          <w:sz w:val="24"/>
        </w:rPr>
        <w:t>and the matters raised in the public submissions.</w:t>
      </w:r>
    </w:p>
    <w:p>
      <w:pPr>
        <w:pStyle w:val="CaselawNumbered10"/>
        <w:numPr>
          <w:ilvl w:val="0"/>
          <w:numId w:val="122"/>
        </w:numPr>
        <w:spacing w:before="150" w:after="0"/>
        <w:ind w:left="600" w:hanging="600"/>
      </w:pPr>
      <w:r>
        <w:rPr>
          <w:rFonts w:ascii="Arial"/>
          <w:color w:val="000000"/>
          <w:sz w:val="24"/>
        </w:rPr>
        <w:t xml:space="preserve">I have </w:t>
      </w:r>
      <w:r>
        <w:rPr>
          <w:rFonts w:ascii="Arial"/>
          <w:color w:val="000000"/>
          <w:sz w:val="24"/>
        </w:rPr>
        <w:t xml:space="preserve">carefully </w:t>
      </w:r>
      <w:r>
        <w:rPr>
          <w:rFonts w:ascii="Arial"/>
          <w:color w:val="000000"/>
          <w:sz w:val="24"/>
        </w:rPr>
        <w:t>considered the public submission</w:t>
      </w:r>
      <w:r>
        <w:rPr>
          <w:rFonts w:ascii="Arial"/>
          <w:color w:val="000000"/>
          <w:sz w:val="24"/>
        </w:rPr>
        <w:t>s</w:t>
      </w:r>
      <w:r>
        <w:rPr>
          <w:rFonts w:ascii="Arial"/>
          <w:color w:val="000000"/>
          <w:sz w:val="24"/>
        </w:rPr>
        <w:t xml:space="preserve"> </w:t>
      </w:r>
      <w:r>
        <w:rPr>
          <w:rFonts w:ascii="Arial"/>
          <w:color w:val="000000"/>
          <w:sz w:val="24"/>
        </w:rPr>
        <w:t xml:space="preserve">including those in relation </w:t>
      </w:r>
      <w:r>
        <w:rPr>
          <w:rFonts w:ascii="Arial"/>
          <w:color w:val="000000"/>
          <w:sz w:val="24"/>
        </w:rPr>
        <w:t xml:space="preserve">to </w:t>
      </w:r>
      <w:r>
        <w:rPr>
          <w:rFonts w:ascii="Arial"/>
          <w:color w:val="000000"/>
          <w:sz w:val="24"/>
        </w:rPr>
        <w:t xml:space="preserve">87 </w:t>
      </w:r>
      <w:r>
        <w:rPr>
          <w:rFonts w:ascii="Arial"/>
          <w:color w:val="000000"/>
          <w:sz w:val="24"/>
        </w:rPr>
        <w:t>Norfolk R</w:t>
      </w:r>
      <w:r>
        <w:rPr>
          <w:rFonts w:ascii="Arial"/>
          <w:color w:val="000000"/>
          <w:sz w:val="24"/>
        </w:rPr>
        <w:t>oa</w:t>
      </w:r>
      <w:r>
        <w:rPr>
          <w:rFonts w:ascii="Arial"/>
          <w:color w:val="000000"/>
          <w:sz w:val="24"/>
        </w:rPr>
        <w:t>d</w:t>
      </w:r>
      <w:r>
        <w:rPr>
          <w:rFonts w:ascii="Arial"/>
          <w:color w:val="000000"/>
          <w:sz w:val="24"/>
        </w:rPr>
        <w:t xml:space="preserve"> </w:t>
      </w:r>
      <w:r>
        <w:rPr>
          <w:rFonts w:ascii="Arial"/>
          <w:color w:val="000000"/>
          <w:sz w:val="24"/>
        </w:rPr>
        <w:t>(</w:t>
      </w:r>
      <w:r>
        <w:rPr>
          <w:rFonts w:ascii="Arial"/>
          <w:color w:val="000000"/>
          <w:sz w:val="24"/>
        </w:rPr>
        <w:t>S</w:t>
      </w:r>
      <w:r>
        <w:rPr>
          <w:rFonts w:ascii="Arial"/>
          <w:color w:val="000000"/>
          <w:sz w:val="24"/>
        </w:rPr>
        <w:t>ASOF</w:t>
      </w:r>
      <w:r>
        <w:rPr>
          <w:rFonts w:ascii="Arial"/>
          <w:color w:val="000000"/>
          <w:sz w:val="24"/>
        </w:rPr>
        <w:t>C</w:t>
      </w:r>
      <w:r>
        <w:rPr>
          <w:rFonts w:ascii="Arial"/>
          <w:color w:val="000000"/>
          <w:sz w:val="24"/>
        </w:rPr>
        <w:t>; Council bundle)</w:t>
      </w:r>
      <w:r>
        <w:rPr>
          <w:rFonts w:ascii="Arial"/>
          <w:color w:val="000000"/>
          <w:sz w:val="24"/>
        </w:rPr>
        <w:t xml:space="preserve">. </w:t>
      </w:r>
      <w:r>
        <w:rPr>
          <w:rFonts w:ascii="Arial"/>
          <w:color w:val="000000"/>
          <w:sz w:val="24"/>
        </w:rPr>
        <w:t xml:space="preserve">I have also undertaken two site inspections - in the company of the parties, their lawyers, and the experts. These site and area inspections have allowed me to better understand the public submissions and the evidence more generally. </w:t>
      </w:r>
    </w:p>
    <w:p>
      <w:pPr>
        <w:pStyle w:val="CaselawNumbered10"/>
        <w:numPr>
          <w:ilvl w:val="0"/>
          <w:numId w:val="122"/>
        </w:numPr>
        <w:spacing w:before="150" w:after="0"/>
        <w:ind w:left="600" w:hanging="600"/>
      </w:pPr>
      <w:r>
        <w:rPr>
          <w:rFonts w:ascii="Arial"/>
          <w:color w:val="000000"/>
          <w:sz w:val="24"/>
        </w:rPr>
        <w:t>As the planning evidence identifies</w:t>
      </w:r>
      <w:r>
        <w:rPr>
          <w:rFonts w:ascii="Arial"/>
          <w:color w:val="000000"/>
          <w:sz w:val="24"/>
        </w:rPr>
        <w:t>,</w:t>
      </w:r>
      <w:r>
        <w:rPr>
          <w:rFonts w:ascii="Arial"/>
          <w:color w:val="000000"/>
          <w:sz w:val="24"/>
        </w:rPr>
        <w:t xml:space="preserve"> </w:t>
      </w:r>
      <w:r>
        <w:rPr>
          <w:rFonts w:ascii="Arial"/>
          <w:color w:val="000000"/>
          <w:sz w:val="24"/>
        </w:rPr>
        <w:t xml:space="preserve">strict compliance with </w:t>
      </w:r>
      <w:r>
        <w:rPr>
          <w:rFonts w:ascii="Arial"/>
          <w:color w:val="000000"/>
          <w:sz w:val="24"/>
        </w:rPr>
        <w:t xml:space="preserve">the </w:t>
      </w:r>
      <w:r>
        <w:rPr>
          <w:rFonts w:ascii="Arial"/>
          <w:color w:val="000000"/>
          <w:sz w:val="24"/>
        </w:rPr>
        <w:t>DCP would result in small townhouses, which have limited setbacks with the residential properties on Norfolk R</w:t>
      </w:r>
      <w:r>
        <w:rPr>
          <w:rFonts w:ascii="Arial"/>
          <w:color w:val="000000"/>
          <w:sz w:val="24"/>
        </w:rPr>
        <w:t>oa</w:t>
      </w:r>
      <w:r>
        <w:rPr>
          <w:rFonts w:ascii="Arial"/>
          <w:color w:val="000000"/>
          <w:sz w:val="24"/>
        </w:rPr>
        <w:t xml:space="preserve">d. </w:t>
      </w:r>
      <w:r>
        <w:rPr>
          <w:rFonts w:ascii="Arial"/>
          <w:color w:val="000000"/>
          <w:sz w:val="24"/>
        </w:rPr>
        <w:t xml:space="preserve">This </w:t>
      </w:r>
      <w:r>
        <w:rPr>
          <w:rFonts w:ascii="Arial"/>
          <w:color w:val="000000"/>
          <w:sz w:val="24"/>
        </w:rPr>
        <w:t xml:space="preserve">proposal </w:t>
      </w:r>
      <w:r>
        <w:rPr>
          <w:rFonts w:ascii="Arial"/>
          <w:color w:val="000000"/>
          <w:sz w:val="24"/>
        </w:rPr>
        <w:t>achieve</w:t>
      </w:r>
      <w:r>
        <w:rPr>
          <w:rFonts w:ascii="Arial"/>
          <w:color w:val="000000"/>
          <w:sz w:val="24"/>
        </w:rPr>
        <w:t>s</w:t>
      </w:r>
      <w:r>
        <w:rPr>
          <w:rFonts w:ascii="Arial"/>
          <w:color w:val="000000"/>
          <w:sz w:val="24"/>
        </w:rPr>
        <w:t xml:space="preserve"> </w:t>
      </w:r>
      <w:r>
        <w:rPr>
          <w:rFonts w:ascii="Arial"/>
          <w:color w:val="000000"/>
          <w:sz w:val="24"/>
        </w:rPr>
        <w:t xml:space="preserve">greater separation between the existing low density residential properties on Norfolk Road and the </w:t>
      </w:r>
      <w:r>
        <w:rPr>
          <w:rFonts w:ascii="Arial"/>
          <w:color w:val="000000"/>
          <w:sz w:val="24"/>
        </w:rPr>
        <w:t>mixed-use</w:t>
      </w:r>
      <w:r>
        <w:rPr>
          <w:rFonts w:ascii="Arial"/>
          <w:color w:val="000000"/>
          <w:sz w:val="24"/>
        </w:rPr>
        <w:t xml:space="preserve"> </w:t>
      </w:r>
      <w:r>
        <w:rPr>
          <w:rFonts w:ascii="Arial"/>
          <w:color w:val="000000"/>
          <w:sz w:val="24"/>
        </w:rPr>
        <w:t>development</w:t>
      </w:r>
      <w:r>
        <w:rPr>
          <w:rFonts w:ascii="Arial"/>
          <w:color w:val="000000"/>
          <w:sz w:val="24"/>
        </w:rPr>
        <w:t xml:space="preserve"> </w:t>
      </w:r>
      <w:r>
        <w:rPr>
          <w:rFonts w:ascii="Arial"/>
          <w:color w:val="000000"/>
          <w:sz w:val="24"/>
        </w:rPr>
        <w:t>adjoining</w:t>
      </w:r>
      <w:r>
        <w:rPr>
          <w:rFonts w:ascii="Arial"/>
          <w:color w:val="000000"/>
          <w:sz w:val="24"/>
        </w:rPr>
        <w:t xml:space="preserve">. It </w:t>
      </w:r>
      <w:r>
        <w:rPr>
          <w:rFonts w:ascii="Arial"/>
          <w:color w:val="000000"/>
          <w:sz w:val="24"/>
        </w:rPr>
        <w:t xml:space="preserve">will </w:t>
      </w:r>
      <w:r>
        <w:rPr>
          <w:rFonts w:ascii="Arial"/>
          <w:color w:val="000000"/>
          <w:sz w:val="24"/>
        </w:rPr>
        <w:t xml:space="preserve">meaningfully </w:t>
      </w:r>
      <w:r>
        <w:rPr>
          <w:rFonts w:ascii="Arial"/>
          <w:color w:val="000000"/>
          <w:sz w:val="24"/>
        </w:rPr>
        <w:t xml:space="preserve">transition the low density residential, by separating the high density residential flat buildings </w:t>
      </w:r>
      <w:r>
        <w:rPr>
          <w:rFonts w:ascii="Arial"/>
          <w:color w:val="000000"/>
          <w:sz w:val="24"/>
        </w:rPr>
        <w:t>on</w:t>
      </w:r>
      <w:r>
        <w:rPr>
          <w:rFonts w:ascii="Arial"/>
          <w:color w:val="000000"/>
          <w:sz w:val="24"/>
        </w:rPr>
        <w:t xml:space="preserve"> </w:t>
      </w:r>
      <w:r>
        <w:rPr>
          <w:rFonts w:ascii="Arial"/>
          <w:color w:val="000000"/>
          <w:sz w:val="24"/>
        </w:rPr>
        <w:t>the site to the single dwellings on Norfolk Road</w:t>
      </w:r>
      <w:r>
        <w:rPr>
          <w:rFonts w:ascii="Arial"/>
          <w:color w:val="000000"/>
          <w:sz w:val="24"/>
        </w:rPr>
        <w:t>,</w:t>
      </w:r>
      <w:r>
        <w:rPr>
          <w:rFonts w:ascii="Arial"/>
          <w:color w:val="000000"/>
          <w:sz w:val="24"/>
        </w:rPr>
        <w:t xml:space="preserve"> </w:t>
      </w:r>
      <w:r>
        <w:rPr>
          <w:rFonts w:ascii="Arial"/>
          <w:color w:val="000000"/>
          <w:sz w:val="24"/>
        </w:rPr>
        <w:t xml:space="preserve">and thereby generate a better amenity for both the existing residential properties along Norfolk Road and those proposed on the site. </w:t>
      </w:r>
      <w:r>
        <w:rPr>
          <w:rFonts w:ascii="Arial"/>
          <w:color w:val="000000"/>
          <w:sz w:val="24"/>
        </w:rPr>
        <w:t xml:space="preserve"> </w:t>
      </w:r>
    </w:p>
    <w:p>
      <w:pPr>
        <w:pStyle w:val="CaselawNumbered10"/>
        <w:numPr>
          <w:ilvl w:val="0"/>
          <w:numId w:val="122"/>
        </w:numPr>
        <w:spacing w:before="150" w:after="0"/>
        <w:ind w:left="600" w:hanging="600"/>
      </w:pPr>
      <w:r>
        <w:rPr>
          <w:rFonts w:ascii="Arial"/>
          <w:color w:val="000000"/>
          <w:sz w:val="24"/>
        </w:rPr>
        <w:t xml:space="preserve">The development includes substantial landscape </w:t>
      </w:r>
      <w:r>
        <w:rPr>
          <w:rFonts w:ascii="Arial"/>
          <w:color w:val="000000"/>
          <w:sz w:val="24"/>
        </w:rPr>
        <w:t>buffer</w:t>
      </w:r>
      <w:r>
        <w:rPr>
          <w:rFonts w:ascii="Arial"/>
          <w:color w:val="000000"/>
          <w:sz w:val="24"/>
        </w:rPr>
        <w:t>s</w:t>
      </w:r>
      <w:r>
        <w:rPr>
          <w:rFonts w:ascii="Arial"/>
          <w:color w:val="000000"/>
          <w:sz w:val="24"/>
        </w:rPr>
        <w:t xml:space="preserve">, </w:t>
      </w:r>
      <w:r>
        <w:rPr>
          <w:rFonts w:ascii="Arial"/>
          <w:color w:val="000000"/>
          <w:sz w:val="24"/>
        </w:rPr>
        <w:t xml:space="preserve">which will be </w:t>
      </w:r>
      <w:r>
        <w:rPr>
          <w:rFonts w:ascii="Arial"/>
          <w:color w:val="000000"/>
          <w:sz w:val="24"/>
        </w:rPr>
        <w:t xml:space="preserve">managed and maintained by the shopping centre, </w:t>
      </w:r>
      <w:r>
        <w:rPr>
          <w:rFonts w:ascii="Arial"/>
          <w:color w:val="000000"/>
          <w:sz w:val="24"/>
        </w:rPr>
        <w:t xml:space="preserve">and </w:t>
      </w:r>
      <w:r>
        <w:rPr>
          <w:rFonts w:ascii="Arial"/>
          <w:color w:val="000000"/>
          <w:sz w:val="24"/>
        </w:rPr>
        <w:t xml:space="preserve">planted </w:t>
      </w:r>
      <w:r>
        <w:rPr>
          <w:rFonts w:ascii="Arial"/>
          <w:color w:val="000000"/>
          <w:sz w:val="24"/>
        </w:rPr>
        <w:t>along the southern boundary adjoining the R2 Norfolk Road properties</w:t>
      </w:r>
      <w:r>
        <w:rPr>
          <w:rFonts w:ascii="Arial"/>
          <w:color w:val="000000"/>
          <w:sz w:val="24"/>
        </w:rPr>
        <w:t xml:space="preserve"> </w:t>
      </w:r>
      <w:r>
        <w:rPr>
          <w:rFonts w:ascii="Arial"/>
          <w:color w:val="000000"/>
          <w:sz w:val="24"/>
        </w:rPr>
        <w:t>to achieve greater privacy</w:t>
      </w:r>
      <w:r>
        <w:rPr>
          <w:rFonts w:ascii="Arial"/>
          <w:color w:val="000000"/>
          <w:sz w:val="24"/>
        </w:rPr>
        <w:t xml:space="preserve"> </w:t>
      </w:r>
      <w:r>
        <w:rPr>
          <w:rFonts w:ascii="Arial"/>
          <w:color w:val="000000"/>
          <w:sz w:val="24"/>
        </w:rPr>
        <w:t>for the existing residents</w:t>
      </w:r>
      <w:r>
        <w:rPr>
          <w:rFonts w:ascii="Arial"/>
          <w:color w:val="000000"/>
          <w:sz w:val="24"/>
        </w:rPr>
        <w:t>.</w:t>
      </w:r>
      <w:r>
        <w:rPr>
          <w:rFonts w:ascii="Arial"/>
          <w:color w:val="000000"/>
          <w:sz w:val="24"/>
        </w:rPr>
        <w:t xml:space="preserve"> </w:t>
      </w:r>
    </w:p>
    <w:p>
      <w:pPr>
        <w:pStyle w:val="CaselawNumbered10"/>
        <w:numPr>
          <w:ilvl w:val="0"/>
          <w:numId w:val="122"/>
        </w:numPr>
        <w:spacing w:before="150" w:after="0"/>
        <w:ind w:left="600" w:hanging="600"/>
      </w:pPr>
      <w:r>
        <w:rPr>
          <w:rFonts w:ascii="Arial"/>
          <w:color w:val="000000"/>
          <w:sz w:val="24"/>
        </w:rPr>
        <w:t>The</w:t>
      </w:r>
      <w:r>
        <w:rPr>
          <w:rFonts w:ascii="Arial"/>
          <w:color w:val="000000"/>
          <w:sz w:val="24"/>
        </w:rPr>
        <w:t xml:space="preserve"> </w:t>
      </w:r>
      <w:r>
        <w:rPr>
          <w:rFonts w:ascii="Arial"/>
          <w:color w:val="000000"/>
          <w:sz w:val="24"/>
        </w:rPr>
        <w:t>above</w:t>
      </w:r>
      <w:r>
        <w:rPr>
          <w:rFonts w:ascii="Arial"/>
          <w:color w:val="000000"/>
          <w:sz w:val="24"/>
        </w:rPr>
        <w:t xml:space="preserve"> </w:t>
      </w:r>
      <w:r>
        <w:rPr>
          <w:rFonts w:ascii="Arial"/>
          <w:color w:val="000000"/>
          <w:sz w:val="24"/>
        </w:rPr>
        <w:t xml:space="preserve">features of the design accord with the </w:t>
      </w:r>
      <w:r>
        <w:rPr>
          <w:rFonts w:ascii="Arial"/>
          <w:color w:val="000000"/>
          <w:sz w:val="24"/>
        </w:rPr>
        <w:t>k</w:t>
      </w:r>
      <w:r>
        <w:rPr>
          <w:rFonts w:ascii="Arial"/>
          <w:color w:val="000000"/>
          <w:sz w:val="24"/>
        </w:rPr>
        <w:t xml:space="preserve">ey design principle (g) of the DCP and </w:t>
      </w:r>
      <w:r>
        <w:rPr>
          <w:rFonts w:ascii="Arial"/>
          <w:color w:val="000000"/>
          <w:sz w:val="24"/>
        </w:rPr>
        <w:t xml:space="preserve">have been included to </w:t>
      </w:r>
      <w:r>
        <w:rPr>
          <w:rFonts w:ascii="Arial"/>
          <w:color w:val="000000"/>
          <w:sz w:val="24"/>
        </w:rPr>
        <w:t>minimise overlooking and overshadowing impacts</w:t>
      </w:r>
      <w:r>
        <w:rPr>
          <w:rFonts w:ascii="Arial"/>
          <w:color w:val="000000"/>
          <w:sz w:val="24"/>
        </w:rPr>
        <w:t>;</w:t>
      </w:r>
      <w:r>
        <w:rPr>
          <w:rFonts w:ascii="Arial"/>
          <w:color w:val="000000"/>
          <w:sz w:val="24"/>
        </w:rPr>
        <w:t xml:space="preserve"> </w:t>
      </w:r>
      <w:r>
        <w:rPr>
          <w:rFonts w:ascii="Arial"/>
          <w:color w:val="000000"/>
          <w:sz w:val="24"/>
        </w:rPr>
        <w:t>provide sufficient setbacks and landscape buffers where appropriate</w:t>
      </w:r>
      <w:r>
        <w:rPr>
          <w:rFonts w:ascii="Arial"/>
          <w:color w:val="000000"/>
          <w:sz w:val="24"/>
        </w:rPr>
        <w:t xml:space="preserve"> </w:t>
      </w:r>
      <w:r>
        <w:rPr>
          <w:rFonts w:ascii="Arial"/>
          <w:color w:val="000000"/>
          <w:sz w:val="24"/>
        </w:rPr>
        <w:t>-</w:t>
      </w:r>
      <w:r>
        <w:rPr>
          <w:rFonts w:ascii="Arial"/>
          <w:color w:val="000000"/>
          <w:sz w:val="24"/>
        </w:rPr>
        <w:t xml:space="preserve"> </w:t>
      </w:r>
      <w:r>
        <w:rPr>
          <w:rFonts w:ascii="Arial"/>
          <w:color w:val="000000"/>
          <w:sz w:val="24"/>
        </w:rPr>
        <w:t xml:space="preserve">address issues such as visual privacy, amenity and solar access to the surrounding properties and </w:t>
      </w:r>
      <w:r>
        <w:rPr>
          <w:rFonts w:ascii="Arial"/>
          <w:color w:val="000000"/>
          <w:sz w:val="24"/>
        </w:rPr>
        <w:t xml:space="preserve">to </w:t>
      </w:r>
      <w:r>
        <w:rPr>
          <w:rFonts w:ascii="Arial"/>
          <w:color w:val="000000"/>
          <w:sz w:val="24"/>
        </w:rPr>
        <w:t xml:space="preserve">protect the Norfolk Reserve. </w:t>
      </w:r>
    </w:p>
    <w:p>
      <w:pPr>
        <w:pStyle w:val="CaselawNumbered10"/>
        <w:numPr>
          <w:ilvl w:val="0"/>
          <w:numId w:val="122"/>
        </w:numPr>
        <w:spacing w:before="150" w:after="0"/>
        <w:ind w:left="600" w:hanging="600"/>
      </w:pPr>
      <w:r>
        <w:rPr>
          <w:rFonts w:ascii="Arial"/>
          <w:color w:val="000000"/>
          <w:sz w:val="24"/>
        </w:rPr>
        <w:t xml:space="preserve">The acoustic experts have assessed the impact of the proposal on Norfolk Road against the </w:t>
      </w:r>
      <w:r>
        <w:rPr>
          <w:rFonts w:ascii="Arial"/>
          <w:color w:val="000000"/>
          <w:sz w:val="24"/>
        </w:rPr>
        <w:t>NSW</w:t>
      </w:r>
      <w:r>
        <w:rPr>
          <w:rFonts w:ascii="Arial"/>
          <w:color w:val="000000"/>
          <w:sz w:val="24"/>
        </w:rPr>
        <w:t>’</w:t>
      </w:r>
      <w:r>
        <w:rPr>
          <w:rFonts w:ascii="Arial"/>
          <w:color w:val="000000"/>
          <w:sz w:val="24"/>
        </w:rPr>
        <w:t xml:space="preserve">s </w:t>
      </w:r>
      <w:r>
        <w:rPr>
          <w:rFonts w:ascii="Arial"/>
          <w:color w:val="000000"/>
          <w:sz w:val="24"/>
        </w:rPr>
        <w:t>E</w:t>
      </w:r>
      <w:r>
        <w:rPr>
          <w:rFonts w:ascii="Arial"/>
          <w:color w:val="000000"/>
          <w:sz w:val="24"/>
        </w:rPr>
        <w:t xml:space="preserve">nvironment </w:t>
      </w:r>
      <w:r>
        <w:rPr>
          <w:rFonts w:ascii="Arial"/>
          <w:color w:val="000000"/>
          <w:sz w:val="24"/>
        </w:rPr>
        <w:t>P</w:t>
      </w:r>
      <w:r>
        <w:rPr>
          <w:rFonts w:ascii="Arial"/>
          <w:color w:val="000000"/>
          <w:sz w:val="24"/>
        </w:rPr>
        <w:t xml:space="preserve">rotection </w:t>
      </w:r>
      <w:r>
        <w:rPr>
          <w:rFonts w:ascii="Arial"/>
          <w:color w:val="000000"/>
          <w:sz w:val="24"/>
        </w:rPr>
        <w:t>A</w:t>
      </w:r>
      <w:r>
        <w:rPr>
          <w:rFonts w:ascii="Arial"/>
          <w:color w:val="000000"/>
          <w:sz w:val="24"/>
        </w:rPr>
        <w:t>uthority</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Road Noise Policy</w:t>
      </w:r>
      <w:r>
        <w:rPr>
          <w:rFonts w:ascii="Arial"/>
          <w:color w:val="000000"/>
          <w:sz w:val="24"/>
        </w:rPr>
        <w:t xml:space="preserve"> </w:t>
      </w:r>
      <w:r>
        <w:rPr>
          <w:rFonts w:ascii="Arial"/>
          <w:color w:val="000000"/>
          <w:sz w:val="24"/>
        </w:rPr>
        <w:t>(March 2011)</w:t>
      </w:r>
      <w:r>
        <w:rPr>
          <w:rFonts w:ascii="Arial"/>
          <w:color w:val="000000"/>
          <w:sz w:val="24"/>
        </w:rPr>
        <w:t xml:space="preserve"> </w:t>
      </w:r>
      <w:r>
        <w:rPr>
          <w:rFonts w:ascii="Arial"/>
          <w:color w:val="000000"/>
          <w:sz w:val="24"/>
        </w:rPr>
        <w:t xml:space="preserve">and </w:t>
      </w:r>
      <w:r>
        <w:rPr>
          <w:rFonts w:ascii="Arial"/>
          <w:color w:val="000000"/>
          <w:sz w:val="24"/>
        </w:rPr>
        <w:t>Development Near Rail Corridors and B</w:t>
      </w:r>
      <w:r>
        <w:rPr>
          <w:rFonts w:ascii="Arial"/>
          <w:color w:val="000000"/>
          <w:sz w:val="24"/>
        </w:rPr>
        <w:t xml:space="preserve">usy </w:t>
      </w:r>
      <w:r>
        <w:rPr>
          <w:rFonts w:ascii="Arial"/>
          <w:color w:val="000000"/>
          <w:sz w:val="24"/>
        </w:rPr>
        <w:t>R</w:t>
      </w:r>
      <w:r>
        <w:rPr>
          <w:rFonts w:ascii="Arial"/>
          <w:color w:val="000000"/>
          <w:sz w:val="24"/>
        </w:rPr>
        <w:t xml:space="preserve">oads </w:t>
      </w:r>
      <w:r>
        <w:rPr>
          <w:rFonts w:ascii="Arial"/>
          <w:color w:val="000000"/>
          <w:sz w:val="24"/>
        </w:rPr>
        <w:t xml:space="preserve">– </w:t>
      </w:r>
      <w:r>
        <w:rPr>
          <w:rFonts w:ascii="Arial"/>
          <w:color w:val="000000"/>
          <w:sz w:val="24"/>
        </w:rPr>
        <w:t>Interim Guideline</w:t>
      </w:r>
      <w:r>
        <w:rPr>
          <w:rFonts w:ascii="Arial"/>
          <w:color w:val="000000"/>
          <w:sz w:val="24"/>
        </w:rPr>
        <w:t xml:space="preserve"> </w:t>
      </w:r>
      <w:r>
        <w:rPr>
          <w:rFonts w:ascii="Arial"/>
          <w:color w:val="000000"/>
          <w:sz w:val="24"/>
        </w:rPr>
        <w:t>(2008)</w:t>
      </w:r>
      <w:r>
        <w:rPr>
          <w:rFonts w:ascii="Arial"/>
          <w:color w:val="000000"/>
          <w:sz w:val="24"/>
        </w:rPr>
        <w:t xml:space="preserve"> </w:t>
      </w:r>
      <w:r>
        <w:rPr>
          <w:rFonts w:ascii="Arial"/>
          <w:color w:val="000000"/>
          <w:sz w:val="24"/>
        </w:rPr>
        <w:t>and has found it to meet the requirements. The</w:t>
      </w:r>
      <w:r>
        <w:rPr>
          <w:rFonts w:ascii="Arial"/>
          <w:color w:val="000000"/>
          <w:sz w:val="24"/>
        </w:rPr>
        <w:t>se</w:t>
      </w:r>
      <w:r>
        <w:rPr>
          <w:rFonts w:ascii="Arial"/>
          <w:color w:val="000000"/>
          <w:sz w:val="24"/>
        </w:rPr>
        <w:t xml:space="preserve"> </w:t>
      </w:r>
      <w:r>
        <w:rPr>
          <w:rFonts w:ascii="Arial"/>
          <w:color w:val="000000"/>
          <w:sz w:val="24"/>
        </w:rPr>
        <w:t>experts are agreed that it is likely that the proposal w</w:t>
      </w:r>
      <w:r>
        <w:rPr>
          <w:rFonts w:ascii="Arial"/>
          <w:color w:val="000000"/>
          <w:sz w:val="24"/>
        </w:rPr>
        <w:t>ill</w:t>
      </w:r>
      <w:r>
        <w:rPr>
          <w:rFonts w:ascii="Arial"/>
          <w:color w:val="000000"/>
          <w:sz w:val="24"/>
        </w:rPr>
        <w:t xml:space="preserve"> </w:t>
      </w:r>
      <w:r>
        <w:rPr>
          <w:rFonts w:ascii="Arial"/>
          <w:color w:val="000000"/>
          <w:sz w:val="24"/>
        </w:rPr>
        <w:t xml:space="preserve">result in a lower acoustic impact from vehicle movements than what is existing for the following reasons: </w:t>
      </w:r>
    </w:p>
    <w:p>
      <w:pPr>
        <w:pStyle w:val="CaselawBullet"/>
        <w:numPr>
          <w:ilvl w:val="0"/>
          <w:numId w:val="123"/>
        </w:numPr>
        <w:spacing w:before="150" w:after="0"/>
        <w:ind w:left="600" w:hanging="250"/>
      </w:pPr>
      <w:r>
        <w:rPr>
          <w:rFonts w:ascii="Arial"/>
          <w:color w:val="000000"/>
          <w:sz w:val="24"/>
        </w:rPr>
        <w:t>T</w:t>
      </w:r>
      <w:r>
        <w:rPr>
          <w:rFonts w:ascii="Arial"/>
          <w:color w:val="000000"/>
          <w:sz w:val="24"/>
        </w:rPr>
        <w:t xml:space="preserve">he existing car/heavy vehicle route is a path which wraps around the perimeter of the site, including the southern boundary adjacent to residents along Norfolk Road and connects to the wider retail car park. This includes a loading dock at approximately 15m setback and car parking spaces adjacent to the existing south </w:t>
      </w:r>
      <w:r>
        <w:rPr>
          <w:rFonts w:ascii="Arial"/>
          <w:color w:val="000000"/>
          <w:sz w:val="24"/>
        </w:rPr>
        <w:t>boundary.</w:t>
      </w:r>
      <w:r>
        <w:rPr>
          <w:rFonts w:ascii="Arial"/>
          <w:color w:val="000000"/>
          <w:sz w:val="24"/>
        </w:rPr>
        <w:t xml:space="preserve"> </w:t>
      </w:r>
    </w:p>
    <w:p>
      <w:pPr>
        <w:pStyle w:val="CaselawBullet"/>
        <w:numPr>
          <w:ilvl w:val="0"/>
          <w:numId w:val="123"/>
        </w:numPr>
        <w:spacing w:before="150" w:after="0"/>
        <w:ind w:left="600" w:hanging="250"/>
      </w:pPr>
      <w:r>
        <w:rPr>
          <w:rFonts w:ascii="Arial"/>
          <w:color w:val="000000"/>
          <w:sz w:val="24"/>
        </w:rPr>
        <w:t>T</w:t>
      </w:r>
      <w:r>
        <w:rPr>
          <w:rFonts w:ascii="Arial"/>
          <w:color w:val="000000"/>
          <w:sz w:val="24"/>
        </w:rPr>
        <w:t xml:space="preserve">he </w:t>
      </w:r>
      <w:r>
        <w:rPr>
          <w:rFonts w:ascii="Arial"/>
          <w:color w:val="000000"/>
          <w:sz w:val="24"/>
        </w:rPr>
        <w:t>proposal</w:t>
      </w:r>
      <w:r>
        <w:rPr>
          <w:rFonts w:ascii="Arial"/>
          <w:color w:val="000000"/>
          <w:sz w:val="24"/>
        </w:rPr>
        <w:t xml:space="preserve"> </w:t>
      </w:r>
      <w:r>
        <w:rPr>
          <w:rFonts w:ascii="Arial"/>
          <w:color w:val="000000"/>
          <w:sz w:val="24"/>
        </w:rPr>
        <w:t>will push all loading dock operations to a minimum of 30m setback from residences along Norfolk Road whilst providing additional shielding from the buildings. (Ex 3)</w:t>
      </w:r>
    </w:p>
    <w:p>
      <w:pPr>
        <w:pStyle w:val="CaselawNumbered10"/>
        <w:numPr>
          <w:ilvl w:val="0"/>
          <w:numId w:val="124"/>
        </w:numPr>
        <w:spacing w:before="150" w:after="0"/>
        <w:ind w:left="600" w:hanging="600"/>
      </w:pPr>
      <w:r>
        <w:rPr>
          <w:rFonts w:ascii="Arial"/>
          <w:color w:val="000000"/>
          <w:sz w:val="24"/>
        </w:rPr>
        <w:t xml:space="preserve">I am satisfied that the proposal offers a more efficient and effective acoustic outcome by removing heavy vehicle and retail traffic from the southernmost part of the site. </w:t>
      </w:r>
    </w:p>
    <w:p>
      <w:pPr>
        <w:pStyle w:val="CaselawNumbered10"/>
        <w:numPr>
          <w:ilvl w:val="0"/>
          <w:numId w:val="124"/>
        </w:numPr>
        <w:spacing w:before="150" w:after="0"/>
        <w:ind w:left="600" w:hanging="600"/>
      </w:pPr>
      <w:r>
        <w:rPr>
          <w:rFonts w:ascii="Arial"/>
          <w:color w:val="000000"/>
          <w:sz w:val="24"/>
        </w:rPr>
        <w:t xml:space="preserve">The </w:t>
      </w:r>
      <w:r>
        <w:rPr>
          <w:rFonts w:ascii="Arial"/>
          <w:color w:val="000000"/>
          <w:sz w:val="24"/>
        </w:rPr>
        <w:t xml:space="preserve">evidence is that </w:t>
      </w:r>
      <w:r>
        <w:rPr>
          <w:rFonts w:ascii="Arial"/>
          <w:color w:val="000000"/>
          <w:sz w:val="24"/>
        </w:rPr>
        <w:t>traffic from the Norfolk Road entry will be limited and has been assessed to be acceptable</w:t>
      </w:r>
      <w:r>
        <w:rPr>
          <w:rFonts w:ascii="Arial"/>
          <w:color w:val="000000"/>
          <w:sz w:val="24"/>
        </w:rPr>
        <w:t xml:space="preserve"> </w:t>
      </w:r>
      <w:r>
        <w:rPr>
          <w:rFonts w:ascii="Arial"/>
          <w:color w:val="000000"/>
          <w:sz w:val="24"/>
        </w:rPr>
        <w:t>for the existing road network</w:t>
      </w:r>
      <w:r>
        <w:rPr>
          <w:rFonts w:ascii="Arial"/>
          <w:color w:val="000000"/>
          <w:sz w:val="24"/>
        </w:rPr>
        <w:t xml:space="preserve">. </w:t>
      </w:r>
    </w:p>
    <w:p>
      <w:pPr>
        <w:pStyle w:val="CaselawNumbered10"/>
        <w:numPr>
          <w:ilvl w:val="0"/>
          <w:numId w:val="124"/>
        </w:numPr>
        <w:spacing w:before="150" w:after="0"/>
        <w:ind w:left="600" w:hanging="600"/>
      </w:pPr>
      <w:r>
        <w:rPr>
          <w:rFonts w:ascii="Arial"/>
          <w:color w:val="000000"/>
          <w:sz w:val="24"/>
        </w:rPr>
        <w:t>While it is to be expected that the redevelopment of the site, especially during construction will be noisy, dusty, and inconvenient</w:t>
      </w:r>
      <w:r>
        <w:rPr>
          <w:rFonts w:ascii="Arial"/>
          <w:color w:val="000000"/>
          <w:sz w:val="24"/>
        </w:rPr>
        <w:t>,</w:t>
      </w:r>
      <w:r>
        <w:rPr>
          <w:rFonts w:ascii="Arial"/>
          <w:color w:val="000000"/>
          <w:sz w:val="24"/>
        </w:rPr>
        <w:t xml:space="preserve"> </w:t>
      </w:r>
      <w:r>
        <w:rPr>
          <w:rFonts w:ascii="Arial"/>
          <w:color w:val="000000"/>
          <w:sz w:val="24"/>
        </w:rPr>
        <w:t>the Council</w:t>
      </w:r>
      <w:r>
        <w:rPr>
          <w:rFonts w:ascii="Arial"/>
          <w:color w:val="000000"/>
          <w:sz w:val="24"/>
        </w:rPr>
        <w:t>’</w:t>
      </w:r>
      <w:r>
        <w:rPr>
          <w:rFonts w:ascii="Arial"/>
          <w:color w:val="000000"/>
          <w:sz w:val="24"/>
        </w:rPr>
        <w:t>s proposed conditions of consent will no doubt assist to manage those shorter-term negative impacts</w:t>
      </w:r>
      <w:r>
        <w:rPr>
          <w:rFonts w:ascii="Arial"/>
          <w:color w:val="000000"/>
          <w:sz w:val="24"/>
        </w:rPr>
        <w:t xml:space="preserve"> </w:t>
      </w:r>
      <w:r>
        <w:rPr>
          <w:rFonts w:ascii="Arial"/>
          <w:color w:val="000000"/>
          <w:sz w:val="24"/>
        </w:rPr>
        <w:t>and any damage to adjoining properties during construction</w:t>
      </w:r>
      <w:r>
        <w:rPr>
          <w:rFonts w:ascii="Arial"/>
          <w:color w:val="000000"/>
          <w:sz w:val="24"/>
        </w:rPr>
        <w:t xml:space="preserve">. </w:t>
      </w:r>
      <w:r>
        <w:rPr>
          <w:rFonts w:ascii="Arial"/>
          <w:color w:val="000000"/>
          <w:sz w:val="24"/>
        </w:rPr>
        <w:t xml:space="preserve">That said, I accept that in </w:t>
      </w:r>
      <w:r>
        <w:rPr>
          <w:rFonts w:ascii="Arial"/>
          <w:color w:val="000000"/>
          <w:sz w:val="24"/>
        </w:rPr>
        <w:t>the long term the amenity for many residents will be substantially improved</w:t>
      </w:r>
      <w:r>
        <w:rPr>
          <w:rFonts w:ascii="Arial"/>
          <w:color w:val="000000"/>
          <w:sz w:val="24"/>
        </w:rPr>
        <w:t xml:space="preserve"> </w:t>
      </w:r>
      <w:r>
        <w:rPr>
          <w:rFonts w:ascii="Arial"/>
          <w:color w:val="000000"/>
          <w:sz w:val="24"/>
        </w:rPr>
        <w:t>by the design of the development</w:t>
      </w:r>
      <w:r>
        <w:rPr>
          <w:rFonts w:ascii="Arial"/>
          <w:color w:val="000000"/>
          <w:sz w:val="24"/>
        </w:rPr>
        <w:t xml:space="preserve">. </w:t>
      </w:r>
      <w:r>
        <w:rPr>
          <w:rFonts w:ascii="Arial"/>
          <w:color w:val="000000"/>
          <w:sz w:val="24"/>
        </w:rPr>
        <w:t xml:space="preserve">The improved acoustics, enhanced community spaces, </w:t>
      </w:r>
      <w:r>
        <w:rPr>
          <w:rFonts w:ascii="Arial"/>
          <w:color w:val="000000"/>
          <w:sz w:val="24"/>
        </w:rPr>
        <w:t>landscaping</w:t>
      </w:r>
      <w:r>
        <w:rPr>
          <w:rFonts w:ascii="Arial"/>
          <w:color w:val="000000"/>
          <w:sz w:val="24"/>
        </w:rPr>
        <w:t xml:space="preserve"> </w:t>
      </w:r>
      <w:r>
        <w:rPr>
          <w:rFonts w:ascii="Arial"/>
          <w:color w:val="000000"/>
          <w:sz w:val="24"/>
        </w:rPr>
        <w:t xml:space="preserve">and </w:t>
      </w:r>
      <w:r>
        <w:rPr>
          <w:rFonts w:ascii="Arial"/>
          <w:color w:val="000000"/>
          <w:sz w:val="24"/>
        </w:rPr>
        <w:t>regeneration of the Norfolk Reserve</w:t>
      </w:r>
      <w:r>
        <w:rPr>
          <w:rFonts w:ascii="Arial"/>
          <w:color w:val="000000"/>
          <w:sz w:val="24"/>
        </w:rPr>
        <w:t xml:space="preserve"> </w:t>
      </w:r>
      <w:r>
        <w:rPr>
          <w:rFonts w:ascii="Arial"/>
          <w:color w:val="000000"/>
          <w:sz w:val="24"/>
        </w:rPr>
        <w:t>are all positive outcomes of the approval of this DA which support a finding that the proposal is in the public interest.</w:t>
      </w:r>
      <w:r>
        <w:rPr>
          <w:rFonts w:ascii="Arial"/>
          <w:color w:val="000000"/>
          <w:sz w:val="24"/>
        </w:rPr>
        <w:t xml:space="preserve"> </w:t>
      </w:r>
    </w:p>
    <w:p>
      <w:pPr>
        <w:pStyle w:val="CaselawHeading2"/>
        <w:keepNext/>
        <w:spacing w:before="150" w:after="150" w:line="264"/>
        <w:ind w:left="0"/>
        <w:jc w:val="left"/>
      </w:pPr>
      <w:r>
        <w:rPr>
          <w:rFonts w:ascii="Arial"/>
        </w:rPr>
        <w:t xml:space="preserve">Contention 50 - Economic impact of </w:t>
      </w:r>
      <w:r>
        <w:rPr>
          <w:rFonts w:ascii="Arial"/>
        </w:rPr>
        <w:t xml:space="preserve">the </w:t>
      </w:r>
      <w:r>
        <w:rPr>
          <w:rFonts w:ascii="Arial"/>
        </w:rPr>
        <w:t>DCP</w:t>
      </w:r>
    </w:p>
    <w:p>
      <w:pPr>
        <w:pStyle w:val="CaselawNumbered10"/>
        <w:numPr>
          <w:ilvl w:val="0"/>
          <w:numId w:val="125"/>
        </w:numPr>
        <w:spacing w:before="150" w:after="0"/>
        <w:ind w:left="600" w:hanging="600"/>
      </w:pPr>
      <w:r>
        <w:rPr>
          <w:rFonts w:ascii="Arial"/>
          <w:color w:val="000000"/>
          <w:sz w:val="24"/>
        </w:rPr>
        <w:t xml:space="preserve">The Council contends that the DA should be refused because compliance with the DCP will not negatively affect retail uses on the </w:t>
      </w:r>
      <w:r>
        <w:rPr>
          <w:rFonts w:ascii="Arial"/>
          <w:color w:val="000000"/>
          <w:sz w:val="24"/>
        </w:rPr>
        <w:t>site.</w:t>
      </w:r>
      <w:r>
        <w:rPr>
          <w:rFonts w:ascii="Arial"/>
          <w:color w:val="000000"/>
          <w:sz w:val="24"/>
        </w:rPr>
        <w:t xml:space="preserve"> </w:t>
      </w:r>
      <w:r>
        <w:rPr>
          <w:rFonts w:ascii="Arial"/>
          <w:color w:val="000000"/>
          <w:sz w:val="24"/>
        </w:rPr>
        <w:t xml:space="preserve">It </w:t>
      </w:r>
      <w:r>
        <w:rPr>
          <w:rFonts w:ascii="Arial"/>
          <w:color w:val="000000"/>
          <w:sz w:val="24"/>
        </w:rPr>
        <w:t xml:space="preserve">rejects </w:t>
      </w:r>
      <w:r>
        <w:rPr>
          <w:rFonts w:ascii="Arial"/>
          <w:color w:val="000000"/>
          <w:sz w:val="24"/>
        </w:rPr>
        <w:t>Henroth</w:t>
      </w:r>
      <w:r>
        <w:rPr>
          <w:rFonts w:ascii="Arial"/>
          <w:color w:val="000000"/>
          <w:sz w:val="24"/>
        </w:rPr>
        <w:t>’</w:t>
      </w:r>
      <w:r>
        <w:rPr>
          <w:rFonts w:ascii="Arial"/>
          <w:color w:val="000000"/>
          <w:sz w:val="24"/>
        </w:rPr>
        <w:t>s economic evidence that Aldi cannot be provided in a compliant scheme</w:t>
      </w:r>
      <w:r>
        <w:rPr>
          <w:rFonts w:ascii="Arial"/>
          <w:color w:val="000000"/>
          <w:sz w:val="24"/>
        </w:rPr>
        <w:t xml:space="preserve"> </w:t>
      </w:r>
      <w:r>
        <w:rPr>
          <w:rFonts w:ascii="Arial"/>
          <w:color w:val="000000"/>
          <w:sz w:val="24"/>
        </w:rPr>
        <w:t xml:space="preserve">in circumstances where </w:t>
      </w:r>
      <w:r>
        <w:rPr>
          <w:rFonts w:ascii="Arial"/>
          <w:color w:val="000000"/>
          <w:sz w:val="24"/>
        </w:rPr>
        <w:t xml:space="preserve">that </w:t>
      </w:r>
      <w:r>
        <w:rPr>
          <w:rFonts w:ascii="Arial"/>
          <w:color w:val="000000"/>
          <w:sz w:val="24"/>
        </w:rPr>
        <w:t>conclusion is based on evidence from the client (Henroth), and the client</w:t>
      </w:r>
      <w:r>
        <w:rPr>
          <w:rFonts w:ascii="Arial"/>
          <w:color w:val="000000"/>
          <w:sz w:val="24"/>
        </w:rPr>
        <w:t>’</w:t>
      </w:r>
      <w:r>
        <w:rPr>
          <w:rFonts w:ascii="Arial"/>
          <w:color w:val="000000"/>
          <w:sz w:val="24"/>
        </w:rPr>
        <w:t>s architect</w:t>
      </w:r>
      <w:r>
        <w:rPr>
          <w:rFonts w:ascii="Arial"/>
          <w:color w:val="000000"/>
          <w:sz w:val="24"/>
        </w:rPr>
        <w:t xml:space="preserve">. </w:t>
      </w:r>
    </w:p>
    <w:p>
      <w:pPr>
        <w:pStyle w:val="CaselawNumbered10"/>
        <w:numPr>
          <w:ilvl w:val="0"/>
          <w:numId w:val="125"/>
        </w:numPr>
        <w:spacing w:before="150" w:after="0"/>
        <w:ind w:left="600" w:hanging="600"/>
      </w:pPr>
      <w:r>
        <w:rPr>
          <w:rFonts w:ascii="Arial"/>
          <w:color w:val="000000"/>
          <w:sz w:val="24"/>
        </w:rPr>
        <w:t xml:space="preserve">The </w:t>
      </w:r>
      <w:r>
        <w:rPr>
          <w:rFonts w:ascii="Arial"/>
          <w:color w:val="000000"/>
          <w:sz w:val="24"/>
        </w:rPr>
        <w:t xml:space="preserve">economic evidence referred to is </w:t>
      </w:r>
      <w:r>
        <w:rPr>
          <w:rFonts w:ascii="Arial"/>
          <w:color w:val="000000"/>
          <w:sz w:val="24"/>
        </w:rPr>
        <w:t>Henroth</w:t>
      </w:r>
      <w:r>
        <w:rPr>
          <w:rFonts w:ascii="Arial"/>
          <w:color w:val="000000"/>
          <w:sz w:val="24"/>
        </w:rPr>
        <w:t>’</w:t>
      </w:r>
      <w:r>
        <w:rPr>
          <w:rFonts w:ascii="Arial"/>
          <w:color w:val="000000"/>
          <w:sz w:val="24"/>
        </w:rPr>
        <w:t>s report</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Review of Economic Effects of Alternative Redevelopment Scheme</w:t>
      </w:r>
      <w:r>
        <w:rPr>
          <w:rFonts w:ascii="Arial"/>
          <w:color w:val="000000"/>
          <w:sz w:val="24"/>
        </w:rPr>
        <w:t>”</w:t>
      </w:r>
      <w:r>
        <w:rPr>
          <w:rFonts w:ascii="Arial"/>
          <w:color w:val="000000"/>
          <w:sz w:val="24"/>
        </w:rPr>
        <w:t xml:space="preserve"> </w:t>
      </w:r>
      <w:r>
        <w:rPr>
          <w:rFonts w:ascii="Arial"/>
          <w:color w:val="000000"/>
          <w:sz w:val="24"/>
        </w:rPr>
        <w:t>prepared by Leyshon Consulting Pty Ltd dated February 2024 (Leyshon Report)</w:t>
      </w:r>
      <w:r>
        <w:rPr>
          <w:rFonts w:ascii="Arial"/>
          <w:color w:val="000000"/>
          <w:sz w:val="24"/>
        </w:rPr>
        <w:t xml:space="preserve"> </w:t>
      </w:r>
      <w:r>
        <w:rPr>
          <w:rFonts w:ascii="Arial"/>
          <w:color w:val="000000"/>
          <w:sz w:val="24"/>
        </w:rPr>
        <w:t xml:space="preserve">submitted with the DA </w:t>
      </w:r>
      <w:r>
        <w:rPr>
          <w:rFonts w:ascii="Arial"/>
          <w:color w:val="000000"/>
          <w:sz w:val="24"/>
        </w:rPr>
        <w:t>in support of</w:t>
      </w:r>
      <w:r>
        <w:rPr>
          <w:rFonts w:ascii="Arial"/>
          <w:color w:val="000000"/>
          <w:sz w:val="24"/>
        </w:rPr>
        <w:t xml:space="preserve"> </w:t>
      </w:r>
      <w:r>
        <w:rPr>
          <w:rFonts w:ascii="Arial"/>
          <w:color w:val="000000"/>
          <w:sz w:val="24"/>
        </w:rPr>
        <w:t>the proposal</w:t>
      </w:r>
      <w:r>
        <w:rPr>
          <w:rFonts w:ascii="Arial"/>
          <w:color w:val="000000"/>
          <w:sz w:val="24"/>
        </w:rPr>
        <w:t xml:space="preserve">. </w:t>
      </w:r>
      <w:r>
        <w:rPr>
          <w:rFonts w:ascii="Arial"/>
          <w:color w:val="000000"/>
          <w:sz w:val="24"/>
        </w:rPr>
        <w:t xml:space="preserve">The stated purpose of the Leyshon Report </w:t>
      </w:r>
      <w:r>
        <w:rPr>
          <w:rFonts w:ascii="Arial"/>
          <w:color w:val="000000"/>
          <w:sz w:val="24"/>
        </w:rPr>
        <w:t>i</w:t>
      </w:r>
      <w:r>
        <w:rPr>
          <w:rFonts w:ascii="Arial"/>
          <w:color w:val="000000"/>
          <w:sz w:val="24"/>
        </w:rPr>
        <w:t xml:space="preserve">s </w:t>
      </w:r>
      <w:r>
        <w:rPr>
          <w:rFonts w:ascii="Arial"/>
          <w:color w:val="000000"/>
          <w:sz w:val="24"/>
        </w:rPr>
        <w:t xml:space="preserve">to </w:t>
      </w:r>
      <w:r>
        <w:rPr>
          <w:rFonts w:ascii="Arial"/>
          <w:color w:val="000000"/>
          <w:sz w:val="24"/>
        </w:rPr>
        <w:t>“</w:t>
      </w:r>
      <w:r>
        <w:rPr>
          <w:rFonts w:ascii="Arial"/>
          <w:color w:val="000000"/>
          <w:sz w:val="24"/>
        </w:rPr>
        <w:t xml:space="preserve">evaluate the economic implications of the proposed development compared with an alternative scheme of development which is fully </w:t>
      </w:r>
      <w:r>
        <w:rPr>
          <w:rFonts w:ascii="Arial"/>
          <w:color w:val="000000"/>
          <w:sz w:val="24"/>
        </w:rPr>
        <w:t>‘</w:t>
      </w:r>
      <w:r>
        <w:rPr>
          <w:rFonts w:ascii="Arial"/>
          <w:color w:val="000000"/>
          <w:sz w:val="24"/>
        </w:rPr>
        <w:t>compliant</w:t>
      </w:r>
      <w:r>
        <w:rPr>
          <w:rFonts w:ascii="Arial"/>
          <w:color w:val="000000"/>
          <w:sz w:val="24"/>
        </w:rPr>
        <w:t>’</w:t>
      </w:r>
      <w:r>
        <w:rPr>
          <w:rFonts w:ascii="Arial"/>
          <w:color w:val="000000"/>
          <w:sz w:val="24"/>
        </w:rPr>
        <w:t xml:space="preserve"> </w:t>
      </w:r>
      <w:r>
        <w:rPr>
          <w:rFonts w:ascii="Arial"/>
          <w:color w:val="000000"/>
          <w:sz w:val="24"/>
        </w:rPr>
        <w:t>with the Council's Development Control Plan (DCP) 2023 Structure Plan</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Ex 12</w:t>
      </w:r>
      <w:r>
        <w:rPr>
          <w:rFonts w:ascii="Arial"/>
          <w:color w:val="000000"/>
          <w:sz w:val="24"/>
        </w:rPr>
        <w:t xml:space="preserve"> </w:t>
      </w:r>
      <w:r>
        <w:rPr>
          <w:rFonts w:ascii="Arial"/>
          <w:color w:val="000000"/>
          <w:sz w:val="24"/>
        </w:rPr>
        <w:t xml:space="preserve">at pp I and </w:t>
      </w:r>
      <w:r>
        <w:rPr>
          <w:rFonts w:ascii="Arial"/>
          <w:color w:val="000000"/>
          <w:sz w:val="24"/>
        </w:rPr>
        <w:t>1)</w:t>
      </w:r>
      <w:r>
        <w:rPr>
          <w:rFonts w:ascii="Arial"/>
          <w:color w:val="000000"/>
          <w:sz w:val="24"/>
        </w:rPr>
        <w:t>.</w:t>
      </w:r>
      <w:r>
        <w:rPr>
          <w:rFonts w:ascii="Arial"/>
          <w:color w:val="000000"/>
          <w:sz w:val="24"/>
        </w:rPr>
        <w:t xml:space="preserve"> </w:t>
      </w:r>
    </w:p>
    <w:p>
      <w:pPr>
        <w:pStyle w:val="CaselawNumbered10"/>
        <w:numPr>
          <w:ilvl w:val="0"/>
          <w:numId w:val="125"/>
        </w:numPr>
        <w:spacing w:before="150" w:after="0"/>
        <w:ind w:left="600" w:hanging="600"/>
      </w:pPr>
      <w:r>
        <w:rPr>
          <w:rFonts w:ascii="Arial"/>
          <w:color w:val="000000"/>
          <w:sz w:val="24"/>
        </w:rPr>
        <w:t xml:space="preserve">The </w:t>
      </w:r>
      <w:r>
        <w:rPr>
          <w:rFonts w:ascii="Arial"/>
          <w:color w:val="000000"/>
          <w:sz w:val="24"/>
        </w:rPr>
        <w:t>Leyshon R</w:t>
      </w:r>
      <w:r>
        <w:rPr>
          <w:rFonts w:ascii="Arial"/>
          <w:color w:val="000000"/>
          <w:sz w:val="24"/>
        </w:rPr>
        <w:t xml:space="preserve">eport </w:t>
      </w:r>
      <w:r>
        <w:rPr>
          <w:rFonts w:ascii="Arial"/>
          <w:color w:val="000000"/>
          <w:sz w:val="24"/>
        </w:rPr>
        <w:t xml:space="preserve">identifies that </w:t>
      </w:r>
      <w:r>
        <w:rPr>
          <w:rFonts w:ascii="Arial"/>
          <w:color w:val="000000"/>
          <w:sz w:val="24"/>
        </w:rPr>
        <w:t>the site contains 16,979m</w:t>
      </w:r>
      <w:r>
        <w:rPr>
          <w:rFonts w:ascii="Arial"/>
          <w:color w:val="000000"/>
          <w:sz w:val="24"/>
        </w:rPr>
        <w:t>2</w:t>
      </w:r>
      <w:r>
        <w:rPr>
          <w:rFonts w:ascii="Arial"/>
          <w:color w:val="000000"/>
          <w:sz w:val="24"/>
        </w:rPr>
        <w:t xml:space="preserve"> </w:t>
      </w:r>
      <w:r>
        <w:rPr>
          <w:rFonts w:ascii="Arial"/>
          <w:color w:val="000000"/>
          <w:sz w:val="24"/>
        </w:rPr>
        <w:t>of occupied net leasable area (NLA) with three major national chain supermarkets, namely Woolworths (4,207m</w:t>
      </w:r>
      <w:r>
        <w:rPr>
          <w:rFonts w:ascii="Arial"/>
          <w:color w:val="000000"/>
          <w:sz w:val="24"/>
        </w:rPr>
        <w:t>2</w:t>
      </w:r>
      <w:r>
        <w:rPr>
          <w:rFonts w:ascii="Arial"/>
          <w:color w:val="000000"/>
          <w:sz w:val="24"/>
        </w:rPr>
        <w:t>), Coles (3,916m</w:t>
      </w:r>
      <w:r>
        <w:rPr>
          <w:rFonts w:ascii="Arial"/>
          <w:color w:val="000000"/>
          <w:sz w:val="24"/>
        </w:rPr>
        <w:t>2</w:t>
      </w:r>
      <w:r>
        <w:rPr>
          <w:rFonts w:ascii="Arial"/>
          <w:color w:val="000000"/>
          <w:sz w:val="24"/>
        </w:rPr>
        <w:t>) and Aldi (1,478m</w:t>
      </w:r>
      <w:r>
        <w:rPr>
          <w:rFonts w:ascii="Arial"/>
          <w:color w:val="000000"/>
          <w:sz w:val="24"/>
        </w:rPr>
        <w:t>2</w:t>
      </w:r>
      <w:r>
        <w:rPr>
          <w:rFonts w:ascii="Arial"/>
          <w:color w:val="000000"/>
          <w:sz w:val="24"/>
        </w:rPr>
        <w:t xml:space="preserve">): </w:t>
      </w:r>
      <w:r>
        <w:rPr>
          <w:rFonts w:ascii="Arial"/>
          <w:color w:val="000000"/>
          <w:sz w:val="24"/>
        </w:rPr>
        <w:t>Ex 12</w:t>
      </w:r>
      <w:r>
        <w:rPr>
          <w:rFonts w:ascii="Arial"/>
          <w:color w:val="000000"/>
          <w:sz w:val="24"/>
        </w:rPr>
        <w:t xml:space="preserve"> </w:t>
      </w:r>
      <w:r>
        <w:rPr>
          <w:rFonts w:ascii="Arial"/>
          <w:color w:val="000000"/>
          <w:sz w:val="24"/>
        </w:rPr>
        <w:t xml:space="preserve">at p 2. </w:t>
      </w:r>
    </w:p>
    <w:p>
      <w:pPr>
        <w:pStyle w:val="CaselawNumbered10"/>
        <w:numPr>
          <w:ilvl w:val="0"/>
          <w:numId w:val="125"/>
        </w:numPr>
        <w:spacing w:before="150" w:after="0"/>
        <w:ind w:left="600" w:hanging="600"/>
      </w:pPr>
      <w:r>
        <w:rPr>
          <w:rFonts w:ascii="Arial"/>
          <w:color w:val="000000"/>
          <w:sz w:val="24"/>
        </w:rPr>
        <w:t>I</w:t>
      </w:r>
      <w:r>
        <w:rPr>
          <w:rFonts w:ascii="Arial"/>
          <w:color w:val="000000"/>
          <w:sz w:val="24"/>
        </w:rPr>
        <w:t xml:space="preserve">n short, the </w:t>
      </w:r>
      <w:r>
        <w:rPr>
          <w:rFonts w:ascii="Arial"/>
          <w:color w:val="000000"/>
          <w:sz w:val="24"/>
        </w:rPr>
        <w:t>Leyshon R</w:t>
      </w:r>
      <w:r>
        <w:rPr>
          <w:rFonts w:ascii="Arial"/>
          <w:color w:val="000000"/>
          <w:sz w:val="24"/>
        </w:rPr>
        <w:t xml:space="preserve">eport </w:t>
      </w:r>
      <w:r>
        <w:rPr>
          <w:rFonts w:ascii="Arial"/>
          <w:color w:val="000000"/>
          <w:sz w:val="24"/>
        </w:rPr>
        <w:t xml:space="preserve">concludes </w:t>
      </w:r>
      <w:r>
        <w:rPr>
          <w:rFonts w:ascii="Arial"/>
          <w:color w:val="000000"/>
          <w:sz w:val="24"/>
        </w:rPr>
        <w:t xml:space="preserve">that </w:t>
      </w:r>
      <w:r>
        <w:rPr>
          <w:rFonts w:ascii="Arial"/>
          <w:color w:val="000000"/>
          <w:sz w:val="24"/>
        </w:rPr>
        <w:t>a</w:t>
      </w:r>
      <w:r>
        <w:rPr>
          <w:rFonts w:ascii="Arial"/>
          <w:color w:val="000000"/>
          <w:sz w:val="24"/>
        </w:rPr>
        <w:t xml:space="preserve"> </w:t>
      </w:r>
      <w:r>
        <w:rPr>
          <w:rFonts w:ascii="Arial"/>
          <w:color w:val="000000"/>
          <w:sz w:val="24"/>
        </w:rPr>
        <w:t>“</w:t>
      </w:r>
      <w:r>
        <w:rPr>
          <w:rFonts w:ascii="Arial"/>
          <w:color w:val="000000"/>
          <w:sz w:val="24"/>
        </w:rPr>
        <w:t>DCP compliant</w:t>
      </w:r>
      <w:r>
        <w:rPr>
          <w:rFonts w:ascii="Arial"/>
          <w:color w:val="000000"/>
          <w:sz w:val="24"/>
        </w:rPr>
        <w:t>”</w:t>
      </w:r>
      <w:r>
        <w:rPr>
          <w:rFonts w:ascii="Arial"/>
          <w:color w:val="000000"/>
          <w:sz w:val="24"/>
        </w:rPr>
        <w:t xml:space="preserve"> </w:t>
      </w:r>
      <w:r>
        <w:rPr>
          <w:rFonts w:ascii="Arial"/>
          <w:color w:val="000000"/>
          <w:sz w:val="24"/>
        </w:rPr>
        <w:t xml:space="preserve">scheme prepared by Turner </w:t>
      </w:r>
      <w:r>
        <w:rPr>
          <w:rFonts w:ascii="Arial"/>
          <w:color w:val="000000"/>
          <w:sz w:val="24"/>
        </w:rPr>
        <w:t>Studio</w:t>
      </w:r>
      <w:r>
        <w:rPr>
          <w:rFonts w:ascii="Arial"/>
          <w:color w:val="000000"/>
          <w:sz w:val="24"/>
        </w:rPr>
        <w:t xml:space="preserve"> </w:t>
      </w:r>
      <w:r>
        <w:rPr>
          <w:rFonts w:ascii="Arial"/>
          <w:color w:val="000000"/>
          <w:sz w:val="24"/>
        </w:rPr>
        <w:t xml:space="preserve">for Stages 1 and 2 (at Appendix B to the Leyshon Report) will result in </w:t>
      </w:r>
      <w:r>
        <w:rPr>
          <w:rFonts w:ascii="Arial"/>
          <w:color w:val="000000"/>
          <w:sz w:val="24"/>
        </w:rPr>
        <w:t>“</w:t>
      </w:r>
      <w:r>
        <w:rPr>
          <w:rFonts w:ascii="Arial"/>
          <w:i/>
          <w:color w:val="000000"/>
          <w:sz w:val="24"/>
        </w:rPr>
        <w:t>the inability to create a tenancy of a scale which would be viable as far as Aldi is concerned</w:t>
      </w:r>
      <w:r>
        <w:rPr>
          <w:rFonts w:ascii="Arial"/>
          <w:color w:val="000000"/>
          <w:sz w:val="24"/>
        </w:rPr>
        <w:t>”</w:t>
      </w:r>
      <w:r>
        <w:rPr>
          <w:rFonts w:ascii="Arial"/>
          <w:color w:val="000000"/>
          <w:sz w:val="24"/>
        </w:rPr>
        <w:t xml:space="preserve"> </w:t>
      </w:r>
      <w:r>
        <w:rPr>
          <w:rFonts w:ascii="Arial"/>
          <w:color w:val="000000"/>
          <w:sz w:val="24"/>
        </w:rPr>
        <w:t xml:space="preserve">due to a reduction in NLA of </w:t>
      </w:r>
      <w:r>
        <w:rPr>
          <w:rFonts w:ascii="Arial"/>
          <w:color w:val="000000"/>
          <w:sz w:val="24"/>
        </w:rPr>
        <w:t>1</w:t>
      </w:r>
      <w:r>
        <w:rPr>
          <w:rFonts w:ascii="Arial"/>
          <w:color w:val="000000"/>
          <w:sz w:val="24"/>
        </w:rPr>
        <w:t>,965m</w:t>
      </w:r>
      <w:r>
        <w:rPr>
          <w:rFonts w:ascii="Arial"/>
          <w:color w:val="000000"/>
          <w:sz w:val="24"/>
        </w:rPr>
        <w:t>2</w:t>
      </w:r>
      <w:r>
        <w:rPr>
          <w:rFonts w:ascii="Arial"/>
          <w:color w:val="000000"/>
          <w:sz w:val="24"/>
        </w:rPr>
        <w:t xml:space="preserve">: </w:t>
      </w:r>
      <w:r>
        <w:rPr>
          <w:rFonts w:ascii="Arial"/>
          <w:color w:val="000000"/>
          <w:sz w:val="24"/>
        </w:rPr>
        <w:t>Ex 12</w:t>
      </w:r>
      <w:r>
        <w:rPr>
          <w:rFonts w:ascii="Arial"/>
          <w:color w:val="000000"/>
          <w:sz w:val="24"/>
        </w:rPr>
        <w:t xml:space="preserve"> </w:t>
      </w:r>
      <w:r>
        <w:rPr>
          <w:rFonts w:ascii="Arial"/>
          <w:color w:val="000000"/>
          <w:sz w:val="24"/>
        </w:rPr>
        <w:t>at p 7</w:t>
      </w:r>
      <w:r>
        <w:rPr>
          <w:rFonts w:ascii="Arial"/>
          <w:color w:val="000000"/>
          <w:sz w:val="24"/>
        </w:rPr>
        <w:t>.</w:t>
      </w:r>
      <w:r>
        <w:rPr>
          <w:rFonts w:ascii="Arial"/>
          <w:color w:val="000000"/>
          <w:sz w:val="24"/>
        </w:rPr>
        <w:t xml:space="preserve"> </w:t>
      </w:r>
      <w:r>
        <w:rPr>
          <w:rFonts w:ascii="Arial"/>
          <w:color w:val="000000"/>
          <w:sz w:val="24"/>
        </w:rPr>
        <w:t>Aldi</w:t>
      </w:r>
      <w:r>
        <w:rPr>
          <w:rFonts w:ascii="Arial"/>
          <w:color w:val="000000"/>
          <w:sz w:val="24"/>
        </w:rPr>
        <w:t xml:space="preserve"> </w:t>
      </w:r>
      <w:r>
        <w:rPr>
          <w:rFonts w:ascii="Arial"/>
          <w:color w:val="000000"/>
          <w:sz w:val="24"/>
        </w:rPr>
        <w:t>requires a minimum area of 1,400m</w:t>
      </w:r>
      <w:r>
        <w:rPr>
          <w:rFonts w:ascii="Arial"/>
          <w:color w:val="000000"/>
          <w:sz w:val="24"/>
        </w:rPr>
        <w:t>2</w:t>
      </w:r>
      <w:r>
        <w:rPr>
          <w:rFonts w:ascii="Arial"/>
          <w:color w:val="000000"/>
          <w:sz w:val="24"/>
        </w:rPr>
        <w:t xml:space="preserve"> </w:t>
      </w:r>
      <w:r>
        <w:rPr>
          <w:rFonts w:ascii="Arial"/>
          <w:color w:val="000000"/>
          <w:sz w:val="24"/>
        </w:rPr>
        <w:t xml:space="preserve">and the </w:t>
      </w:r>
      <w:r>
        <w:rPr>
          <w:rFonts w:ascii="Arial"/>
          <w:color w:val="000000"/>
          <w:sz w:val="24"/>
        </w:rPr>
        <w:t>“</w:t>
      </w:r>
      <w:r>
        <w:rPr>
          <w:rFonts w:ascii="Arial"/>
          <w:color w:val="000000"/>
          <w:sz w:val="24"/>
        </w:rPr>
        <w:t>DCP compliant</w:t>
      </w:r>
      <w:r>
        <w:rPr>
          <w:rFonts w:ascii="Arial"/>
          <w:color w:val="000000"/>
          <w:sz w:val="24"/>
        </w:rPr>
        <w:t>”</w:t>
      </w:r>
      <w:r>
        <w:rPr>
          <w:rFonts w:ascii="Arial"/>
          <w:color w:val="000000"/>
          <w:sz w:val="24"/>
        </w:rPr>
        <w:t xml:space="preserve"> </w:t>
      </w:r>
      <w:r>
        <w:rPr>
          <w:rFonts w:ascii="Arial"/>
          <w:color w:val="000000"/>
          <w:sz w:val="24"/>
        </w:rPr>
        <w:t xml:space="preserve">scheme will </w:t>
      </w:r>
      <w:r>
        <w:rPr>
          <w:rFonts w:ascii="Arial"/>
          <w:color w:val="000000"/>
          <w:sz w:val="24"/>
        </w:rPr>
        <w:t>“</w:t>
      </w:r>
      <w:r>
        <w:rPr>
          <w:rFonts w:ascii="Arial"/>
          <w:i/>
          <w:color w:val="000000"/>
          <w:sz w:val="24"/>
        </w:rPr>
        <w:t>produce a maximum tenancy footprint approximately only 50% of the minimum required area</w:t>
      </w:r>
      <w:r>
        <w:rPr>
          <w:rFonts w:ascii="Arial"/>
          <w:color w:val="000000"/>
          <w:sz w:val="24"/>
        </w:rPr>
        <w:t>”</w:t>
      </w:r>
      <w:r>
        <w:rPr>
          <w:rFonts w:ascii="Arial"/>
          <w:color w:val="000000"/>
          <w:sz w:val="24"/>
        </w:rPr>
        <w:t xml:space="preserve">: </w:t>
      </w:r>
      <w:r>
        <w:rPr>
          <w:rFonts w:ascii="Arial"/>
          <w:color w:val="000000"/>
          <w:sz w:val="24"/>
        </w:rPr>
        <w:t>Ex 12</w:t>
      </w:r>
      <w:r>
        <w:rPr>
          <w:rFonts w:ascii="Arial"/>
          <w:color w:val="000000"/>
          <w:sz w:val="24"/>
        </w:rPr>
        <w:t xml:space="preserve"> </w:t>
      </w:r>
      <w:r>
        <w:rPr>
          <w:rFonts w:ascii="Arial"/>
          <w:color w:val="000000"/>
          <w:sz w:val="24"/>
        </w:rPr>
        <w:t xml:space="preserve">at p 8. </w:t>
      </w:r>
    </w:p>
    <w:p>
      <w:pPr>
        <w:pStyle w:val="CaselawNumbered10"/>
        <w:numPr>
          <w:ilvl w:val="0"/>
          <w:numId w:val="125"/>
        </w:numPr>
        <w:spacing w:before="150" w:after="0"/>
        <w:ind w:left="600" w:hanging="600"/>
      </w:pPr>
      <w:r>
        <w:rPr>
          <w:rFonts w:ascii="Arial"/>
          <w:color w:val="000000"/>
          <w:sz w:val="24"/>
        </w:rPr>
        <w:t>It is submitted that t</w:t>
      </w:r>
      <w:r>
        <w:rPr>
          <w:rFonts w:ascii="Arial"/>
          <w:color w:val="000000"/>
          <w:sz w:val="24"/>
        </w:rPr>
        <w:t xml:space="preserve">he loss of Aldi </w:t>
      </w:r>
      <w:r>
        <w:rPr>
          <w:rFonts w:ascii="Arial"/>
          <w:color w:val="000000"/>
          <w:sz w:val="24"/>
        </w:rPr>
        <w:t xml:space="preserve">will </w:t>
      </w:r>
      <w:r>
        <w:rPr>
          <w:rFonts w:ascii="Arial"/>
          <w:color w:val="000000"/>
          <w:sz w:val="24"/>
        </w:rPr>
        <w:t>“</w:t>
      </w:r>
      <w:r>
        <w:rPr>
          <w:rFonts w:ascii="Arial"/>
          <w:i/>
          <w:color w:val="000000"/>
          <w:sz w:val="24"/>
        </w:rPr>
        <w:t>result in a number of significant negative outcomes</w:t>
      </w:r>
      <w:r>
        <w:rPr>
          <w:rFonts w:ascii="Arial"/>
          <w:color w:val="000000"/>
          <w:sz w:val="24"/>
        </w:rPr>
        <w:t>”</w:t>
      </w:r>
      <w:r>
        <w:rPr>
          <w:rFonts w:ascii="Arial"/>
          <w:color w:val="000000"/>
          <w:sz w:val="24"/>
        </w:rPr>
        <w:t xml:space="preserve">: </w:t>
      </w:r>
      <w:r>
        <w:rPr>
          <w:rFonts w:ascii="Arial"/>
          <w:color w:val="000000"/>
          <w:sz w:val="24"/>
        </w:rPr>
        <w:t>Ex 12</w:t>
      </w:r>
      <w:r>
        <w:rPr>
          <w:rFonts w:ascii="Arial"/>
          <w:color w:val="000000"/>
          <w:sz w:val="24"/>
        </w:rPr>
        <w:t xml:space="preserve"> </w:t>
      </w:r>
      <w:r>
        <w:rPr>
          <w:rFonts w:ascii="Arial"/>
          <w:color w:val="000000"/>
          <w:sz w:val="24"/>
        </w:rPr>
        <w:t>at p 9.</w:t>
      </w:r>
    </w:p>
    <w:p>
      <w:pPr>
        <w:pStyle w:val="CaselawNumbered10"/>
        <w:numPr>
          <w:ilvl w:val="0"/>
          <w:numId w:val="125"/>
        </w:numPr>
        <w:spacing w:before="150" w:after="0"/>
        <w:ind w:left="600" w:hanging="600"/>
      </w:pPr>
      <w:r>
        <w:rPr>
          <w:rFonts w:ascii="Arial"/>
          <w:color w:val="000000"/>
          <w:sz w:val="24"/>
        </w:rPr>
        <w:t>T</w:t>
      </w:r>
      <w:r>
        <w:rPr>
          <w:rFonts w:ascii="Arial"/>
          <w:color w:val="000000"/>
          <w:sz w:val="24"/>
        </w:rPr>
        <w:t>he Council</w:t>
      </w:r>
      <w:r>
        <w:rPr>
          <w:rFonts w:ascii="Arial"/>
          <w:color w:val="000000"/>
          <w:sz w:val="24"/>
        </w:rPr>
        <w:t xml:space="preserve"> </w:t>
      </w:r>
      <w:r>
        <w:rPr>
          <w:rFonts w:ascii="Arial"/>
          <w:color w:val="000000"/>
          <w:sz w:val="24"/>
        </w:rPr>
        <w:t>objected to the Leyshon Report going into evidence because of relevance</w:t>
      </w:r>
      <w:r>
        <w:rPr>
          <w:rFonts w:ascii="Arial"/>
          <w:color w:val="000000"/>
          <w:sz w:val="24"/>
        </w:rPr>
        <w:t xml:space="preserve"> </w:t>
      </w:r>
      <w:r>
        <w:rPr>
          <w:rFonts w:ascii="Arial"/>
          <w:color w:val="000000"/>
          <w:sz w:val="24"/>
        </w:rPr>
        <w:t>and it continues to agitate that point</w:t>
      </w:r>
      <w:r>
        <w:rPr>
          <w:rFonts w:ascii="Arial"/>
          <w:color w:val="000000"/>
          <w:sz w:val="24"/>
        </w:rPr>
        <w:t xml:space="preserve">. It contends that </w:t>
      </w:r>
      <w:r>
        <w:rPr>
          <w:rFonts w:ascii="Arial"/>
          <w:color w:val="000000"/>
          <w:sz w:val="24"/>
        </w:rPr>
        <w:t xml:space="preserve">reliance on the Report to </w:t>
      </w:r>
      <w:r>
        <w:rPr>
          <w:rFonts w:ascii="Arial"/>
          <w:color w:val="000000"/>
          <w:sz w:val="24"/>
        </w:rPr>
        <w:t xml:space="preserve">justify a </w:t>
      </w:r>
      <w:r>
        <w:rPr>
          <w:rFonts w:ascii="Arial"/>
          <w:color w:val="000000"/>
          <w:sz w:val="24"/>
        </w:rPr>
        <w:t>depart</w:t>
      </w:r>
      <w:r>
        <w:rPr>
          <w:rFonts w:ascii="Arial"/>
          <w:color w:val="000000"/>
          <w:sz w:val="24"/>
        </w:rPr>
        <w:t>ure</w:t>
      </w:r>
      <w:r>
        <w:rPr>
          <w:rFonts w:ascii="Arial"/>
          <w:color w:val="000000"/>
          <w:sz w:val="24"/>
        </w:rPr>
        <w:t xml:space="preserve"> </w:t>
      </w:r>
      <w:r>
        <w:rPr>
          <w:rFonts w:ascii="Arial"/>
          <w:color w:val="000000"/>
          <w:sz w:val="24"/>
        </w:rPr>
        <w:t xml:space="preserve">from the DCP based on </w:t>
      </w:r>
      <w:r>
        <w:rPr>
          <w:rFonts w:ascii="Arial"/>
          <w:color w:val="000000"/>
          <w:sz w:val="24"/>
        </w:rPr>
        <w:t xml:space="preserve">a loss of </w:t>
      </w:r>
      <w:r>
        <w:rPr>
          <w:rFonts w:ascii="Arial"/>
          <w:color w:val="000000"/>
          <w:sz w:val="24"/>
        </w:rPr>
        <w:t xml:space="preserve">competition </w:t>
      </w:r>
      <w:r>
        <w:rPr>
          <w:rFonts w:ascii="Arial"/>
          <w:color w:val="000000"/>
          <w:sz w:val="24"/>
        </w:rPr>
        <w:t xml:space="preserve">in the shopping centre </w:t>
      </w:r>
      <w:r>
        <w:rPr>
          <w:rFonts w:ascii="Arial"/>
          <w:color w:val="000000"/>
          <w:sz w:val="24"/>
        </w:rPr>
        <w:t>(</w:t>
      </w:r>
      <w:r>
        <w:rPr>
          <w:rFonts w:ascii="Arial"/>
          <w:i/>
          <w:color w:val="000000"/>
          <w:sz w:val="24"/>
        </w:rPr>
        <w:t>Kentucky Fried Chicken Pty Ltd v Gantidis</w:t>
      </w:r>
      <w:r>
        <w:rPr>
          <w:rFonts w:ascii="Arial"/>
          <w:color w:val="000000"/>
          <w:sz w:val="24"/>
        </w:rPr>
        <w:t xml:space="preserve"> </w:t>
      </w:r>
      <w:r>
        <w:rPr>
          <w:rFonts w:ascii="Arial"/>
          <w:color w:val="000000"/>
          <w:sz w:val="24"/>
        </w:rPr>
        <w:t>(1979) 140 CLR 675)</w:t>
      </w:r>
      <w:r>
        <w:rPr>
          <w:rFonts w:ascii="Arial"/>
          <w:color w:val="000000"/>
          <w:sz w:val="24"/>
        </w:rPr>
        <w:t xml:space="preserve"> </w:t>
      </w:r>
      <w:r>
        <w:rPr>
          <w:rFonts w:ascii="Arial"/>
          <w:color w:val="000000"/>
          <w:sz w:val="24"/>
        </w:rPr>
        <w:t>and the identity of any user (A</w:t>
      </w:r>
      <w:r>
        <w:rPr>
          <w:rFonts w:ascii="Arial"/>
          <w:color w:val="000000"/>
          <w:sz w:val="24"/>
        </w:rPr>
        <w:t>ldi</w:t>
      </w:r>
      <w:r>
        <w:rPr>
          <w:rFonts w:ascii="Arial"/>
          <w:color w:val="000000"/>
          <w:sz w:val="24"/>
        </w:rPr>
        <w:t xml:space="preserve">) </w:t>
      </w:r>
      <w:r>
        <w:rPr>
          <w:rFonts w:ascii="Arial"/>
          <w:color w:val="000000"/>
          <w:sz w:val="24"/>
        </w:rPr>
        <w:t>are</w:t>
      </w:r>
      <w:r>
        <w:rPr>
          <w:rFonts w:ascii="Arial"/>
          <w:color w:val="000000"/>
          <w:sz w:val="24"/>
        </w:rPr>
        <w:t xml:space="preserve"> </w:t>
      </w:r>
      <w:r>
        <w:rPr>
          <w:rFonts w:ascii="Arial"/>
          <w:color w:val="000000"/>
          <w:sz w:val="24"/>
        </w:rPr>
        <w:t>not relevant consideration</w:t>
      </w:r>
      <w:r>
        <w:rPr>
          <w:rFonts w:ascii="Arial"/>
          <w:color w:val="000000"/>
          <w:sz w:val="24"/>
        </w:rPr>
        <w:t>s</w:t>
      </w:r>
      <w:r>
        <w:rPr>
          <w:rFonts w:ascii="Arial"/>
          <w:color w:val="000000"/>
          <w:sz w:val="24"/>
        </w:rPr>
        <w:t xml:space="preserve"> </w:t>
      </w:r>
      <w:r>
        <w:rPr>
          <w:rFonts w:ascii="Arial"/>
          <w:color w:val="000000"/>
          <w:sz w:val="24"/>
        </w:rPr>
        <w:t>under s</w:t>
      </w:r>
      <w:r>
        <w:rPr>
          <w:rFonts w:ascii="Arial"/>
          <w:color w:val="000000"/>
          <w:sz w:val="24"/>
        </w:rPr>
        <w:t> </w:t>
      </w:r>
      <w:r>
        <w:rPr>
          <w:rFonts w:ascii="Arial"/>
          <w:color w:val="000000"/>
          <w:sz w:val="24"/>
        </w:rPr>
        <w:t>4.15 of the EPA Act</w:t>
      </w:r>
      <w:r>
        <w:rPr>
          <w:rFonts w:ascii="Arial"/>
          <w:color w:val="000000"/>
          <w:sz w:val="24"/>
        </w:rPr>
        <w:t>.</w:t>
      </w:r>
      <w:r>
        <w:rPr>
          <w:rFonts w:ascii="Arial"/>
          <w:color w:val="000000"/>
          <w:sz w:val="24"/>
        </w:rPr>
        <w:t xml:space="preserve"> </w:t>
      </w:r>
    </w:p>
    <w:p>
      <w:pPr>
        <w:pStyle w:val="CaselawNumbered10"/>
        <w:numPr>
          <w:ilvl w:val="0"/>
          <w:numId w:val="125"/>
        </w:numPr>
        <w:spacing w:before="150" w:after="0"/>
        <w:ind w:left="600" w:hanging="600"/>
      </w:pPr>
      <w:r>
        <w:rPr>
          <w:rFonts w:ascii="Arial"/>
          <w:color w:val="000000"/>
          <w:sz w:val="24"/>
        </w:rPr>
        <w:t>T</w:t>
      </w:r>
      <w:r>
        <w:rPr>
          <w:rFonts w:ascii="Arial"/>
          <w:color w:val="000000"/>
          <w:sz w:val="24"/>
        </w:rPr>
        <w:t>he parties' town planning experts defer to the</w:t>
      </w:r>
      <w:r>
        <w:rPr>
          <w:rFonts w:ascii="Arial"/>
          <w:color w:val="000000"/>
          <w:sz w:val="24"/>
        </w:rPr>
        <w:t xml:space="preserve"> </w:t>
      </w:r>
      <w:r>
        <w:rPr>
          <w:rFonts w:ascii="Arial"/>
          <w:color w:val="000000"/>
          <w:sz w:val="24"/>
        </w:rPr>
        <w:t>evidence of the</w:t>
      </w:r>
      <w:r>
        <w:rPr>
          <w:rFonts w:ascii="Arial"/>
          <w:color w:val="000000"/>
          <w:sz w:val="24"/>
        </w:rPr>
        <w:t xml:space="preserve"> </w:t>
      </w:r>
      <w:r>
        <w:rPr>
          <w:rFonts w:ascii="Arial"/>
          <w:color w:val="000000"/>
          <w:sz w:val="24"/>
        </w:rPr>
        <w:t>economic experts as to whe</w:t>
      </w:r>
      <w:r>
        <w:rPr>
          <w:rFonts w:ascii="Arial"/>
          <w:color w:val="000000"/>
          <w:sz w:val="24"/>
        </w:rPr>
        <w:t>th</w:t>
      </w:r>
      <w:r>
        <w:rPr>
          <w:rFonts w:ascii="Arial"/>
          <w:color w:val="000000"/>
          <w:sz w:val="24"/>
        </w:rPr>
        <w:t>e</w:t>
      </w:r>
      <w:r>
        <w:rPr>
          <w:rFonts w:ascii="Arial"/>
          <w:color w:val="000000"/>
          <w:sz w:val="24"/>
        </w:rPr>
        <w:t>r</w:t>
      </w:r>
      <w:r>
        <w:rPr>
          <w:rFonts w:ascii="Arial"/>
          <w:color w:val="000000"/>
          <w:sz w:val="24"/>
        </w:rPr>
        <w:t xml:space="preserve"> </w:t>
      </w:r>
      <w:r>
        <w:rPr>
          <w:rFonts w:ascii="Arial"/>
          <w:color w:val="000000"/>
          <w:sz w:val="24"/>
        </w:rPr>
        <w:t xml:space="preserve">the loss of a retail shop/precinct may have broader impacts and the extent of those impacts: </w:t>
      </w:r>
      <w:r>
        <w:rPr>
          <w:rFonts w:ascii="Arial"/>
          <w:color w:val="000000"/>
          <w:sz w:val="24"/>
        </w:rPr>
        <w:t xml:space="preserve">Ex 12 </w:t>
      </w:r>
      <w:r>
        <w:rPr>
          <w:rFonts w:ascii="Arial"/>
          <w:color w:val="000000"/>
          <w:sz w:val="24"/>
        </w:rPr>
        <w:t xml:space="preserve">at </w:t>
      </w:r>
      <w:r>
        <w:rPr>
          <w:rFonts w:ascii="Arial"/>
          <w:color w:val="000000"/>
          <w:sz w:val="24"/>
        </w:rPr>
        <w:t xml:space="preserve">par </w:t>
      </w:r>
      <w:r>
        <w:rPr>
          <w:rFonts w:ascii="Arial"/>
          <w:color w:val="000000"/>
          <w:sz w:val="24"/>
        </w:rPr>
        <w:t>3.</w:t>
      </w:r>
      <w:r>
        <w:rPr>
          <w:rFonts w:ascii="Arial"/>
          <w:color w:val="000000"/>
          <w:sz w:val="24"/>
        </w:rPr>
        <w:t xml:space="preserve"> </w:t>
      </w:r>
      <w:r>
        <w:rPr>
          <w:rFonts w:ascii="Arial"/>
          <w:color w:val="000000"/>
          <w:sz w:val="24"/>
        </w:rPr>
        <w:t xml:space="preserve">However, </w:t>
      </w:r>
      <w:r>
        <w:rPr>
          <w:rFonts w:ascii="Arial"/>
          <w:color w:val="000000"/>
          <w:sz w:val="24"/>
        </w:rPr>
        <w:t xml:space="preserve">they </w:t>
      </w:r>
      <w:r>
        <w:rPr>
          <w:rFonts w:ascii="Arial"/>
          <w:color w:val="000000"/>
          <w:sz w:val="24"/>
        </w:rPr>
        <w:t>disagree on whether Aldi can be retained or not.</w:t>
      </w:r>
    </w:p>
    <w:p>
      <w:pPr>
        <w:pStyle w:val="CaselawNumbered10"/>
        <w:numPr>
          <w:ilvl w:val="0"/>
          <w:numId w:val="125"/>
        </w:numPr>
        <w:spacing w:before="150" w:after="0"/>
        <w:ind w:left="600" w:hanging="600"/>
      </w:pPr>
      <w:r>
        <w:rPr>
          <w:rFonts w:ascii="Arial"/>
          <w:color w:val="000000"/>
          <w:sz w:val="24"/>
        </w:rPr>
        <w:t xml:space="preserve">Ms Bartlett </w:t>
      </w:r>
      <w:r>
        <w:rPr>
          <w:rFonts w:ascii="Arial"/>
          <w:color w:val="000000"/>
          <w:sz w:val="24"/>
        </w:rPr>
        <w:t xml:space="preserve">gave evidence that </w:t>
      </w:r>
      <w:r>
        <w:rPr>
          <w:rFonts w:ascii="Arial"/>
          <w:color w:val="000000"/>
          <w:sz w:val="24"/>
        </w:rPr>
        <w:t>the non-residential floor space requirement in cl</w:t>
      </w:r>
      <w:r>
        <w:rPr>
          <w:rFonts w:ascii="Arial"/>
          <w:color w:val="000000"/>
          <w:sz w:val="24"/>
        </w:rPr>
        <w:t> </w:t>
      </w:r>
      <w:r>
        <w:rPr>
          <w:rFonts w:ascii="Arial"/>
          <w:color w:val="000000"/>
          <w:sz w:val="24"/>
        </w:rPr>
        <w:t xml:space="preserve">6.14 of LEP 2015 acts as a minimum (rather than a maximum), </w:t>
      </w:r>
      <w:r>
        <w:rPr>
          <w:rFonts w:ascii="Arial"/>
          <w:color w:val="000000"/>
          <w:sz w:val="24"/>
        </w:rPr>
        <w:t>and that t</w:t>
      </w:r>
      <w:r>
        <w:rPr>
          <w:rFonts w:ascii="Arial"/>
          <w:color w:val="000000"/>
          <w:sz w:val="24"/>
        </w:rPr>
        <w:t xml:space="preserve">here are alternative designs that would retain a functional Aldi in Stage 1 and provide a low-density interface with the R2 zoned land consistent with the </w:t>
      </w:r>
      <w:r>
        <w:rPr>
          <w:rFonts w:ascii="Arial"/>
          <w:color w:val="000000"/>
          <w:sz w:val="24"/>
        </w:rPr>
        <w:t>ISP</w:t>
      </w:r>
      <w:r>
        <w:rPr>
          <w:rFonts w:ascii="Arial"/>
          <w:color w:val="000000"/>
          <w:sz w:val="24"/>
        </w:rPr>
        <w:t xml:space="preserve"> </w:t>
      </w:r>
      <w:r>
        <w:rPr>
          <w:rFonts w:ascii="Arial"/>
          <w:color w:val="000000"/>
          <w:sz w:val="24"/>
        </w:rPr>
        <w:t>(</w:t>
      </w:r>
      <w:r>
        <w:rPr>
          <w:rFonts w:ascii="Arial"/>
          <w:color w:val="000000"/>
          <w:sz w:val="24"/>
        </w:rPr>
        <w:t>i.e.</w:t>
      </w:r>
      <w:r>
        <w:rPr>
          <w:rFonts w:ascii="Arial"/>
          <w:color w:val="000000"/>
          <w:sz w:val="24"/>
        </w:rPr>
        <w:t xml:space="preserve"> </w:t>
      </w:r>
      <w:r>
        <w:rPr>
          <w:rFonts w:ascii="Arial"/>
          <w:color w:val="000000"/>
          <w:sz w:val="24"/>
        </w:rPr>
        <w:t xml:space="preserve">Mr Smith at </w:t>
      </w:r>
      <w:r>
        <w:rPr>
          <w:rFonts w:ascii="Arial"/>
          <w:color w:val="000000"/>
          <w:sz w:val="24"/>
        </w:rPr>
        <w:t xml:space="preserve">par </w:t>
      </w:r>
      <w:r>
        <w:rPr>
          <w:rFonts w:ascii="Arial"/>
          <w:color w:val="000000"/>
          <w:sz w:val="24"/>
        </w:rPr>
        <w:t>7 and Fig 1</w:t>
      </w:r>
      <w:r>
        <w:rPr>
          <w:rFonts w:ascii="Arial"/>
          <w:color w:val="000000"/>
          <w:sz w:val="24"/>
        </w:rPr>
        <w:t>)</w:t>
      </w:r>
      <w:r>
        <w:rPr>
          <w:rFonts w:ascii="Arial"/>
          <w:color w:val="000000"/>
          <w:sz w:val="24"/>
        </w:rPr>
        <w:t xml:space="preserve">. </w:t>
      </w:r>
      <w:r>
        <w:rPr>
          <w:rFonts w:ascii="Arial"/>
          <w:color w:val="000000"/>
          <w:sz w:val="24"/>
        </w:rPr>
        <w:t xml:space="preserve">She believes that </w:t>
      </w:r>
      <w:r>
        <w:rPr>
          <w:rFonts w:ascii="Arial"/>
          <w:color w:val="000000"/>
          <w:sz w:val="24"/>
        </w:rPr>
        <w:t xml:space="preserve">Henroth has not demonstrated </w:t>
      </w:r>
      <w:r>
        <w:rPr>
          <w:rFonts w:ascii="Arial"/>
          <w:color w:val="000000"/>
          <w:sz w:val="24"/>
        </w:rPr>
        <w:t xml:space="preserve">sufficiently that: </w:t>
      </w:r>
    </w:p>
    <w:p>
      <w:pPr>
        <w:pStyle w:val="CaselawNumbered1"/>
        <w:numPr>
          <w:ilvl w:val="0"/>
          <w:numId w:val="126"/>
        </w:numPr>
        <w:spacing w:before="150" w:after="0"/>
        <w:ind w:left="1350" w:hanging="750"/>
      </w:pPr>
      <w:r>
        <w:rPr>
          <w:rFonts w:ascii="Arial"/>
          <w:color w:val="000000"/>
          <w:sz w:val="24"/>
        </w:rPr>
        <w:t>the retention of Aldi cannot be delivered that complies with the new site-specific LEP and DCP requirements; or</w:t>
      </w:r>
    </w:p>
    <w:p>
      <w:pPr>
        <w:pStyle w:val="CaselawNumbered1"/>
        <w:numPr>
          <w:ilvl w:val="0"/>
          <w:numId w:val="126"/>
        </w:numPr>
        <w:spacing w:before="150" w:after="0"/>
        <w:ind w:left="1350" w:hanging="750"/>
      </w:pPr>
      <w:r>
        <w:rPr>
          <w:rFonts w:ascii="Arial"/>
          <w:color w:val="000000"/>
          <w:sz w:val="24"/>
        </w:rPr>
        <w:t>the requirement for Aldi would override the other planning, environmental and social objectives of the wider site-specific controls when assessing an application for the site's redevelopment.</w:t>
      </w:r>
    </w:p>
    <w:p>
      <w:pPr>
        <w:pStyle w:val="CaselawNumbered10"/>
        <w:numPr>
          <w:ilvl w:val="0"/>
          <w:numId w:val="127"/>
        </w:numPr>
        <w:spacing w:before="150" w:after="0"/>
        <w:ind w:left="600" w:hanging="600"/>
      </w:pPr>
      <w:r>
        <w:rPr>
          <w:rFonts w:ascii="Arial"/>
          <w:color w:val="000000"/>
          <w:sz w:val="24"/>
        </w:rPr>
        <w:t xml:space="preserve">Whereas </w:t>
      </w:r>
      <w:r>
        <w:rPr>
          <w:rFonts w:ascii="Arial"/>
          <w:color w:val="000000"/>
          <w:sz w:val="24"/>
        </w:rPr>
        <w:t xml:space="preserve">Mr Ryan </w:t>
      </w:r>
      <w:r>
        <w:rPr>
          <w:rFonts w:ascii="Arial"/>
          <w:color w:val="000000"/>
          <w:sz w:val="24"/>
        </w:rPr>
        <w:t xml:space="preserve">gave evidence that </w:t>
      </w:r>
      <w:r>
        <w:rPr>
          <w:rFonts w:ascii="Arial"/>
          <w:color w:val="000000"/>
          <w:sz w:val="24"/>
        </w:rPr>
        <w:t xml:space="preserve">the loss of Aldi in order to </w:t>
      </w:r>
      <w:r>
        <w:rPr>
          <w:rFonts w:ascii="Arial"/>
          <w:color w:val="000000"/>
          <w:sz w:val="24"/>
        </w:rPr>
        <w:t>“</w:t>
      </w:r>
      <w:r>
        <w:rPr>
          <w:rFonts w:ascii="Arial"/>
          <w:color w:val="000000"/>
          <w:sz w:val="24"/>
        </w:rPr>
        <w:t>strictly comply with the DCP would be contrary to</w:t>
      </w:r>
      <w:r>
        <w:rPr>
          <w:rFonts w:ascii="Arial"/>
          <w:color w:val="000000"/>
          <w:sz w:val="24"/>
        </w:rPr>
        <w:t>”</w:t>
      </w:r>
      <w:r>
        <w:rPr>
          <w:rFonts w:ascii="Arial"/>
          <w:color w:val="000000"/>
          <w:sz w:val="24"/>
        </w:rPr>
        <w:t xml:space="preserve"> </w:t>
      </w:r>
      <w:r>
        <w:rPr>
          <w:rFonts w:ascii="Arial"/>
          <w:color w:val="000000"/>
          <w:sz w:val="24"/>
        </w:rPr>
        <w:t xml:space="preserve">cl 6.14 of LEP 2015 and certain provisions of the DCP </w:t>
      </w:r>
      <w:r>
        <w:rPr>
          <w:rFonts w:ascii="Arial"/>
          <w:color w:val="000000"/>
          <w:sz w:val="24"/>
        </w:rPr>
        <w:t>(</w:t>
      </w:r>
      <w:r>
        <w:rPr>
          <w:rFonts w:ascii="Arial"/>
          <w:color w:val="000000"/>
          <w:sz w:val="24"/>
        </w:rPr>
        <w:t>Ex 12</w:t>
      </w:r>
      <w:r>
        <w:rPr>
          <w:rFonts w:ascii="Arial"/>
          <w:color w:val="000000"/>
          <w:sz w:val="24"/>
        </w:rPr>
        <w:t xml:space="preserve"> </w:t>
      </w:r>
      <w:r>
        <w:rPr>
          <w:rFonts w:ascii="Arial"/>
          <w:color w:val="000000"/>
          <w:sz w:val="24"/>
        </w:rPr>
        <w:t>par 14</w:t>
      </w:r>
      <w:r>
        <w:rPr>
          <w:rFonts w:ascii="Arial"/>
          <w:color w:val="000000"/>
          <w:sz w:val="24"/>
        </w:rPr>
        <w:t>)</w:t>
      </w:r>
      <w:r>
        <w:rPr>
          <w:rFonts w:ascii="Arial"/>
          <w:color w:val="000000"/>
          <w:sz w:val="24"/>
        </w:rPr>
        <w:t xml:space="preserve">. </w:t>
      </w:r>
    </w:p>
    <w:p>
      <w:pPr>
        <w:pStyle w:val="CaselawNumbered10"/>
        <w:numPr>
          <w:ilvl w:val="0"/>
          <w:numId w:val="127"/>
        </w:numPr>
        <w:spacing w:before="150" w:after="0"/>
        <w:ind w:left="600" w:hanging="600"/>
      </w:pPr>
      <w:r>
        <w:rPr>
          <w:rFonts w:ascii="Arial"/>
          <w:color w:val="000000"/>
          <w:sz w:val="24"/>
        </w:rPr>
        <w:t xml:space="preserve">Mr Ryan </w:t>
      </w:r>
      <w:r>
        <w:rPr>
          <w:rFonts w:ascii="Arial"/>
          <w:color w:val="000000"/>
          <w:sz w:val="24"/>
        </w:rPr>
        <w:t xml:space="preserve">also takes issue with </w:t>
      </w:r>
      <w:r>
        <w:rPr>
          <w:rFonts w:ascii="Arial"/>
          <w:color w:val="000000"/>
          <w:sz w:val="24"/>
        </w:rPr>
        <w:t xml:space="preserve">Mr Smith's </w:t>
      </w:r>
      <w:r>
        <w:rPr>
          <w:rFonts w:ascii="Arial"/>
          <w:color w:val="000000"/>
          <w:sz w:val="24"/>
        </w:rPr>
        <w:t xml:space="preserve">Fig 7 </w:t>
      </w:r>
      <w:r>
        <w:rPr>
          <w:rFonts w:ascii="Arial"/>
          <w:color w:val="000000"/>
          <w:sz w:val="24"/>
        </w:rPr>
        <w:t>alternative design</w:t>
      </w:r>
      <w:r>
        <w:rPr>
          <w:rFonts w:ascii="Arial"/>
          <w:color w:val="000000"/>
          <w:sz w:val="24"/>
        </w:rPr>
        <w:t xml:space="preserve">. He said it </w:t>
      </w:r>
      <w:r>
        <w:rPr>
          <w:rFonts w:ascii="Arial"/>
          <w:color w:val="000000"/>
          <w:sz w:val="24"/>
        </w:rPr>
        <w:t xml:space="preserve">does not </w:t>
      </w:r>
      <w:r>
        <w:rPr>
          <w:rFonts w:ascii="Arial"/>
          <w:color w:val="000000"/>
          <w:sz w:val="24"/>
        </w:rPr>
        <w:t>“</w:t>
      </w:r>
      <w:r>
        <w:rPr>
          <w:rFonts w:ascii="Arial"/>
          <w:color w:val="000000"/>
          <w:sz w:val="24"/>
        </w:rPr>
        <w:t>entirely comply</w:t>
      </w:r>
      <w:r>
        <w:rPr>
          <w:rFonts w:ascii="Arial"/>
          <w:color w:val="000000"/>
          <w:sz w:val="24"/>
        </w:rPr>
        <w:t>”</w:t>
      </w:r>
      <w:r>
        <w:rPr>
          <w:rFonts w:ascii="Arial"/>
          <w:color w:val="000000"/>
          <w:sz w:val="24"/>
        </w:rPr>
        <w:t xml:space="preserve"> </w:t>
      </w:r>
      <w:r>
        <w:rPr>
          <w:rFonts w:ascii="Arial"/>
          <w:color w:val="000000"/>
          <w:sz w:val="24"/>
        </w:rPr>
        <w:t>with the DCP</w:t>
      </w:r>
      <w:r>
        <w:rPr>
          <w:rFonts w:ascii="Arial"/>
          <w:color w:val="000000"/>
          <w:sz w:val="24"/>
        </w:rPr>
        <w:t xml:space="preserve"> </w:t>
      </w:r>
      <w:r>
        <w:rPr>
          <w:rFonts w:ascii="Arial"/>
          <w:color w:val="000000"/>
          <w:sz w:val="24"/>
        </w:rPr>
        <w:t>in certain respects including road widths</w:t>
      </w:r>
      <w:r>
        <w:rPr>
          <w:rFonts w:ascii="Arial"/>
          <w:color w:val="000000"/>
          <w:sz w:val="24"/>
        </w:rPr>
        <w:t xml:space="preserve">. </w:t>
      </w:r>
      <w:r>
        <w:rPr>
          <w:rFonts w:ascii="Arial"/>
          <w:color w:val="000000"/>
          <w:sz w:val="24"/>
        </w:rPr>
        <w:t>And</w:t>
      </w:r>
      <w:r>
        <w:rPr>
          <w:rFonts w:ascii="Arial"/>
          <w:color w:val="000000"/>
          <w:sz w:val="24"/>
        </w:rPr>
        <w:t xml:space="preserve">, based </w:t>
      </w:r>
      <w:r>
        <w:rPr>
          <w:rFonts w:ascii="Arial"/>
          <w:color w:val="000000"/>
          <w:sz w:val="24"/>
        </w:rPr>
        <w:t xml:space="preserve">on advice from Henroth and its architect, Mr Ryan </w:t>
      </w:r>
      <w:r>
        <w:rPr>
          <w:rFonts w:ascii="Arial"/>
          <w:color w:val="000000"/>
          <w:sz w:val="24"/>
        </w:rPr>
        <w:t xml:space="preserve">said that </w:t>
      </w:r>
      <w:r>
        <w:rPr>
          <w:rFonts w:ascii="Arial"/>
          <w:color w:val="000000"/>
          <w:sz w:val="24"/>
        </w:rPr>
        <w:t xml:space="preserve">Mr Smith's alternative design </w:t>
      </w:r>
      <w:r>
        <w:rPr>
          <w:rFonts w:ascii="Arial"/>
          <w:color w:val="000000"/>
          <w:sz w:val="24"/>
        </w:rPr>
        <w:t>“</w:t>
      </w:r>
      <w:r>
        <w:rPr>
          <w:rFonts w:ascii="Arial"/>
          <w:color w:val="000000"/>
          <w:sz w:val="24"/>
        </w:rPr>
        <w:t>cannot be practically developed</w:t>
      </w:r>
      <w:r>
        <w:rPr>
          <w:rFonts w:ascii="Arial"/>
          <w:color w:val="000000"/>
          <w:sz w:val="24"/>
        </w:rPr>
        <w:t>”</w:t>
      </w:r>
      <w:r>
        <w:rPr>
          <w:rFonts w:ascii="Arial"/>
          <w:color w:val="000000"/>
          <w:sz w:val="24"/>
        </w:rPr>
        <w:t xml:space="preserve"> </w:t>
      </w:r>
      <w:r>
        <w:rPr>
          <w:rFonts w:ascii="Arial"/>
          <w:color w:val="000000"/>
          <w:sz w:val="24"/>
        </w:rPr>
        <w:t xml:space="preserve">because </w:t>
      </w:r>
      <w:r>
        <w:rPr>
          <w:rFonts w:ascii="Arial"/>
          <w:color w:val="000000"/>
          <w:sz w:val="24"/>
        </w:rPr>
        <w:t xml:space="preserve">the new road would need to be constructed at the same time as Stage 1 in order for Aldi to have vehicular access from Waterloo Road: </w:t>
      </w:r>
      <w:r>
        <w:rPr>
          <w:rFonts w:ascii="Arial"/>
          <w:color w:val="000000"/>
          <w:sz w:val="24"/>
        </w:rPr>
        <w:t>(</w:t>
      </w:r>
      <w:r>
        <w:rPr>
          <w:rFonts w:ascii="Arial"/>
          <w:color w:val="000000"/>
          <w:sz w:val="24"/>
        </w:rPr>
        <w:t>Ex 12</w:t>
      </w:r>
      <w:r>
        <w:rPr>
          <w:rFonts w:ascii="Arial"/>
          <w:color w:val="000000"/>
          <w:sz w:val="24"/>
        </w:rPr>
        <w:t xml:space="preserve"> </w:t>
      </w:r>
      <w:r>
        <w:rPr>
          <w:rFonts w:ascii="Arial"/>
          <w:color w:val="000000"/>
          <w:sz w:val="24"/>
        </w:rPr>
        <w:t>pars 18-20</w:t>
      </w:r>
      <w:r>
        <w:rPr>
          <w:rFonts w:ascii="Arial"/>
          <w:color w:val="000000"/>
          <w:sz w:val="24"/>
        </w:rPr>
        <w:t>)</w:t>
      </w:r>
      <w:r>
        <w:rPr>
          <w:rFonts w:ascii="Arial"/>
          <w:color w:val="000000"/>
          <w:sz w:val="24"/>
        </w:rPr>
        <w:t xml:space="preserve">. </w:t>
      </w:r>
      <w:r>
        <w:rPr>
          <w:rFonts w:ascii="Arial"/>
          <w:color w:val="000000"/>
          <w:sz w:val="24"/>
        </w:rPr>
        <w:t xml:space="preserve">As such, he believes that </w:t>
      </w:r>
      <w:r>
        <w:rPr>
          <w:rFonts w:ascii="Arial"/>
          <w:color w:val="000000"/>
          <w:sz w:val="24"/>
        </w:rPr>
        <w:t xml:space="preserve">this will cause disruption to existing car parking and could </w:t>
      </w:r>
      <w:r>
        <w:rPr>
          <w:rFonts w:ascii="Arial"/>
          <w:color w:val="000000"/>
          <w:sz w:val="24"/>
        </w:rPr>
        <w:t>“</w:t>
      </w:r>
      <w:r>
        <w:rPr>
          <w:rFonts w:ascii="Arial"/>
          <w:color w:val="000000"/>
          <w:sz w:val="24"/>
        </w:rPr>
        <w:t>potentially threaten</w:t>
      </w:r>
      <w:r>
        <w:rPr>
          <w:rFonts w:ascii="Arial"/>
          <w:color w:val="000000"/>
          <w:sz w:val="24"/>
        </w:rPr>
        <w:t>”</w:t>
      </w:r>
      <w:r>
        <w:rPr>
          <w:rFonts w:ascii="Arial"/>
          <w:color w:val="000000"/>
          <w:sz w:val="24"/>
        </w:rPr>
        <w:t xml:space="preserve"> </w:t>
      </w:r>
      <w:r>
        <w:rPr>
          <w:rFonts w:ascii="Arial"/>
          <w:color w:val="000000"/>
          <w:sz w:val="24"/>
        </w:rPr>
        <w:t xml:space="preserve">the continued operation of the existing centre: </w:t>
      </w:r>
      <w:r>
        <w:rPr>
          <w:rFonts w:ascii="Arial"/>
          <w:color w:val="000000"/>
          <w:sz w:val="24"/>
        </w:rPr>
        <w:t>(</w:t>
      </w:r>
      <w:r>
        <w:rPr>
          <w:rFonts w:ascii="Arial"/>
          <w:color w:val="000000"/>
          <w:sz w:val="24"/>
        </w:rPr>
        <w:t xml:space="preserve">Ex 12 </w:t>
      </w:r>
      <w:r>
        <w:rPr>
          <w:rFonts w:ascii="Arial"/>
          <w:color w:val="000000"/>
          <w:sz w:val="24"/>
        </w:rPr>
        <w:t>pars 22-24</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 </w:t>
      </w:r>
      <w:r>
        <w:rPr>
          <w:rFonts w:ascii="Arial"/>
          <w:color w:val="000000"/>
          <w:sz w:val="24"/>
        </w:rPr>
        <w:t xml:space="preserve">He believes that </w:t>
      </w:r>
      <w:r>
        <w:rPr>
          <w:rFonts w:ascii="Arial"/>
          <w:color w:val="000000"/>
          <w:sz w:val="24"/>
        </w:rPr>
        <w:t xml:space="preserve">this will </w:t>
      </w:r>
      <w:r>
        <w:rPr>
          <w:rFonts w:ascii="Arial"/>
          <w:color w:val="000000"/>
          <w:sz w:val="24"/>
        </w:rPr>
        <w:t xml:space="preserve">frustrate the stated key </w:t>
      </w:r>
      <w:r>
        <w:rPr>
          <w:rFonts w:ascii="Arial"/>
          <w:color w:val="000000"/>
          <w:sz w:val="24"/>
        </w:rPr>
        <w:t xml:space="preserve">design </w:t>
      </w:r>
      <w:r>
        <w:rPr>
          <w:rFonts w:ascii="Arial"/>
          <w:color w:val="000000"/>
          <w:sz w:val="24"/>
        </w:rPr>
        <w:t>principle o</w:t>
      </w:r>
      <w:r>
        <w:rPr>
          <w:rFonts w:ascii="Arial"/>
          <w:color w:val="000000"/>
          <w:sz w:val="24"/>
        </w:rPr>
        <w:t>f</w:t>
      </w:r>
      <w:r>
        <w:rPr>
          <w:rFonts w:ascii="Arial"/>
          <w:color w:val="000000"/>
          <w:sz w:val="24"/>
        </w:rPr>
        <w:t xml:space="preserve"> </w:t>
      </w:r>
      <w:r>
        <w:rPr>
          <w:rFonts w:ascii="Arial"/>
          <w:color w:val="000000"/>
          <w:sz w:val="24"/>
        </w:rPr>
        <w:t>maintaining the ongoing viability of the centre during redevelopment and the existing operations.</w:t>
      </w:r>
      <w:r>
        <w:rPr>
          <w:rFonts w:ascii="Arial"/>
          <w:color w:val="000000"/>
          <w:sz w:val="24"/>
        </w:rPr>
        <w:t xml:space="preserve"> </w:t>
      </w:r>
    </w:p>
    <w:p>
      <w:pPr>
        <w:pStyle w:val="CaselawNumbered10"/>
        <w:numPr>
          <w:ilvl w:val="0"/>
          <w:numId w:val="127"/>
        </w:numPr>
        <w:spacing w:before="150" w:after="0"/>
        <w:ind w:left="600" w:hanging="600"/>
      </w:pPr>
      <w:r>
        <w:rPr>
          <w:rFonts w:ascii="Arial"/>
          <w:color w:val="000000"/>
          <w:sz w:val="24"/>
        </w:rPr>
        <w:t xml:space="preserve">The </w:t>
      </w:r>
      <w:r>
        <w:rPr>
          <w:rFonts w:ascii="Arial"/>
          <w:color w:val="000000"/>
          <w:sz w:val="24"/>
        </w:rPr>
        <w:t xml:space="preserve">economic experts </w:t>
      </w:r>
      <w:r>
        <w:rPr>
          <w:rFonts w:ascii="Arial"/>
          <w:color w:val="000000"/>
          <w:sz w:val="24"/>
        </w:rPr>
        <w:t>found no p</w:t>
      </w:r>
      <w:r>
        <w:rPr>
          <w:rFonts w:ascii="Arial"/>
          <w:color w:val="000000"/>
          <w:sz w:val="24"/>
        </w:rPr>
        <w:t>o</w:t>
      </w:r>
      <w:r>
        <w:rPr>
          <w:rFonts w:ascii="Arial"/>
          <w:color w:val="000000"/>
          <w:sz w:val="24"/>
        </w:rPr>
        <w:t>int of agreement</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Ex 12</w:t>
      </w:r>
      <w:r>
        <w:rPr>
          <w:rFonts w:ascii="Arial"/>
          <w:color w:val="000000"/>
          <w:sz w:val="24"/>
        </w:rPr>
        <w:t xml:space="preserve"> </w:t>
      </w:r>
      <w:r>
        <w:rPr>
          <w:rFonts w:ascii="Arial"/>
          <w:color w:val="000000"/>
          <w:sz w:val="24"/>
        </w:rPr>
        <w:t>par 29</w:t>
      </w:r>
      <w:r>
        <w:rPr>
          <w:rFonts w:ascii="Arial"/>
          <w:color w:val="000000"/>
          <w:sz w:val="24"/>
        </w:rPr>
        <w:t>)</w:t>
      </w:r>
      <w:r>
        <w:rPr>
          <w:rFonts w:ascii="Arial"/>
          <w:color w:val="000000"/>
          <w:sz w:val="24"/>
        </w:rPr>
        <w:t xml:space="preserve">. Mr Haratsis </w:t>
      </w:r>
      <w:r>
        <w:rPr>
          <w:rFonts w:ascii="Arial"/>
          <w:color w:val="000000"/>
          <w:sz w:val="24"/>
        </w:rPr>
        <w:t xml:space="preserve">gave evidence that </w:t>
      </w:r>
      <w:r>
        <w:rPr>
          <w:rFonts w:ascii="Arial"/>
          <w:color w:val="000000"/>
          <w:sz w:val="24"/>
        </w:rPr>
        <w:t>“…</w:t>
      </w:r>
      <w:r>
        <w:rPr>
          <w:rFonts w:ascii="Arial"/>
          <w:i/>
          <w:color w:val="000000"/>
          <w:sz w:val="24"/>
        </w:rPr>
        <w:t>the Leyshon Report fails to assess the economic need for the Aldi on the site or that the existing centre requires three traditional supermarkets</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 xml:space="preserve">Ex 12 </w:t>
      </w:r>
      <w:r>
        <w:rPr>
          <w:rFonts w:ascii="Arial"/>
          <w:color w:val="000000"/>
          <w:sz w:val="24"/>
        </w:rPr>
        <w:t>pars 37-38</w:t>
      </w:r>
      <w:r>
        <w:rPr>
          <w:rFonts w:ascii="Arial"/>
          <w:color w:val="000000"/>
          <w:sz w:val="24"/>
        </w:rPr>
        <w:t>) and also</w:t>
      </w:r>
      <w:r>
        <w:rPr>
          <w:rFonts w:ascii="Arial"/>
          <w:color w:val="000000"/>
          <w:sz w:val="24"/>
        </w:rPr>
        <w:t xml:space="preserve"> </w:t>
      </w:r>
      <w:r>
        <w:rPr>
          <w:rFonts w:ascii="Arial"/>
          <w:color w:val="000000"/>
          <w:sz w:val="24"/>
        </w:rPr>
        <w:t xml:space="preserve">fails to </w:t>
      </w:r>
      <w:r>
        <w:rPr>
          <w:rFonts w:ascii="Arial"/>
          <w:color w:val="000000"/>
          <w:sz w:val="24"/>
        </w:rPr>
        <w:t>“</w:t>
      </w:r>
      <w:r>
        <w:rPr>
          <w:rFonts w:ascii="Arial"/>
          <w:i/>
          <w:color w:val="000000"/>
          <w:sz w:val="24"/>
        </w:rPr>
        <w:t>assess spend via a logical trade catchment to establish a need for an Aldi on the site in circumstances where there are seven existing supermarkets likely to compete with the existing centre (excluding 12 specialist Lebanese and Middle Eastern grocery stores</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w:t>
      </w:r>
      <w:r>
        <w:rPr>
          <w:rFonts w:ascii="Arial"/>
          <w:color w:val="000000"/>
          <w:sz w:val="24"/>
        </w:rPr>
        <w:t xml:space="preserve">Ex 12 </w:t>
      </w:r>
      <w:r>
        <w:rPr>
          <w:rFonts w:ascii="Arial"/>
          <w:color w:val="000000"/>
          <w:sz w:val="24"/>
        </w:rPr>
        <w:t>pars 39-40</w:t>
      </w:r>
      <w:r>
        <w:rPr>
          <w:rFonts w:ascii="Arial"/>
          <w:color w:val="000000"/>
          <w:sz w:val="24"/>
        </w:rPr>
        <w:t>)</w:t>
      </w:r>
      <w:r>
        <w:rPr>
          <w:rFonts w:ascii="Arial"/>
          <w:color w:val="000000"/>
          <w:sz w:val="24"/>
        </w:rPr>
        <w:t xml:space="preserve">. </w:t>
      </w:r>
      <w:r>
        <w:rPr>
          <w:rFonts w:ascii="Arial"/>
          <w:color w:val="000000"/>
          <w:sz w:val="24"/>
        </w:rPr>
        <w:t xml:space="preserve">Mr Haratsis believes that if the Aldi was </w:t>
      </w:r>
      <w:r>
        <w:rPr>
          <w:rFonts w:ascii="Arial"/>
          <w:color w:val="000000"/>
          <w:sz w:val="24"/>
        </w:rPr>
        <w:t xml:space="preserve">developed at </w:t>
      </w:r>
      <w:r>
        <w:rPr>
          <w:rFonts w:ascii="Arial"/>
          <w:color w:val="000000"/>
          <w:sz w:val="24"/>
        </w:rPr>
        <w:t xml:space="preserve">a later stage, there would ultimately be no change in employment numbers: </w:t>
      </w:r>
      <w:r>
        <w:rPr>
          <w:rFonts w:ascii="Arial"/>
          <w:color w:val="000000"/>
          <w:sz w:val="24"/>
        </w:rPr>
        <w:t>(</w:t>
      </w:r>
      <w:r>
        <w:rPr>
          <w:rFonts w:ascii="Arial"/>
          <w:color w:val="000000"/>
          <w:sz w:val="24"/>
        </w:rPr>
        <w:t>Ex 12</w:t>
      </w:r>
      <w:r>
        <w:rPr>
          <w:rFonts w:ascii="Arial"/>
          <w:color w:val="000000"/>
          <w:sz w:val="24"/>
        </w:rPr>
        <w:t xml:space="preserve"> </w:t>
      </w:r>
      <w:r>
        <w:rPr>
          <w:rFonts w:ascii="Arial"/>
          <w:color w:val="000000"/>
          <w:sz w:val="24"/>
        </w:rPr>
        <w:t>par 41</w:t>
      </w:r>
      <w:r>
        <w:rPr>
          <w:rFonts w:ascii="Arial"/>
          <w:color w:val="000000"/>
          <w:sz w:val="24"/>
        </w:rPr>
        <w:t>)</w:t>
      </w:r>
      <w:r>
        <w:rPr>
          <w:rFonts w:ascii="Arial"/>
          <w:color w:val="000000"/>
          <w:sz w:val="24"/>
        </w:rPr>
        <w:t>.</w:t>
      </w:r>
    </w:p>
    <w:p>
      <w:pPr>
        <w:pStyle w:val="CaselawNumbered10"/>
        <w:numPr>
          <w:ilvl w:val="0"/>
          <w:numId w:val="127"/>
        </w:numPr>
        <w:spacing w:before="150" w:after="0"/>
        <w:ind w:left="600" w:hanging="600"/>
      </w:pPr>
      <w:r>
        <w:rPr>
          <w:rFonts w:ascii="Arial"/>
          <w:color w:val="000000"/>
          <w:sz w:val="24"/>
        </w:rPr>
        <w:t xml:space="preserve">Mr Leyshon </w:t>
      </w:r>
      <w:r>
        <w:rPr>
          <w:rFonts w:ascii="Arial"/>
          <w:color w:val="000000"/>
          <w:sz w:val="24"/>
        </w:rPr>
        <w:t xml:space="preserve">accepted </w:t>
      </w:r>
      <w:r>
        <w:rPr>
          <w:rFonts w:ascii="Arial"/>
          <w:color w:val="000000"/>
          <w:sz w:val="24"/>
        </w:rPr>
        <w:t xml:space="preserve">that the economic impacts in the Leyshon Report would be </w:t>
      </w:r>
      <w:r>
        <w:rPr>
          <w:rFonts w:ascii="Arial"/>
          <w:color w:val="000000"/>
          <w:sz w:val="24"/>
        </w:rPr>
        <w:t xml:space="preserve">removed </w:t>
      </w:r>
      <w:r>
        <w:rPr>
          <w:rFonts w:ascii="Arial"/>
          <w:color w:val="000000"/>
          <w:sz w:val="24"/>
        </w:rPr>
        <w:t xml:space="preserve">if Aldi is able to be retained in Stages </w:t>
      </w:r>
      <w:r>
        <w:rPr>
          <w:rFonts w:ascii="Arial"/>
          <w:color w:val="000000"/>
          <w:sz w:val="24"/>
        </w:rPr>
        <w:t>1</w:t>
      </w:r>
      <w:r>
        <w:rPr>
          <w:rFonts w:ascii="Arial"/>
          <w:color w:val="000000"/>
          <w:sz w:val="24"/>
        </w:rPr>
        <w:t xml:space="preserve"> </w:t>
      </w:r>
      <w:r>
        <w:rPr>
          <w:rFonts w:ascii="Arial"/>
          <w:color w:val="000000"/>
          <w:sz w:val="24"/>
        </w:rPr>
        <w:t xml:space="preserve">and 2 of the </w:t>
      </w:r>
      <w:r>
        <w:rPr>
          <w:rFonts w:ascii="Arial"/>
          <w:color w:val="000000"/>
          <w:sz w:val="24"/>
        </w:rPr>
        <w:t>redevelopment</w:t>
      </w:r>
      <w:r>
        <w:rPr>
          <w:rFonts w:ascii="Arial"/>
          <w:color w:val="000000"/>
          <w:sz w:val="24"/>
        </w:rPr>
        <w:t xml:space="preserve">: </w:t>
      </w:r>
      <w:r>
        <w:rPr>
          <w:rFonts w:ascii="Arial"/>
          <w:color w:val="000000"/>
          <w:sz w:val="24"/>
        </w:rPr>
        <w:t>(</w:t>
      </w:r>
      <w:r>
        <w:rPr>
          <w:rFonts w:ascii="Arial"/>
          <w:color w:val="000000"/>
          <w:sz w:val="24"/>
        </w:rPr>
        <w:t>Ex 12</w:t>
      </w:r>
      <w:r>
        <w:rPr>
          <w:rFonts w:ascii="Arial"/>
          <w:color w:val="000000"/>
          <w:sz w:val="24"/>
        </w:rPr>
        <w:t xml:space="preserve"> </w:t>
      </w:r>
      <w:r>
        <w:rPr>
          <w:rFonts w:ascii="Arial"/>
          <w:color w:val="000000"/>
          <w:sz w:val="24"/>
        </w:rPr>
        <w:t xml:space="preserve">par </w:t>
      </w:r>
      <w:r>
        <w:rPr>
          <w:rFonts w:ascii="Arial"/>
          <w:color w:val="000000"/>
          <w:sz w:val="24"/>
        </w:rPr>
        <w:t>48</w:t>
      </w:r>
      <w:r>
        <w:rPr>
          <w:rFonts w:ascii="Arial"/>
          <w:color w:val="000000"/>
          <w:sz w:val="24"/>
        </w:rPr>
        <w:t>)</w:t>
      </w:r>
      <w:r>
        <w:rPr>
          <w:rFonts w:ascii="Arial"/>
          <w:color w:val="000000"/>
          <w:sz w:val="24"/>
        </w:rPr>
        <w:t xml:space="preserve">. </w:t>
      </w:r>
      <w:r>
        <w:rPr>
          <w:rFonts w:ascii="Arial"/>
          <w:color w:val="000000"/>
          <w:sz w:val="24"/>
        </w:rPr>
        <w:t xml:space="preserve">However, </w:t>
      </w:r>
      <w:r>
        <w:rPr>
          <w:rFonts w:ascii="Arial"/>
          <w:color w:val="000000"/>
          <w:sz w:val="24"/>
        </w:rPr>
        <w:t xml:space="preserve">he </w:t>
      </w:r>
      <w:r>
        <w:rPr>
          <w:rFonts w:ascii="Arial"/>
          <w:color w:val="000000"/>
          <w:sz w:val="24"/>
        </w:rPr>
        <w:t xml:space="preserve">believes </w:t>
      </w:r>
      <w:r>
        <w:rPr>
          <w:rFonts w:ascii="Arial"/>
          <w:color w:val="000000"/>
          <w:sz w:val="24"/>
        </w:rPr>
        <w:t xml:space="preserve">if </w:t>
      </w:r>
      <w:r>
        <w:rPr>
          <w:rFonts w:ascii="Arial"/>
          <w:color w:val="000000"/>
          <w:sz w:val="24"/>
        </w:rPr>
        <w:t xml:space="preserve">Aldi </w:t>
      </w:r>
      <w:r>
        <w:rPr>
          <w:rFonts w:ascii="Arial"/>
          <w:color w:val="000000"/>
          <w:sz w:val="24"/>
        </w:rPr>
        <w:t xml:space="preserve">were </w:t>
      </w:r>
      <w:r>
        <w:rPr>
          <w:rFonts w:ascii="Arial"/>
          <w:color w:val="000000"/>
          <w:sz w:val="24"/>
        </w:rPr>
        <w:t xml:space="preserve">included in some future stage (e.g. Stages 3 or 4), the </w:t>
      </w:r>
      <w:r>
        <w:rPr>
          <w:rFonts w:ascii="Arial"/>
          <w:color w:val="000000"/>
          <w:sz w:val="24"/>
        </w:rPr>
        <w:t xml:space="preserve">reduction </w:t>
      </w:r>
      <w:r>
        <w:rPr>
          <w:rFonts w:ascii="Arial"/>
          <w:color w:val="000000"/>
          <w:sz w:val="24"/>
        </w:rPr>
        <w:t xml:space="preserve">from </w:t>
      </w:r>
      <w:r>
        <w:rPr>
          <w:rFonts w:ascii="Arial"/>
          <w:color w:val="000000"/>
          <w:sz w:val="24"/>
        </w:rPr>
        <w:t xml:space="preserve">three to two supermarkets </w:t>
      </w:r>
      <w:r>
        <w:rPr>
          <w:rFonts w:ascii="Arial"/>
          <w:color w:val="000000"/>
          <w:sz w:val="24"/>
        </w:rPr>
        <w:t>at the centre</w:t>
      </w:r>
      <w:r>
        <w:rPr>
          <w:rFonts w:ascii="Arial"/>
          <w:color w:val="000000"/>
          <w:sz w:val="24"/>
        </w:rPr>
        <w:t>,</w:t>
      </w:r>
      <w:r>
        <w:rPr>
          <w:rFonts w:ascii="Arial"/>
          <w:color w:val="000000"/>
          <w:sz w:val="24"/>
        </w:rPr>
        <w:t xml:space="preserve"> </w:t>
      </w:r>
      <w:r>
        <w:rPr>
          <w:rFonts w:ascii="Arial"/>
          <w:color w:val="000000"/>
          <w:sz w:val="24"/>
        </w:rPr>
        <w:t xml:space="preserve">for a considerable time </w:t>
      </w:r>
      <w:r>
        <w:rPr>
          <w:rFonts w:ascii="Arial"/>
          <w:color w:val="000000"/>
          <w:sz w:val="24"/>
        </w:rPr>
        <w:t xml:space="preserve">during construction, </w:t>
      </w:r>
      <w:r>
        <w:rPr>
          <w:rFonts w:ascii="Arial"/>
          <w:color w:val="000000"/>
          <w:sz w:val="24"/>
        </w:rPr>
        <w:t xml:space="preserve">would have a negative economic consequence for shoppers, tenants in the centre and Henroth: </w:t>
      </w:r>
      <w:r>
        <w:rPr>
          <w:rFonts w:ascii="Arial"/>
          <w:color w:val="000000"/>
          <w:sz w:val="24"/>
        </w:rPr>
        <w:t>(</w:t>
      </w:r>
      <w:r>
        <w:rPr>
          <w:rFonts w:ascii="Arial"/>
          <w:color w:val="000000"/>
          <w:sz w:val="24"/>
        </w:rPr>
        <w:t>Ex 12</w:t>
      </w:r>
      <w:r>
        <w:rPr>
          <w:rFonts w:ascii="Arial"/>
          <w:color w:val="000000"/>
          <w:sz w:val="24"/>
        </w:rPr>
        <w:t xml:space="preserve"> </w:t>
      </w:r>
      <w:r>
        <w:rPr>
          <w:rFonts w:ascii="Arial"/>
          <w:color w:val="000000"/>
          <w:sz w:val="24"/>
        </w:rPr>
        <w:t xml:space="preserve">par </w:t>
      </w:r>
      <w:r>
        <w:rPr>
          <w:rFonts w:ascii="Arial"/>
          <w:color w:val="000000"/>
          <w:sz w:val="24"/>
        </w:rPr>
        <w:t>49</w:t>
      </w:r>
      <w:r>
        <w:rPr>
          <w:rFonts w:ascii="Arial"/>
          <w:color w:val="000000"/>
          <w:sz w:val="24"/>
        </w:rPr>
        <w:t>)</w:t>
      </w:r>
      <w:r>
        <w:rPr>
          <w:rFonts w:ascii="Arial"/>
          <w:color w:val="000000"/>
          <w:sz w:val="24"/>
        </w:rPr>
        <w:t xml:space="preserve">. </w:t>
      </w:r>
    </w:p>
    <w:p>
      <w:pPr>
        <w:pStyle w:val="CaselawNumbered10"/>
        <w:numPr>
          <w:ilvl w:val="0"/>
          <w:numId w:val="127"/>
        </w:numPr>
        <w:spacing w:before="150" w:after="0"/>
        <w:ind w:left="600" w:hanging="600"/>
      </w:pPr>
      <w:r>
        <w:rPr>
          <w:rFonts w:ascii="Arial"/>
          <w:color w:val="000000"/>
          <w:sz w:val="24"/>
        </w:rPr>
        <w:t>While t</w:t>
      </w:r>
      <w:r>
        <w:rPr>
          <w:rFonts w:ascii="Arial"/>
          <w:color w:val="000000"/>
          <w:sz w:val="24"/>
        </w:rPr>
        <w:t xml:space="preserve">he </w:t>
      </w:r>
      <w:r>
        <w:rPr>
          <w:rFonts w:ascii="Arial"/>
          <w:color w:val="000000"/>
          <w:sz w:val="24"/>
        </w:rPr>
        <w:t>“</w:t>
      </w:r>
      <w:r>
        <w:rPr>
          <w:rFonts w:ascii="Arial"/>
          <w:color w:val="000000"/>
          <w:sz w:val="24"/>
        </w:rPr>
        <w:t>need</w:t>
      </w:r>
      <w:r>
        <w:rPr>
          <w:rFonts w:ascii="Arial"/>
          <w:color w:val="000000"/>
          <w:sz w:val="24"/>
        </w:rPr>
        <w:t>”</w:t>
      </w:r>
      <w:r>
        <w:rPr>
          <w:rFonts w:ascii="Arial"/>
          <w:color w:val="000000"/>
          <w:sz w:val="24"/>
        </w:rPr>
        <w:t xml:space="preserve"> </w:t>
      </w:r>
      <w:r>
        <w:rPr>
          <w:rFonts w:ascii="Arial"/>
          <w:color w:val="000000"/>
          <w:sz w:val="24"/>
        </w:rPr>
        <w:t xml:space="preserve">for Aldi </w:t>
      </w:r>
      <w:r>
        <w:rPr>
          <w:rFonts w:ascii="Arial"/>
          <w:color w:val="000000"/>
          <w:sz w:val="24"/>
        </w:rPr>
        <w:t xml:space="preserve">within the Centre </w:t>
      </w:r>
      <w:r>
        <w:rPr>
          <w:rFonts w:ascii="Arial"/>
          <w:color w:val="000000"/>
          <w:sz w:val="24"/>
        </w:rPr>
        <w:t xml:space="preserve">is not contested in the contention </w:t>
      </w:r>
      <w:r>
        <w:rPr>
          <w:rFonts w:ascii="Arial"/>
          <w:color w:val="000000"/>
          <w:sz w:val="24"/>
        </w:rPr>
        <w:t xml:space="preserve">Mr Leyshon said its need </w:t>
      </w:r>
      <w:r>
        <w:rPr>
          <w:rFonts w:ascii="Arial"/>
          <w:color w:val="000000"/>
          <w:sz w:val="24"/>
        </w:rPr>
        <w:t xml:space="preserve">is demonstrated by a range of factors: </w:t>
      </w:r>
      <w:r>
        <w:rPr>
          <w:rFonts w:ascii="Arial"/>
          <w:color w:val="000000"/>
          <w:sz w:val="24"/>
        </w:rPr>
        <w:t>(</w:t>
      </w:r>
      <w:r>
        <w:rPr>
          <w:rFonts w:ascii="Arial"/>
          <w:color w:val="000000"/>
          <w:sz w:val="24"/>
        </w:rPr>
        <w:t>Ex 12</w:t>
      </w:r>
      <w:r>
        <w:rPr>
          <w:rFonts w:ascii="Arial"/>
          <w:color w:val="000000"/>
          <w:sz w:val="24"/>
        </w:rPr>
        <w:t xml:space="preserve"> </w:t>
      </w:r>
      <w:r>
        <w:rPr>
          <w:rFonts w:ascii="Arial"/>
          <w:color w:val="000000"/>
          <w:sz w:val="24"/>
        </w:rPr>
        <w:t xml:space="preserve">pars </w:t>
      </w:r>
      <w:r>
        <w:rPr>
          <w:rFonts w:ascii="Arial"/>
          <w:color w:val="000000"/>
          <w:sz w:val="24"/>
        </w:rPr>
        <w:t>51-52</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Therefore, </w:t>
      </w:r>
      <w:r>
        <w:rPr>
          <w:rFonts w:ascii="Arial"/>
          <w:color w:val="000000"/>
          <w:sz w:val="24"/>
        </w:rPr>
        <w:t xml:space="preserve">the loss of Aldi in Stages 1 and 2 would </w:t>
      </w:r>
      <w:r>
        <w:rPr>
          <w:rFonts w:ascii="Arial"/>
          <w:color w:val="000000"/>
          <w:sz w:val="24"/>
        </w:rPr>
        <w:t>in Mr Leyshon</w:t>
      </w:r>
      <w:r>
        <w:rPr>
          <w:rFonts w:ascii="Arial"/>
          <w:color w:val="000000"/>
          <w:sz w:val="24"/>
        </w:rPr>
        <w:t>’</w:t>
      </w:r>
      <w:r>
        <w:rPr>
          <w:rFonts w:ascii="Arial"/>
          <w:color w:val="000000"/>
          <w:sz w:val="24"/>
        </w:rPr>
        <w:t>s assessment r</w:t>
      </w:r>
      <w:r>
        <w:rPr>
          <w:rFonts w:ascii="Arial"/>
          <w:color w:val="000000"/>
          <w:sz w:val="24"/>
        </w:rPr>
        <w:t xml:space="preserve">esult in the community losing a facility they currently value and would have significant and avoidable economic impacts: </w:t>
      </w:r>
      <w:r>
        <w:rPr>
          <w:rFonts w:ascii="Arial"/>
          <w:color w:val="000000"/>
          <w:sz w:val="24"/>
        </w:rPr>
        <w:t>(</w:t>
      </w:r>
      <w:r>
        <w:rPr>
          <w:rFonts w:ascii="Arial"/>
          <w:color w:val="000000"/>
          <w:sz w:val="24"/>
        </w:rPr>
        <w:t>Ex 12</w:t>
      </w:r>
      <w:r>
        <w:rPr>
          <w:rFonts w:ascii="Arial"/>
          <w:color w:val="000000"/>
          <w:sz w:val="24"/>
        </w:rPr>
        <w:t xml:space="preserve"> </w:t>
      </w:r>
      <w:r>
        <w:rPr>
          <w:rFonts w:ascii="Arial"/>
          <w:color w:val="000000"/>
          <w:sz w:val="24"/>
        </w:rPr>
        <w:t xml:space="preserve">par </w:t>
      </w:r>
      <w:r>
        <w:rPr>
          <w:rFonts w:ascii="Arial"/>
          <w:color w:val="000000"/>
          <w:sz w:val="24"/>
        </w:rPr>
        <w:t>54</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The </w:t>
      </w:r>
      <w:r>
        <w:rPr>
          <w:rFonts w:ascii="Arial"/>
          <w:color w:val="000000"/>
          <w:sz w:val="24"/>
        </w:rPr>
        <w:t>potential negative imp</w:t>
      </w:r>
      <w:r>
        <w:rPr>
          <w:rFonts w:ascii="Arial"/>
          <w:color w:val="000000"/>
          <w:sz w:val="24"/>
        </w:rPr>
        <w:t>lications</w:t>
      </w:r>
      <w:r>
        <w:rPr>
          <w:rFonts w:ascii="Arial"/>
          <w:color w:val="000000"/>
          <w:sz w:val="24"/>
        </w:rPr>
        <w:t xml:space="preserve"> </w:t>
      </w:r>
      <w:r>
        <w:rPr>
          <w:rFonts w:ascii="Arial"/>
          <w:color w:val="000000"/>
          <w:sz w:val="24"/>
        </w:rPr>
        <w:t xml:space="preserve">for the Chullora Marketplace generally, and its Aldi tenancy specifically </w:t>
      </w:r>
      <w:r>
        <w:rPr>
          <w:rFonts w:ascii="Arial"/>
          <w:color w:val="000000"/>
          <w:sz w:val="24"/>
        </w:rPr>
        <w:t>a</w:t>
      </w:r>
      <w:r>
        <w:rPr>
          <w:rFonts w:ascii="Arial"/>
          <w:color w:val="000000"/>
          <w:sz w:val="24"/>
        </w:rPr>
        <w:t>re</w:t>
      </w:r>
      <w:r>
        <w:rPr>
          <w:rFonts w:ascii="Arial"/>
          <w:color w:val="000000"/>
          <w:sz w:val="24"/>
        </w:rPr>
        <w:t xml:space="preserve"> </w:t>
      </w:r>
      <w:r>
        <w:rPr>
          <w:rFonts w:ascii="Arial"/>
          <w:color w:val="000000"/>
          <w:sz w:val="24"/>
        </w:rPr>
        <w:t>negative</w:t>
      </w:r>
      <w:r>
        <w:rPr>
          <w:rFonts w:ascii="Arial"/>
          <w:color w:val="000000"/>
          <w:sz w:val="24"/>
        </w:rPr>
        <w:t xml:space="preserve"> </w:t>
      </w:r>
      <w:r>
        <w:rPr>
          <w:rFonts w:ascii="Arial"/>
          <w:color w:val="000000"/>
          <w:sz w:val="24"/>
        </w:rPr>
        <w:t>economic consequences for shoppers, other speciality tenants in the centre and the centre</w:t>
      </w:r>
      <w:r>
        <w:rPr>
          <w:rFonts w:ascii="Arial"/>
          <w:color w:val="000000"/>
          <w:sz w:val="24"/>
        </w:rPr>
        <w:t>’</w:t>
      </w:r>
      <w:r>
        <w:rPr>
          <w:rFonts w:ascii="Arial"/>
          <w:color w:val="000000"/>
          <w:sz w:val="24"/>
        </w:rPr>
        <w:t>s owners (Ex 12 p</w:t>
      </w:r>
      <w:r>
        <w:rPr>
          <w:rFonts w:ascii="Arial"/>
          <w:color w:val="000000"/>
          <w:sz w:val="24"/>
        </w:rPr>
        <w:t xml:space="preserve"> </w:t>
      </w:r>
      <w:r>
        <w:rPr>
          <w:rFonts w:ascii="Arial"/>
          <w:color w:val="000000"/>
          <w:sz w:val="24"/>
        </w:rPr>
        <w:t xml:space="preserve">10). As Mr Leyshon </w:t>
      </w:r>
      <w:r>
        <w:rPr>
          <w:rFonts w:ascii="Arial"/>
          <w:color w:val="000000"/>
          <w:sz w:val="24"/>
        </w:rPr>
        <w:t>said,</w:t>
      </w:r>
      <w:r>
        <w:rPr>
          <w:rFonts w:ascii="Arial"/>
          <w:color w:val="000000"/>
          <w:sz w:val="24"/>
        </w:rPr>
        <w:t xml:space="preserve"> </w:t>
      </w:r>
      <w:r>
        <w:rPr>
          <w:rFonts w:ascii="Arial"/>
          <w:color w:val="000000"/>
          <w:sz w:val="24"/>
        </w:rPr>
        <w:t>“</w:t>
      </w:r>
      <w:r>
        <w:rPr>
          <w:rFonts w:ascii="Arial"/>
          <w:color w:val="000000"/>
          <w:sz w:val="24"/>
        </w:rPr>
        <w:t>It is an existing synergistic operation, and it should continue in that way</w:t>
      </w:r>
      <w:r>
        <w:rPr>
          <w:rFonts w:ascii="Arial"/>
          <w:color w:val="000000"/>
          <w:sz w:val="24"/>
        </w:rPr>
        <w:t>”</w:t>
      </w:r>
      <w:r>
        <w:rPr>
          <w:rFonts w:ascii="Arial"/>
          <w:color w:val="000000"/>
          <w:sz w:val="24"/>
        </w:rPr>
        <w:t>.</w:t>
      </w:r>
    </w:p>
    <w:p>
      <w:pPr>
        <w:pStyle w:val="CaselawNumbered10"/>
        <w:numPr>
          <w:ilvl w:val="0"/>
          <w:numId w:val="127"/>
        </w:numPr>
        <w:spacing w:before="150" w:after="0"/>
        <w:ind w:left="600" w:hanging="600"/>
      </w:pPr>
      <w:r>
        <w:rPr>
          <w:rFonts w:ascii="Arial"/>
          <w:color w:val="000000"/>
          <w:sz w:val="24"/>
        </w:rPr>
        <w:t xml:space="preserve">Mr Ryan </w:t>
      </w:r>
      <w:r>
        <w:rPr>
          <w:rFonts w:ascii="Arial"/>
          <w:color w:val="000000"/>
          <w:sz w:val="24"/>
        </w:rPr>
        <w:t xml:space="preserve">is </w:t>
      </w:r>
      <w:r>
        <w:rPr>
          <w:rFonts w:ascii="Arial"/>
          <w:color w:val="000000"/>
          <w:sz w:val="24"/>
        </w:rPr>
        <w:t xml:space="preserve">of the opinion that the economic impact is entirely relevant in the determination of this DA. He said that the loss of </w:t>
      </w:r>
      <w:r>
        <w:rPr>
          <w:rFonts w:ascii="Arial"/>
          <w:color w:val="000000"/>
          <w:sz w:val="24"/>
        </w:rPr>
        <w:t>Aldi</w:t>
      </w:r>
      <w:r>
        <w:rPr>
          <w:rFonts w:ascii="Arial"/>
          <w:color w:val="000000"/>
          <w:sz w:val="24"/>
        </w:rPr>
        <w:t xml:space="preserve"> </w:t>
      </w:r>
      <w:r>
        <w:rPr>
          <w:rFonts w:ascii="Arial"/>
          <w:color w:val="000000"/>
          <w:sz w:val="24"/>
        </w:rPr>
        <w:t xml:space="preserve">– </w:t>
      </w:r>
      <w:r>
        <w:rPr>
          <w:rFonts w:ascii="Arial"/>
          <w:color w:val="000000"/>
          <w:sz w:val="24"/>
        </w:rPr>
        <w:t xml:space="preserve">in order </w:t>
      </w:r>
      <w:r>
        <w:rPr>
          <w:rFonts w:ascii="Arial"/>
          <w:color w:val="000000"/>
          <w:sz w:val="24"/>
        </w:rPr>
        <w:t>to</w:t>
      </w:r>
      <w:r>
        <w:rPr>
          <w:rFonts w:ascii="Arial"/>
          <w:color w:val="000000"/>
          <w:sz w:val="24"/>
        </w:rPr>
        <w:t xml:space="preserve"> </w:t>
      </w:r>
      <w:r>
        <w:rPr>
          <w:rFonts w:ascii="Arial"/>
          <w:color w:val="000000"/>
          <w:sz w:val="24"/>
        </w:rPr>
        <w:t>strictly comply with the DCP</w:t>
      </w:r>
      <w:r>
        <w:rPr>
          <w:rFonts w:ascii="Arial"/>
          <w:color w:val="000000"/>
          <w:sz w:val="24"/>
        </w:rPr>
        <w:t xml:space="preserve"> </w:t>
      </w:r>
      <w:r>
        <w:rPr>
          <w:rFonts w:ascii="Arial"/>
          <w:color w:val="000000"/>
          <w:sz w:val="24"/>
        </w:rPr>
        <w:t xml:space="preserve">would be contrary to </w:t>
      </w:r>
      <w:r>
        <w:rPr>
          <w:rFonts w:ascii="Arial"/>
          <w:color w:val="000000"/>
          <w:sz w:val="24"/>
        </w:rPr>
        <w:t>cl 6.14 of LEP</w:t>
      </w:r>
      <w:r>
        <w:rPr>
          <w:rFonts w:ascii="Arial"/>
          <w:color w:val="000000"/>
          <w:sz w:val="24"/>
        </w:rPr>
        <w:t xml:space="preserve"> </w:t>
      </w:r>
      <w:r>
        <w:rPr>
          <w:rFonts w:ascii="Arial"/>
          <w:color w:val="000000"/>
          <w:sz w:val="24"/>
        </w:rPr>
        <w:t>2015</w:t>
      </w:r>
      <w:r>
        <w:rPr>
          <w:rFonts w:ascii="Arial"/>
          <w:color w:val="000000"/>
          <w:sz w:val="24"/>
        </w:rPr>
        <w:t xml:space="preserve">. </w:t>
      </w:r>
      <w:r>
        <w:rPr>
          <w:rFonts w:ascii="Arial"/>
          <w:color w:val="000000"/>
          <w:sz w:val="24"/>
        </w:rPr>
        <w:t xml:space="preserve">That is, cl 6.14 </w:t>
      </w:r>
      <w:r>
        <w:rPr>
          <w:rFonts w:ascii="Arial"/>
          <w:color w:val="000000"/>
          <w:sz w:val="24"/>
        </w:rPr>
        <w:t>directs the</w:t>
      </w:r>
      <w:r>
        <w:rPr>
          <w:rFonts w:ascii="Arial"/>
          <w:color w:val="000000"/>
          <w:sz w:val="24"/>
        </w:rPr>
        <w:t xml:space="preserve"> </w:t>
      </w:r>
      <w:r>
        <w:rPr>
          <w:rFonts w:ascii="Arial"/>
          <w:color w:val="000000"/>
          <w:sz w:val="24"/>
        </w:rPr>
        <w:t xml:space="preserve">creation of and the result of the DCP which in this case sponsors effectively the retention of as much of the shopping centre as possible. </w:t>
      </w:r>
      <w:r>
        <w:rPr>
          <w:rFonts w:ascii="Arial"/>
          <w:color w:val="000000"/>
          <w:sz w:val="24"/>
        </w:rPr>
        <w:t>So, o</w:t>
      </w:r>
      <w:r>
        <w:rPr>
          <w:rFonts w:ascii="Arial"/>
          <w:color w:val="000000"/>
          <w:sz w:val="24"/>
        </w:rPr>
        <w:t xml:space="preserve">n that basis the economic evidence is entirely relevant. </w:t>
      </w:r>
    </w:p>
    <w:p>
      <w:pPr>
        <w:pStyle w:val="CaselawNumbered10"/>
        <w:numPr>
          <w:ilvl w:val="0"/>
          <w:numId w:val="127"/>
        </w:numPr>
        <w:spacing w:before="150" w:after="0"/>
        <w:ind w:left="600" w:hanging="600"/>
      </w:pPr>
      <w:r>
        <w:rPr>
          <w:rFonts w:ascii="Arial"/>
          <w:color w:val="000000"/>
          <w:sz w:val="24"/>
        </w:rPr>
        <w:t xml:space="preserve">Whereas the </w:t>
      </w:r>
      <w:r>
        <w:rPr>
          <w:rFonts w:ascii="Arial"/>
          <w:color w:val="000000"/>
          <w:sz w:val="24"/>
        </w:rPr>
        <w:t xml:space="preserve">Council </w:t>
      </w:r>
      <w:r>
        <w:rPr>
          <w:rFonts w:ascii="Arial"/>
          <w:color w:val="000000"/>
          <w:sz w:val="24"/>
        </w:rPr>
        <w:t xml:space="preserve">contends </w:t>
      </w:r>
      <w:r>
        <w:rPr>
          <w:rFonts w:ascii="Arial"/>
          <w:color w:val="000000"/>
          <w:sz w:val="24"/>
        </w:rPr>
        <w:t>that the economic impacts of the loss of Aldi is not a relevant consideration because that loss is entirely avoidable</w:t>
      </w:r>
      <w:r>
        <w:rPr>
          <w:rFonts w:ascii="Arial"/>
          <w:color w:val="000000"/>
          <w:sz w:val="24"/>
        </w:rPr>
        <w:t xml:space="preserve"> </w:t>
      </w:r>
      <w:r>
        <w:rPr>
          <w:rFonts w:ascii="Arial"/>
          <w:color w:val="000000"/>
          <w:sz w:val="24"/>
        </w:rPr>
        <w:t>by a compliant development</w:t>
      </w:r>
      <w:r>
        <w:rPr>
          <w:rFonts w:ascii="Arial"/>
          <w:color w:val="000000"/>
          <w:sz w:val="24"/>
        </w:rPr>
        <w:t xml:space="preserve">. </w:t>
      </w:r>
      <w:r>
        <w:rPr>
          <w:rFonts w:ascii="Arial"/>
          <w:color w:val="000000"/>
          <w:sz w:val="24"/>
        </w:rPr>
        <w:t>And w</w:t>
      </w:r>
      <w:r>
        <w:rPr>
          <w:rFonts w:ascii="Arial"/>
          <w:color w:val="000000"/>
          <w:sz w:val="24"/>
        </w:rPr>
        <w:t xml:space="preserve">hile not conceded, it </w:t>
      </w:r>
      <w:r>
        <w:rPr>
          <w:rFonts w:ascii="Arial"/>
          <w:color w:val="000000"/>
          <w:sz w:val="24"/>
        </w:rPr>
        <w:t xml:space="preserve">ultimately submits any economic impact </w:t>
      </w:r>
      <w:r>
        <w:rPr>
          <w:rFonts w:ascii="Arial"/>
          <w:color w:val="000000"/>
          <w:sz w:val="24"/>
        </w:rPr>
        <w:t xml:space="preserve">would be a direct result of the proposed development the subject of the DA (as opposed to a proposed development on other land). </w:t>
      </w:r>
    </w:p>
    <w:p>
      <w:pPr>
        <w:pStyle w:val="CaselawNumbered10"/>
        <w:numPr>
          <w:ilvl w:val="0"/>
          <w:numId w:val="127"/>
        </w:numPr>
        <w:spacing w:before="150" w:after="0"/>
        <w:ind w:left="600" w:hanging="600"/>
      </w:pPr>
      <w:r>
        <w:rPr>
          <w:rFonts w:ascii="Arial"/>
          <w:color w:val="000000"/>
          <w:sz w:val="24"/>
        </w:rPr>
        <w:t xml:space="preserve">The </w:t>
      </w:r>
      <w:r>
        <w:rPr>
          <w:rFonts w:ascii="Arial"/>
          <w:color w:val="000000"/>
          <w:sz w:val="24"/>
        </w:rPr>
        <w:t xml:space="preserve"> </w:t>
      </w:r>
      <w:r>
        <w:rPr>
          <w:rFonts w:ascii="Arial"/>
          <w:color w:val="000000"/>
          <w:sz w:val="24"/>
        </w:rPr>
        <w:t xml:space="preserve">Council </w:t>
      </w:r>
      <w:r>
        <w:rPr>
          <w:rFonts w:ascii="Arial"/>
          <w:color w:val="000000"/>
          <w:sz w:val="24"/>
        </w:rPr>
        <w:t xml:space="preserve">also </w:t>
      </w:r>
      <w:r>
        <w:rPr>
          <w:rFonts w:ascii="Arial"/>
          <w:color w:val="000000"/>
          <w:sz w:val="24"/>
        </w:rPr>
        <w:t>submits that Henroth has control over whether Aldi is put in jeopardy. And, to the extent that it is put in jeopardy in Stages 1 and 2, it could be made good by the proposed development the subject of the DA in later stages</w:t>
      </w:r>
      <w:r>
        <w:rPr>
          <w:rFonts w:ascii="Arial"/>
          <w:color w:val="000000"/>
          <w:sz w:val="24"/>
        </w:rPr>
        <w:t>:</w:t>
      </w:r>
      <w:r>
        <w:rPr>
          <w:rFonts w:ascii="Arial"/>
          <w:color w:val="000000"/>
          <w:sz w:val="24"/>
        </w:rPr>
        <w:t xml:space="preserve"> </w:t>
      </w:r>
      <w:r>
        <w:rPr>
          <w:rFonts w:ascii="Arial"/>
          <w:i/>
          <w:color w:val="000000"/>
          <w:sz w:val="24"/>
        </w:rPr>
        <w:t>Kentucky Fried Chicken Pty Ltd v Gantidis</w:t>
      </w:r>
      <w:r>
        <w:rPr>
          <w:rFonts w:ascii="Arial"/>
          <w:color w:val="000000"/>
          <w:sz w:val="24"/>
        </w:rPr>
        <w:t xml:space="preserve"> </w:t>
      </w:r>
      <w:r>
        <w:rPr>
          <w:rFonts w:ascii="Arial"/>
          <w:color w:val="000000"/>
          <w:sz w:val="24"/>
        </w:rPr>
        <w:t xml:space="preserve">wherein the Court said </w:t>
      </w:r>
      <w:r>
        <w:rPr>
          <w:rFonts w:ascii="Arial"/>
          <w:color w:val="000000"/>
          <w:sz w:val="24"/>
        </w:rPr>
        <w:t>that</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“if the shopping facilities presently enjoyed by a community or planned for it in the future are put in jeopardy by some proposed development, whether that jeopardy be due to physical or financial causes, and if the resultant community detriment will not be made good by the proposed development itself, that appears to me to be a consideration proper to be taken into account as a matter of town planning”</w:t>
      </w:r>
      <w:r>
        <w:rPr>
          <w:rFonts w:ascii="Arial"/>
          <w:color w:val="000000"/>
          <w:sz w:val="22"/>
        </w:rPr>
        <w:t xml:space="preserve"> (at 687 per Stephen J, with Gibbs, Mason and Aikin JJ agreeing). </w:t>
      </w:r>
    </w:p>
    <w:p>
      <w:pPr>
        <w:pStyle w:val="CaselawNumbered10"/>
        <w:numPr>
          <w:ilvl w:val="0"/>
          <w:numId w:val="128"/>
        </w:numPr>
        <w:spacing w:before="150" w:after="0"/>
        <w:ind w:left="600" w:hanging="600"/>
      </w:pPr>
      <w:r>
        <w:rPr>
          <w:rFonts w:ascii="Arial"/>
          <w:color w:val="000000"/>
          <w:sz w:val="24"/>
        </w:rPr>
        <w:t>Ultimately, t</w:t>
      </w:r>
      <w:r>
        <w:rPr>
          <w:rFonts w:ascii="Arial"/>
          <w:color w:val="000000"/>
          <w:sz w:val="24"/>
        </w:rPr>
        <w:t xml:space="preserve">he Council contends that the economic issues raised in the Leyshon Report fall into the latter category </w:t>
      </w:r>
      <w:r>
        <w:rPr>
          <w:rFonts w:ascii="Arial"/>
          <w:color w:val="000000"/>
          <w:sz w:val="24"/>
        </w:rPr>
        <w:t xml:space="preserve">in </w:t>
      </w:r>
      <w:r>
        <w:rPr>
          <w:rFonts w:ascii="Arial"/>
          <w:i/>
          <w:color w:val="000000"/>
          <w:sz w:val="24"/>
        </w:rPr>
        <w:t>Randall Pty Ltd v Willoughby City Council</w:t>
      </w:r>
      <w:r>
        <w:rPr>
          <w:rFonts w:ascii="Arial"/>
          <w:color w:val="000000"/>
          <w:sz w:val="24"/>
        </w:rPr>
        <w:t xml:space="preserve"> </w:t>
      </w:r>
      <w:r>
        <w:rPr>
          <w:rFonts w:ascii="Arial"/>
          <w:color w:val="000000"/>
          <w:sz w:val="24"/>
        </w:rPr>
        <w:t xml:space="preserve">(2005) 144 LGERA 119; [2005] NSWCA 205 at [39]. </w:t>
      </w:r>
      <w:r>
        <w:rPr>
          <w:rFonts w:ascii="Arial"/>
          <w:color w:val="000000"/>
          <w:sz w:val="24"/>
        </w:rPr>
        <w:t xml:space="preserve">Therefore, when </w:t>
      </w:r>
      <w:r>
        <w:rPr>
          <w:rFonts w:ascii="Arial"/>
          <w:color w:val="000000"/>
          <w:sz w:val="24"/>
        </w:rPr>
        <w:t>considering the scope of s 4.15(1)(b) of the EPA Act</w:t>
      </w:r>
      <w:r>
        <w:rPr>
          <w:rFonts w:ascii="Arial"/>
          <w:color w:val="000000"/>
          <w:sz w:val="24"/>
        </w:rPr>
        <w:t xml:space="preserve"> </w:t>
      </w:r>
      <w:r>
        <w:rPr>
          <w:rFonts w:ascii="Arial"/>
          <w:color w:val="000000"/>
          <w:sz w:val="24"/>
        </w:rPr>
        <w:t xml:space="preserve">for that reason </w:t>
      </w:r>
      <w:r>
        <w:rPr>
          <w:rFonts w:ascii="Arial"/>
          <w:color w:val="000000"/>
          <w:sz w:val="24"/>
        </w:rPr>
        <w:t xml:space="preserve">is </w:t>
      </w:r>
      <w:r>
        <w:rPr>
          <w:rFonts w:ascii="Arial"/>
          <w:color w:val="000000"/>
          <w:sz w:val="24"/>
        </w:rPr>
        <w:t>not relevant to the determination of the DA.</w:t>
      </w:r>
    </w:p>
    <w:p>
      <w:pPr>
        <w:pStyle w:val="CaselawHeading3"/>
        <w:keepNext/>
        <w:spacing w:before="150" w:after="150" w:line="264"/>
        <w:ind w:left="0"/>
        <w:jc w:val="left"/>
      </w:pPr>
      <w:r>
        <w:rPr>
          <w:rFonts w:ascii="Arial"/>
        </w:rPr>
        <w:t xml:space="preserve">Finding </w:t>
      </w:r>
      <w:r>
        <w:rPr>
          <w:rFonts w:ascii="Arial"/>
        </w:rPr>
        <w:t xml:space="preserve">– </w:t>
      </w:r>
      <w:r>
        <w:rPr>
          <w:rFonts w:ascii="Arial"/>
        </w:rPr>
        <w:t>E</w:t>
      </w:r>
      <w:r>
        <w:rPr>
          <w:rFonts w:ascii="Arial"/>
        </w:rPr>
        <w:t>conomic</w:t>
      </w:r>
      <w:r>
        <w:rPr>
          <w:rFonts w:ascii="Arial"/>
        </w:rPr>
        <w:t xml:space="preserve"> </w:t>
      </w:r>
      <w:r>
        <w:rPr>
          <w:rFonts w:ascii="Arial"/>
        </w:rPr>
        <w:t>evidence is relevant</w:t>
      </w:r>
      <w:r>
        <w:rPr>
          <w:rFonts w:ascii="Arial"/>
        </w:rPr>
        <w:t xml:space="preserve"> </w:t>
      </w:r>
    </w:p>
    <w:p>
      <w:pPr>
        <w:pStyle w:val="CaselawNumbered10"/>
        <w:numPr>
          <w:ilvl w:val="0"/>
          <w:numId w:val="129"/>
        </w:numPr>
        <w:spacing w:before="150" w:after="0"/>
        <w:ind w:left="600" w:hanging="600"/>
      </w:pPr>
      <w:r>
        <w:rPr>
          <w:rFonts w:ascii="Arial"/>
          <w:color w:val="000000"/>
          <w:sz w:val="24"/>
        </w:rPr>
        <w:t>T</w:t>
      </w:r>
      <w:r>
        <w:rPr>
          <w:rFonts w:ascii="Arial"/>
          <w:color w:val="000000"/>
          <w:sz w:val="24"/>
        </w:rPr>
        <w:t>he relevance of th</w:t>
      </w:r>
      <w:r>
        <w:rPr>
          <w:rFonts w:ascii="Arial"/>
          <w:color w:val="000000"/>
          <w:sz w:val="24"/>
        </w:rPr>
        <w:t>e</w:t>
      </w:r>
      <w:r>
        <w:rPr>
          <w:rFonts w:ascii="Arial"/>
          <w:color w:val="000000"/>
          <w:sz w:val="24"/>
        </w:rPr>
        <w:t xml:space="preserve"> </w:t>
      </w:r>
      <w:r>
        <w:rPr>
          <w:rFonts w:ascii="Arial"/>
          <w:color w:val="000000"/>
          <w:sz w:val="24"/>
        </w:rPr>
        <w:t xml:space="preserve">economic </w:t>
      </w:r>
      <w:r>
        <w:rPr>
          <w:rFonts w:ascii="Arial"/>
          <w:color w:val="000000"/>
          <w:sz w:val="24"/>
        </w:rPr>
        <w:t xml:space="preserve">evidence </w:t>
      </w:r>
      <w:r>
        <w:rPr>
          <w:rFonts w:ascii="Arial"/>
          <w:color w:val="000000"/>
          <w:sz w:val="24"/>
        </w:rPr>
        <w:t>is made clear by Mr Ryan</w:t>
      </w:r>
      <w:r>
        <w:rPr>
          <w:rFonts w:ascii="Arial"/>
          <w:color w:val="000000"/>
          <w:sz w:val="24"/>
        </w:rPr>
        <w:t>’</w:t>
      </w:r>
      <w:r>
        <w:rPr>
          <w:rFonts w:ascii="Arial"/>
          <w:color w:val="000000"/>
          <w:sz w:val="24"/>
        </w:rPr>
        <w:t xml:space="preserve">s observation that the loss of the Aldi store, if the proposal were required to strictly comply with the DCP, would be contrary to cl 6.14 of LEP 2015. </w:t>
      </w:r>
    </w:p>
    <w:p>
      <w:pPr>
        <w:pStyle w:val="CaselawNumbered10"/>
        <w:numPr>
          <w:ilvl w:val="0"/>
          <w:numId w:val="129"/>
        </w:numPr>
        <w:spacing w:before="150" w:after="0"/>
        <w:ind w:left="600" w:hanging="600"/>
      </w:pPr>
      <w:r>
        <w:rPr>
          <w:rFonts w:ascii="Arial"/>
          <w:color w:val="000000"/>
          <w:sz w:val="24"/>
        </w:rPr>
        <w:t xml:space="preserve">That is, to the extent that cl 6.14(6) of </w:t>
      </w:r>
      <w:r>
        <w:rPr>
          <w:rFonts w:ascii="Arial"/>
          <w:color w:val="000000"/>
          <w:sz w:val="24"/>
        </w:rPr>
        <w:t>LEP 2015</w:t>
      </w:r>
      <w:r>
        <w:rPr>
          <w:rFonts w:ascii="Arial"/>
          <w:color w:val="000000"/>
          <w:sz w:val="24"/>
        </w:rPr>
        <w:t xml:space="preserve"> </w:t>
      </w:r>
      <w:r>
        <w:rPr>
          <w:rFonts w:ascii="Arial"/>
          <w:color w:val="000000"/>
          <w:sz w:val="24"/>
        </w:rPr>
        <w:t xml:space="preserve">directs the creation of and the result of the DCP, which sponsors effectively staged development </w:t>
      </w:r>
      <w:r>
        <w:rPr>
          <w:rFonts w:ascii="Arial"/>
          <w:color w:val="000000"/>
          <w:sz w:val="24"/>
        </w:rPr>
        <w:t>“</w:t>
      </w:r>
      <w:r>
        <w:rPr>
          <w:rFonts w:ascii="Arial"/>
          <w:color w:val="000000"/>
          <w:sz w:val="24"/>
        </w:rPr>
        <w:t xml:space="preserve">To ensure a viable ongoing operation of the </w:t>
      </w:r>
      <w:r>
        <w:rPr>
          <w:rFonts w:ascii="Arial"/>
          <w:b/>
          <w:color w:val="000000"/>
          <w:sz w:val="24"/>
        </w:rPr>
        <w:t>existing</w:t>
      </w:r>
      <w:r>
        <w:rPr>
          <w:rFonts w:ascii="Arial"/>
          <w:color w:val="000000"/>
          <w:sz w:val="24"/>
        </w:rPr>
        <w:t xml:space="preserve"> </w:t>
      </w:r>
      <w:r>
        <w:rPr>
          <w:rFonts w:ascii="Arial"/>
          <w:color w:val="000000"/>
          <w:sz w:val="24"/>
        </w:rPr>
        <w:t>shopping centre</w:t>
      </w:r>
      <w:r>
        <w:rPr>
          <w:rFonts w:ascii="Arial"/>
          <w:color w:val="000000"/>
          <w:sz w:val="24"/>
        </w:rPr>
        <w:t xml:space="preserve">” </w:t>
      </w:r>
      <w:r>
        <w:rPr>
          <w:rFonts w:ascii="Arial"/>
          <w:color w:val="000000"/>
          <w:sz w:val="24"/>
        </w:rPr>
        <w:t>(DCP</w:t>
      </w:r>
      <w:r>
        <w:rPr>
          <w:rFonts w:ascii="Arial"/>
          <w:color w:val="000000"/>
          <w:sz w:val="24"/>
        </w:rPr>
        <w:t>,</w:t>
      </w:r>
      <w:r>
        <w:rPr>
          <w:rFonts w:ascii="Arial"/>
          <w:color w:val="000000"/>
          <w:sz w:val="24"/>
        </w:rPr>
        <w:t xml:space="preserve"> </w:t>
      </w:r>
      <w:r>
        <w:rPr>
          <w:rFonts w:ascii="Arial"/>
          <w:color w:val="000000"/>
          <w:sz w:val="24"/>
        </w:rPr>
        <w:t xml:space="preserve">p 6), and heralds at p 5 </w:t>
      </w:r>
      <w:r>
        <w:rPr>
          <w:rFonts w:ascii="Arial"/>
          <w:color w:val="000000"/>
          <w:sz w:val="24"/>
        </w:rPr>
        <w:t>“</w:t>
      </w:r>
      <w:r>
        <w:rPr>
          <w:rFonts w:ascii="Arial"/>
          <w:color w:val="000000"/>
          <w:sz w:val="24"/>
        </w:rPr>
        <w:t xml:space="preserve">Retaining the </w:t>
      </w:r>
      <w:r>
        <w:rPr>
          <w:rFonts w:ascii="Arial"/>
          <w:b/>
          <w:color w:val="000000"/>
          <w:sz w:val="24"/>
        </w:rPr>
        <w:t>existing commercial floor space</w:t>
      </w:r>
      <w:r>
        <w:rPr>
          <w:rFonts w:ascii="Arial"/>
          <w:color w:val="000000"/>
          <w:sz w:val="24"/>
        </w:rPr>
        <w:t xml:space="preserve"> </w:t>
      </w:r>
      <w:r>
        <w:rPr>
          <w:rFonts w:ascii="Arial"/>
          <w:color w:val="000000"/>
          <w:sz w:val="24"/>
        </w:rPr>
        <w:t>in the future redevelopment of the Chullora Marketplace as</w:t>
      </w:r>
      <w:r>
        <w:rPr>
          <w:rFonts w:ascii="Arial"/>
          <w:b/>
          <w:color w:val="000000"/>
          <w:sz w:val="24"/>
        </w:rPr>
        <w:t xml:space="preserve"> important</w:t>
      </w:r>
      <w:r>
        <w:rPr>
          <w:rFonts w:ascii="Arial"/>
          <w:color w:val="000000"/>
          <w:sz w:val="24"/>
        </w:rPr>
        <w:t>”</w:t>
      </w:r>
      <w:r>
        <w:rPr>
          <w:rFonts w:ascii="Arial"/>
          <w:color w:val="000000"/>
          <w:sz w:val="24"/>
        </w:rPr>
        <w:t xml:space="preserve">, </w:t>
      </w:r>
      <w:r>
        <w:rPr>
          <w:rFonts w:ascii="Arial"/>
          <w:color w:val="000000"/>
          <w:sz w:val="24"/>
        </w:rPr>
        <w:t xml:space="preserve">suggests </w:t>
      </w:r>
      <w:r>
        <w:rPr>
          <w:rFonts w:ascii="Arial"/>
          <w:color w:val="000000"/>
          <w:sz w:val="24"/>
        </w:rPr>
        <w:t>that the economic evidence is entirely appropriate</w:t>
      </w:r>
      <w:r>
        <w:rPr>
          <w:rFonts w:ascii="Arial"/>
          <w:color w:val="000000"/>
          <w:sz w:val="24"/>
        </w:rPr>
        <w:t>. A</w:t>
      </w:r>
      <w:r>
        <w:rPr>
          <w:rFonts w:ascii="Arial"/>
          <w:color w:val="000000"/>
          <w:sz w:val="24"/>
        </w:rPr>
        <w:t xml:space="preserve">s the maintenance of the </w:t>
      </w:r>
      <w:r>
        <w:rPr>
          <w:rFonts w:ascii="Arial"/>
          <w:color w:val="000000"/>
          <w:sz w:val="24"/>
        </w:rPr>
        <w:t xml:space="preserve"> </w:t>
      </w:r>
      <w:r>
        <w:rPr>
          <w:rFonts w:ascii="Arial"/>
          <w:color w:val="000000"/>
          <w:sz w:val="24"/>
        </w:rPr>
        <w:t>shopping c</w:t>
      </w:r>
      <w:r>
        <w:rPr>
          <w:rFonts w:ascii="Arial"/>
          <w:color w:val="000000"/>
          <w:sz w:val="24"/>
        </w:rPr>
        <w:t xml:space="preserve">entre, clearly </w:t>
      </w:r>
      <w:r>
        <w:rPr>
          <w:rFonts w:ascii="Arial"/>
          <w:color w:val="000000"/>
          <w:sz w:val="24"/>
        </w:rPr>
        <w:t xml:space="preserve">dovetails with the economic evidence. </w:t>
      </w:r>
      <w:r>
        <w:rPr>
          <w:rFonts w:ascii="Arial"/>
          <w:color w:val="000000"/>
          <w:sz w:val="24"/>
        </w:rPr>
        <w:t>Moreover, t</w:t>
      </w:r>
      <w:r>
        <w:rPr>
          <w:rFonts w:ascii="Arial"/>
          <w:color w:val="000000"/>
          <w:sz w:val="24"/>
        </w:rPr>
        <w:t>he retention of Aldi demonstrates the consistency of the proposal with the DCP.</w:t>
      </w:r>
    </w:p>
    <w:p>
      <w:pPr>
        <w:pStyle w:val="CaselawNumbered10"/>
        <w:numPr>
          <w:ilvl w:val="0"/>
          <w:numId w:val="129"/>
        </w:numPr>
        <w:spacing w:before="150" w:after="0"/>
        <w:ind w:left="600" w:hanging="600"/>
      </w:pPr>
      <w:r>
        <w:rPr>
          <w:rFonts w:ascii="Arial"/>
          <w:color w:val="000000"/>
          <w:sz w:val="24"/>
        </w:rPr>
        <w:t xml:space="preserve">Mr Haratsis' position, as expressed in Ex 12 par 37 is, effectively, that the Aldi can go and come back later but this does not make a lot of economic sense. It certainly does not make a lot of sense in terms of the </w:t>
      </w:r>
      <w:r>
        <w:rPr>
          <w:rFonts w:ascii="Arial"/>
          <w:color w:val="000000"/>
          <w:sz w:val="24"/>
        </w:rPr>
        <w:t>“</w:t>
      </w:r>
      <w:r>
        <w:rPr>
          <w:rFonts w:ascii="Arial"/>
          <w:color w:val="000000"/>
          <w:sz w:val="24"/>
        </w:rPr>
        <w:t>offer</w:t>
      </w:r>
      <w:r>
        <w:rPr>
          <w:rFonts w:ascii="Arial"/>
          <w:color w:val="000000"/>
          <w:sz w:val="24"/>
        </w:rPr>
        <w:t xml:space="preserve">” </w:t>
      </w:r>
      <w:r>
        <w:rPr>
          <w:rFonts w:ascii="Arial"/>
          <w:color w:val="000000"/>
          <w:sz w:val="24"/>
        </w:rPr>
        <w:t xml:space="preserve">to persons that are there, but, quite aside from that, it is </w:t>
      </w:r>
      <w:r>
        <w:rPr>
          <w:rFonts w:ascii="Arial"/>
          <w:color w:val="000000"/>
          <w:sz w:val="24"/>
        </w:rPr>
        <w:t xml:space="preserve">in my assessment </w:t>
      </w:r>
      <w:r>
        <w:rPr>
          <w:rFonts w:ascii="Arial"/>
          <w:color w:val="000000"/>
          <w:sz w:val="24"/>
        </w:rPr>
        <w:t>inconsistent with the sentiment that is expressed in the DCP</w:t>
      </w:r>
      <w:r>
        <w:rPr>
          <w:rFonts w:ascii="Arial"/>
          <w:color w:val="000000"/>
          <w:sz w:val="24"/>
        </w:rPr>
        <w:t>. As Mr Smith</w:t>
      </w:r>
      <w:r>
        <w:rPr>
          <w:rFonts w:ascii="Arial"/>
          <w:color w:val="000000"/>
          <w:sz w:val="24"/>
        </w:rPr>
        <w:t>,</w:t>
      </w:r>
      <w:r>
        <w:rPr>
          <w:rFonts w:ascii="Arial"/>
          <w:color w:val="000000"/>
          <w:sz w:val="24"/>
        </w:rPr>
        <w:t xml:space="preserve"> </w:t>
      </w:r>
      <w:r>
        <w:rPr>
          <w:rFonts w:ascii="Arial"/>
          <w:color w:val="000000"/>
          <w:sz w:val="24"/>
        </w:rPr>
        <w:t>the Council</w:t>
      </w:r>
      <w:r>
        <w:rPr>
          <w:rFonts w:ascii="Arial"/>
          <w:color w:val="000000"/>
          <w:sz w:val="24"/>
        </w:rPr>
        <w:t>’</w:t>
      </w:r>
      <w:r>
        <w:rPr>
          <w:rFonts w:ascii="Arial"/>
          <w:color w:val="000000"/>
          <w:sz w:val="24"/>
        </w:rPr>
        <w:t>s expert</w:t>
      </w:r>
      <w:r>
        <w:rPr>
          <w:rFonts w:ascii="Arial"/>
          <w:color w:val="000000"/>
          <w:sz w:val="24"/>
        </w:rPr>
        <w:t>,</w:t>
      </w:r>
      <w:r>
        <w:rPr>
          <w:rFonts w:ascii="Arial"/>
          <w:color w:val="000000"/>
          <w:sz w:val="24"/>
        </w:rPr>
        <w:t xml:space="preserve"> </w:t>
      </w:r>
      <w:r>
        <w:rPr>
          <w:rFonts w:ascii="Arial"/>
          <w:color w:val="000000"/>
          <w:sz w:val="24"/>
        </w:rPr>
        <w:t xml:space="preserve">acknowledged in his design evidence </w:t>
      </w:r>
      <w:r>
        <w:rPr>
          <w:rFonts w:ascii="Arial"/>
          <w:color w:val="000000"/>
          <w:sz w:val="24"/>
        </w:rPr>
        <w:t xml:space="preserve">– </w:t>
      </w:r>
      <w:r>
        <w:rPr>
          <w:rFonts w:ascii="Arial"/>
          <w:color w:val="000000"/>
          <w:sz w:val="24"/>
        </w:rPr>
        <w:t>Henroth, or any developer of this site, is faced with commercial constraints to develop</w:t>
      </w:r>
      <w:r>
        <w:rPr>
          <w:rFonts w:ascii="Arial"/>
          <w:color w:val="000000"/>
          <w:sz w:val="24"/>
        </w:rPr>
        <w:t xml:space="preserve"> </w:t>
      </w:r>
      <w:r>
        <w:rPr>
          <w:rFonts w:ascii="Arial"/>
          <w:color w:val="000000"/>
          <w:sz w:val="24"/>
        </w:rPr>
        <w:t xml:space="preserve">the site using complex staging in order to retain existing tenants operational and reduce impacts on the existing car parking during construction. </w:t>
      </w:r>
    </w:p>
    <w:p>
      <w:pPr>
        <w:pStyle w:val="CaselawNumbered10"/>
        <w:numPr>
          <w:ilvl w:val="0"/>
          <w:numId w:val="129"/>
        </w:numPr>
        <w:spacing w:before="150" w:after="0"/>
        <w:ind w:left="600" w:hanging="600"/>
      </w:pPr>
      <w:r>
        <w:rPr>
          <w:rFonts w:ascii="Arial"/>
          <w:color w:val="000000"/>
          <w:sz w:val="24"/>
        </w:rPr>
        <w:t>To my thinking, t</w:t>
      </w:r>
      <w:r>
        <w:rPr>
          <w:rFonts w:ascii="Arial"/>
          <w:color w:val="000000"/>
          <w:sz w:val="24"/>
        </w:rPr>
        <w:t>hat is exactly what the DCP prioriti</w:t>
      </w:r>
      <w:r>
        <w:rPr>
          <w:rFonts w:ascii="Arial"/>
          <w:color w:val="000000"/>
          <w:sz w:val="24"/>
        </w:rPr>
        <w:t>s</w:t>
      </w:r>
      <w:r>
        <w:rPr>
          <w:rFonts w:ascii="Arial"/>
          <w:color w:val="000000"/>
          <w:sz w:val="24"/>
        </w:rPr>
        <w:t xml:space="preserve">es in its stated key </w:t>
      </w:r>
      <w:r>
        <w:rPr>
          <w:rFonts w:ascii="Arial"/>
          <w:color w:val="000000"/>
          <w:sz w:val="24"/>
        </w:rPr>
        <w:t xml:space="preserve">design </w:t>
      </w:r>
      <w:r>
        <w:rPr>
          <w:rFonts w:ascii="Arial"/>
          <w:color w:val="000000"/>
          <w:sz w:val="24"/>
        </w:rPr>
        <w:t>principles</w:t>
      </w:r>
      <w:r>
        <w:rPr>
          <w:rFonts w:ascii="Arial"/>
          <w:color w:val="000000"/>
          <w:sz w:val="24"/>
        </w:rPr>
        <w:t>, Staged development section of the DCP and the desired character for the Chullora Local Centre</w:t>
      </w:r>
      <w:r>
        <w:rPr>
          <w:rFonts w:ascii="Arial"/>
          <w:color w:val="000000"/>
          <w:sz w:val="24"/>
        </w:rPr>
        <w:t xml:space="preserve">. </w:t>
      </w:r>
      <w:r>
        <w:rPr>
          <w:rFonts w:ascii="Arial"/>
          <w:color w:val="000000"/>
          <w:sz w:val="24"/>
        </w:rPr>
        <w:t>T</w:t>
      </w:r>
      <w:r>
        <w:rPr>
          <w:rFonts w:ascii="Arial"/>
          <w:color w:val="000000"/>
          <w:sz w:val="24"/>
        </w:rPr>
        <w:t xml:space="preserve">here can be no criticism of </w:t>
      </w:r>
      <w:r>
        <w:rPr>
          <w:rFonts w:ascii="Arial"/>
          <w:color w:val="000000"/>
          <w:sz w:val="24"/>
        </w:rPr>
        <w:t>Henroth</w:t>
      </w:r>
      <w:r>
        <w:rPr>
          <w:rFonts w:ascii="Arial"/>
          <w:color w:val="000000"/>
          <w:sz w:val="24"/>
        </w:rPr>
        <w:t>’</w:t>
      </w:r>
      <w:r>
        <w:rPr>
          <w:rFonts w:ascii="Arial"/>
          <w:color w:val="000000"/>
          <w:sz w:val="24"/>
        </w:rPr>
        <w:t>s decision to accommodate and prioriti</w:t>
      </w:r>
      <w:r>
        <w:rPr>
          <w:rFonts w:ascii="Arial"/>
          <w:color w:val="000000"/>
          <w:sz w:val="24"/>
        </w:rPr>
        <w:t>se</w:t>
      </w:r>
      <w:r>
        <w:rPr>
          <w:rFonts w:ascii="Arial"/>
          <w:color w:val="000000"/>
          <w:sz w:val="24"/>
        </w:rPr>
        <w:t xml:space="preserve"> </w:t>
      </w:r>
      <w:r>
        <w:rPr>
          <w:rFonts w:ascii="Arial"/>
          <w:color w:val="000000"/>
          <w:sz w:val="24"/>
        </w:rPr>
        <w:t>that key DCP outcome by electing to start the works in the southeast corner and still offer a concept development that achieves primary access from Waterloo Road, facilitate</w:t>
      </w:r>
      <w:r>
        <w:rPr>
          <w:rFonts w:ascii="Arial"/>
          <w:color w:val="000000"/>
          <w:sz w:val="24"/>
        </w:rPr>
        <w:t>s</w:t>
      </w:r>
      <w:r>
        <w:rPr>
          <w:rFonts w:ascii="Arial"/>
          <w:color w:val="000000"/>
          <w:sz w:val="24"/>
        </w:rPr>
        <w:t xml:space="preserve"> </w:t>
      </w:r>
      <w:r>
        <w:rPr>
          <w:rFonts w:ascii="Arial"/>
          <w:color w:val="000000"/>
          <w:sz w:val="24"/>
        </w:rPr>
        <w:t>better access to retail and a childcare centre, Civic plaza and complies with required setbacks where necessarily, and offers a design that has had the DCP key design principles and ISP as i</w:t>
      </w:r>
      <w:r>
        <w:rPr>
          <w:rFonts w:ascii="Arial"/>
          <w:color w:val="000000"/>
          <w:sz w:val="24"/>
        </w:rPr>
        <w:t>t</w:t>
      </w:r>
      <w:r>
        <w:rPr>
          <w:rFonts w:ascii="Arial"/>
          <w:color w:val="000000"/>
          <w:sz w:val="24"/>
        </w:rPr>
        <w:t xml:space="preserve">s focus. </w:t>
      </w:r>
    </w:p>
    <w:p>
      <w:pPr>
        <w:pStyle w:val="CaselawNumbered10"/>
        <w:numPr>
          <w:ilvl w:val="0"/>
          <w:numId w:val="129"/>
        </w:numPr>
        <w:spacing w:before="150" w:after="0"/>
        <w:ind w:left="600" w:hanging="600"/>
      </w:pPr>
      <w:r>
        <w:rPr>
          <w:rFonts w:ascii="Arial"/>
          <w:color w:val="000000"/>
          <w:sz w:val="24"/>
        </w:rPr>
        <w:t>For th</w:t>
      </w:r>
      <w:r>
        <w:rPr>
          <w:rFonts w:ascii="Arial"/>
          <w:color w:val="000000"/>
          <w:sz w:val="24"/>
        </w:rPr>
        <w:t>e</w:t>
      </w:r>
      <w:r>
        <w:rPr>
          <w:rFonts w:ascii="Arial"/>
          <w:color w:val="000000"/>
          <w:sz w:val="24"/>
        </w:rPr>
        <w:t>se reasons</w:t>
      </w:r>
      <w:r>
        <w:rPr>
          <w:rFonts w:ascii="Arial"/>
          <w:color w:val="000000"/>
          <w:sz w:val="24"/>
        </w:rPr>
        <w:t>,</w:t>
      </w:r>
      <w:r>
        <w:rPr>
          <w:rFonts w:ascii="Arial"/>
          <w:color w:val="000000"/>
          <w:sz w:val="24"/>
        </w:rPr>
        <w:t xml:space="preserve"> </w:t>
      </w:r>
      <w:r>
        <w:rPr>
          <w:rFonts w:ascii="Arial"/>
          <w:color w:val="000000"/>
          <w:sz w:val="24"/>
        </w:rPr>
        <w:t xml:space="preserve">I </w:t>
      </w:r>
      <w:r>
        <w:rPr>
          <w:rFonts w:ascii="Arial"/>
          <w:color w:val="000000"/>
          <w:sz w:val="24"/>
        </w:rPr>
        <w:t xml:space="preserve">accept that </w:t>
      </w:r>
      <w:r>
        <w:rPr>
          <w:rFonts w:ascii="Arial"/>
          <w:color w:val="000000"/>
          <w:sz w:val="24"/>
        </w:rPr>
        <w:t xml:space="preserve">the </w:t>
      </w:r>
      <w:r>
        <w:rPr>
          <w:rFonts w:ascii="Arial"/>
          <w:color w:val="000000"/>
          <w:sz w:val="24"/>
        </w:rPr>
        <w:t xml:space="preserve">need to </w:t>
      </w:r>
      <w:r>
        <w:rPr>
          <w:rFonts w:ascii="Arial"/>
          <w:color w:val="000000"/>
          <w:sz w:val="24"/>
        </w:rPr>
        <w:t xml:space="preserve">design the proposal to accommodate Aldi in the early stage of the development is </w:t>
      </w:r>
      <w:r>
        <w:rPr>
          <w:rFonts w:ascii="Arial"/>
          <w:color w:val="000000"/>
          <w:sz w:val="24"/>
        </w:rPr>
        <w:t>a relevant consideration under s</w:t>
      </w:r>
      <w:r>
        <w:rPr>
          <w:rFonts w:ascii="Arial"/>
          <w:color w:val="000000"/>
          <w:sz w:val="24"/>
        </w:rPr>
        <w:t xml:space="preserve"> </w:t>
      </w:r>
      <w:r>
        <w:rPr>
          <w:rFonts w:ascii="Arial"/>
          <w:color w:val="000000"/>
          <w:sz w:val="24"/>
        </w:rPr>
        <w:t>4.15(1)(b)</w:t>
      </w:r>
      <w:r>
        <w:rPr>
          <w:rFonts w:ascii="Arial"/>
          <w:color w:val="000000"/>
          <w:sz w:val="24"/>
        </w:rPr>
        <w:t xml:space="preserve"> </w:t>
      </w:r>
      <w:r>
        <w:rPr>
          <w:rFonts w:ascii="Arial"/>
          <w:color w:val="000000"/>
          <w:sz w:val="24"/>
        </w:rPr>
        <w:t>of the EPA Act</w:t>
      </w:r>
      <w:r>
        <w:rPr>
          <w:rFonts w:ascii="Arial"/>
          <w:color w:val="000000"/>
          <w:sz w:val="24"/>
        </w:rPr>
        <w:t xml:space="preserve">. </w:t>
      </w:r>
    </w:p>
    <w:p>
      <w:pPr>
        <w:pStyle w:val="CaselawHeading2"/>
        <w:keepNext/>
        <w:spacing w:before="150" w:after="150" w:line="264"/>
        <w:ind w:left="0"/>
        <w:jc w:val="left"/>
      </w:pPr>
      <w:r>
        <w:rPr>
          <w:rFonts w:ascii="Arial"/>
        </w:rPr>
        <w:t xml:space="preserve">Contention 13 - Likely </w:t>
      </w:r>
      <w:r>
        <w:rPr>
          <w:rFonts w:ascii="Arial"/>
        </w:rPr>
        <w:t>i</w:t>
      </w:r>
      <w:r>
        <w:rPr>
          <w:rFonts w:ascii="Arial"/>
        </w:rPr>
        <w:t xml:space="preserve">mpacts of the </w:t>
      </w:r>
      <w:r>
        <w:rPr>
          <w:rFonts w:ascii="Arial"/>
        </w:rPr>
        <w:t>d</w:t>
      </w:r>
      <w:r>
        <w:rPr>
          <w:rFonts w:ascii="Arial"/>
        </w:rPr>
        <w:t>evelopment</w:t>
      </w:r>
    </w:p>
    <w:p>
      <w:pPr>
        <w:pStyle w:val="CaselawNumbered10"/>
        <w:numPr>
          <w:ilvl w:val="0"/>
          <w:numId w:val="130"/>
        </w:numPr>
        <w:spacing w:before="150" w:after="0"/>
        <w:ind w:left="600" w:hanging="600"/>
      </w:pPr>
      <w:r>
        <w:rPr>
          <w:rFonts w:ascii="Arial"/>
          <w:color w:val="000000"/>
          <w:sz w:val="24"/>
        </w:rPr>
        <w:t xml:space="preserve">This </w:t>
      </w:r>
      <w:r>
        <w:rPr>
          <w:rFonts w:ascii="Arial"/>
          <w:color w:val="000000"/>
          <w:sz w:val="24"/>
        </w:rPr>
        <w:t>c</w:t>
      </w:r>
      <w:r>
        <w:rPr>
          <w:rFonts w:ascii="Arial"/>
          <w:color w:val="000000"/>
          <w:sz w:val="24"/>
        </w:rPr>
        <w:t xml:space="preserve">ontention is considered with </w:t>
      </w:r>
      <w:r>
        <w:rPr>
          <w:rFonts w:ascii="Arial"/>
          <w:color w:val="000000"/>
          <w:sz w:val="24"/>
        </w:rPr>
        <w:t>c</w:t>
      </w:r>
      <w:r>
        <w:rPr>
          <w:rFonts w:ascii="Arial"/>
          <w:color w:val="000000"/>
          <w:sz w:val="24"/>
        </w:rPr>
        <w:t>ontention 16.</w:t>
      </w:r>
    </w:p>
    <w:p>
      <w:pPr>
        <w:pStyle w:val="CaselawHeading2"/>
        <w:keepNext/>
        <w:spacing w:before="150" w:after="150" w:line="264"/>
        <w:ind w:left="0"/>
        <w:jc w:val="left"/>
      </w:pPr>
      <w:r>
        <w:rPr>
          <w:rFonts w:ascii="Arial"/>
        </w:rPr>
        <w:t>Contention 16</w:t>
      </w:r>
      <w:r>
        <w:rPr>
          <w:rFonts w:ascii="Arial"/>
        </w:rPr>
        <w:t xml:space="preserve"> </w:t>
      </w:r>
      <w:r>
        <w:rPr>
          <w:rFonts w:ascii="Arial"/>
        </w:rPr>
        <w:t xml:space="preserve">- </w:t>
      </w:r>
      <w:r>
        <w:rPr>
          <w:rFonts w:ascii="Arial"/>
        </w:rPr>
        <w:t xml:space="preserve">Non-compliance with </w:t>
      </w:r>
      <w:r>
        <w:rPr>
          <w:rFonts w:ascii="Arial"/>
        </w:rPr>
        <w:t>the</w:t>
      </w:r>
      <w:r>
        <w:rPr>
          <w:rFonts w:ascii="Arial"/>
        </w:rPr>
        <w:t xml:space="preserve"> </w:t>
      </w:r>
      <w:r>
        <w:rPr>
          <w:rFonts w:ascii="Arial"/>
        </w:rPr>
        <w:t>DCP</w:t>
      </w:r>
      <w:r>
        <w:rPr>
          <w:rFonts w:ascii="Arial"/>
        </w:rPr>
        <w:t xml:space="preserve"> </w:t>
      </w:r>
    </w:p>
    <w:p>
      <w:pPr>
        <w:pStyle w:val="CaselawHeading3"/>
        <w:keepNext/>
        <w:spacing w:before="150" w:after="150" w:line="264"/>
        <w:ind w:left="0"/>
        <w:jc w:val="left"/>
      </w:pPr>
      <w:r>
        <w:rPr>
          <w:rFonts w:ascii="Arial"/>
        </w:rPr>
        <w:t>C</w:t>
      </w:r>
      <w:r>
        <w:rPr>
          <w:rFonts w:ascii="Arial"/>
        </w:rPr>
        <w:t>ouncil</w:t>
      </w:r>
      <w:r>
        <w:rPr>
          <w:rFonts w:ascii="Arial"/>
        </w:rPr>
        <w:t>’</w:t>
      </w:r>
      <w:r>
        <w:rPr>
          <w:rFonts w:ascii="Arial"/>
        </w:rPr>
        <w:t>s position</w:t>
      </w:r>
      <w:r>
        <w:rPr>
          <w:rFonts w:ascii="Arial"/>
        </w:rPr>
        <w:t xml:space="preserve"> </w:t>
      </w:r>
    </w:p>
    <w:p>
      <w:pPr>
        <w:pStyle w:val="CaselawNumbered10"/>
        <w:numPr>
          <w:ilvl w:val="0"/>
          <w:numId w:val="131"/>
        </w:numPr>
        <w:spacing w:before="150" w:after="0"/>
        <w:ind w:left="600" w:hanging="600"/>
      </w:pPr>
      <w:r>
        <w:rPr>
          <w:rFonts w:ascii="Arial"/>
          <w:color w:val="000000"/>
          <w:sz w:val="24"/>
        </w:rPr>
        <w:t xml:space="preserve">The </w:t>
      </w:r>
      <w:r>
        <w:rPr>
          <w:rFonts w:ascii="Arial"/>
          <w:color w:val="000000"/>
          <w:sz w:val="24"/>
        </w:rPr>
        <w:t xml:space="preserve">Council contends that the </w:t>
      </w:r>
      <w:r>
        <w:rPr>
          <w:rFonts w:ascii="Arial"/>
          <w:color w:val="000000"/>
          <w:sz w:val="24"/>
        </w:rPr>
        <w:t>DA should be refused as it fails to comply with the requirements of Chapter 11.10 of the DCP. Chapter 11.10 is a site-specific development control plan that applies to 353-355 Waterloo Road (but not to 87 Norfolk Road).</w:t>
      </w:r>
    </w:p>
    <w:p>
      <w:pPr>
        <w:pStyle w:val="CaselawNumbered10"/>
        <w:numPr>
          <w:ilvl w:val="0"/>
          <w:numId w:val="131"/>
        </w:numPr>
        <w:spacing w:before="150" w:after="0"/>
        <w:ind w:left="600" w:hanging="600"/>
      </w:pPr>
      <w:r>
        <w:rPr>
          <w:rFonts w:ascii="Arial"/>
          <w:color w:val="000000"/>
          <w:sz w:val="24"/>
        </w:rPr>
        <w:t xml:space="preserve">It </w:t>
      </w:r>
      <w:r>
        <w:rPr>
          <w:rFonts w:ascii="Arial"/>
          <w:color w:val="000000"/>
          <w:sz w:val="24"/>
        </w:rPr>
        <w:t xml:space="preserve">submits that the relevant provisions of the DCP must be approached in accordance with the following principles. </w:t>
      </w:r>
    </w:p>
    <w:p>
      <w:pPr>
        <w:pStyle w:val="CaselawQuote"/>
        <w:spacing w:before="150" w:after="150"/>
        <w:ind w:left="1350"/>
        <w:jc w:val="left"/>
      </w:pPr>
      <w:r>
        <w:rPr>
          <w:rFonts w:ascii="Arial"/>
          <w:color w:val="000000"/>
          <w:sz w:val="22"/>
        </w:rPr>
        <w:t>“T</w:t>
      </w:r>
      <w:r>
        <w:rPr>
          <w:rFonts w:ascii="Arial"/>
          <w:color w:val="000000"/>
          <w:sz w:val="22"/>
        </w:rPr>
        <w:t xml:space="preserve">he provisions of a development control plan need to be taken into consideration, in determining a development application, as a </w:t>
      </w:r>
      <w:r>
        <w:rPr>
          <w:rFonts w:ascii="Arial"/>
          <w:color w:val="000000"/>
          <w:sz w:val="22"/>
        </w:rPr>
        <w:t>‘fundamental element’</w:t>
      </w:r>
      <w:r>
        <w:rPr>
          <w:rFonts w:ascii="Arial"/>
          <w:color w:val="000000"/>
          <w:sz w:val="22"/>
        </w:rPr>
        <w:t xml:space="preserve"> in or a </w:t>
      </w:r>
      <w:r>
        <w:rPr>
          <w:rFonts w:ascii="Arial"/>
          <w:color w:val="000000"/>
          <w:sz w:val="22"/>
        </w:rPr>
        <w:t>‘focal point’</w:t>
      </w:r>
      <w:r>
        <w:rPr>
          <w:rFonts w:ascii="Arial"/>
          <w:color w:val="000000"/>
          <w:sz w:val="22"/>
        </w:rPr>
        <w:t xml:space="preserve"> of the decision-making process: </w:t>
      </w:r>
      <w:r>
        <w:rPr>
          <w:rFonts w:ascii="Arial"/>
          <w:i/>
          <w:color w:val="000000"/>
          <w:sz w:val="22"/>
        </w:rPr>
        <w:t>Zhang v Canterbury City Council</w:t>
      </w:r>
      <w:r>
        <w:rPr>
          <w:rFonts w:ascii="Arial"/>
          <w:color w:val="000000"/>
          <w:sz w:val="22"/>
        </w:rPr>
        <w:t xml:space="preserve"> (2001) 115 LGERA 373; [2001] NSWCA 167 (</w:t>
      </w:r>
      <w:r>
        <w:rPr>
          <w:rFonts w:ascii="Arial"/>
          <w:i/>
          <w:color w:val="000000"/>
          <w:sz w:val="22"/>
        </w:rPr>
        <w:t>Zhang</w:t>
      </w:r>
      <w:r>
        <w:rPr>
          <w:rFonts w:ascii="Arial"/>
          <w:color w:val="000000"/>
          <w:sz w:val="22"/>
        </w:rPr>
        <w:t xml:space="preserve">) at [75] and [771 per Spigelman CJ (with Meagher and Beazley JJA agreeing); </w:t>
      </w:r>
      <w:r>
        <w:rPr>
          <w:rFonts w:ascii="Arial"/>
          <w:i/>
          <w:color w:val="000000"/>
          <w:sz w:val="22"/>
        </w:rPr>
        <w:t>Tomasic v Port Stephens Council</w:t>
      </w:r>
      <w:r>
        <w:rPr>
          <w:rFonts w:ascii="Arial"/>
          <w:color w:val="000000"/>
          <w:sz w:val="22"/>
        </w:rPr>
        <w:t xml:space="preserve"> [2021] NSWLEC 56 (</w:t>
      </w:r>
      <w:r>
        <w:rPr>
          <w:rFonts w:ascii="Arial"/>
          <w:i/>
          <w:color w:val="000000"/>
          <w:sz w:val="22"/>
        </w:rPr>
        <w:t>Tomasic</w:t>
      </w:r>
      <w:r>
        <w:rPr>
          <w:rFonts w:ascii="Arial"/>
          <w:color w:val="000000"/>
          <w:sz w:val="22"/>
        </w:rPr>
        <w:t xml:space="preserve">) at [34] per Preston CJ. A provision of a development control plan that is </w:t>
      </w:r>
      <w:r>
        <w:rPr>
          <w:rFonts w:ascii="Arial"/>
          <w:color w:val="000000"/>
          <w:sz w:val="22"/>
        </w:rPr>
        <w:t>‘directly pertinent’</w:t>
      </w:r>
      <w:r>
        <w:rPr>
          <w:rFonts w:ascii="Arial"/>
          <w:color w:val="000000"/>
          <w:sz w:val="22"/>
        </w:rPr>
        <w:t xml:space="preserve"> to the development and the development application is entitled to </w:t>
      </w:r>
      <w:r>
        <w:rPr>
          <w:rFonts w:ascii="Arial"/>
          <w:color w:val="000000"/>
          <w:sz w:val="22"/>
        </w:rPr>
        <w:t>‘significant weight’</w:t>
      </w:r>
      <w:r>
        <w:rPr>
          <w:rFonts w:ascii="Arial"/>
          <w:color w:val="000000"/>
          <w:sz w:val="22"/>
        </w:rPr>
        <w:t xml:space="preserve"> in the decision-making process, although it is not determinative: </w:t>
      </w:r>
      <w:r>
        <w:rPr>
          <w:rFonts w:ascii="Arial"/>
          <w:i/>
          <w:color w:val="000000"/>
          <w:sz w:val="22"/>
        </w:rPr>
        <w:t xml:space="preserve">Zhang </w:t>
      </w:r>
      <w:r>
        <w:rPr>
          <w:rFonts w:ascii="Arial"/>
          <w:color w:val="000000"/>
          <w:sz w:val="22"/>
        </w:rPr>
        <w:t xml:space="preserve">at [75]; </w:t>
      </w:r>
      <w:r>
        <w:rPr>
          <w:rFonts w:ascii="Arial"/>
          <w:i/>
          <w:color w:val="000000"/>
          <w:sz w:val="22"/>
        </w:rPr>
        <w:t>Tomasic</w:t>
      </w:r>
      <w:r>
        <w:rPr>
          <w:rFonts w:ascii="Arial"/>
          <w:color w:val="000000"/>
          <w:sz w:val="22"/>
        </w:rPr>
        <w:t xml:space="preserve"> at [34]. </w:t>
      </w:r>
    </w:p>
    <w:p>
      <w:pPr>
        <w:pStyle w:val="CaselawQuote"/>
        <w:spacing w:before="150" w:after="150"/>
        <w:ind w:left="1350"/>
        <w:jc w:val="left"/>
      </w:pPr>
      <w:r>
        <w:rPr>
          <w:rFonts w:ascii="Arial"/>
          <w:color w:val="000000"/>
          <w:sz w:val="22"/>
        </w:rPr>
        <w:t xml:space="preserve">Secondly, other factors will also increase the weight to be given to a development control as set out in </w:t>
      </w:r>
      <w:r>
        <w:rPr>
          <w:rFonts w:ascii="Arial"/>
          <w:i/>
          <w:color w:val="000000"/>
          <w:sz w:val="22"/>
        </w:rPr>
        <w:t xml:space="preserve">Stockland Development Pty Ltd v Manly Council </w:t>
      </w:r>
      <w:r>
        <w:rPr>
          <w:rFonts w:ascii="Arial"/>
          <w:color w:val="000000"/>
          <w:sz w:val="22"/>
        </w:rPr>
        <w:t>(2004) 136 LGERA 254; [2004] NSWLEC 472 at [87] including:</w:t>
      </w:r>
    </w:p>
    <w:p>
      <w:pPr>
        <w:pStyle w:val="CaselawQuote0"/>
        <w:spacing w:before="150" w:after="150"/>
        <w:ind w:left="2100"/>
        <w:jc w:val="left"/>
      </w:pPr>
      <w:r>
        <w:rPr>
          <w:rFonts w:ascii="Arial"/>
          <w:color w:val="000000"/>
          <w:sz w:val="22"/>
        </w:rPr>
        <w:t>‘Consistency of decision-making must be a fundamental objective of those who make administrative decisions. That objective is assisted by the adoption of development control plans and the making of decisions in individual cases which are consistent with them. If this is done, those with an interest in the site under consideration or who may be affected by any development of it have an opportunity to make decisions in relation to their own property which is informed by an appreciation of the likely future development of nearby property.’”</w:t>
      </w:r>
    </w:p>
    <w:p>
      <w:pPr>
        <w:pStyle w:val="CaselawNumbered10"/>
        <w:numPr>
          <w:ilvl w:val="0"/>
          <w:numId w:val="132"/>
        </w:numPr>
        <w:spacing w:before="150" w:after="0"/>
        <w:ind w:left="600" w:hanging="600"/>
      </w:pPr>
      <w:r>
        <w:rPr>
          <w:rFonts w:ascii="Arial"/>
          <w:color w:val="000000"/>
          <w:sz w:val="24"/>
        </w:rPr>
        <w:t>The Council submits that t</w:t>
      </w:r>
      <w:r>
        <w:rPr>
          <w:rFonts w:ascii="Arial"/>
          <w:color w:val="000000"/>
          <w:sz w:val="24"/>
        </w:rPr>
        <w:t>his is particularly important in the present case given that the Court's decision will be the first application of Chapter 11.10 of the DCP. If the provisions of the DCP are not correctly applied, there is the potential for its desired character and outcomes to be destroyed by the approval of the DA because there will not be an opportunity to correct any mistakes in the future and it may set a precedent for the determination of future applications relating to 353-355 Waterloo Road.</w:t>
      </w:r>
    </w:p>
    <w:p>
      <w:pPr>
        <w:pStyle w:val="CaselawNumbered10"/>
        <w:numPr>
          <w:ilvl w:val="0"/>
          <w:numId w:val="132"/>
        </w:numPr>
        <w:spacing w:before="150" w:after="0"/>
        <w:ind w:left="600" w:hanging="600"/>
      </w:pPr>
      <w:r>
        <w:rPr>
          <w:rFonts w:ascii="Arial"/>
          <w:color w:val="000000"/>
          <w:sz w:val="24"/>
        </w:rPr>
        <w:t xml:space="preserve">Although the Council accepts that </w:t>
      </w:r>
      <w:r>
        <w:rPr>
          <w:rFonts w:ascii="Arial"/>
          <w:color w:val="000000"/>
          <w:sz w:val="24"/>
        </w:rPr>
        <w:t>alternative solutions to achieve th</w:t>
      </w:r>
      <w:r>
        <w:rPr>
          <w:rFonts w:ascii="Arial"/>
          <w:color w:val="000000"/>
          <w:sz w:val="24"/>
        </w:rPr>
        <w:t>e</w:t>
      </w:r>
      <w:r>
        <w:rPr>
          <w:rFonts w:ascii="Arial"/>
          <w:color w:val="000000"/>
          <w:sz w:val="24"/>
        </w:rPr>
        <w:t xml:space="preserve"> </w:t>
      </w:r>
      <w:r>
        <w:rPr>
          <w:rFonts w:ascii="Arial"/>
          <w:color w:val="000000"/>
          <w:sz w:val="24"/>
        </w:rPr>
        <w:t>objects of the provisions under s 4.15(3A)(b) of the EPA Act</w:t>
      </w:r>
      <w:r>
        <w:rPr>
          <w:rFonts w:ascii="Arial"/>
          <w:color w:val="000000"/>
          <w:sz w:val="24"/>
        </w:rPr>
        <w:t xml:space="preserve"> </w:t>
      </w:r>
      <w:r>
        <w:rPr>
          <w:rFonts w:ascii="Arial"/>
          <w:color w:val="000000"/>
          <w:sz w:val="24"/>
        </w:rPr>
        <w:t>can be accommodated</w:t>
      </w:r>
      <w:r>
        <w:rPr>
          <w:rFonts w:ascii="Arial"/>
          <w:color w:val="000000"/>
          <w:sz w:val="24"/>
        </w:rPr>
        <w:t xml:space="preserve">: </w:t>
      </w:r>
      <w:r>
        <w:rPr>
          <w:rFonts w:ascii="Arial"/>
          <w:i/>
          <w:color w:val="000000"/>
          <w:sz w:val="24"/>
        </w:rPr>
        <w:t>Tomasic</w:t>
      </w:r>
      <w:r>
        <w:rPr>
          <w:rFonts w:ascii="Arial"/>
          <w:color w:val="000000"/>
          <w:sz w:val="24"/>
        </w:rPr>
        <w:t xml:space="preserve"> </w:t>
      </w:r>
      <w:r>
        <w:rPr>
          <w:rFonts w:ascii="Arial"/>
          <w:color w:val="000000"/>
          <w:sz w:val="24"/>
        </w:rPr>
        <w:t xml:space="preserve">at [36]. </w:t>
      </w:r>
      <w:r>
        <w:rPr>
          <w:rFonts w:ascii="Arial"/>
          <w:color w:val="000000"/>
          <w:sz w:val="24"/>
        </w:rPr>
        <w:t xml:space="preserve">It emphasises </w:t>
      </w:r>
      <w:r>
        <w:rPr>
          <w:rFonts w:ascii="Arial"/>
          <w:color w:val="000000"/>
          <w:sz w:val="24"/>
        </w:rPr>
        <w:t xml:space="preserve">the following observations in </w:t>
      </w:r>
      <w:r>
        <w:rPr>
          <w:rFonts w:ascii="Arial"/>
          <w:i/>
          <w:color w:val="000000"/>
          <w:sz w:val="24"/>
        </w:rPr>
        <w:t>Saffioti v Kiama Municipal Council</w:t>
      </w:r>
      <w:r>
        <w:rPr>
          <w:rFonts w:ascii="Arial"/>
          <w:color w:val="000000"/>
          <w:sz w:val="24"/>
        </w:rPr>
        <w:t xml:space="preserve"> </w:t>
      </w:r>
      <w:r>
        <w:rPr>
          <w:rFonts w:ascii="Arial"/>
          <w:color w:val="000000"/>
          <w:sz w:val="24"/>
        </w:rPr>
        <w:t>[2019] NSWLEC 57:</w:t>
      </w:r>
    </w:p>
    <w:p>
      <w:pPr>
        <w:pStyle w:val="CaselawQuote"/>
        <w:spacing w:before="150" w:after="150"/>
        <w:ind w:left="1350"/>
        <w:jc w:val="left"/>
      </w:pPr>
      <w:r>
        <w:rPr>
          <w:rFonts w:ascii="Arial"/>
          <w:color w:val="000000"/>
          <w:sz w:val="22"/>
        </w:rPr>
        <w:t>“</w:t>
      </w:r>
      <w:r>
        <w:rPr>
          <w:rFonts w:ascii="Arial"/>
          <w:color w:val="000000"/>
          <w:sz w:val="22"/>
        </w:rPr>
        <w:t xml:space="preserve">27 </w:t>
      </w:r>
      <w:r>
        <w:rPr>
          <w:rFonts w:ascii="Arial"/>
          <w:color w:val="000000"/>
          <w:sz w:val="22"/>
        </w:rPr>
        <w:t>….</w:t>
      </w:r>
      <w:r>
        <w:rPr>
          <w:rFonts w:ascii="Arial"/>
          <w:b/>
          <w:color w:val="000000"/>
          <w:sz w:val="22"/>
        </w:rPr>
        <w:t xml:space="preserve">The </w:t>
      </w:r>
      <w:r>
        <w:rPr>
          <w:rFonts w:ascii="Arial"/>
          <w:b/>
          <w:color w:val="000000"/>
          <w:sz w:val="22"/>
        </w:rPr>
        <w:t>‘reasonable alternative solutions’</w:t>
      </w:r>
      <w:r>
        <w:rPr>
          <w:rFonts w:ascii="Arial"/>
          <w:b/>
          <w:color w:val="000000"/>
          <w:sz w:val="22"/>
        </w:rPr>
        <w:t xml:space="preserve"> referred to in</w:t>
      </w:r>
      <w:r>
        <w:rPr>
          <w:rFonts w:ascii="Arial"/>
          <w:b/>
          <w:color w:val="000000"/>
          <w:sz w:val="22"/>
        </w:rPr>
        <w:t xml:space="preserve"> </w:t>
      </w:r>
      <w:r>
        <w:rPr>
          <w:rFonts w:ascii="Arial"/>
          <w:b/>
          <w:color w:val="000000"/>
          <w:sz w:val="22"/>
        </w:rPr>
        <w:t>s 4.15(3A)(b) of the EPA Act are alternative solutions embodied in the development that is the subject of the development application</w:t>
      </w:r>
      <w:r>
        <w:rPr>
          <w:rFonts w:ascii="Arial"/>
          <w:color w:val="000000"/>
          <w:sz w:val="22"/>
        </w:rPr>
        <w:t xml:space="preserve">. The development might not comply with certain of the standards set by the provisions of a development control plan with respect to aspects of the development but nevertheless the development might provide an alternative solution that does achieve the objects of those standards. If so, the consent authority is directed by s 4.15(3A) </w:t>
      </w:r>
      <w:r>
        <w:rPr>
          <w:rFonts w:ascii="Arial"/>
          <w:color w:val="000000"/>
          <w:sz w:val="22"/>
        </w:rPr>
        <w:t>‘to be flexible in applying those provisions and allow reasonable alternative solutions that achieve the objects of those standards for dealing with that aspect of the development’.</w:t>
      </w:r>
    </w:p>
    <w:p>
      <w:pPr>
        <w:pStyle w:val="CaselawQuote"/>
        <w:spacing w:before="150" w:after="150"/>
        <w:ind w:left="1350"/>
        <w:jc w:val="left"/>
      </w:pPr>
      <w:r>
        <w:rPr>
          <w:rFonts w:ascii="Arial"/>
          <w:color w:val="000000"/>
          <w:sz w:val="22"/>
        </w:rPr>
        <w:t>28</w:t>
      </w:r>
      <w:r>
        <w:rPr>
          <w:rFonts w:ascii="Arial"/>
          <w:color w:val="000000"/>
          <w:sz w:val="22"/>
        </w:rPr>
        <w:t>   </w:t>
      </w:r>
      <w:r>
        <w:rPr>
          <w:rFonts w:ascii="Arial"/>
          <w:b/>
          <w:color w:val="000000"/>
          <w:sz w:val="22"/>
        </w:rPr>
        <w:t>The onus is on the applicant for development consent to proffer, in the development application for the development, the alternative solutions that achieve the objects of the standards for dealing with the relevant aspects of the development.</w:t>
      </w:r>
      <w:r>
        <w:rPr>
          <w:rFonts w:ascii="Arial"/>
          <w:color w:val="000000"/>
          <w:sz w:val="22"/>
        </w:rPr>
        <w:t xml:space="preserve"> The consent authority can then evaluate whether the proffered alternative solutions are </w:t>
      </w:r>
      <w:r>
        <w:rPr>
          <w:rFonts w:ascii="Arial"/>
          <w:color w:val="000000"/>
          <w:sz w:val="22"/>
        </w:rPr>
        <w:t>‘reasonable alternative solutions’</w:t>
      </w:r>
      <w:r>
        <w:rPr>
          <w:rFonts w:ascii="Arial"/>
          <w:color w:val="000000"/>
          <w:sz w:val="22"/>
        </w:rPr>
        <w:t xml:space="preserve"> that do </w:t>
      </w:r>
      <w:r>
        <w:rPr>
          <w:rFonts w:ascii="Arial"/>
          <w:color w:val="000000"/>
          <w:sz w:val="22"/>
        </w:rPr>
        <w:t>‘achieve the objects of those standards for dealing with that aspect of the development’.”</w:t>
      </w:r>
    </w:p>
    <w:p>
      <w:pPr>
        <w:pStyle w:val="CaselawQuote"/>
        <w:spacing w:before="150" w:after="150"/>
        <w:ind w:left="1350"/>
        <w:jc w:val="left"/>
      </w:pPr>
      <w:r>
        <w:rPr>
          <w:rFonts w:ascii="Arial"/>
          <w:color w:val="000000"/>
          <w:sz w:val="22"/>
        </w:rPr>
        <w:t>(Emphasis added)</w:t>
      </w:r>
    </w:p>
    <w:p>
      <w:pPr>
        <w:pStyle w:val="CaselawNumbered10"/>
        <w:numPr>
          <w:ilvl w:val="0"/>
          <w:numId w:val="133"/>
        </w:numPr>
        <w:spacing w:before="150" w:after="0"/>
        <w:ind w:left="600" w:hanging="600"/>
      </w:pPr>
      <w:r>
        <w:rPr>
          <w:rFonts w:ascii="Arial"/>
          <w:color w:val="000000"/>
          <w:sz w:val="24"/>
        </w:rPr>
        <w:t xml:space="preserve">With these principles in mind, the </w:t>
      </w:r>
      <w:r>
        <w:rPr>
          <w:rFonts w:ascii="Arial"/>
          <w:color w:val="000000"/>
          <w:sz w:val="24"/>
        </w:rPr>
        <w:t xml:space="preserve">Council highlights the </w:t>
      </w:r>
      <w:r>
        <w:rPr>
          <w:rFonts w:ascii="Arial"/>
          <w:color w:val="000000"/>
          <w:sz w:val="24"/>
        </w:rPr>
        <w:t>following key provisions of Chapter 11.10 of the DCP:</w:t>
      </w:r>
    </w:p>
    <w:p>
      <w:pPr>
        <w:pStyle w:val="CaselawNumbered1"/>
        <w:numPr>
          <w:ilvl w:val="0"/>
          <w:numId w:val="134"/>
        </w:numPr>
        <w:spacing w:before="150" w:after="0"/>
        <w:ind w:left="1350" w:hanging="750"/>
      </w:pPr>
      <w:r>
        <w:rPr>
          <w:rFonts w:ascii="Arial"/>
          <w:color w:val="000000"/>
          <w:sz w:val="24"/>
        </w:rPr>
        <w:t>Desired character for the Chullora Local Centre:</w:t>
      </w:r>
    </w:p>
    <w:p>
      <w:pPr>
        <w:pStyle w:val="CaselawNumbereda"/>
        <w:numPr>
          <w:ilvl w:val="0"/>
          <w:numId w:val="135"/>
        </w:numPr>
        <w:spacing w:before="150" w:after="0"/>
        <w:ind w:left="2100" w:hanging="750"/>
      </w:pPr>
      <w:r>
        <w:rPr>
          <w:rFonts w:ascii="Arial"/>
          <w:color w:val="000000"/>
          <w:sz w:val="24"/>
        </w:rPr>
        <w:t>“</w:t>
      </w:r>
      <w:r>
        <w:rPr>
          <w:rFonts w:ascii="Arial"/>
          <w:color w:val="000000"/>
          <w:sz w:val="24"/>
        </w:rPr>
        <w:t xml:space="preserve">Council's Local Strategic Planning Statement </w:t>
      </w:r>
      <w:r>
        <w:rPr>
          <w:rFonts w:ascii="Arial"/>
          <w:color w:val="000000"/>
          <w:sz w:val="24"/>
        </w:rPr>
        <w:t>‘</w:t>
      </w:r>
      <w:r>
        <w:rPr>
          <w:rFonts w:ascii="Arial"/>
          <w:color w:val="000000"/>
          <w:sz w:val="24"/>
        </w:rPr>
        <w:t>Connective City 2036</w:t>
      </w:r>
      <w:r>
        <w:rPr>
          <w:rFonts w:ascii="Arial"/>
          <w:color w:val="000000"/>
          <w:sz w:val="24"/>
        </w:rPr>
        <w:t xml:space="preserve">’ </w:t>
      </w:r>
      <w:r>
        <w:rPr>
          <w:rFonts w:ascii="Arial"/>
          <w:color w:val="000000"/>
          <w:sz w:val="24"/>
        </w:rPr>
        <w:t>envisages centres like Chu</w:t>
      </w:r>
      <w:r>
        <w:rPr>
          <w:rFonts w:ascii="Arial"/>
          <w:color w:val="000000"/>
          <w:sz w:val="24"/>
        </w:rPr>
        <w:t>ll</w:t>
      </w:r>
      <w:r>
        <w:rPr>
          <w:rFonts w:ascii="Arial"/>
          <w:color w:val="000000"/>
          <w:sz w:val="24"/>
        </w:rPr>
        <w:t xml:space="preserve">ora Marketplace as being </w:t>
      </w:r>
      <w:r>
        <w:rPr>
          <w:rFonts w:ascii="Arial"/>
          <w:color w:val="000000"/>
          <w:sz w:val="24"/>
        </w:rPr>
        <w:t>‘</w:t>
      </w:r>
      <w:r>
        <w:rPr>
          <w:rFonts w:ascii="Arial"/>
          <w:color w:val="000000"/>
          <w:sz w:val="24"/>
        </w:rPr>
        <w:t>hubs of community life, with high quality public, civic and community spaces and places. They are places designed for pedestrians</w:t>
      </w:r>
      <w:r>
        <w:rPr>
          <w:rFonts w:ascii="Arial"/>
          <w:color w:val="000000"/>
          <w:sz w:val="24"/>
        </w:rPr>
        <w:t>’”</w:t>
      </w:r>
      <w:r>
        <w:rPr>
          <w:rFonts w:ascii="Arial"/>
          <w:color w:val="000000"/>
          <w:sz w:val="24"/>
        </w:rPr>
        <w:t xml:space="preserve"> </w:t>
      </w:r>
      <w:r>
        <w:rPr>
          <w:rFonts w:ascii="Arial"/>
          <w:color w:val="000000"/>
          <w:sz w:val="24"/>
        </w:rPr>
        <w:t>(p 4).</w:t>
      </w:r>
    </w:p>
    <w:p>
      <w:pPr>
        <w:pStyle w:val="CaselawNumbereda"/>
        <w:numPr>
          <w:ilvl w:val="0"/>
          <w:numId w:val="135"/>
        </w:numPr>
        <w:spacing w:before="150" w:after="0"/>
        <w:ind w:left="2100" w:hanging="750"/>
      </w:pPr>
      <w:r>
        <w:rPr>
          <w:rFonts w:ascii="Arial"/>
          <w:color w:val="000000"/>
          <w:sz w:val="24"/>
        </w:rPr>
        <w:t>“</w:t>
      </w:r>
      <w:r>
        <w:rPr>
          <w:rFonts w:ascii="Arial"/>
          <w:color w:val="000000"/>
          <w:sz w:val="24"/>
        </w:rPr>
        <w:t xml:space="preserve">The new internal street network must be permeable, legible and provide </w:t>
      </w:r>
      <w:r>
        <w:rPr>
          <w:rFonts w:ascii="Arial"/>
          <w:color w:val="000000"/>
          <w:sz w:val="24"/>
        </w:rPr>
        <w:t>24-hour</w:t>
      </w:r>
      <w:r>
        <w:rPr>
          <w:rFonts w:ascii="Arial"/>
          <w:color w:val="000000"/>
          <w:sz w:val="24"/>
        </w:rPr>
        <w:t xml:space="preserve"> </w:t>
      </w:r>
      <w:r>
        <w:rPr>
          <w:rFonts w:ascii="Arial"/>
          <w:color w:val="000000"/>
          <w:sz w:val="24"/>
        </w:rPr>
        <w:t>safe access to pedestrians and cyclists via inclusion of shared paths</w:t>
      </w:r>
      <w:r>
        <w:rPr>
          <w:rFonts w:ascii="Arial"/>
          <w:color w:val="000000"/>
          <w:sz w:val="24"/>
        </w:rPr>
        <w:t>”</w:t>
      </w:r>
      <w:r>
        <w:rPr>
          <w:rFonts w:ascii="Arial"/>
          <w:color w:val="000000"/>
          <w:sz w:val="24"/>
        </w:rPr>
        <w:t xml:space="preserve"> </w:t>
      </w:r>
      <w:r>
        <w:rPr>
          <w:rFonts w:ascii="Arial"/>
          <w:color w:val="000000"/>
          <w:sz w:val="24"/>
        </w:rPr>
        <w:t>(p 4).</w:t>
      </w:r>
    </w:p>
    <w:p>
      <w:pPr>
        <w:pStyle w:val="CaselawNumbereda"/>
        <w:numPr>
          <w:ilvl w:val="0"/>
          <w:numId w:val="135"/>
        </w:numPr>
        <w:spacing w:before="150" w:after="0"/>
        <w:ind w:left="2100" w:hanging="750"/>
      </w:pPr>
      <w:r>
        <w:rPr>
          <w:rFonts w:ascii="Arial"/>
          <w:color w:val="000000"/>
          <w:sz w:val="24"/>
        </w:rPr>
        <w:t>“</w:t>
      </w:r>
      <w:r>
        <w:rPr>
          <w:rFonts w:ascii="Arial"/>
          <w:color w:val="000000"/>
          <w:sz w:val="24"/>
        </w:rPr>
        <w:t xml:space="preserve">WelI-designed terrace houses, shop top housing, residential flat buildings and </w:t>
      </w:r>
      <w:r>
        <w:rPr>
          <w:rFonts w:ascii="Arial"/>
          <w:color w:val="000000"/>
          <w:sz w:val="24"/>
        </w:rPr>
        <w:t>mixed-use</w:t>
      </w:r>
      <w:r>
        <w:rPr>
          <w:rFonts w:ascii="Arial"/>
          <w:color w:val="000000"/>
          <w:sz w:val="24"/>
        </w:rPr>
        <w:t xml:space="preserve"> </w:t>
      </w:r>
      <w:r>
        <w:rPr>
          <w:rFonts w:ascii="Arial"/>
          <w:color w:val="000000"/>
          <w:sz w:val="24"/>
        </w:rPr>
        <w:t>buildings with pedestrian-orientated streets and civic places will enhance the vitality and attractiveness of the local centre</w:t>
      </w:r>
      <w:r>
        <w:rPr>
          <w:rFonts w:ascii="Arial"/>
          <w:color w:val="000000"/>
          <w:sz w:val="24"/>
        </w:rPr>
        <w:t>”</w:t>
      </w:r>
      <w:r>
        <w:rPr>
          <w:rFonts w:ascii="Arial"/>
          <w:color w:val="000000"/>
          <w:sz w:val="24"/>
        </w:rPr>
        <w:t xml:space="preserve"> </w:t>
      </w:r>
      <w:r>
        <w:rPr>
          <w:rFonts w:ascii="Arial"/>
          <w:color w:val="000000"/>
          <w:sz w:val="24"/>
        </w:rPr>
        <w:t>(p 5).</w:t>
      </w:r>
    </w:p>
    <w:p>
      <w:pPr>
        <w:pStyle w:val="CaselawNumbereda"/>
        <w:numPr>
          <w:ilvl w:val="0"/>
          <w:numId w:val="135"/>
        </w:numPr>
        <w:spacing w:before="150" w:after="0"/>
        <w:ind w:left="2100" w:hanging="750"/>
      </w:pPr>
      <w:r>
        <w:rPr>
          <w:rFonts w:ascii="Arial"/>
          <w:color w:val="000000"/>
          <w:sz w:val="24"/>
        </w:rPr>
        <w:t>“</w:t>
      </w:r>
      <w:r>
        <w:rPr>
          <w:rFonts w:ascii="Arial"/>
          <w:color w:val="000000"/>
          <w:sz w:val="24"/>
        </w:rPr>
        <w:t>New development will exhibit design excellence, provide appropriate articulation and architectural styles to add visual interest and avoid large blank walls along public domain</w:t>
      </w:r>
      <w:r>
        <w:rPr>
          <w:rFonts w:ascii="Arial"/>
          <w:color w:val="000000"/>
          <w:sz w:val="24"/>
        </w:rPr>
        <w:t>”</w:t>
      </w:r>
      <w:r>
        <w:rPr>
          <w:rFonts w:ascii="Arial"/>
          <w:color w:val="000000"/>
          <w:sz w:val="24"/>
        </w:rPr>
        <w:t xml:space="preserve"> </w:t>
      </w:r>
      <w:r>
        <w:rPr>
          <w:rFonts w:ascii="Arial"/>
          <w:color w:val="000000"/>
          <w:sz w:val="24"/>
        </w:rPr>
        <w:t>(p 5).</w:t>
      </w:r>
    </w:p>
    <w:p>
      <w:pPr>
        <w:pStyle w:val="CaselawNumbered1"/>
        <w:numPr>
          <w:ilvl w:val="0"/>
          <w:numId w:val="136"/>
        </w:numPr>
        <w:spacing w:before="150" w:after="0"/>
        <w:ind w:left="1350" w:hanging="750"/>
      </w:pPr>
      <w:r>
        <w:rPr>
          <w:rFonts w:ascii="Arial"/>
          <w:color w:val="000000"/>
          <w:sz w:val="24"/>
        </w:rPr>
        <w:t>Staged development:</w:t>
      </w:r>
    </w:p>
    <w:p>
      <w:pPr>
        <w:pStyle w:val="CaselawNumbereda"/>
        <w:numPr>
          <w:ilvl w:val="0"/>
          <w:numId w:val="137"/>
        </w:numPr>
        <w:spacing w:before="150" w:after="0"/>
        <w:ind w:left="2100" w:hanging="750"/>
      </w:pPr>
      <w:r>
        <w:rPr>
          <w:rFonts w:ascii="Arial"/>
          <w:color w:val="000000"/>
          <w:sz w:val="24"/>
        </w:rPr>
        <w:t>“</w:t>
      </w:r>
      <w:r>
        <w:rPr>
          <w:rFonts w:ascii="Arial"/>
          <w:color w:val="000000"/>
          <w:sz w:val="24"/>
        </w:rPr>
        <w:t>To ensure a viable ongoing operation of the existing shopping centre, the future development of the site may be undertaken progressively and incrementally, consistent with an indicative concept plan (applying to the whole site) which is required to be lodged with Council at the lodgement of the first development application</w:t>
      </w:r>
      <w:r>
        <w:rPr>
          <w:rFonts w:ascii="Arial"/>
          <w:color w:val="000000"/>
          <w:sz w:val="24"/>
        </w:rPr>
        <w:t>”</w:t>
      </w:r>
      <w:r>
        <w:rPr>
          <w:rFonts w:ascii="Arial"/>
          <w:color w:val="000000"/>
          <w:sz w:val="24"/>
        </w:rPr>
        <w:t xml:space="preserve"> </w:t>
      </w:r>
      <w:r>
        <w:rPr>
          <w:rFonts w:ascii="Arial"/>
          <w:color w:val="000000"/>
          <w:sz w:val="24"/>
        </w:rPr>
        <w:t xml:space="preserve">(p 6). The </w:t>
      </w:r>
      <w:r>
        <w:rPr>
          <w:rFonts w:ascii="Arial"/>
          <w:color w:val="000000"/>
          <w:sz w:val="24"/>
        </w:rPr>
        <w:t>“</w:t>
      </w:r>
      <w:r>
        <w:rPr>
          <w:rFonts w:ascii="Arial"/>
          <w:color w:val="000000"/>
          <w:sz w:val="24"/>
        </w:rPr>
        <w:t>site</w:t>
      </w:r>
      <w:r>
        <w:rPr>
          <w:rFonts w:ascii="Arial"/>
          <w:color w:val="000000"/>
          <w:sz w:val="24"/>
        </w:rPr>
        <w:t>”</w:t>
      </w:r>
      <w:r>
        <w:rPr>
          <w:rFonts w:ascii="Arial"/>
          <w:color w:val="000000"/>
          <w:sz w:val="24"/>
        </w:rPr>
        <w:t xml:space="preserve"> </w:t>
      </w:r>
      <w:r>
        <w:rPr>
          <w:rFonts w:ascii="Arial"/>
          <w:color w:val="000000"/>
          <w:sz w:val="24"/>
        </w:rPr>
        <w:t>is 353-355 Waterloo Road (and does not include 87 Norfolk Road).</w:t>
      </w:r>
    </w:p>
    <w:p>
      <w:pPr>
        <w:pStyle w:val="CaselawNumbered1"/>
        <w:numPr>
          <w:ilvl w:val="0"/>
          <w:numId w:val="138"/>
        </w:numPr>
        <w:spacing w:before="150" w:after="0"/>
        <w:ind w:left="1350" w:hanging="750"/>
      </w:pPr>
      <w:r>
        <w:rPr>
          <w:rFonts w:ascii="Arial"/>
          <w:color w:val="000000"/>
          <w:sz w:val="24"/>
        </w:rPr>
        <w:t xml:space="preserve">Key design principles and </w:t>
      </w:r>
      <w:r>
        <w:rPr>
          <w:rFonts w:ascii="Arial"/>
          <w:color w:val="000000"/>
          <w:sz w:val="24"/>
        </w:rPr>
        <w:t>ISP</w:t>
      </w:r>
      <w:r>
        <w:rPr>
          <w:rFonts w:ascii="Arial"/>
          <w:color w:val="000000"/>
          <w:sz w:val="24"/>
        </w:rPr>
        <w:t>:</w:t>
      </w:r>
    </w:p>
    <w:p>
      <w:pPr>
        <w:pStyle w:val="CaselawNumbereda"/>
        <w:numPr>
          <w:ilvl w:val="0"/>
          <w:numId w:val="139"/>
        </w:numPr>
        <w:spacing w:before="150" w:after="0"/>
        <w:ind w:left="2100" w:hanging="750"/>
      </w:pPr>
      <w:r>
        <w:rPr>
          <w:rFonts w:ascii="Arial"/>
          <w:color w:val="000000"/>
          <w:sz w:val="24"/>
        </w:rPr>
        <w:t>“</w:t>
      </w:r>
      <w:r>
        <w:rPr>
          <w:rFonts w:ascii="Arial"/>
          <w:color w:val="000000"/>
          <w:sz w:val="24"/>
        </w:rPr>
        <w:t>Deliver a Central Civic Plaza as a community hub ... The Central Civic Plaza must have active uses to at least two of its sides and linked to its surrounding with a network of pedestrian friendly internal streets</w:t>
      </w:r>
      <w:r>
        <w:rPr>
          <w:rFonts w:ascii="Arial"/>
          <w:color w:val="000000"/>
          <w:sz w:val="24"/>
        </w:rPr>
        <w:t>”</w:t>
      </w:r>
      <w:r>
        <w:rPr>
          <w:rFonts w:ascii="Arial"/>
          <w:color w:val="000000"/>
          <w:sz w:val="24"/>
        </w:rPr>
        <w:t xml:space="preserve"> </w:t>
      </w:r>
      <w:r>
        <w:rPr>
          <w:rFonts w:ascii="Arial"/>
          <w:color w:val="000000"/>
          <w:sz w:val="24"/>
        </w:rPr>
        <w:t>(p 6).</w:t>
      </w:r>
    </w:p>
    <w:p>
      <w:pPr>
        <w:pStyle w:val="CaselawNumbereda"/>
        <w:numPr>
          <w:ilvl w:val="0"/>
          <w:numId w:val="139"/>
        </w:numPr>
        <w:spacing w:before="150" w:after="0"/>
        <w:ind w:left="2100" w:hanging="750"/>
      </w:pPr>
      <w:r>
        <w:rPr>
          <w:rFonts w:ascii="Arial"/>
          <w:color w:val="000000"/>
          <w:sz w:val="24"/>
        </w:rPr>
        <w:t>“</w:t>
      </w:r>
      <w:r>
        <w:rPr>
          <w:rFonts w:ascii="Arial"/>
          <w:color w:val="000000"/>
          <w:sz w:val="24"/>
        </w:rPr>
        <w:t>Create a vibrant local centre which protects and enhances existing commercial floor space: ... Retail and commercial use will continue to remain as the key land use of the local centre, having regard to the objectives of Zone B2 Local Centre</w:t>
      </w:r>
      <w:r>
        <w:rPr>
          <w:rFonts w:ascii="Arial"/>
          <w:color w:val="000000"/>
          <w:sz w:val="24"/>
        </w:rPr>
        <w:t>”</w:t>
      </w:r>
      <w:r>
        <w:rPr>
          <w:rFonts w:ascii="Arial"/>
          <w:color w:val="000000"/>
          <w:sz w:val="24"/>
        </w:rPr>
        <w:t xml:space="preserve"> </w:t>
      </w:r>
      <w:r>
        <w:rPr>
          <w:rFonts w:ascii="Arial"/>
          <w:color w:val="000000"/>
          <w:sz w:val="24"/>
        </w:rPr>
        <w:t>(p 6).</w:t>
      </w:r>
    </w:p>
    <w:p>
      <w:pPr>
        <w:pStyle w:val="CaselawNumbereda"/>
        <w:numPr>
          <w:ilvl w:val="0"/>
          <w:numId w:val="139"/>
        </w:numPr>
        <w:spacing w:before="150" w:after="0"/>
        <w:ind w:left="2100" w:hanging="750"/>
      </w:pPr>
      <w:r>
        <w:rPr>
          <w:rFonts w:ascii="Arial"/>
          <w:color w:val="000000"/>
          <w:sz w:val="24"/>
        </w:rPr>
        <w:t>“</w:t>
      </w:r>
      <w:r>
        <w:rPr>
          <w:rFonts w:ascii="Arial"/>
          <w:color w:val="000000"/>
          <w:sz w:val="24"/>
        </w:rPr>
        <w:t>Improve permeability and access: Introduce a legible and permeable pattern of new streets which are publicly accessible 24 hours a day and responds to key connections within and adjacent neighbourhoods. All internal streets mus</w:t>
      </w:r>
      <w:r>
        <w:rPr>
          <w:rFonts w:ascii="Arial"/>
          <w:color w:val="000000"/>
          <w:sz w:val="24"/>
        </w:rPr>
        <w:t>t</w:t>
      </w:r>
      <w:r>
        <w:rPr>
          <w:rFonts w:ascii="Arial"/>
          <w:color w:val="000000"/>
          <w:sz w:val="24"/>
        </w:rPr>
        <w:t xml:space="preserve"> </w:t>
      </w:r>
      <w:r>
        <w:rPr>
          <w:rFonts w:ascii="Arial"/>
          <w:color w:val="000000"/>
          <w:sz w:val="24"/>
        </w:rPr>
        <w:t>consist of shared paths to prioritise access to pedestrians and cyclists</w:t>
      </w:r>
      <w:r>
        <w:rPr>
          <w:rFonts w:ascii="Arial"/>
          <w:color w:val="000000"/>
          <w:sz w:val="24"/>
        </w:rPr>
        <w:t>”</w:t>
      </w:r>
      <w:r>
        <w:rPr>
          <w:rFonts w:ascii="Arial"/>
          <w:color w:val="000000"/>
          <w:sz w:val="24"/>
        </w:rPr>
        <w:t xml:space="preserve"> </w:t>
      </w:r>
      <w:r>
        <w:rPr>
          <w:rFonts w:ascii="Arial"/>
          <w:color w:val="000000"/>
          <w:sz w:val="24"/>
        </w:rPr>
        <w:t>(p 7).</w:t>
      </w:r>
    </w:p>
    <w:p>
      <w:pPr>
        <w:pStyle w:val="CaselawNumbereda"/>
        <w:numPr>
          <w:ilvl w:val="0"/>
          <w:numId w:val="139"/>
        </w:numPr>
        <w:spacing w:before="150" w:after="0"/>
        <w:ind w:left="2100" w:hanging="750"/>
      </w:pPr>
      <w:r>
        <w:rPr>
          <w:rFonts w:ascii="Arial"/>
          <w:color w:val="000000"/>
          <w:sz w:val="24"/>
        </w:rPr>
        <w:t>“</w:t>
      </w:r>
      <w:r>
        <w:rPr>
          <w:rFonts w:ascii="Arial"/>
          <w:color w:val="000000"/>
          <w:sz w:val="24"/>
        </w:rPr>
        <w:t>Primary retail and service access from Waterloo Road: Ensure the retail, service vehicles and residential vehicle accesses the site from Waterloo Road. The proposed access is to be highly legible, minimise traffic congestion and vehicle/pedestrian conflict. Major retail parking and servicing should not be provided from the Hight Street or adjacent to active retail frontages</w:t>
      </w:r>
      <w:r>
        <w:rPr>
          <w:rFonts w:ascii="Arial"/>
          <w:color w:val="000000"/>
          <w:sz w:val="24"/>
        </w:rPr>
        <w:t>”</w:t>
      </w:r>
      <w:r>
        <w:rPr>
          <w:rFonts w:ascii="Arial"/>
          <w:color w:val="000000"/>
          <w:sz w:val="24"/>
        </w:rPr>
        <w:t xml:space="preserve"> </w:t>
      </w:r>
      <w:r>
        <w:rPr>
          <w:rFonts w:ascii="Arial"/>
          <w:color w:val="000000"/>
          <w:sz w:val="24"/>
        </w:rPr>
        <w:t>(p 7).</w:t>
      </w:r>
    </w:p>
    <w:p>
      <w:pPr>
        <w:pStyle w:val="CaselawNumbered1"/>
        <w:numPr>
          <w:ilvl w:val="0"/>
          <w:numId w:val="140"/>
        </w:numPr>
        <w:spacing w:before="150" w:after="0"/>
        <w:ind w:left="1350" w:hanging="750"/>
      </w:pPr>
      <w:r>
        <w:rPr>
          <w:rFonts w:ascii="Arial"/>
          <w:color w:val="000000"/>
          <w:sz w:val="24"/>
        </w:rPr>
        <w:t xml:space="preserve">The </w:t>
      </w:r>
      <w:r>
        <w:rPr>
          <w:rFonts w:ascii="Arial"/>
          <w:color w:val="000000"/>
          <w:sz w:val="24"/>
        </w:rPr>
        <w:t>ISP</w:t>
      </w:r>
      <w:r>
        <w:rPr>
          <w:rFonts w:ascii="Arial"/>
          <w:color w:val="000000"/>
          <w:sz w:val="24"/>
        </w:rPr>
        <w:t xml:space="preserve"> </w:t>
      </w:r>
      <w:r>
        <w:rPr>
          <w:rFonts w:ascii="Arial"/>
          <w:color w:val="000000"/>
          <w:sz w:val="24"/>
        </w:rPr>
        <w:t>(Fig 2) shows (p 8):</w:t>
      </w:r>
    </w:p>
    <w:p>
      <w:pPr>
        <w:pStyle w:val="CaselawNumbereda"/>
        <w:numPr>
          <w:ilvl w:val="0"/>
          <w:numId w:val="141"/>
        </w:numPr>
        <w:spacing w:before="150" w:after="0"/>
        <w:ind w:left="2100" w:hanging="750"/>
      </w:pPr>
      <w:r>
        <w:rPr>
          <w:rFonts w:ascii="Arial"/>
          <w:color w:val="000000"/>
          <w:sz w:val="24"/>
        </w:rPr>
        <w:t>“</w:t>
      </w:r>
      <w:r>
        <w:rPr>
          <w:rFonts w:ascii="Arial"/>
          <w:color w:val="000000"/>
          <w:sz w:val="24"/>
        </w:rPr>
        <w:t>Primary street connection (two-way)</w:t>
      </w:r>
      <w:r>
        <w:rPr>
          <w:rFonts w:ascii="Arial"/>
          <w:color w:val="000000"/>
          <w:sz w:val="24"/>
        </w:rPr>
        <w:t>”</w:t>
      </w:r>
      <w:r>
        <w:rPr>
          <w:rFonts w:ascii="Arial"/>
          <w:color w:val="000000"/>
          <w:sz w:val="24"/>
        </w:rPr>
        <w:t xml:space="preserve"> </w:t>
      </w:r>
      <w:r>
        <w:rPr>
          <w:rFonts w:ascii="Arial"/>
          <w:color w:val="000000"/>
          <w:sz w:val="24"/>
        </w:rPr>
        <w:t>running from Waterloo Road to the eastern boundary of 355 Waterloo Road, presumably being a cul</w:t>
      </w:r>
      <w:r>
        <w:rPr>
          <w:rFonts w:ascii="Arial"/>
          <w:color w:val="000000"/>
          <w:sz w:val="24"/>
        </w:rPr>
        <w:t>­d</w:t>
      </w:r>
      <w:r>
        <w:rPr>
          <w:rFonts w:ascii="Arial"/>
          <w:color w:val="000000"/>
          <w:sz w:val="24"/>
        </w:rPr>
        <w:t>e</w:t>
      </w:r>
      <w:r>
        <w:rPr>
          <w:rFonts w:ascii="Arial"/>
          <w:color w:val="000000"/>
          <w:sz w:val="24"/>
        </w:rPr>
        <w:t>-sac.</w:t>
      </w:r>
    </w:p>
    <w:p>
      <w:pPr>
        <w:pStyle w:val="CaselawNumbereda"/>
        <w:numPr>
          <w:ilvl w:val="0"/>
          <w:numId w:val="141"/>
        </w:numPr>
        <w:spacing w:before="150" w:after="0"/>
        <w:ind w:left="2100" w:hanging="750"/>
      </w:pPr>
      <w:r>
        <w:rPr>
          <w:rFonts w:ascii="Arial"/>
          <w:color w:val="000000"/>
          <w:sz w:val="24"/>
        </w:rPr>
        <w:t xml:space="preserve">To the south of the new connector road is </w:t>
      </w:r>
      <w:r>
        <w:rPr>
          <w:rFonts w:ascii="Arial"/>
          <w:color w:val="000000"/>
          <w:sz w:val="24"/>
        </w:rPr>
        <w:t>“</w:t>
      </w:r>
      <w:r>
        <w:rPr>
          <w:rFonts w:ascii="Arial"/>
          <w:color w:val="000000"/>
          <w:sz w:val="24"/>
        </w:rPr>
        <w:t>Low-density residential</w:t>
      </w:r>
      <w:r>
        <w:rPr>
          <w:rFonts w:ascii="Arial"/>
          <w:color w:val="000000"/>
          <w:sz w:val="24"/>
        </w:rPr>
        <w:t>”</w:t>
      </w:r>
      <w:r>
        <w:rPr>
          <w:rFonts w:ascii="Arial"/>
          <w:color w:val="000000"/>
          <w:sz w:val="24"/>
        </w:rPr>
        <w:t>.</w:t>
      </w:r>
    </w:p>
    <w:p>
      <w:pPr>
        <w:pStyle w:val="CaselawNumbereda"/>
        <w:numPr>
          <w:ilvl w:val="0"/>
          <w:numId w:val="141"/>
        </w:numPr>
        <w:spacing w:before="150" w:after="0"/>
        <w:ind w:left="2100" w:hanging="750"/>
      </w:pPr>
      <w:r>
        <w:rPr>
          <w:rFonts w:ascii="Arial"/>
          <w:color w:val="000000"/>
          <w:sz w:val="24"/>
        </w:rPr>
        <w:t xml:space="preserve">To the north of the new connector road around the middle is the </w:t>
      </w:r>
      <w:r>
        <w:rPr>
          <w:rFonts w:ascii="Arial"/>
          <w:color w:val="000000"/>
          <w:sz w:val="24"/>
        </w:rPr>
        <w:t>“</w:t>
      </w:r>
      <w:r>
        <w:rPr>
          <w:rFonts w:ascii="Arial"/>
          <w:color w:val="000000"/>
          <w:sz w:val="24"/>
        </w:rPr>
        <w:t>Indicative location for Civic Space</w:t>
      </w:r>
      <w:r>
        <w:rPr>
          <w:rFonts w:ascii="Arial"/>
          <w:color w:val="000000"/>
          <w:sz w:val="24"/>
        </w:rPr>
        <w:t>”</w:t>
      </w:r>
      <w:r>
        <w:rPr>
          <w:rFonts w:ascii="Arial"/>
          <w:color w:val="000000"/>
          <w:sz w:val="24"/>
        </w:rPr>
        <w:t xml:space="preserve">. The Civic Space is shown with </w:t>
      </w:r>
      <w:r>
        <w:rPr>
          <w:rFonts w:ascii="Arial"/>
          <w:color w:val="000000"/>
          <w:sz w:val="24"/>
        </w:rPr>
        <w:t>“</w:t>
      </w:r>
      <w:r>
        <w:rPr>
          <w:rFonts w:ascii="Arial"/>
          <w:color w:val="000000"/>
          <w:sz w:val="24"/>
        </w:rPr>
        <w:t>Activated frontages</w:t>
      </w:r>
      <w:r>
        <w:rPr>
          <w:rFonts w:ascii="Arial"/>
          <w:color w:val="000000"/>
          <w:sz w:val="24"/>
        </w:rPr>
        <w:t>”</w:t>
      </w:r>
      <w:r>
        <w:rPr>
          <w:rFonts w:ascii="Arial"/>
          <w:color w:val="000000"/>
          <w:sz w:val="24"/>
        </w:rPr>
        <w:t xml:space="preserve"> </w:t>
      </w:r>
      <w:r>
        <w:rPr>
          <w:rFonts w:ascii="Arial"/>
          <w:color w:val="000000"/>
          <w:sz w:val="24"/>
        </w:rPr>
        <w:t xml:space="preserve">to its west and east, a new </w:t>
      </w:r>
      <w:r>
        <w:rPr>
          <w:rFonts w:ascii="Arial"/>
          <w:color w:val="000000"/>
          <w:sz w:val="24"/>
        </w:rPr>
        <w:t>“</w:t>
      </w:r>
      <w:r>
        <w:rPr>
          <w:rFonts w:ascii="Arial"/>
          <w:color w:val="000000"/>
          <w:sz w:val="24"/>
        </w:rPr>
        <w:t>High-Street with active ground floor uses (one-way share way)</w:t>
      </w:r>
      <w:r>
        <w:rPr>
          <w:rFonts w:ascii="Arial"/>
          <w:color w:val="000000"/>
          <w:sz w:val="24"/>
        </w:rPr>
        <w:t>”</w:t>
      </w:r>
      <w:r>
        <w:rPr>
          <w:rFonts w:ascii="Arial"/>
          <w:color w:val="000000"/>
          <w:sz w:val="24"/>
        </w:rPr>
        <w:t xml:space="preserve"> </w:t>
      </w:r>
      <w:r>
        <w:rPr>
          <w:rFonts w:ascii="Arial"/>
          <w:color w:val="000000"/>
          <w:sz w:val="24"/>
        </w:rPr>
        <w:t>to its north, and the new connector road to its south.</w:t>
      </w:r>
    </w:p>
    <w:p>
      <w:pPr>
        <w:pStyle w:val="CaselawNumbereda"/>
        <w:numPr>
          <w:ilvl w:val="0"/>
          <w:numId w:val="141"/>
        </w:numPr>
        <w:spacing w:before="150" w:after="0"/>
        <w:ind w:left="2100" w:hanging="750"/>
      </w:pPr>
      <w:r>
        <w:rPr>
          <w:rFonts w:ascii="Arial"/>
          <w:color w:val="000000"/>
          <w:sz w:val="24"/>
        </w:rPr>
        <w:t xml:space="preserve">A number of </w:t>
      </w:r>
      <w:r>
        <w:rPr>
          <w:rFonts w:ascii="Arial"/>
          <w:color w:val="000000"/>
          <w:sz w:val="24"/>
        </w:rPr>
        <w:t>“</w:t>
      </w:r>
      <w:r>
        <w:rPr>
          <w:rFonts w:ascii="Arial"/>
          <w:color w:val="000000"/>
          <w:sz w:val="24"/>
        </w:rPr>
        <w:t>Pedestrian links</w:t>
      </w:r>
      <w:r>
        <w:rPr>
          <w:rFonts w:ascii="Arial"/>
          <w:color w:val="000000"/>
          <w:sz w:val="24"/>
        </w:rPr>
        <w:t>”</w:t>
      </w:r>
      <w:r>
        <w:rPr>
          <w:rFonts w:ascii="Arial"/>
          <w:color w:val="000000"/>
          <w:sz w:val="24"/>
        </w:rPr>
        <w:t xml:space="preserve"> </w:t>
      </w:r>
      <w:r>
        <w:rPr>
          <w:rFonts w:ascii="Arial"/>
          <w:color w:val="000000"/>
          <w:sz w:val="24"/>
        </w:rPr>
        <w:t xml:space="preserve">and </w:t>
      </w:r>
      <w:r>
        <w:rPr>
          <w:rFonts w:ascii="Arial"/>
          <w:color w:val="000000"/>
          <w:sz w:val="24"/>
        </w:rPr>
        <w:t>“</w:t>
      </w:r>
      <w:r>
        <w:rPr>
          <w:rFonts w:ascii="Arial"/>
          <w:color w:val="000000"/>
          <w:sz w:val="24"/>
        </w:rPr>
        <w:t>Potential future pedestrian link</w:t>
      </w:r>
      <w:r>
        <w:rPr>
          <w:rFonts w:ascii="Arial"/>
          <w:color w:val="000000"/>
          <w:sz w:val="24"/>
        </w:rPr>
        <w:t>”</w:t>
      </w:r>
      <w:r>
        <w:rPr>
          <w:rFonts w:ascii="Arial"/>
          <w:color w:val="000000"/>
          <w:sz w:val="24"/>
        </w:rPr>
        <w:t xml:space="preserve"> </w:t>
      </w:r>
      <w:r>
        <w:rPr>
          <w:rFonts w:ascii="Arial"/>
          <w:color w:val="000000"/>
          <w:sz w:val="24"/>
        </w:rPr>
        <w:t>within 353-355 Waterloo Road.</w:t>
      </w:r>
    </w:p>
    <w:p>
      <w:pPr>
        <w:pStyle w:val="CaselawNumbereda"/>
        <w:numPr>
          <w:ilvl w:val="0"/>
          <w:numId w:val="141"/>
        </w:numPr>
        <w:spacing w:before="150" w:after="0"/>
        <w:ind w:left="2100" w:hanging="750"/>
      </w:pPr>
      <w:r>
        <w:rPr>
          <w:rFonts w:ascii="Arial"/>
          <w:color w:val="000000"/>
          <w:sz w:val="24"/>
        </w:rPr>
        <w:t>A 10</w:t>
      </w:r>
      <w:r>
        <w:rPr>
          <w:rFonts w:ascii="Arial"/>
          <w:color w:val="000000"/>
          <w:sz w:val="24"/>
        </w:rPr>
        <w:t>m</w:t>
      </w:r>
      <w:r>
        <w:rPr>
          <w:rFonts w:ascii="Arial"/>
          <w:color w:val="000000"/>
          <w:sz w:val="24"/>
        </w:rPr>
        <w:t xml:space="preserve"> </w:t>
      </w:r>
      <w:r>
        <w:rPr>
          <w:rFonts w:ascii="Arial"/>
          <w:color w:val="000000"/>
          <w:sz w:val="24"/>
        </w:rPr>
        <w:t>setback from the southern boundary and a 15m from the eastern boundary.</w:t>
      </w:r>
    </w:p>
    <w:p>
      <w:pPr>
        <w:pStyle w:val="CaselawNumbered1"/>
        <w:numPr>
          <w:ilvl w:val="0"/>
          <w:numId w:val="142"/>
        </w:numPr>
        <w:spacing w:before="150" w:after="0"/>
        <w:ind w:left="1350" w:hanging="750"/>
      </w:pPr>
      <w:r>
        <w:rPr>
          <w:rFonts w:ascii="Arial"/>
          <w:color w:val="000000"/>
          <w:sz w:val="24"/>
        </w:rPr>
        <w:t>Section 2 - Central Civic Plaza and publicly accessible open spaces:</w:t>
      </w:r>
    </w:p>
    <w:p>
      <w:pPr>
        <w:pStyle w:val="CaselawNumbereda"/>
        <w:numPr>
          <w:ilvl w:val="0"/>
          <w:numId w:val="143"/>
        </w:numPr>
        <w:spacing w:before="150" w:after="0"/>
        <w:ind w:left="2100" w:hanging="750"/>
      </w:pPr>
      <w:r>
        <w:rPr>
          <w:rFonts w:ascii="Arial"/>
          <w:color w:val="000000"/>
          <w:sz w:val="24"/>
        </w:rPr>
        <w:t>The new Central Civic Plaza must have a minimum area of 950m</w:t>
      </w:r>
      <w:r>
        <w:rPr>
          <w:rFonts w:ascii="Arial"/>
          <w:color w:val="000000"/>
          <w:sz w:val="24"/>
        </w:rPr>
        <w:t>2</w:t>
      </w:r>
      <w:r>
        <w:rPr>
          <w:rFonts w:ascii="Arial"/>
          <w:color w:val="000000"/>
          <w:sz w:val="24"/>
        </w:rPr>
        <w:t xml:space="preserve"> </w:t>
      </w:r>
      <w:r>
        <w:rPr>
          <w:rFonts w:ascii="Arial"/>
          <w:color w:val="000000"/>
          <w:sz w:val="24"/>
        </w:rPr>
        <w:t>and a minimum width of 25m, and be activated with retail uses on at least two sides, overlooking and facing the open space (Control 2.2, p 9).</w:t>
      </w:r>
    </w:p>
    <w:p>
      <w:pPr>
        <w:pStyle w:val="CaselawNumbered1"/>
        <w:numPr>
          <w:ilvl w:val="0"/>
          <w:numId w:val="144"/>
        </w:numPr>
        <w:spacing w:before="150" w:after="0"/>
        <w:ind w:left="1350" w:hanging="750"/>
      </w:pPr>
      <w:r>
        <w:rPr>
          <w:rFonts w:ascii="Arial"/>
          <w:color w:val="000000"/>
          <w:sz w:val="24"/>
        </w:rPr>
        <w:t>Section 3 - Access and movement:</w:t>
      </w:r>
    </w:p>
    <w:p>
      <w:pPr>
        <w:pStyle w:val="CaselawNumbereda"/>
        <w:numPr>
          <w:ilvl w:val="0"/>
          <w:numId w:val="145"/>
        </w:numPr>
        <w:spacing w:before="150" w:after="0"/>
        <w:ind w:left="2100" w:hanging="750"/>
      </w:pPr>
      <w:r>
        <w:rPr>
          <w:rFonts w:ascii="Arial"/>
          <w:color w:val="000000"/>
          <w:sz w:val="24"/>
        </w:rPr>
        <w:t>“</w:t>
      </w:r>
      <w:r>
        <w:rPr>
          <w:rFonts w:ascii="Arial"/>
          <w:color w:val="000000"/>
          <w:sz w:val="24"/>
        </w:rPr>
        <w:t>New streets must be highly legible, permeable and publicly accessible 24 hours a day. New streets must respond to key connections within and adjacent neighbourhood. All internal streets must consist of shared paths to prioritise access to pedestrians and cyclists</w:t>
      </w:r>
      <w:r>
        <w:rPr>
          <w:rFonts w:ascii="Arial"/>
          <w:color w:val="000000"/>
          <w:sz w:val="24"/>
        </w:rPr>
        <w:t>”</w:t>
      </w:r>
      <w:r>
        <w:rPr>
          <w:rFonts w:ascii="Arial"/>
          <w:color w:val="000000"/>
          <w:sz w:val="24"/>
        </w:rPr>
        <w:t xml:space="preserve"> </w:t>
      </w:r>
      <w:r>
        <w:rPr>
          <w:rFonts w:ascii="Arial"/>
          <w:color w:val="000000"/>
          <w:sz w:val="24"/>
        </w:rPr>
        <w:t>(Control 3.2, p 11).</w:t>
      </w:r>
    </w:p>
    <w:p>
      <w:pPr>
        <w:pStyle w:val="CaselawNumbereda"/>
        <w:numPr>
          <w:ilvl w:val="0"/>
          <w:numId w:val="145"/>
        </w:numPr>
        <w:spacing w:before="150" w:after="0"/>
        <w:ind w:left="2100" w:hanging="750"/>
      </w:pPr>
      <w:r>
        <w:rPr>
          <w:rFonts w:ascii="Arial"/>
          <w:color w:val="000000"/>
          <w:sz w:val="24"/>
        </w:rPr>
        <w:t>“</w:t>
      </w:r>
      <w:r>
        <w:rPr>
          <w:rFonts w:ascii="Arial"/>
          <w:color w:val="000000"/>
          <w:sz w:val="24"/>
        </w:rPr>
        <w:t>New streets and connections should generally be in accordance with the key design principles and indicative structure plan outlined in Section 1 and the typical street sections outlined in Fig 3. Provide new publicly accessible streets and pedestrian connections including:</w:t>
      </w:r>
    </w:p>
    <w:p>
      <w:pPr>
        <w:pStyle w:val="CaselawNumberedi"/>
        <w:numPr>
          <w:ilvl w:val="0"/>
          <w:numId w:val="146"/>
        </w:numPr>
        <w:spacing w:before="150" w:after="0"/>
        <w:ind w:left="2850" w:hanging="750"/>
      </w:pPr>
      <w:r>
        <w:rPr>
          <w:rFonts w:ascii="Arial"/>
          <w:color w:val="000000"/>
          <w:sz w:val="24"/>
        </w:rPr>
        <w:t>Minimum 20m wide internal streets for vehicles (two-way traffic)</w:t>
      </w:r>
    </w:p>
    <w:p>
      <w:pPr>
        <w:pStyle w:val="CaselawNumberedi"/>
        <w:numPr>
          <w:ilvl w:val="0"/>
          <w:numId w:val="146"/>
        </w:numPr>
        <w:spacing w:before="150" w:after="0"/>
        <w:ind w:left="2850" w:hanging="750"/>
      </w:pPr>
      <w:r>
        <w:rPr>
          <w:rFonts w:ascii="Arial"/>
          <w:color w:val="000000"/>
          <w:sz w:val="24"/>
        </w:rPr>
        <w:t>Minimum 15m wide internal streets for vehicles (one-way traffic)</w:t>
      </w:r>
    </w:p>
    <w:p>
      <w:pPr>
        <w:pStyle w:val="CaselawNumberedi"/>
        <w:numPr>
          <w:ilvl w:val="0"/>
          <w:numId w:val="146"/>
        </w:numPr>
        <w:spacing w:before="150" w:after="0"/>
        <w:ind w:left="2850" w:hanging="750"/>
      </w:pPr>
      <w:r>
        <w:rPr>
          <w:rFonts w:ascii="Arial"/>
          <w:color w:val="000000"/>
          <w:sz w:val="24"/>
        </w:rPr>
        <w:t>Minimum 12m wide for pedestrian only links</w:t>
      </w:r>
      <w:r>
        <w:rPr>
          <w:rFonts w:ascii="Arial"/>
          <w:color w:val="000000"/>
          <w:sz w:val="24"/>
        </w:rPr>
        <w:t>”</w:t>
      </w:r>
      <w:r>
        <w:rPr>
          <w:rFonts w:ascii="Arial"/>
          <w:color w:val="000000"/>
          <w:sz w:val="24"/>
        </w:rPr>
        <w:t xml:space="preserve"> </w:t>
      </w:r>
      <w:r>
        <w:rPr>
          <w:rFonts w:ascii="Arial"/>
          <w:color w:val="000000"/>
          <w:sz w:val="24"/>
        </w:rPr>
        <w:t>(Control 3.3, p 12).</w:t>
      </w:r>
    </w:p>
    <w:p>
      <w:pPr>
        <w:pStyle w:val="CaselawNumbereda"/>
        <w:numPr>
          <w:ilvl w:val="0"/>
          <w:numId w:val="147"/>
        </w:numPr>
        <w:spacing w:before="150" w:after="0"/>
        <w:ind w:left="2100" w:hanging="750"/>
      </w:pPr>
      <w:r>
        <w:rPr>
          <w:rFonts w:ascii="Arial"/>
          <w:color w:val="000000"/>
          <w:sz w:val="24"/>
        </w:rPr>
        <w:t>Figure 3 shows the typical street sections for residential and shop top housing streets measuring 20m wide (p 13).</w:t>
      </w:r>
    </w:p>
    <w:p>
      <w:pPr>
        <w:pStyle w:val="CaselawNumbered1"/>
        <w:numPr>
          <w:ilvl w:val="0"/>
          <w:numId w:val="148"/>
        </w:numPr>
        <w:spacing w:before="150" w:after="0"/>
        <w:ind w:left="1350" w:hanging="750"/>
      </w:pPr>
      <w:r>
        <w:rPr>
          <w:rFonts w:ascii="Arial"/>
          <w:color w:val="000000"/>
          <w:sz w:val="24"/>
        </w:rPr>
        <w:t>Section 4 - Land use and site layout:</w:t>
      </w:r>
    </w:p>
    <w:p>
      <w:pPr>
        <w:pStyle w:val="CaselawNumbereda"/>
        <w:numPr>
          <w:ilvl w:val="0"/>
          <w:numId w:val="149"/>
        </w:numPr>
        <w:spacing w:before="150" w:after="0"/>
        <w:ind w:left="2100" w:hanging="750"/>
      </w:pPr>
      <w:r>
        <w:rPr>
          <w:rFonts w:ascii="Arial"/>
          <w:color w:val="000000"/>
          <w:sz w:val="24"/>
        </w:rPr>
        <w:t>“</w:t>
      </w:r>
      <w:r>
        <w:rPr>
          <w:rFonts w:ascii="Arial"/>
          <w:color w:val="000000"/>
          <w:sz w:val="24"/>
        </w:rPr>
        <w:t>Land use shall be designed and located in accordance with the indicative structure plan and key design principles</w:t>
      </w:r>
      <w:r>
        <w:rPr>
          <w:rFonts w:ascii="Arial"/>
          <w:color w:val="000000"/>
          <w:sz w:val="24"/>
        </w:rPr>
        <w:t>”</w:t>
      </w:r>
      <w:r>
        <w:rPr>
          <w:rFonts w:ascii="Arial"/>
          <w:color w:val="000000"/>
          <w:sz w:val="24"/>
        </w:rPr>
        <w:t xml:space="preserve"> </w:t>
      </w:r>
      <w:r>
        <w:rPr>
          <w:rFonts w:ascii="Arial"/>
          <w:color w:val="000000"/>
          <w:sz w:val="24"/>
        </w:rPr>
        <w:t>(Control 4.1, p 15).</w:t>
      </w:r>
    </w:p>
    <w:p>
      <w:pPr>
        <w:pStyle w:val="CaselawNumbereda"/>
        <w:numPr>
          <w:ilvl w:val="0"/>
          <w:numId w:val="149"/>
        </w:numPr>
        <w:spacing w:before="150" w:after="0"/>
        <w:ind w:left="2100" w:hanging="750"/>
      </w:pPr>
      <w:r>
        <w:rPr>
          <w:rFonts w:ascii="Arial"/>
          <w:color w:val="000000"/>
          <w:sz w:val="24"/>
        </w:rPr>
        <w:t>“</w:t>
      </w:r>
      <w:r>
        <w:rPr>
          <w:rFonts w:ascii="Arial"/>
          <w:color w:val="000000"/>
          <w:sz w:val="24"/>
        </w:rPr>
        <w:t>Buildings which interface with low density properties to the south must be designed to:</w:t>
      </w:r>
    </w:p>
    <w:p>
      <w:pPr>
        <w:pStyle w:val="CaselawNumberedi"/>
        <w:numPr>
          <w:ilvl w:val="0"/>
          <w:numId w:val="150"/>
        </w:numPr>
        <w:spacing w:before="150" w:after="0"/>
        <w:ind w:left="2850" w:hanging="750"/>
      </w:pPr>
      <w:r>
        <w:rPr>
          <w:rFonts w:ascii="Arial"/>
          <w:color w:val="000000"/>
          <w:sz w:val="24"/>
        </w:rPr>
        <w:t xml:space="preserve">Maximise street activity through front gardens, terraces and the </w:t>
      </w:r>
      <w:r>
        <w:rPr>
          <w:rFonts w:ascii="Arial"/>
          <w:color w:val="000000"/>
          <w:sz w:val="24"/>
        </w:rPr>
        <w:t>fa</w:t>
      </w:r>
      <w:r>
        <w:rPr>
          <w:rFonts w:ascii="Arial"/>
          <w:color w:val="000000"/>
          <w:sz w:val="24"/>
        </w:rPr>
        <w:t xml:space="preserve">çade </w:t>
      </w:r>
      <w:r>
        <w:rPr>
          <w:rFonts w:ascii="Arial"/>
          <w:color w:val="000000"/>
          <w:sz w:val="24"/>
        </w:rPr>
        <w:t>of the building.</w:t>
      </w:r>
    </w:p>
    <w:p>
      <w:pPr>
        <w:pStyle w:val="CaselawNumberedi"/>
        <w:numPr>
          <w:ilvl w:val="0"/>
          <w:numId w:val="150"/>
        </w:numPr>
        <w:spacing w:before="150" w:after="0"/>
        <w:ind w:left="2850" w:hanging="750"/>
      </w:pPr>
      <w:r>
        <w:rPr>
          <w:rFonts w:ascii="Arial"/>
          <w:color w:val="000000"/>
          <w:sz w:val="24"/>
        </w:rPr>
        <w:t>Be directly accessible from the new internal street.</w:t>
      </w:r>
    </w:p>
    <w:p>
      <w:pPr>
        <w:pStyle w:val="CaselawNumberedi"/>
        <w:numPr>
          <w:ilvl w:val="0"/>
          <w:numId w:val="150"/>
        </w:numPr>
        <w:spacing w:before="150" w:after="0"/>
        <w:ind w:left="2850" w:hanging="750"/>
      </w:pPr>
      <w:r>
        <w:rPr>
          <w:rFonts w:ascii="Arial"/>
          <w:color w:val="000000"/>
          <w:sz w:val="24"/>
        </w:rPr>
        <w:t>Minimise overlooking into the private open space of adjoining residential properties to the south</w:t>
      </w:r>
      <w:r>
        <w:rPr>
          <w:rFonts w:ascii="Arial"/>
          <w:color w:val="000000"/>
          <w:sz w:val="24"/>
        </w:rPr>
        <w:t>”</w:t>
      </w:r>
      <w:r>
        <w:rPr>
          <w:rFonts w:ascii="Arial"/>
          <w:color w:val="000000"/>
          <w:sz w:val="24"/>
        </w:rPr>
        <w:t xml:space="preserve"> </w:t>
      </w:r>
      <w:r>
        <w:rPr>
          <w:rFonts w:ascii="Arial"/>
          <w:color w:val="000000"/>
          <w:sz w:val="24"/>
        </w:rPr>
        <w:t>(Control 4.5, p 15).</w:t>
      </w:r>
    </w:p>
    <w:p>
      <w:pPr>
        <w:pStyle w:val="CaselawNumbered1"/>
        <w:numPr>
          <w:ilvl w:val="0"/>
          <w:numId w:val="151"/>
        </w:numPr>
        <w:spacing w:before="150" w:after="0"/>
        <w:ind w:left="1350" w:hanging="750"/>
      </w:pPr>
      <w:r>
        <w:rPr>
          <w:rFonts w:ascii="Arial"/>
          <w:color w:val="000000"/>
          <w:sz w:val="24"/>
        </w:rPr>
        <w:t>Section 5 - Built form:</w:t>
      </w:r>
    </w:p>
    <w:p>
      <w:pPr>
        <w:pStyle w:val="CaselawNumbereda"/>
        <w:numPr>
          <w:ilvl w:val="0"/>
          <w:numId w:val="152"/>
        </w:numPr>
        <w:spacing w:before="150" w:after="0"/>
        <w:ind w:left="2100" w:hanging="750"/>
      </w:pPr>
      <w:r>
        <w:rPr>
          <w:rFonts w:ascii="Arial"/>
          <w:color w:val="000000"/>
          <w:sz w:val="24"/>
        </w:rPr>
        <w:t>“</w:t>
      </w:r>
      <w:r>
        <w:rPr>
          <w:rFonts w:ascii="Arial"/>
          <w:color w:val="000000"/>
          <w:sz w:val="24"/>
        </w:rPr>
        <w:t>A 10m minimum setback shall be provided to the rear boundary of properties facing Norfolk Road and to the northern side of 351 Waterloo Road</w:t>
      </w:r>
      <w:r>
        <w:rPr>
          <w:rFonts w:ascii="Arial"/>
          <w:color w:val="000000"/>
          <w:sz w:val="24"/>
        </w:rPr>
        <w:t>”</w:t>
      </w:r>
      <w:r>
        <w:rPr>
          <w:rFonts w:ascii="Arial"/>
          <w:color w:val="000000"/>
          <w:sz w:val="24"/>
        </w:rPr>
        <w:t xml:space="preserve"> </w:t>
      </w:r>
      <w:r>
        <w:rPr>
          <w:rFonts w:ascii="Arial"/>
          <w:color w:val="000000"/>
          <w:sz w:val="24"/>
        </w:rPr>
        <w:t>(Control 5.5, p 18).</w:t>
      </w:r>
    </w:p>
    <w:p>
      <w:pPr>
        <w:pStyle w:val="CaselawNumbereda"/>
        <w:numPr>
          <w:ilvl w:val="0"/>
          <w:numId w:val="152"/>
        </w:numPr>
        <w:spacing w:before="150" w:after="0"/>
        <w:ind w:left="2100" w:hanging="750"/>
      </w:pPr>
      <w:r>
        <w:rPr>
          <w:rFonts w:ascii="Arial"/>
          <w:color w:val="000000"/>
          <w:sz w:val="24"/>
        </w:rPr>
        <w:t>“</w:t>
      </w:r>
      <w:r>
        <w:rPr>
          <w:rFonts w:ascii="Arial"/>
          <w:color w:val="000000"/>
          <w:sz w:val="24"/>
        </w:rPr>
        <w:t>Development must incorporate a minimum setback (buffer zone) of 15m along the eastern boundary of the site. Within this setback, a minimum 6m wide deep soil zone is required along the reserve</w:t>
      </w:r>
      <w:r>
        <w:rPr>
          <w:rFonts w:ascii="Arial"/>
          <w:color w:val="000000"/>
          <w:sz w:val="24"/>
        </w:rPr>
        <w:t>”</w:t>
      </w:r>
      <w:r>
        <w:rPr>
          <w:rFonts w:ascii="Arial"/>
          <w:color w:val="000000"/>
          <w:sz w:val="24"/>
        </w:rPr>
        <w:t xml:space="preserve"> </w:t>
      </w:r>
      <w:r>
        <w:rPr>
          <w:rFonts w:ascii="Arial"/>
          <w:color w:val="000000"/>
          <w:sz w:val="24"/>
        </w:rPr>
        <w:t>(Control 5.9, p 18).</w:t>
      </w:r>
    </w:p>
    <w:p>
      <w:pPr>
        <w:pStyle w:val="CaselawNumbered1"/>
        <w:numPr>
          <w:ilvl w:val="0"/>
          <w:numId w:val="153"/>
        </w:numPr>
        <w:spacing w:before="150" w:after="0"/>
        <w:ind w:left="1350" w:hanging="750"/>
      </w:pPr>
      <w:r>
        <w:rPr>
          <w:rFonts w:ascii="Arial"/>
          <w:color w:val="000000"/>
          <w:sz w:val="24"/>
        </w:rPr>
        <w:t>Section 8 - Landscaping and public domain:</w:t>
      </w:r>
    </w:p>
    <w:p>
      <w:pPr>
        <w:pStyle w:val="CaselawNumbereda"/>
        <w:numPr>
          <w:ilvl w:val="0"/>
          <w:numId w:val="154"/>
        </w:numPr>
        <w:spacing w:before="150" w:after="0"/>
        <w:ind w:left="2100" w:hanging="750"/>
      </w:pPr>
      <w:r>
        <w:rPr>
          <w:rFonts w:ascii="Arial"/>
          <w:color w:val="000000"/>
          <w:sz w:val="24"/>
        </w:rPr>
        <w:t>“</w:t>
      </w:r>
      <w:r>
        <w:rPr>
          <w:rFonts w:ascii="Arial"/>
          <w:color w:val="000000"/>
          <w:sz w:val="24"/>
        </w:rPr>
        <w:t>Provide a green corridor through the site from Norfolk Reserve to Waterloo Road including substantial planted trees over 5m in mature height. This can be provided through street planting</w:t>
      </w:r>
      <w:r>
        <w:rPr>
          <w:rFonts w:ascii="Arial"/>
          <w:color w:val="000000"/>
          <w:sz w:val="24"/>
        </w:rPr>
        <w:t>”</w:t>
      </w:r>
      <w:r>
        <w:rPr>
          <w:rFonts w:ascii="Arial"/>
          <w:color w:val="000000"/>
          <w:sz w:val="24"/>
        </w:rPr>
        <w:t xml:space="preserve"> </w:t>
      </w:r>
      <w:r>
        <w:rPr>
          <w:rFonts w:ascii="Arial"/>
          <w:color w:val="000000"/>
          <w:sz w:val="24"/>
        </w:rPr>
        <w:t>(Control 8.1, p 22).</w:t>
      </w:r>
    </w:p>
    <w:p>
      <w:pPr>
        <w:pStyle w:val="CaselawNumbered10"/>
        <w:numPr>
          <w:ilvl w:val="0"/>
          <w:numId w:val="155"/>
        </w:numPr>
        <w:spacing w:before="150" w:after="0"/>
        <w:ind w:left="600" w:hanging="600"/>
      </w:pPr>
      <w:r>
        <w:rPr>
          <w:rFonts w:ascii="Arial"/>
          <w:color w:val="000000"/>
          <w:sz w:val="24"/>
        </w:rPr>
        <w:t xml:space="preserve">It </w:t>
      </w:r>
      <w:r>
        <w:rPr>
          <w:rFonts w:ascii="Arial"/>
          <w:color w:val="000000"/>
          <w:sz w:val="24"/>
        </w:rPr>
        <w:t>submits that it is clear from the above provisions of Chapter 11.10 of the DCP that the key outcomes envisaged by the controls are:</w:t>
      </w:r>
    </w:p>
    <w:p>
      <w:pPr>
        <w:pStyle w:val="CaselawNumbered1"/>
        <w:numPr>
          <w:ilvl w:val="0"/>
          <w:numId w:val="156"/>
        </w:numPr>
        <w:spacing w:before="150" w:after="0"/>
        <w:ind w:left="1350" w:hanging="750"/>
      </w:pPr>
      <w:r>
        <w:rPr>
          <w:rFonts w:ascii="Arial"/>
          <w:color w:val="000000"/>
          <w:sz w:val="24"/>
        </w:rPr>
        <w:t>A 950m</w:t>
      </w:r>
      <w:r>
        <w:rPr>
          <w:rFonts w:ascii="Arial"/>
          <w:color w:val="000000"/>
          <w:sz w:val="24"/>
        </w:rPr>
        <w:t>2</w:t>
      </w:r>
      <w:r>
        <w:rPr>
          <w:rFonts w:ascii="Arial"/>
          <w:color w:val="000000"/>
          <w:sz w:val="24"/>
        </w:rPr>
        <w:t xml:space="preserve"> </w:t>
      </w:r>
      <w:r>
        <w:rPr>
          <w:rFonts w:ascii="Arial"/>
          <w:color w:val="000000"/>
          <w:sz w:val="24"/>
        </w:rPr>
        <w:t>Central Civic Plaza that has active uses on two sides and linked to its surrounding with a network of pedestrian friendly internal and publicly accessible streets.</w:t>
      </w:r>
    </w:p>
    <w:p>
      <w:pPr>
        <w:pStyle w:val="CaselawNumbered1"/>
        <w:numPr>
          <w:ilvl w:val="0"/>
          <w:numId w:val="156"/>
        </w:numPr>
        <w:spacing w:before="150" w:after="0"/>
        <w:ind w:left="1350" w:hanging="750"/>
      </w:pPr>
      <w:r>
        <w:rPr>
          <w:rFonts w:ascii="Arial"/>
          <w:color w:val="000000"/>
          <w:sz w:val="24"/>
        </w:rPr>
        <w:t xml:space="preserve">A 20m new connector two-way road from Waterloo Road to the eastern boundary of 355 Waterloo Road that provides a green corridor to and from Norfolk Reserve. That road should generally be in accordance with the key design principles and </w:t>
      </w:r>
      <w:r>
        <w:rPr>
          <w:rFonts w:ascii="Arial"/>
          <w:color w:val="000000"/>
          <w:sz w:val="24"/>
        </w:rPr>
        <w:t>ISP</w:t>
      </w:r>
      <w:r>
        <w:rPr>
          <w:rFonts w:ascii="Arial"/>
          <w:color w:val="000000"/>
          <w:sz w:val="24"/>
        </w:rPr>
        <w:t>.</w:t>
      </w:r>
    </w:p>
    <w:p>
      <w:pPr>
        <w:pStyle w:val="CaselawNumbered1"/>
        <w:numPr>
          <w:ilvl w:val="0"/>
          <w:numId w:val="156"/>
        </w:numPr>
        <w:spacing w:before="150" w:after="0"/>
        <w:ind w:left="1350" w:hanging="750"/>
      </w:pPr>
      <w:r>
        <w:rPr>
          <w:rFonts w:ascii="Arial"/>
          <w:color w:val="000000"/>
          <w:sz w:val="24"/>
        </w:rPr>
        <w:t xml:space="preserve">Low-density residential to the south of the new connector road to provide a suitable interface with the existing residential properties on Norfolk Road. That land use must be designed and located in accordance with the </w:t>
      </w:r>
      <w:r>
        <w:rPr>
          <w:rFonts w:ascii="Arial"/>
          <w:color w:val="000000"/>
          <w:sz w:val="24"/>
        </w:rPr>
        <w:t>ISP</w:t>
      </w:r>
      <w:r>
        <w:rPr>
          <w:rFonts w:ascii="Arial"/>
          <w:color w:val="000000"/>
          <w:sz w:val="24"/>
        </w:rPr>
        <w:t xml:space="preserve"> </w:t>
      </w:r>
      <w:r>
        <w:rPr>
          <w:rFonts w:ascii="Arial"/>
          <w:color w:val="000000"/>
          <w:sz w:val="24"/>
        </w:rPr>
        <w:t>and key design principles - cl 4.1. In this regard, the flexible approach that may be taken to the new connector road is not carried through to the design and location of land uses.</w:t>
      </w:r>
    </w:p>
    <w:p>
      <w:pPr>
        <w:pStyle w:val="CaselawNumbered1"/>
        <w:numPr>
          <w:ilvl w:val="0"/>
          <w:numId w:val="156"/>
        </w:numPr>
        <w:spacing w:before="150" w:after="0"/>
        <w:ind w:left="1350" w:hanging="750"/>
      </w:pPr>
      <w:r>
        <w:rPr>
          <w:rFonts w:ascii="Arial"/>
          <w:color w:val="000000"/>
          <w:sz w:val="24"/>
        </w:rPr>
        <w:t>A new internal street network that is permeable, legible and provide 24-hour safe priority access to pedestrians and cyclists via inclusion of shared paths.</w:t>
      </w:r>
    </w:p>
    <w:p>
      <w:pPr>
        <w:pStyle w:val="CaselawNumbered10"/>
        <w:numPr>
          <w:ilvl w:val="0"/>
          <w:numId w:val="157"/>
        </w:numPr>
        <w:spacing w:before="150" w:after="0"/>
        <w:ind w:left="600" w:hanging="600"/>
      </w:pPr>
      <w:r>
        <w:rPr>
          <w:rFonts w:ascii="Arial"/>
          <w:color w:val="000000"/>
          <w:sz w:val="24"/>
        </w:rPr>
        <w:t xml:space="preserve">The Council </w:t>
      </w:r>
      <w:r>
        <w:rPr>
          <w:rFonts w:ascii="Arial"/>
          <w:color w:val="000000"/>
          <w:sz w:val="24"/>
        </w:rPr>
        <w:t xml:space="preserve">contends </w:t>
      </w:r>
      <w:r>
        <w:rPr>
          <w:rFonts w:ascii="Arial"/>
          <w:color w:val="000000"/>
          <w:sz w:val="24"/>
        </w:rPr>
        <w:t>that the proposed development for Stage 1 DA ignores those key outcomes, and this will undoubtedly have flow</w:t>
      </w:r>
      <w:r>
        <w:rPr>
          <w:rFonts w:ascii="Arial"/>
          <w:color w:val="000000"/>
          <w:sz w:val="24"/>
        </w:rPr>
        <w:t>-</w:t>
      </w:r>
      <w:r>
        <w:rPr>
          <w:rFonts w:ascii="Arial"/>
          <w:color w:val="000000"/>
          <w:sz w:val="24"/>
        </w:rPr>
        <w:t xml:space="preserve">on effects for future development on the site. </w:t>
      </w:r>
      <w:r>
        <w:rPr>
          <w:rFonts w:ascii="Arial"/>
          <w:color w:val="000000"/>
          <w:sz w:val="24"/>
        </w:rPr>
        <w:t xml:space="preserve">It </w:t>
      </w:r>
      <w:r>
        <w:rPr>
          <w:rFonts w:ascii="Arial"/>
          <w:color w:val="000000"/>
          <w:sz w:val="24"/>
        </w:rPr>
        <w:t xml:space="preserve">relies on the evidence of Mr Smith and Ms Bartlett as to the scope of the non-compliances with the DCP, and the consequences of those non-compliances: </w:t>
      </w:r>
      <w:r>
        <w:rPr>
          <w:rFonts w:ascii="Arial"/>
          <w:color w:val="000000"/>
          <w:sz w:val="24"/>
        </w:rPr>
        <w:t>Ex 11</w:t>
      </w:r>
      <w:r>
        <w:rPr>
          <w:rFonts w:ascii="Arial"/>
          <w:color w:val="000000"/>
          <w:sz w:val="24"/>
        </w:rPr>
        <w:t xml:space="preserve"> </w:t>
      </w:r>
      <w:r>
        <w:rPr>
          <w:rFonts w:ascii="Arial"/>
          <w:color w:val="000000"/>
          <w:sz w:val="24"/>
        </w:rPr>
        <w:t xml:space="preserve">at </w:t>
      </w:r>
      <w:r>
        <w:rPr>
          <w:rFonts w:ascii="Arial"/>
          <w:color w:val="000000"/>
          <w:sz w:val="24"/>
        </w:rPr>
        <w:t xml:space="preserve">pars </w:t>
      </w:r>
      <w:r>
        <w:rPr>
          <w:rFonts w:ascii="Arial"/>
          <w:color w:val="000000"/>
          <w:sz w:val="24"/>
        </w:rPr>
        <w:t>12-19 (Mr Smith's evidence) and 41-49 (Ms Bartlett's evidence) respectively.</w:t>
      </w:r>
    </w:p>
    <w:p>
      <w:pPr>
        <w:pStyle w:val="CaselawNumbered10"/>
        <w:numPr>
          <w:ilvl w:val="0"/>
          <w:numId w:val="157"/>
        </w:numPr>
        <w:spacing w:before="150" w:after="0"/>
        <w:ind w:left="600" w:hanging="600"/>
      </w:pPr>
      <w:r>
        <w:rPr>
          <w:rFonts w:ascii="Arial"/>
          <w:color w:val="000000"/>
          <w:sz w:val="24"/>
        </w:rPr>
        <w:t>In particular, based on the urban design evidence of Mr Smith</w:t>
      </w:r>
      <w:r>
        <w:rPr>
          <w:rFonts w:ascii="Arial"/>
          <w:color w:val="000000"/>
          <w:sz w:val="24"/>
        </w:rPr>
        <w:t>,</w:t>
      </w:r>
      <w:r>
        <w:rPr>
          <w:rFonts w:ascii="Arial"/>
          <w:color w:val="000000"/>
          <w:sz w:val="24"/>
        </w:rPr>
        <w:t xml:space="preserve"> </w:t>
      </w:r>
      <w:r>
        <w:rPr>
          <w:rFonts w:ascii="Arial"/>
          <w:color w:val="000000"/>
          <w:sz w:val="24"/>
        </w:rPr>
        <w:t>the Council submit that the DA fails to provide:</w:t>
      </w:r>
    </w:p>
    <w:p>
      <w:pPr>
        <w:pStyle w:val="CaselawNumbered1"/>
        <w:numPr>
          <w:ilvl w:val="0"/>
          <w:numId w:val="158"/>
        </w:numPr>
        <w:spacing w:before="150" w:after="0"/>
        <w:ind w:left="1350" w:hanging="750"/>
      </w:pPr>
      <w:r>
        <w:rPr>
          <w:rFonts w:ascii="Arial"/>
          <w:color w:val="000000"/>
          <w:sz w:val="24"/>
        </w:rPr>
        <w:t>a connector road or street between Waterloo Road and the Norfolk Reserve, being one which:</w:t>
      </w:r>
    </w:p>
    <w:p>
      <w:pPr>
        <w:pStyle w:val="CaselawNumbereda"/>
        <w:numPr>
          <w:ilvl w:val="0"/>
          <w:numId w:val="159"/>
        </w:numPr>
        <w:spacing w:before="150" w:after="0"/>
        <w:ind w:left="2100" w:hanging="750"/>
      </w:pPr>
      <w:r>
        <w:rPr>
          <w:rFonts w:ascii="Arial"/>
          <w:color w:val="000000"/>
          <w:sz w:val="24"/>
        </w:rPr>
        <w:t xml:space="preserve">is </w:t>
      </w:r>
      <w:r>
        <w:rPr>
          <w:rFonts w:ascii="Arial"/>
          <w:color w:val="000000"/>
          <w:sz w:val="24"/>
        </w:rPr>
        <w:t>“</w:t>
      </w:r>
      <w:r>
        <w:rPr>
          <w:rFonts w:ascii="Arial"/>
          <w:color w:val="000000"/>
          <w:sz w:val="24"/>
        </w:rPr>
        <w:t>highly legible, permeable and publicly accessible 24 hours a day</w:t>
      </w:r>
      <w:r>
        <w:rPr>
          <w:rFonts w:ascii="Arial"/>
          <w:color w:val="000000"/>
          <w:sz w:val="24"/>
        </w:rPr>
        <w:t>”</w:t>
      </w:r>
      <w:r>
        <w:rPr>
          <w:rFonts w:ascii="Arial"/>
          <w:color w:val="000000"/>
          <w:sz w:val="24"/>
        </w:rPr>
        <w:t>,</w:t>
      </w:r>
    </w:p>
    <w:p>
      <w:pPr>
        <w:pStyle w:val="CaselawNumbereda"/>
        <w:numPr>
          <w:ilvl w:val="0"/>
          <w:numId w:val="159"/>
        </w:numPr>
        <w:spacing w:before="150" w:after="0"/>
        <w:ind w:left="2100" w:hanging="750"/>
      </w:pPr>
      <w:r>
        <w:rPr>
          <w:rFonts w:ascii="Arial"/>
          <w:color w:val="000000"/>
          <w:sz w:val="24"/>
        </w:rPr>
        <w:t>“</w:t>
      </w:r>
      <w:r>
        <w:rPr>
          <w:rFonts w:ascii="Arial"/>
          <w:color w:val="000000"/>
          <w:sz w:val="24"/>
        </w:rPr>
        <w:t>consists of shared paths to prioritise access to pedestrians and cyclists</w:t>
      </w:r>
      <w:r>
        <w:rPr>
          <w:rFonts w:ascii="Arial"/>
          <w:color w:val="000000"/>
          <w:sz w:val="24"/>
        </w:rPr>
        <w:t>”</w:t>
      </w:r>
      <w:r>
        <w:rPr>
          <w:rFonts w:ascii="Arial"/>
          <w:color w:val="000000"/>
          <w:sz w:val="24"/>
        </w:rPr>
        <w:t>,</w:t>
      </w:r>
    </w:p>
    <w:p>
      <w:pPr>
        <w:pStyle w:val="CaselawNumbereda"/>
        <w:numPr>
          <w:ilvl w:val="0"/>
          <w:numId w:val="159"/>
        </w:numPr>
        <w:spacing w:before="150" w:after="0"/>
        <w:ind w:left="2100" w:hanging="750"/>
      </w:pPr>
      <w:r>
        <w:rPr>
          <w:rFonts w:ascii="Arial"/>
          <w:color w:val="000000"/>
          <w:sz w:val="24"/>
        </w:rPr>
        <w:t>“</w:t>
      </w:r>
      <w:r>
        <w:rPr>
          <w:rFonts w:ascii="Arial"/>
          <w:color w:val="000000"/>
          <w:sz w:val="24"/>
        </w:rPr>
        <w:t xml:space="preserve">generally </w:t>
      </w:r>
      <w:r>
        <w:rPr>
          <w:rFonts w:ascii="Arial"/>
          <w:color w:val="000000"/>
          <w:sz w:val="24"/>
        </w:rPr>
        <w:t>…</w:t>
      </w:r>
      <w:r>
        <w:rPr>
          <w:rFonts w:ascii="Arial"/>
          <w:color w:val="000000"/>
          <w:sz w:val="24"/>
        </w:rPr>
        <w:t xml:space="preserve"> </w:t>
      </w:r>
      <w:r>
        <w:rPr>
          <w:rFonts w:ascii="Arial"/>
          <w:color w:val="000000"/>
          <w:sz w:val="24"/>
        </w:rPr>
        <w:t>in accordance with the key design principles and indicative structure plan</w:t>
      </w:r>
      <w:r>
        <w:rPr>
          <w:rFonts w:ascii="Arial"/>
          <w:color w:val="000000"/>
          <w:sz w:val="24"/>
        </w:rPr>
        <w:t>”</w:t>
      </w:r>
      <w:r>
        <w:rPr>
          <w:rFonts w:ascii="Arial"/>
          <w:color w:val="000000"/>
          <w:sz w:val="24"/>
        </w:rPr>
        <w:t>,</w:t>
      </w:r>
    </w:p>
    <w:p>
      <w:pPr>
        <w:pStyle w:val="CaselawNumbereda"/>
        <w:numPr>
          <w:ilvl w:val="0"/>
          <w:numId w:val="159"/>
        </w:numPr>
        <w:spacing w:before="150" w:after="0"/>
        <w:ind w:left="2100" w:hanging="750"/>
      </w:pPr>
      <w:r>
        <w:rPr>
          <w:rFonts w:ascii="Arial"/>
          <w:color w:val="000000"/>
          <w:sz w:val="24"/>
        </w:rPr>
        <w:t>residential vehicular access from Waterloo Road,</w:t>
      </w:r>
      <w:r>
        <w:rPr>
          <w:rFonts w:ascii="Arial"/>
          <w:color w:val="000000"/>
          <w:sz w:val="24"/>
        </w:rPr>
        <w:t xml:space="preserve"> </w:t>
      </w:r>
      <w:r>
        <w:rPr>
          <w:rFonts w:ascii="Arial"/>
          <w:color w:val="000000"/>
          <w:sz w:val="24"/>
        </w:rPr>
        <w:t>and</w:t>
      </w:r>
    </w:p>
    <w:p>
      <w:pPr>
        <w:pStyle w:val="CaselawNumbereda"/>
        <w:numPr>
          <w:ilvl w:val="0"/>
          <w:numId w:val="159"/>
        </w:numPr>
        <w:spacing w:before="150" w:after="0"/>
        <w:ind w:left="2100" w:hanging="750"/>
      </w:pPr>
      <w:r>
        <w:rPr>
          <w:rFonts w:ascii="Arial"/>
          <w:color w:val="000000"/>
          <w:sz w:val="24"/>
        </w:rPr>
        <w:t xml:space="preserve">provides </w:t>
      </w:r>
      <w:r>
        <w:rPr>
          <w:rFonts w:ascii="Arial"/>
          <w:color w:val="000000"/>
          <w:sz w:val="24"/>
        </w:rPr>
        <w:t>“</w:t>
      </w:r>
      <w:r>
        <w:rPr>
          <w:rFonts w:ascii="Arial"/>
          <w:color w:val="000000"/>
          <w:sz w:val="24"/>
        </w:rPr>
        <w:t>a green corridor through the site from Norfolk Reserve to Waterloo Road</w:t>
      </w:r>
      <w:r>
        <w:rPr>
          <w:rFonts w:ascii="Arial"/>
          <w:color w:val="000000"/>
          <w:sz w:val="24"/>
        </w:rPr>
        <w:t>”</w:t>
      </w:r>
      <w:r>
        <w:rPr>
          <w:rFonts w:ascii="Arial"/>
          <w:color w:val="000000"/>
          <w:sz w:val="24"/>
        </w:rPr>
        <w:t>.</w:t>
      </w:r>
    </w:p>
    <w:p>
      <w:pPr>
        <w:pStyle w:val="CaselawNumbered1"/>
        <w:numPr>
          <w:ilvl w:val="0"/>
          <w:numId w:val="160"/>
        </w:numPr>
        <w:spacing w:before="150" w:after="0"/>
        <w:ind w:left="1350" w:hanging="750"/>
      </w:pPr>
      <w:r>
        <w:rPr>
          <w:rFonts w:ascii="Arial"/>
          <w:color w:val="000000"/>
          <w:sz w:val="24"/>
        </w:rPr>
        <w:t>L</w:t>
      </w:r>
      <w:r>
        <w:rPr>
          <w:rFonts w:ascii="Arial"/>
          <w:color w:val="000000"/>
          <w:sz w:val="24"/>
        </w:rPr>
        <w:t xml:space="preserve">ow density residential to the south of that new connector road, to interface with the R2 zoned properties, as shown in light blue on the </w:t>
      </w:r>
      <w:r>
        <w:rPr>
          <w:rFonts w:ascii="Arial"/>
          <w:color w:val="000000"/>
          <w:sz w:val="24"/>
        </w:rPr>
        <w:t>ISP</w:t>
      </w:r>
      <w:r>
        <w:rPr>
          <w:rFonts w:ascii="Arial"/>
          <w:color w:val="000000"/>
          <w:sz w:val="24"/>
        </w:rPr>
        <w:t>.</w:t>
      </w:r>
    </w:p>
    <w:p>
      <w:pPr>
        <w:pStyle w:val="CaselawNumbered1"/>
        <w:numPr>
          <w:ilvl w:val="0"/>
          <w:numId w:val="160"/>
        </w:numPr>
        <w:spacing w:before="150" w:after="0"/>
        <w:ind w:left="1350" w:hanging="750"/>
      </w:pPr>
      <w:r>
        <w:rPr>
          <w:rFonts w:ascii="Arial"/>
          <w:color w:val="000000"/>
          <w:sz w:val="24"/>
        </w:rPr>
        <w:t>L</w:t>
      </w:r>
      <w:r>
        <w:rPr>
          <w:rFonts w:ascii="Arial"/>
          <w:color w:val="000000"/>
          <w:sz w:val="24"/>
        </w:rPr>
        <w:t xml:space="preserve">and use designed and located </w:t>
      </w:r>
      <w:r>
        <w:rPr>
          <w:rFonts w:ascii="Arial"/>
          <w:color w:val="000000"/>
          <w:sz w:val="24"/>
        </w:rPr>
        <w:t>“</w:t>
      </w:r>
      <w:r>
        <w:rPr>
          <w:rFonts w:ascii="Arial"/>
          <w:color w:val="000000"/>
          <w:sz w:val="24"/>
        </w:rPr>
        <w:t>in accordance with the indicative structure plan and key design principles</w:t>
      </w:r>
      <w:r>
        <w:rPr>
          <w:rFonts w:ascii="Arial"/>
          <w:color w:val="000000"/>
          <w:sz w:val="24"/>
        </w:rPr>
        <w:t>”</w:t>
      </w:r>
      <w:r>
        <w:rPr>
          <w:rFonts w:ascii="Arial"/>
          <w:color w:val="000000"/>
          <w:sz w:val="24"/>
        </w:rPr>
        <w:t>.</w:t>
      </w:r>
    </w:p>
    <w:p>
      <w:pPr>
        <w:pStyle w:val="CaselawNumbered10"/>
        <w:numPr>
          <w:ilvl w:val="0"/>
          <w:numId w:val="161"/>
        </w:numPr>
        <w:spacing w:before="150" w:after="0"/>
        <w:ind w:left="600" w:hanging="600"/>
      </w:pPr>
      <w:r>
        <w:rPr>
          <w:rFonts w:ascii="Arial"/>
          <w:color w:val="000000"/>
          <w:sz w:val="24"/>
        </w:rPr>
        <w:t>The Council invites me to take into account the concessions made by Mr Ryan during cross</w:t>
      </w:r>
      <w:r>
        <w:rPr>
          <w:rFonts w:ascii="Arial"/>
          <w:color w:val="000000"/>
          <w:sz w:val="24"/>
        </w:rPr>
        <w:t>-</w:t>
      </w:r>
      <w:r>
        <w:rPr>
          <w:rFonts w:ascii="Arial"/>
          <w:color w:val="000000"/>
          <w:sz w:val="24"/>
        </w:rPr>
        <w:t>examination where he accepted:</w:t>
      </w:r>
    </w:p>
    <w:p>
      <w:pPr>
        <w:pStyle w:val="CaselawNumbered1"/>
        <w:numPr>
          <w:ilvl w:val="0"/>
          <w:numId w:val="162"/>
        </w:numPr>
        <w:spacing w:before="150" w:after="0"/>
        <w:ind w:left="1350" w:hanging="750"/>
      </w:pPr>
      <w:r>
        <w:rPr>
          <w:rFonts w:ascii="Arial"/>
          <w:color w:val="000000"/>
          <w:sz w:val="24"/>
        </w:rPr>
        <w:t>Clause 4.3 sets a height limit for 353-355 Waterloo Road of 11m.</w:t>
      </w:r>
    </w:p>
    <w:p>
      <w:pPr>
        <w:pStyle w:val="CaselawNumbered1"/>
        <w:numPr>
          <w:ilvl w:val="0"/>
          <w:numId w:val="162"/>
        </w:numPr>
        <w:spacing w:before="150" w:after="0"/>
        <w:ind w:left="1350" w:hanging="750"/>
      </w:pPr>
      <w:r>
        <w:rPr>
          <w:rFonts w:ascii="Arial"/>
          <w:color w:val="000000"/>
          <w:sz w:val="24"/>
        </w:rPr>
        <w:t>The (curious) effect of cl 6.14 of LEP 2015 is to increase the height limit of Lot 41 (</w:t>
      </w:r>
      <w:r>
        <w:rPr>
          <w:rFonts w:ascii="Arial"/>
          <w:color w:val="000000"/>
          <w:sz w:val="24"/>
        </w:rPr>
        <w:t>i.e.</w:t>
      </w:r>
      <w:r>
        <w:rPr>
          <w:rFonts w:ascii="Arial"/>
          <w:color w:val="000000"/>
          <w:sz w:val="24"/>
        </w:rPr>
        <w:t xml:space="preserve"> </w:t>
      </w:r>
      <w:r>
        <w:rPr>
          <w:rFonts w:ascii="Arial"/>
          <w:color w:val="000000"/>
          <w:sz w:val="24"/>
        </w:rPr>
        <w:t>355 Waterloo Road) to 20m, however restrict the height limit along the southern boundary to 9m (</w:t>
      </w:r>
      <w:r>
        <w:rPr>
          <w:rFonts w:ascii="Arial"/>
          <w:color w:val="000000"/>
          <w:sz w:val="24"/>
        </w:rPr>
        <w:t>i.e.</w:t>
      </w:r>
      <w:r>
        <w:rPr>
          <w:rFonts w:ascii="Arial"/>
          <w:color w:val="000000"/>
          <w:sz w:val="24"/>
        </w:rPr>
        <w:t xml:space="preserve"> </w:t>
      </w:r>
      <w:r>
        <w:rPr>
          <w:rFonts w:ascii="Arial"/>
          <w:color w:val="000000"/>
          <w:sz w:val="24"/>
        </w:rPr>
        <w:t>lower than the cl 4.3 height limit of 11m) if the building is within 30.5m of that boundary. The effect of the reduction in height is that there will be less density and GFA/FSR.</w:t>
      </w:r>
    </w:p>
    <w:p>
      <w:pPr>
        <w:pStyle w:val="CaselawNumbered1"/>
        <w:numPr>
          <w:ilvl w:val="0"/>
          <w:numId w:val="162"/>
        </w:numPr>
        <w:spacing w:before="150" w:after="0"/>
        <w:ind w:left="1350" w:hanging="750"/>
      </w:pPr>
      <w:r>
        <w:rPr>
          <w:rFonts w:ascii="Arial"/>
          <w:color w:val="000000"/>
          <w:sz w:val="24"/>
        </w:rPr>
        <w:t xml:space="preserve">The light blue area on the </w:t>
      </w:r>
      <w:r>
        <w:rPr>
          <w:rFonts w:ascii="Arial"/>
          <w:color w:val="000000"/>
          <w:sz w:val="24"/>
        </w:rPr>
        <w:t>ISP</w:t>
      </w:r>
      <w:r>
        <w:rPr>
          <w:rFonts w:ascii="Arial"/>
          <w:color w:val="000000"/>
          <w:sz w:val="24"/>
        </w:rPr>
        <w:t xml:space="preserve"> </w:t>
      </w:r>
      <w:r>
        <w:rPr>
          <w:rFonts w:ascii="Arial"/>
          <w:color w:val="000000"/>
          <w:sz w:val="24"/>
        </w:rPr>
        <w:t>corresponds with the 9m height limit control for 355 Waterloo Road, which gives effect to the structure of LEP 2015.</w:t>
      </w:r>
    </w:p>
    <w:p>
      <w:pPr>
        <w:pStyle w:val="CaselawNumbered1"/>
        <w:numPr>
          <w:ilvl w:val="0"/>
          <w:numId w:val="162"/>
        </w:numPr>
        <w:spacing w:before="150" w:after="0"/>
        <w:ind w:left="1350" w:hanging="750"/>
      </w:pPr>
      <w:r>
        <w:rPr>
          <w:rFonts w:ascii="Arial"/>
          <w:color w:val="000000"/>
          <w:sz w:val="24"/>
        </w:rPr>
        <w:t>The light blue area provides less density in the 30.</w:t>
      </w:r>
      <w:r>
        <w:rPr>
          <w:rFonts w:ascii="Arial"/>
          <w:color w:val="000000"/>
          <w:sz w:val="24"/>
        </w:rPr>
        <w:t>5</w:t>
      </w:r>
      <w:r>
        <w:rPr>
          <w:rFonts w:ascii="Arial"/>
          <w:color w:val="000000"/>
          <w:sz w:val="24"/>
        </w:rPr>
        <w:t>m setback.</w:t>
      </w:r>
    </w:p>
    <w:p>
      <w:pPr>
        <w:pStyle w:val="CaselawNumbered1"/>
        <w:numPr>
          <w:ilvl w:val="0"/>
          <w:numId w:val="162"/>
        </w:numPr>
        <w:spacing w:before="150" w:after="0"/>
        <w:ind w:left="1350" w:hanging="750"/>
      </w:pPr>
      <w:r>
        <w:rPr>
          <w:rFonts w:ascii="Arial"/>
          <w:color w:val="000000"/>
          <w:sz w:val="24"/>
        </w:rPr>
        <w:t xml:space="preserve">The DCP expects built form in the </w:t>
      </w:r>
      <w:r>
        <w:rPr>
          <w:rFonts w:ascii="Arial"/>
          <w:color w:val="000000"/>
          <w:sz w:val="24"/>
        </w:rPr>
        <w:t xml:space="preserve">proposed </w:t>
      </w:r>
      <w:r>
        <w:rPr>
          <w:rFonts w:ascii="Arial"/>
          <w:color w:val="000000"/>
          <w:sz w:val="24"/>
        </w:rPr>
        <w:t>30.</w:t>
      </w:r>
      <w:r>
        <w:rPr>
          <w:rFonts w:ascii="Arial"/>
          <w:color w:val="000000"/>
          <w:sz w:val="24"/>
        </w:rPr>
        <w:t xml:space="preserve">5 </w:t>
      </w:r>
      <w:r>
        <w:rPr>
          <w:rFonts w:ascii="Arial"/>
          <w:color w:val="000000"/>
          <w:sz w:val="24"/>
        </w:rPr>
        <w:t xml:space="preserve">m buffer and the </w:t>
      </w:r>
      <w:r>
        <w:rPr>
          <w:rFonts w:ascii="Arial"/>
          <w:color w:val="000000"/>
          <w:sz w:val="24"/>
        </w:rPr>
        <w:t>p</w:t>
      </w:r>
      <w:r>
        <w:rPr>
          <w:rFonts w:ascii="Arial"/>
          <w:color w:val="000000"/>
          <w:sz w:val="24"/>
        </w:rPr>
        <w:t xml:space="preserve">roposed </w:t>
      </w:r>
      <w:r>
        <w:rPr>
          <w:rFonts w:ascii="Arial"/>
          <w:color w:val="000000"/>
          <w:sz w:val="24"/>
        </w:rPr>
        <w:t>d</w:t>
      </w:r>
      <w:r>
        <w:rPr>
          <w:rFonts w:ascii="Arial"/>
          <w:color w:val="000000"/>
          <w:sz w:val="24"/>
        </w:rPr>
        <w:t xml:space="preserve">evelopment is </w:t>
      </w:r>
      <w:r>
        <w:rPr>
          <w:rFonts w:ascii="Arial"/>
          <w:color w:val="000000"/>
          <w:sz w:val="24"/>
        </w:rPr>
        <w:t>“</w:t>
      </w:r>
      <w:r>
        <w:rPr>
          <w:rFonts w:ascii="Arial"/>
          <w:color w:val="000000"/>
          <w:sz w:val="24"/>
        </w:rPr>
        <w:t>manifestly different</w:t>
      </w:r>
      <w:r>
        <w:rPr>
          <w:rFonts w:ascii="Arial"/>
          <w:color w:val="000000"/>
          <w:sz w:val="24"/>
        </w:rPr>
        <w:t>”</w:t>
      </w:r>
      <w:r>
        <w:rPr>
          <w:rFonts w:ascii="Arial"/>
          <w:color w:val="000000"/>
          <w:sz w:val="24"/>
        </w:rPr>
        <w:t xml:space="preserve"> </w:t>
      </w:r>
      <w:r>
        <w:rPr>
          <w:rFonts w:ascii="Arial"/>
          <w:color w:val="000000"/>
          <w:sz w:val="24"/>
        </w:rPr>
        <w:t xml:space="preserve">to that expectation. The </w:t>
      </w:r>
      <w:r>
        <w:rPr>
          <w:rFonts w:ascii="Arial"/>
          <w:color w:val="000000"/>
          <w:sz w:val="24"/>
        </w:rPr>
        <w:t>p</w:t>
      </w:r>
      <w:r>
        <w:rPr>
          <w:rFonts w:ascii="Arial"/>
          <w:color w:val="000000"/>
          <w:sz w:val="24"/>
        </w:rPr>
        <w:t xml:space="preserve">roposed </w:t>
      </w:r>
      <w:r>
        <w:rPr>
          <w:rFonts w:ascii="Arial"/>
          <w:color w:val="000000"/>
          <w:sz w:val="24"/>
        </w:rPr>
        <w:t>d</w:t>
      </w:r>
      <w:r>
        <w:rPr>
          <w:rFonts w:ascii="Arial"/>
          <w:color w:val="000000"/>
          <w:sz w:val="24"/>
        </w:rPr>
        <w:t xml:space="preserve">evelopment will result in a </w:t>
      </w:r>
      <w:r>
        <w:rPr>
          <w:rFonts w:ascii="Arial"/>
          <w:color w:val="000000"/>
          <w:sz w:val="24"/>
        </w:rPr>
        <w:t>“</w:t>
      </w:r>
      <w:r>
        <w:rPr>
          <w:rFonts w:ascii="Arial"/>
          <w:color w:val="000000"/>
          <w:sz w:val="24"/>
        </w:rPr>
        <w:t>public</w:t>
      </w:r>
      <w:r>
        <w:rPr>
          <w:rFonts w:ascii="Arial"/>
          <w:color w:val="000000"/>
          <w:sz w:val="24"/>
        </w:rPr>
        <w:t>”</w:t>
      </w:r>
      <w:r>
        <w:rPr>
          <w:rFonts w:ascii="Arial"/>
          <w:color w:val="000000"/>
          <w:sz w:val="24"/>
        </w:rPr>
        <w:t xml:space="preserve"> </w:t>
      </w:r>
      <w:r>
        <w:rPr>
          <w:rFonts w:ascii="Arial"/>
          <w:color w:val="000000"/>
          <w:sz w:val="24"/>
        </w:rPr>
        <w:t>interface (</w:t>
      </w:r>
      <w:r>
        <w:rPr>
          <w:rFonts w:ascii="Arial"/>
          <w:color w:val="000000"/>
          <w:sz w:val="24"/>
        </w:rPr>
        <w:t>i.e.</w:t>
      </w:r>
      <w:r>
        <w:rPr>
          <w:rFonts w:ascii="Arial"/>
          <w:color w:val="000000"/>
          <w:sz w:val="24"/>
        </w:rPr>
        <w:t xml:space="preserve"> </w:t>
      </w:r>
      <w:r>
        <w:rPr>
          <w:rFonts w:ascii="Arial"/>
          <w:color w:val="000000"/>
          <w:sz w:val="24"/>
        </w:rPr>
        <w:t xml:space="preserve">those using Norfolk Lane for access) with the backyards of the properties in Norfolk Road adjoining the </w:t>
      </w:r>
      <w:r>
        <w:rPr>
          <w:rFonts w:ascii="Arial"/>
          <w:color w:val="000000"/>
          <w:sz w:val="24"/>
        </w:rPr>
        <w:t>s</w:t>
      </w:r>
      <w:r>
        <w:rPr>
          <w:rFonts w:ascii="Arial"/>
          <w:color w:val="000000"/>
          <w:sz w:val="24"/>
        </w:rPr>
        <w:t xml:space="preserve">ite to the south rather than a private interface created by backyards to townhouses in the southern part of the </w:t>
      </w:r>
      <w:r>
        <w:rPr>
          <w:rFonts w:ascii="Arial"/>
          <w:color w:val="000000"/>
          <w:sz w:val="24"/>
        </w:rPr>
        <w:t>s</w:t>
      </w:r>
      <w:r>
        <w:rPr>
          <w:rFonts w:ascii="Arial"/>
          <w:color w:val="000000"/>
          <w:sz w:val="24"/>
        </w:rPr>
        <w:t xml:space="preserve">ite. However, Mr Ryan considered that the </w:t>
      </w:r>
      <w:r>
        <w:rPr>
          <w:rFonts w:ascii="Arial"/>
          <w:color w:val="000000"/>
          <w:sz w:val="24"/>
        </w:rPr>
        <w:t>p</w:t>
      </w:r>
      <w:r>
        <w:rPr>
          <w:rFonts w:ascii="Arial"/>
          <w:color w:val="000000"/>
          <w:sz w:val="24"/>
        </w:rPr>
        <w:t xml:space="preserve">roposed </w:t>
      </w:r>
      <w:r>
        <w:rPr>
          <w:rFonts w:ascii="Arial"/>
          <w:color w:val="000000"/>
          <w:sz w:val="24"/>
        </w:rPr>
        <w:t>d</w:t>
      </w:r>
      <w:r>
        <w:rPr>
          <w:rFonts w:ascii="Arial"/>
          <w:color w:val="000000"/>
          <w:sz w:val="24"/>
        </w:rPr>
        <w:t>evelopment was better or at least equivalent in terms of planning outcome. Ms Bartlett strongly disagreed with this evidence.</w:t>
      </w:r>
    </w:p>
    <w:p>
      <w:pPr>
        <w:pStyle w:val="CaselawNumbered1"/>
        <w:numPr>
          <w:ilvl w:val="0"/>
          <w:numId w:val="162"/>
        </w:numPr>
        <w:spacing w:before="150" w:after="0"/>
        <w:ind w:left="1350" w:hanging="750"/>
      </w:pPr>
      <w:r>
        <w:rPr>
          <w:rFonts w:ascii="Arial"/>
          <w:color w:val="000000"/>
          <w:sz w:val="24"/>
        </w:rPr>
        <w:t>Future residents of the residential flat building proposed as part of the Stage 1 DA will get access to Waterloo Road via a basement as part of Stage 2 which will not be 24-hour public access as envisaged by the DCP.</w:t>
      </w:r>
    </w:p>
    <w:p>
      <w:pPr>
        <w:pStyle w:val="CaselawNumbered1"/>
        <w:numPr>
          <w:ilvl w:val="0"/>
          <w:numId w:val="162"/>
        </w:numPr>
        <w:spacing w:before="150" w:after="0"/>
        <w:ind w:left="1350" w:hanging="750"/>
      </w:pPr>
      <w:r>
        <w:rPr>
          <w:rFonts w:ascii="Arial"/>
          <w:color w:val="000000"/>
          <w:sz w:val="24"/>
        </w:rPr>
        <w:t>The Stage 1 DA is not proposing access off Waterloo Road for residents of the residential flat building proposed as part of the Stage 1 DA as envisaged by the DCP.</w:t>
      </w:r>
    </w:p>
    <w:p>
      <w:pPr>
        <w:pStyle w:val="CaselawNumbered1"/>
        <w:numPr>
          <w:ilvl w:val="0"/>
          <w:numId w:val="162"/>
        </w:numPr>
        <w:spacing w:before="150" w:after="0"/>
        <w:ind w:left="1350" w:hanging="750"/>
      </w:pPr>
      <w:r>
        <w:rPr>
          <w:rFonts w:ascii="Arial"/>
          <w:color w:val="000000"/>
          <w:sz w:val="24"/>
        </w:rPr>
        <w:t>The DCP does not contemplate access from Norfolk Road at all.</w:t>
      </w:r>
    </w:p>
    <w:p>
      <w:pPr>
        <w:pStyle w:val="CaselawNumbered1"/>
        <w:numPr>
          <w:ilvl w:val="0"/>
          <w:numId w:val="162"/>
        </w:numPr>
        <w:spacing w:before="150" w:after="0"/>
        <w:ind w:left="1350" w:hanging="750"/>
      </w:pPr>
      <w:r>
        <w:rPr>
          <w:rFonts w:ascii="Arial"/>
          <w:color w:val="000000"/>
          <w:sz w:val="24"/>
        </w:rPr>
        <w:t xml:space="preserve">Variations to the DCP are required because the </w:t>
      </w:r>
      <w:r>
        <w:rPr>
          <w:rFonts w:ascii="Arial"/>
          <w:color w:val="000000"/>
          <w:sz w:val="24"/>
        </w:rPr>
        <w:t>p</w:t>
      </w:r>
      <w:r>
        <w:rPr>
          <w:rFonts w:ascii="Arial"/>
          <w:color w:val="000000"/>
          <w:sz w:val="24"/>
        </w:rPr>
        <w:t xml:space="preserve">roposed </w:t>
      </w:r>
      <w:r>
        <w:rPr>
          <w:rFonts w:ascii="Arial"/>
          <w:color w:val="000000"/>
          <w:sz w:val="24"/>
        </w:rPr>
        <w:t>d</w:t>
      </w:r>
      <w:r>
        <w:rPr>
          <w:rFonts w:ascii="Arial"/>
          <w:color w:val="000000"/>
          <w:sz w:val="24"/>
        </w:rPr>
        <w:t xml:space="preserve">evelopment does not provide low-density residential in the light blue area on the </w:t>
      </w:r>
      <w:r>
        <w:rPr>
          <w:rFonts w:ascii="Arial"/>
          <w:color w:val="000000"/>
          <w:sz w:val="24"/>
        </w:rPr>
        <w:t>ISP</w:t>
      </w:r>
      <w:r>
        <w:rPr>
          <w:rFonts w:ascii="Arial"/>
          <w:color w:val="000000"/>
          <w:sz w:val="24"/>
        </w:rPr>
        <w:t xml:space="preserve"> </w:t>
      </w:r>
      <w:r>
        <w:rPr>
          <w:rFonts w:ascii="Arial"/>
          <w:color w:val="000000"/>
          <w:sz w:val="24"/>
        </w:rPr>
        <w:t>or access to that area via Waterloo Road.</w:t>
      </w:r>
    </w:p>
    <w:p>
      <w:pPr>
        <w:pStyle w:val="CaselawNumbered1"/>
        <w:numPr>
          <w:ilvl w:val="0"/>
          <w:numId w:val="162"/>
        </w:numPr>
        <w:spacing w:before="150" w:after="0"/>
        <w:ind w:left="1350" w:hanging="750"/>
      </w:pPr>
      <w:r>
        <w:rPr>
          <w:rFonts w:ascii="Arial"/>
          <w:color w:val="000000"/>
          <w:sz w:val="24"/>
        </w:rPr>
        <w:t>The only vehicular connectivity provided as part of Stage 1 is through Norfolk Lane and the only pedestrian connectivity provided as part of Stage 1 is through to Norfolk Reserve. The connectivity cannot be extended further west as part of Stage 1 because of a 3m drop so the existing ramp is the option for pedestrians.</w:t>
      </w:r>
      <w:r>
        <w:rPr>
          <w:rFonts w:ascii="Arial"/>
          <w:color w:val="000000"/>
          <w:sz w:val="24"/>
        </w:rPr>
        <w:t xml:space="preserve"> </w:t>
      </w:r>
      <w:r>
        <w:rPr>
          <w:rFonts w:ascii="Arial"/>
          <w:color w:val="000000"/>
          <w:sz w:val="24"/>
        </w:rPr>
        <w:t>(taken from CFWS)</w:t>
      </w:r>
    </w:p>
    <w:p>
      <w:pPr>
        <w:pStyle w:val="CaselawNumbered10"/>
        <w:numPr>
          <w:ilvl w:val="0"/>
          <w:numId w:val="163"/>
        </w:numPr>
        <w:spacing w:before="150" w:after="0"/>
        <w:ind w:left="600" w:hanging="600"/>
      </w:pPr>
      <w:r>
        <w:rPr>
          <w:rFonts w:ascii="Arial"/>
          <w:color w:val="000000"/>
          <w:sz w:val="24"/>
        </w:rPr>
        <w:t>T</w:t>
      </w:r>
      <w:r>
        <w:rPr>
          <w:rFonts w:ascii="Arial"/>
          <w:color w:val="000000"/>
          <w:sz w:val="24"/>
        </w:rPr>
        <w:t>he Council refers to Mr Carter</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cross-examination, </w:t>
      </w:r>
      <w:r>
        <w:rPr>
          <w:rFonts w:ascii="Arial"/>
          <w:color w:val="000000"/>
          <w:sz w:val="24"/>
        </w:rPr>
        <w:t>where he agreed:</w:t>
      </w:r>
    </w:p>
    <w:p>
      <w:pPr>
        <w:pStyle w:val="CaselawNumbered1"/>
        <w:numPr>
          <w:ilvl w:val="0"/>
          <w:numId w:val="164"/>
        </w:numPr>
        <w:spacing w:before="150" w:after="0"/>
        <w:ind w:left="1350" w:hanging="750"/>
      </w:pPr>
      <w:r>
        <w:rPr>
          <w:rFonts w:ascii="Arial"/>
          <w:color w:val="000000"/>
          <w:sz w:val="24"/>
        </w:rPr>
        <w:t>Figure 1 in the Urban Design JER</w:t>
      </w:r>
      <w:r>
        <w:rPr>
          <w:rFonts w:ascii="Arial"/>
          <w:color w:val="000000"/>
          <w:sz w:val="24"/>
        </w:rPr>
        <w:t xml:space="preserve"> </w:t>
      </w:r>
      <w:r>
        <w:rPr>
          <w:rFonts w:ascii="Arial"/>
          <w:color w:val="000000"/>
          <w:sz w:val="24"/>
        </w:rPr>
        <w:t>(Ex 9)</w:t>
      </w:r>
      <w:r>
        <w:rPr>
          <w:rFonts w:ascii="Arial"/>
          <w:color w:val="000000"/>
          <w:sz w:val="24"/>
        </w:rPr>
        <w:t xml:space="preserve"> </w:t>
      </w:r>
      <w:r>
        <w:rPr>
          <w:rFonts w:ascii="Arial"/>
          <w:color w:val="000000"/>
          <w:sz w:val="24"/>
        </w:rPr>
        <w:t>is agreed to be an optimal outcome which involves an additional property owned by Henroth.</w:t>
      </w:r>
    </w:p>
    <w:p>
      <w:pPr>
        <w:pStyle w:val="CaselawNumbered1"/>
        <w:numPr>
          <w:ilvl w:val="0"/>
          <w:numId w:val="164"/>
        </w:numPr>
        <w:spacing w:before="150" w:after="0"/>
        <w:ind w:left="1350" w:hanging="750"/>
      </w:pPr>
      <w:r>
        <w:rPr>
          <w:rFonts w:ascii="Arial"/>
          <w:color w:val="000000"/>
          <w:sz w:val="24"/>
        </w:rPr>
        <w:t>Figure 3 is an illustration prepared by Mr Smith which would allow for Aldi to remain in the Centre as part of Stage 1 and will have a road connecting to Waterloo Road as envisaged in the DCP.</w:t>
      </w:r>
    </w:p>
    <w:p>
      <w:pPr>
        <w:pStyle w:val="CaselawNumbered1"/>
        <w:numPr>
          <w:ilvl w:val="0"/>
          <w:numId w:val="164"/>
        </w:numPr>
        <w:spacing w:before="150" w:after="0"/>
        <w:ind w:left="1350" w:hanging="750"/>
      </w:pPr>
      <w:r>
        <w:rPr>
          <w:rFonts w:ascii="Arial"/>
          <w:color w:val="000000"/>
          <w:sz w:val="24"/>
        </w:rPr>
        <w:t xml:space="preserve">It is possible for the townhouses shown in Fig 3 around the location of the existing ramp to be staged so that they are constructed later to enable the ramp to remain in place until it is no longer required </w:t>
      </w:r>
      <w:r>
        <w:rPr>
          <w:rFonts w:ascii="Arial"/>
          <w:color w:val="000000"/>
          <w:sz w:val="24"/>
        </w:rPr>
        <w:t>(noting</w:t>
      </w:r>
      <w:r>
        <w:rPr>
          <w:rFonts w:ascii="Arial"/>
          <w:color w:val="000000"/>
          <w:sz w:val="24"/>
        </w:rPr>
        <w:t xml:space="preserve"> </w:t>
      </w:r>
      <w:r>
        <w:rPr>
          <w:rFonts w:ascii="Arial"/>
          <w:color w:val="000000"/>
          <w:sz w:val="24"/>
        </w:rPr>
        <w:t>that Mr Carter does not have construction expertise). While this may come at a cost, it was accepted that it would allow for the retention of Aldi. To this end, Mr Smith's and Ms Barlett's evidence was that the new connector road could be constructed as part of Stage 1 which would ameliorate any issue relating to the loss of parking during construction.</w:t>
      </w:r>
    </w:p>
    <w:p>
      <w:pPr>
        <w:pStyle w:val="CaselawNumbered1"/>
        <w:numPr>
          <w:ilvl w:val="0"/>
          <w:numId w:val="164"/>
        </w:numPr>
        <w:spacing w:before="150" w:after="0"/>
        <w:ind w:left="1350" w:hanging="750"/>
      </w:pPr>
      <w:r>
        <w:rPr>
          <w:rFonts w:ascii="Arial"/>
          <w:color w:val="000000"/>
          <w:sz w:val="24"/>
        </w:rPr>
        <w:t xml:space="preserve">Figure 3 is consistent with the </w:t>
      </w:r>
      <w:r>
        <w:rPr>
          <w:rFonts w:ascii="Arial"/>
          <w:color w:val="000000"/>
          <w:sz w:val="24"/>
        </w:rPr>
        <w:t>ISP</w:t>
      </w:r>
      <w:r>
        <w:rPr>
          <w:rFonts w:ascii="Arial"/>
          <w:color w:val="000000"/>
          <w:sz w:val="24"/>
        </w:rPr>
        <w:t xml:space="preserve"> </w:t>
      </w:r>
      <w:r>
        <w:rPr>
          <w:rFonts w:ascii="Arial"/>
          <w:color w:val="000000"/>
          <w:sz w:val="24"/>
        </w:rPr>
        <w:t xml:space="preserve">other than the width of the road which has been reduced from 20m to 15m but this was not how Henroth's architect designed the </w:t>
      </w:r>
      <w:r>
        <w:rPr>
          <w:rFonts w:ascii="Arial"/>
          <w:color w:val="000000"/>
          <w:sz w:val="24"/>
        </w:rPr>
        <w:t>p</w:t>
      </w:r>
      <w:r>
        <w:rPr>
          <w:rFonts w:ascii="Arial"/>
          <w:color w:val="000000"/>
          <w:sz w:val="24"/>
        </w:rPr>
        <w:t xml:space="preserve">roposed </w:t>
      </w:r>
      <w:r>
        <w:rPr>
          <w:rFonts w:ascii="Arial"/>
          <w:color w:val="000000"/>
          <w:sz w:val="24"/>
        </w:rPr>
        <w:t>d</w:t>
      </w:r>
      <w:r>
        <w:rPr>
          <w:rFonts w:ascii="Arial"/>
          <w:color w:val="000000"/>
          <w:sz w:val="24"/>
        </w:rPr>
        <w:t>evelopment to meet the requirements of the DCP.</w:t>
      </w:r>
    </w:p>
    <w:p>
      <w:pPr>
        <w:pStyle w:val="CaselawNumbered1"/>
        <w:numPr>
          <w:ilvl w:val="0"/>
          <w:numId w:val="164"/>
        </w:numPr>
        <w:spacing w:before="150" w:after="0"/>
        <w:ind w:left="1350" w:hanging="750"/>
      </w:pPr>
      <w:r>
        <w:rPr>
          <w:rFonts w:ascii="Arial"/>
          <w:color w:val="000000"/>
          <w:sz w:val="24"/>
        </w:rPr>
        <w:t xml:space="preserve">All of the matters listed at </w:t>
      </w:r>
      <w:r>
        <w:rPr>
          <w:rFonts w:ascii="Arial"/>
          <w:color w:val="000000"/>
          <w:sz w:val="24"/>
        </w:rPr>
        <w:t xml:space="preserve">par </w:t>
      </w:r>
      <w:r>
        <w:rPr>
          <w:rFonts w:ascii="Arial"/>
          <w:color w:val="000000"/>
          <w:sz w:val="24"/>
        </w:rPr>
        <w:t>39 of the Urban Design JER relating to the proposed Norfolk Lane would equally apply to the road shown in Fig 3 prepared by Mr Smith.</w:t>
      </w:r>
    </w:p>
    <w:p>
      <w:pPr>
        <w:pStyle w:val="CaselawNumbered1"/>
        <w:numPr>
          <w:ilvl w:val="0"/>
          <w:numId w:val="164"/>
        </w:numPr>
        <w:spacing w:before="150" w:after="0"/>
        <w:ind w:left="1350" w:hanging="750"/>
      </w:pPr>
      <w:r>
        <w:rPr>
          <w:rFonts w:ascii="Arial"/>
          <w:color w:val="000000"/>
          <w:sz w:val="24"/>
        </w:rPr>
        <w:t>In respect of Stage 2, the urban design experts agreed to the changes shown in Fig 7 of the Urban Design JER. Those changes were not incorporated into the amended architectural plans before the Court. Although it may be possible to condition these changes, Mr Smith said it would be preferrable to have amended plans for certainty because further development applications will need to be consistent with any approved concept plan.</w:t>
      </w:r>
    </w:p>
    <w:p>
      <w:pPr>
        <w:pStyle w:val="CaselawNumbered10"/>
        <w:numPr>
          <w:ilvl w:val="0"/>
          <w:numId w:val="165"/>
        </w:numPr>
        <w:spacing w:before="150" w:after="0"/>
        <w:ind w:left="600" w:hanging="600"/>
      </w:pPr>
      <w:r>
        <w:rPr>
          <w:rFonts w:ascii="Arial"/>
          <w:color w:val="000000"/>
          <w:sz w:val="24"/>
        </w:rPr>
        <w:t>For the above reasons</w:t>
      </w:r>
      <w:r>
        <w:rPr>
          <w:rFonts w:ascii="Arial"/>
          <w:color w:val="000000"/>
          <w:sz w:val="24"/>
        </w:rPr>
        <w:t>,</w:t>
      </w:r>
      <w:r>
        <w:rPr>
          <w:rFonts w:ascii="Arial"/>
          <w:color w:val="000000"/>
          <w:sz w:val="24"/>
        </w:rPr>
        <w:t xml:space="preserve"> </w:t>
      </w:r>
      <w:r>
        <w:rPr>
          <w:rFonts w:ascii="Arial"/>
          <w:color w:val="000000"/>
          <w:sz w:val="24"/>
        </w:rPr>
        <w:t xml:space="preserve">the Council submitted that the DA should be refused due to its fundamental non-compliance and inconsistency with the standards and objectives of the DCP. It </w:t>
      </w:r>
      <w:r>
        <w:rPr>
          <w:rFonts w:ascii="Arial"/>
          <w:color w:val="000000"/>
          <w:sz w:val="24"/>
        </w:rPr>
        <w:t xml:space="preserve">contends </w:t>
      </w:r>
      <w:r>
        <w:rPr>
          <w:rFonts w:ascii="Arial"/>
          <w:color w:val="000000"/>
          <w:sz w:val="24"/>
        </w:rPr>
        <w:t>that the DCP has only been recently made and has an interrelationship with cl</w:t>
      </w:r>
      <w:r>
        <w:rPr>
          <w:rFonts w:ascii="Arial"/>
          <w:color w:val="000000"/>
          <w:sz w:val="24"/>
        </w:rPr>
        <w:t>l</w:t>
      </w:r>
      <w:r>
        <w:rPr>
          <w:rFonts w:ascii="Arial"/>
          <w:color w:val="000000"/>
          <w:sz w:val="24"/>
        </w:rPr>
        <w:t xml:space="preserve"> </w:t>
      </w:r>
      <w:r>
        <w:rPr>
          <w:rFonts w:ascii="Arial"/>
          <w:color w:val="000000"/>
          <w:sz w:val="24"/>
        </w:rPr>
        <w:t>4.3 and 6.14 of LEP 2015. It submitted that the DCP must be given significant weight and, due to the departures envisaged by the DA, the DA should be refused as other compliant options are available, without proper justification for the departures.</w:t>
      </w:r>
    </w:p>
    <w:p>
      <w:pPr>
        <w:pStyle w:val="CaselawNumbered10"/>
        <w:numPr>
          <w:ilvl w:val="0"/>
          <w:numId w:val="165"/>
        </w:numPr>
        <w:spacing w:before="150" w:after="0"/>
        <w:ind w:left="600" w:hanging="600"/>
      </w:pPr>
      <w:r>
        <w:rPr>
          <w:rFonts w:ascii="Arial"/>
          <w:color w:val="000000"/>
          <w:sz w:val="24"/>
        </w:rPr>
        <w:t>Finally, the Council submits that</w:t>
      </w:r>
      <w:r>
        <w:rPr>
          <w:rFonts w:ascii="Arial"/>
          <w:color w:val="000000"/>
          <w:sz w:val="24"/>
        </w:rPr>
        <w:t xml:space="preserve"> </w:t>
      </w:r>
      <w:r>
        <w:rPr>
          <w:rFonts w:ascii="Arial"/>
          <w:color w:val="000000"/>
          <w:sz w:val="24"/>
        </w:rPr>
        <w:t xml:space="preserve">the Court </w:t>
      </w:r>
      <w:r>
        <w:rPr>
          <w:rFonts w:ascii="Arial"/>
          <w:color w:val="000000"/>
          <w:sz w:val="24"/>
        </w:rPr>
        <w:t>should</w:t>
      </w:r>
      <w:r>
        <w:rPr>
          <w:rFonts w:ascii="Arial"/>
          <w:color w:val="000000"/>
          <w:sz w:val="24"/>
        </w:rPr>
        <w:t xml:space="preserve"> </w:t>
      </w:r>
      <w:r>
        <w:rPr>
          <w:rFonts w:ascii="Arial"/>
          <w:color w:val="000000"/>
          <w:sz w:val="24"/>
        </w:rPr>
        <w:t xml:space="preserve">reject the DA </w:t>
      </w:r>
      <w:r>
        <w:rPr>
          <w:rFonts w:ascii="Arial"/>
          <w:color w:val="000000"/>
          <w:sz w:val="24"/>
        </w:rPr>
        <w:t xml:space="preserve">because </w:t>
      </w:r>
      <w:r>
        <w:rPr>
          <w:rFonts w:ascii="Arial"/>
          <w:color w:val="000000"/>
          <w:sz w:val="24"/>
        </w:rPr>
        <w:t>Henroth has chosen the south-eastern corner of the site to commence its work based on a commercial imperative which is untenable given Mr Smith</w:t>
      </w:r>
      <w:r>
        <w:rPr>
          <w:rFonts w:ascii="Arial"/>
          <w:color w:val="000000"/>
          <w:sz w:val="24"/>
        </w:rPr>
        <w:t>’</w:t>
      </w:r>
      <w:r>
        <w:rPr>
          <w:rFonts w:ascii="Arial"/>
          <w:color w:val="000000"/>
          <w:sz w:val="24"/>
        </w:rPr>
        <w:t>s alternatives would balance the commercial constraints and urban design opportunities in accord with the DCP (E</w:t>
      </w:r>
      <w:r>
        <w:rPr>
          <w:rFonts w:ascii="Arial"/>
          <w:color w:val="000000"/>
          <w:sz w:val="24"/>
        </w:rPr>
        <w:t>x</w:t>
      </w:r>
      <w:r>
        <w:rPr>
          <w:rFonts w:ascii="Arial"/>
          <w:color w:val="000000"/>
          <w:sz w:val="24"/>
        </w:rPr>
        <w:t xml:space="preserve"> </w:t>
      </w:r>
      <w:r>
        <w:rPr>
          <w:rFonts w:ascii="Arial"/>
          <w:color w:val="000000"/>
          <w:sz w:val="24"/>
        </w:rPr>
        <w:t xml:space="preserve">9 par 12). </w:t>
      </w:r>
    </w:p>
    <w:p>
      <w:pPr>
        <w:pStyle w:val="CaselawHeading3"/>
        <w:keepNext/>
        <w:spacing w:before="150" w:after="150" w:line="264"/>
        <w:ind w:left="0"/>
        <w:jc w:val="left"/>
      </w:pPr>
      <w:r>
        <w:rPr>
          <w:rFonts w:ascii="Arial"/>
        </w:rPr>
        <w:t>Henroth</w:t>
      </w:r>
      <w:r>
        <w:rPr>
          <w:rFonts w:ascii="Arial"/>
        </w:rPr>
        <w:t>’</w:t>
      </w:r>
      <w:r>
        <w:rPr>
          <w:rFonts w:ascii="Arial"/>
        </w:rPr>
        <w:t>s</w:t>
      </w:r>
      <w:r>
        <w:rPr>
          <w:rFonts w:ascii="Arial"/>
        </w:rPr>
        <w:t xml:space="preserve"> </w:t>
      </w:r>
      <w:r>
        <w:rPr>
          <w:rFonts w:ascii="Arial"/>
        </w:rPr>
        <w:t>position</w:t>
      </w:r>
      <w:r>
        <w:rPr>
          <w:rFonts w:ascii="Arial"/>
        </w:rPr>
        <w:t xml:space="preserve"> </w:t>
      </w:r>
    </w:p>
    <w:p>
      <w:pPr>
        <w:pStyle w:val="CaselawNumbered10"/>
        <w:numPr>
          <w:ilvl w:val="0"/>
          <w:numId w:val="166"/>
        </w:numPr>
        <w:spacing w:before="150" w:after="0"/>
        <w:ind w:left="600" w:hanging="600"/>
      </w:pPr>
      <w:r>
        <w:rPr>
          <w:rFonts w:ascii="Arial"/>
          <w:color w:val="000000"/>
          <w:sz w:val="24"/>
        </w:rPr>
        <w:t>While Mr Carter agreed in cross</w:t>
      </w:r>
      <w:r>
        <w:rPr>
          <w:rFonts w:ascii="Arial"/>
          <w:color w:val="000000"/>
          <w:sz w:val="24"/>
        </w:rPr>
        <w:t>-</w:t>
      </w:r>
      <w:r>
        <w:rPr>
          <w:rFonts w:ascii="Arial"/>
          <w:color w:val="000000"/>
          <w:sz w:val="24"/>
        </w:rPr>
        <w:t xml:space="preserve">examination with Mr Smith that the </w:t>
      </w:r>
      <w:r>
        <w:rPr>
          <w:rFonts w:ascii="Arial"/>
          <w:color w:val="000000"/>
          <w:sz w:val="24"/>
        </w:rPr>
        <w:t>ISP</w:t>
      </w:r>
      <w:r>
        <w:rPr>
          <w:rFonts w:ascii="Arial"/>
          <w:color w:val="000000"/>
          <w:sz w:val="24"/>
        </w:rPr>
        <w:t xml:space="preserve"> </w:t>
      </w:r>
      <w:r>
        <w:rPr>
          <w:rFonts w:ascii="Arial"/>
          <w:color w:val="000000"/>
          <w:sz w:val="24"/>
        </w:rPr>
        <w:t>in the DCP could be achieved by alternate designs, Mr Carter</w:t>
      </w:r>
      <w:r>
        <w:rPr>
          <w:rFonts w:ascii="Arial"/>
          <w:color w:val="000000"/>
          <w:sz w:val="24"/>
        </w:rPr>
        <w:t>’</w:t>
      </w:r>
      <w:r>
        <w:rPr>
          <w:rFonts w:ascii="Arial"/>
          <w:color w:val="000000"/>
          <w:sz w:val="24"/>
        </w:rPr>
        <w:t>s evidence is that he prefers the design before the Court including:</w:t>
      </w:r>
    </w:p>
    <w:p>
      <w:pPr>
        <w:pStyle w:val="CaselawQuote"/>
        <w:spacing w:before="150" w:after="150"/>
        <w:ind w:left="1350"/>
        <w:jc w:val="left"/>
      </w:pPr>
      <w:r>
        <w:rPr>
          <w:rFonts w:ascii="Arial"/>
          <w:color w:val="000000"/>
          <w:sz w:val="22"/>
        </w:rPr>
        <w:t xml:space="preserve">(a) a connection to Norfolk Road for Norfolk Lane as proposed, </w:t>
      </w:r>
    </w:p>
    <w:p>
      <w:pPr>
        <w:pStyle w:val="CaselawQuote"/>
        <w:spacing w:before="150" w:after="150"/>
        <w:ind w:left="1350"/>
        <w:jc w:val="left"/>
      </w:pPr>
      <w:r>
        <w:rPr>
          <w:rFonts w:ascii="Arial"/>
          <w:color w:val="000000"/>
          <w:sz w:val="22"/>
        </w:rPr>
        <w:t xml:space="preserve">(b) the western extension of Norfolk Lane along the face of the apartments of Stage 1, culminating in a turning head (roundabout), and </w:t>
      </w:r>
    </w:p>
    <w:p>
      <w:pPr>
        <w:pStyle w:val="CaselawQuote"/>
        <w:spacing w:before="150" w:after="150"/>
        <w:ind w:left="1350"/>
        <w:jc w:val="left"/>
      </w:pPr>
      <w:r>
        <w:rPr>
          <w:rFonts w:ascii="Arial"/>
          <w:color w:val="000000"/>
          <w:sz w:val="22"/>
        </w:rPr>
        <w:t xml:space="preserve">(c) the carpark entry &amp; exit portal/ramp for basement carparking for the apartments. </w:t>
      </w:r>
    </w:p>
    <w:p>
      <w:pPr>
        <w:pStyle w:val="CaselawNumbered10"/>
        <w:numPr>
          <w:ilvl w:val="0"/>
          <w:numId w:val="167"/>
        </w:numPr>
        <w:spacing w:before="150" w:after="0"/>
        <w:ind w:left="600" w:hanging="600"/>
      </w:pPr>
      <w:r>
        <w:rPr>
          <w:rFonts w:ascii="Arial"/>
          <w:color w:val="000000"/>
          <w:sz w:val="24"/>
        </w:rPr>
        <w:t xml:space="preserve">The proposal in his view offers a staged plan that manages the complexities of delivering the plan over </w:t>
      </w:r>
      <w:r>
        <w:rPr>
          <w:rFonts w:ascii="Arial"/>
          <w:color w:val="000000"/>
          <w:sz w:val="24"/>
        </w:rPr>
        <w:t>four</w:t>
      </w:r>
      <w:r>
        <w:rPr>
          <w:rFonts w:ascii="Arial"/>
          <w:color w:val="000000"/>
          <w:sz w:val="24"/>
        </w:rPr>
        <w:t xml:space="preserve"> </w:t>
      </w:r>
      <w:r>
        <w:rPr>
          <w:rFonts w:ascii="Arial"/>
          <w:color w:val="000000"/>
          <w:sz w:val="24"/>
        </w:rPr>
        <w:t>stages</w:t>
      </w:r>
      <w:r>
        <w:rPr>
          <w:rFonts w:ascii="Arial"/>
          <w:color w:val="000000"/>
          <w:sz w:val="24"/>
        </w:rPr>
        <w:t>.</w:t>
      </w:r>
      <w:r>
        <w:rPr>
          <w:rFonts w:ascii="Arial"/>
          <w:color w:val="000000"/>
          <w:sz w:val="24"/>
        </w:rPr>
        <w:t xml:space="preserve"> </w:t>
      </w:r>
      <w:r>
        <w:rPr>
          <w:rFonts w:ascii="Arial"/>
          <w:color w:val="000000"/>
          <w:sz w:val="24"/>
        </w:rPr>
        <w:t>In the joint report</w:t>
      </w:r>
      <w:r>
        <w:rPr>
          <w:rFonts w:ascii="Arial"/>
          <w:color w:val="000000"/>
          <w:sz w:val="24"/>
        </w:rPr>
        <w:t>,</w:t>
      </w:r>
      <w:r>
        <w:rPr>
          <w:rFonts w:ascii="Arial"/>
          <w:color w:val="000000"/>
          <w:sz w:val="24"/>
        </w:rPr>
        <w:t xml:space="preserve"> </w:t>
      </w:r>
      <w:r>
        <w:rPr>
          <w:rFonts w:ascii="Arial"/>
          <w:color w:val="000000"/>
          <w:sz w:val="24"/>
        </w:rPr>
        <w:t>Mr Carter expresses the view that</w:t>
      </w:r>
      <w:r>
        <w:rPr>
          <w:rFonts w:ascii="Arial"/>
          <w:color w:val="000000"/>
          <w:sz w:val="24"/>
        </w:rPr>
        <w:t>:</w:t>
      </w:r>
      <w:r>
        <w:rPr>
          <w:rFonts w:ascii="Arial"/>
          <w:color w:val="000000"/>
          <w:sz w:val="24"/>
        </w:rPr>
        <w:t xml:space="preserve"> </w:t>
      </w:r>
    </w:p>
    <w:p>
      <w:pPr>
        <w:pStyle w:val="CaselawQuote"/>
        <w:spacing w:before="150" w:after="150"/>
        <w:ind w:left="1350"/>
        <w:jc w:val="left"/>
      </w:pPr>
      <w:r>
        <w:rPr>
          <w:rFonts w:ascii="Arial"/>
          <w:color w:val="000000"/>
          <w:sz w:val="22"/>
        </w:rPr>
        <w:t xml:space="preserve">“The </w:t>
      </w:r>
      <w:r>
        <w:rPr>
          <w:rFonts w:ascii="Arial"/>
          <w:color w:val="000000"/>
          <w:sz w:val="22"/>
        </w:rPr>
        <w:t>definition of</w:t>
      </w:r>
      <w:r>
        <w:rPr>
          <w:rFonts w:ascii="Arial"/>
          <w:color w:val="000000"/>
          <w:sz w:val="22"/>
        </w:rPr>
        <w:t xml:space="preserve"> the public and private domain is generally skilfully managed when considering the complexity of the staging requirements of unlocking the site, minimising disruption, maintaining the shopping centre trade and associated loading and carparking while delivering quality housing” (Ex 11 par 21).</w:t>
      </w:r>
    </w:p>
    <w:p>
      <w:pPr>
        <w:pStyle w:val="CaselawNumbered10"/>
        <w:numPr>
          <w:ilvl w:val="0"/>
          <w:numId w:val="168"/>
        </w:numPr>
        <w:spacing w:before="150" w:after="0"/>
        <w:ind w:left="600" w:hanging="600"/>
      </w:pPr>
      <w:r>
        <w:rPr>
          <w:rFonts w:ascii="Arial"/>
          <w:color w:val="000000"/>
          <w:sz w:val="24"/>
        </w:rPr>
        <w:t xml:space="preserve">In acknowledging that these sites are rarely </w:t>
      </w:r>
      <w:r>
        <w:rPr>
          <w:rFonts w:ascii="Arial"/>
          <w:color w:val="000000"/>
          <w:sz w:val="24"/>
        </w:rPr>
        <w:t>“</w:t>
      </w:r>
      <w:r>
        <w:rPr>
          <w:rFonts w:ascii="Arial"/>
          <w:color w:val="000000"/>
          <w:sz w:val="24"/>
        </w:rPr>
        <w:t>ideal</w:t>
      </w:r>
      <w:r>
        <w:rPr>
          <w:rFonts w:ascii="Arial"/>
          <w:color w:val="000000"/>
          <w:sz w:val="24"/>
        </w:rPr>
        <w:t xml:space="preserve">” </w:t>
      </w:r>
      <w:r>
        <w:rPr>
          <w:rFonts w:ascii="Arial"/>
          <w:color w:val="000000"/>
          <w:sz w:val="24"/>
        </w:rPr>
        <w:t xml:space="preserve">because the starting point is always what is </w:t>
      </w:r>
      <w:r>
        <w:rPr>
          <w:rFonts w:ascii="Arial"/>
          <w:color w:val="000000"/>
          <w:sz w:val="24"/>
        </w:rPr>
        <w:t>existing and</w:t>
      </w:r>
      <w:r>
        <w:rPr>
          <w:rFonts w:ascii="Arial"/>
          <w:color w:val="000000"/>
          <w:sz w:val="24"/>
        </w:rPr>
        <w:t xml:space="preserve"> </w:t>
      </w:r>
      <w:r>
        <w:rPr>
          <w:rFonts w:ascii="Arial"/>
          <w:color w:val="000000"/>
          <w:sz w:val="24"/>
        </w:rPr>
        <w:t>remains and continues to trade</w:t>
      </w:r>
      <w:r>
        <w:rPr>
          <w:rFonts w:ascii="Arial"/>
          <w:color w:val="000000"/>
          <w:sz w:val="24"/>
        </w:rPr>
        <w:t>,</w:t>
      </w:r>
      <w:r>
        <w:rPr>
          <w:rFonts w:ascii="Arial"/>
          <w:color w:val="000000"/>
          <w:sz w:val="24"/>
        </w:rPr>
        <w:t xml:space="preserve"> </w:t>
      </w:r>
      <w:r>
        <w:rPr>
          <w:rFonts w:ascii="Arial"/>
          <w:color w:val="000000"/>
          <w:sz w:val="24"/>
        </w:rPr>
        <w:t xml:space="preserve">Mr Carter said that ultimately </w:t>
      </w:r>
      <w:r>
        <w:rPr>
          <w:rFonts w:ascii="Arial"/>
          <w:color w:val="000000"/>
          <w:sz w:val="24"/>
        </w:rPr>
        <w:t>“…</w:t>
      </w:r>
      <w:r>
        <w:rPr>
          <w:rFonts w:ascii="Arial"/>
          <w:color w:val="000000"/>
          <w:sz w:val="24"/>
        </w:rPr>
        <w:t xml:space="preserve">the character will be significantly improved and defined as each stage is </w:t>
      </w:r>
      <w:r>
        <w:rPr>
          <w:rFonts w:ascii="Arial"/>
          <w:color w:val="000000"/>
          <w:sz w:val="24"/>
        </w:rPr>
        <w:t>delivered,</w:t>
      </w:r>
      <w:r>
        <w:rPr>
          <w:rFonts w:ascii="Arial"/>
          <w:color w:val="000000"/>
          <w:sz w:val="24"/>
        </w:rPr>
        <w:t xml:space="preserve"> </w:t>
      </w:r>
      <w:r>
        <w:rPr>
          <w:rFonts w:ascii="Arial"/>
          <w:color w:val="000000"/>
          <w:sz w:val="24"/>
        </w:rPr>
        <w:t>achieving the overarching vision for the site</w:t>
      </w:r>
      <w:r>
        <w:rPr>
          <w:rFonts w:ascii="Arial"/>
          <w:color w:val="000000"/>
          <w:sz w:val="24"/>
        </w:rPr>
        <w:t>”</w:t>
      </w:r>
      <w:r>
        <w:rPr>
          <w:rFonts w:ascii="Arial"/>
          <w:color w:val="000000"/>
          <w:sz w:val="24"/>
        </w:rPr>
        <w:t xml:space="preserve">. He describes the proposed change to the </w:t>
      </w:r>
      <w:r>
        <w:rPr>
          <w:rFonts w:ascii="Arial"/>
          <w:color w:val="000000"/>
          <w:sz w:val="24"/>
        </w:rPr>
        <w:t>ISP</w:t>
      </w:r>
      <w:r>
        <w:rPr>
          <w:rFonts w:ascii="Arial"/>
          <w:color w:val="000000"/>
          <w:sz w:val="24"/>
        </w:rPr>
        <w:t xml:space="preserve"> </w:t>
      </w:r>
      <w:r>
        <w:rPr>
          <w:rFonts w:ascii="Arial"/>
          <w:color w:val="000000"/>
          <w:sz w:val="24"/>
        </w:rPr>
        <w:t xml:space="preserve">as conceptionally minor, as can be seen from the small difference in graphical description of the plan (Fig 6 compared to Fig 1 </w:t>
      </w:r>
      <w:r>
        <w:rPr>
          <w:rFonts w:ascii="Arial"/>
          <w:color w:val="000000"/>
          <w:sz w:val="24"/>
        </w:rPr>
        <w:t xml:space="preserve">in </w:t>
      </w:r>
      <w:r>
        <w:rPr>
          <w:rFonts w:ascii="Arial"/>
          <w:color w:val="000000"/>
          <w:sz w:val="24"/>
        </w:rPr>
        <w:t xml:space="preserve">Ex 11). </w:t>
      </w:r>
    </w:p>
    <w:p>
      <w:pPr>
        <w:pStyle w:val="CaselawNumbered10"/>
        <w:numPr>
          <w:ilvl w:val="0"/>
          <w:numId w:val="168"/>
        </w:numPr>
        <w:spacing w:before="150" w:after="0"/>
        <w:ind w:left="600" w:hanging="600"/>
      </w:pPr>
      <w:r>
        <w:rPr>
          <w:rFonts w:ascii="Arial"/>
          <w:color w:val="000000"/>
          <w:sz w:val="24"/>
        </w:rPr>
        <w:t>Mr Carter emphasised in his evidence that the IS</w:t>
      </w:r>
      <w:r>
        <w:rPr>
          <w:rFonts w:ascii="Arial"/>
          <w:color w:val="000000"/>
          <w:sz w:val="24"/>
        </w:rPr>
        <w:t>P</w:t>
      </w:r>
      <w:r>
        <w:rPr>
          <w:rFonts w:ascii="Arial"/>
          <w:color w:val="000000"/>
          <w:sz w:val="24"/>
        </w:rPr>
        <w:t xml:space="preserve"> </w:t>
      </w:r>
      <w:r>
        <w:rPr>
          <w:rFonts w:ascii="Arial"/>
          <w:color w:val="000000"/>
          <w:sz w:val="24"/>
        </w:rPr>
        <w:t xml:space="preserve">is just that an </w:t>
      </w:r>
      <w:r>
        <w:rPr>
          <w:rFonts w:ascii="Arial"/>
          <w:color w:val="000000"/>
          <w:sz w:val="24"/>
        </w:rPr>
        <w:t>‘</w:t>
      </w:r>
      <w:r>
        <w:rPr>
          <w:rFonts w:ascii="Arial"/>
          <w:color w:val="000000"/>
          <w:sz w:val="24"/>
        </w:rPr>
        <w:t>indicative</w:t>
      </w:r>
      <w:r>
        <w:rPr>
          <w:rFonts w:ascii="Arial"/>
          <w:color w:val="000000"/>
          <w:sz w:val="24"/>
        </w:rPr>
        <w:t xml:space="preserve">’ </w:t>
      </w:r>
      <w:r>
        <w:rPr>
          <w:rFonts w:ascii="Arial"/>
          <w:color w:val="000000"/>
          <w:sz w:val="24"/>
        </w:rPr>
        <w:t>plan, and that meaning is supported by it being included in the DCP which although a focal point is a flexible guide for the development of this site. Despite its legal status, Mr Carter gave evidence that the proposal closely aligns with the ISP. He identified that the ISP envisaged a road to service (and address) the apartments to Stage</w:t>
      </w:r>
      <w:r>
        <w:rPr>
          <w:rFonts w:ascii="Arial"/>
          <w:color w:val="000000"/>
          <w:sz w:val="24"/>
        </w:rPr>
        <w:t xml:space="preserve"> </w:t>
      </w:r>
      <w:r>
        <w:rPr>
          <w:rFonts w:ascii="Arial"/>
          <w:color w:val="000000"/>
          <w:sz w:val="24"/>
        </w:rPr>
        <w:t xml:space="preserve">1 </w:t>
      </w:r>
      <w:r>
        <w:rPr>
          <w:rFonts w:ascii="Arial"/>
          <w:color w:val="000000"/>
          <w:sz w:val="24"/>
        </w:rPr>
        <w:t xml:space="preserve">– </w:t>
      </w:r>
      <w:r>
        <w:rPr>
          <w:rFonts w:ascii="Arial"/>
          <w:color w:val="000000"/>
          <w:sz w:val="24"/>
        </w:rPr>
        <w:t xml:space="preserve">a road that would require a turning head, as it only had one entry point and exit. And, as he identified in his evidence that is exactly what has been proposed albeit delivered from Norfolk Road not Waterloo Road. A road with a roundabout that makes sure the </w:t>
      </w:r>
      <w:r>
        <w:rPr>
          <w:rFonts w:ascii="Arial"/>
          <w:color w:val="000000"/>
          <w:sz w:val="24"/>
        </w:rPr>
        <w:t>residential entries</w:t>
      </w:r>
      <w:r>
        <w:rPr>
          <w:rFonts w:ascii="Arial"/>
          <w:color w:val="000000"/>
          <w:sz w:val="24"/>
        </w:rPr>
        <w:t xml:space="preserve"> </w:t>
      </w:r>
      <w:r>
        <w:rPr>
          <w:rFonts w:ascii="Arial"/>
          <w:color w:val="000000"/>
          <w:sz w:val="24"/>
        </w:rPr>
        <w:t xml:space="preserve">and childcare remain separate and distinct from the shopping centre traffic. A road consistent with the ISP offering the following </w:t>
      </w:r>
      <w:r>
        <w:rPr>
          <w:rFonts w:ascii="Arial"/>
          <w:color w:val="000000"/>
          <w:sz w:val="24"/>
        </w:rPr>
        <w:t>benefits:</w:t>
      </w:r>
      <w:r>
        <w:rPr>
          <w:rFonts w:ascii="Arial"/>
          <w:color w:val="000000"/>
          <w:sz w:val="24"/>
        </w:rPr>
        <w:t xml:space="preserve"> </w:t>
      </w:r>
    </w:p>
    <w:p>
      <w:pPr>
        <w:pStyle w:val="CaselawQuote"/>
        <w:spacing w:before="150" w:after="150"/>
        <w:ind w:left="1350"/>
        <w:jc w:val="left"/>
      </w:pPr>
      <w:r>
        <w:rPr>
          <w:rFonts w:ascii="Arial"/>
          <w:color w:val="000000"/>
          <w:sz w:val="22"/>
        </w:rPr>
        <w:t>“a. consistency</w:t>
      </w:r>
      <w:r>
        <w:rPr>
          <w:rFonts w:ascii="Arial"/>
          <w:color w:val="000000"/>
          <w:sz w:val="22"/>
        </w:rPr>
        <w:t xml:space="preserve"> with the original Indicative Structure Plan (Figure 2.)</w:t>
      </w:r>
    </w:p>
    <w:p>
      <w:pPr>
        <w:pStyle w:val="CaselawQuote"/>
        <w:spacing w:before="150" w:after="150"/>
        <w:ind w:left="1350"/>
        <w:jc w:val="left"/>
      </w:pPr>
      <w:r>
        <w:rPr>
          <w:rFonts w:ascii="Arial"/>
          <w:color w:val="000000"/>
          <w:sz w:val="22"/>
        </w:rPr>
        <w:t>b. providing</w:t>
      </w:r>
      <w:r>
        <w:rPr>
          <w:rFonts w:ascii="Arial"/>
          <w:color w:val="000000"/>
          <w:sz w:val="22"/>
        </w:rPr>
        <w:t xml:space="preserve"> useful short-term parking for visitors to these homes,</w:t>
      </w:r>
    </w:p>
    <w:p>
      <w:pPr>
        <w:pStyle w:val="CaselawQuote"/>
        <w:spacing w:before="150" w:after="150"/>
        <w:ind w:left="1350"/>
        <w:jc w:val="left"/>
      </w:pPr>
      <w:r>
        <w:rPr>
          <w:rFonts w:ascii="Arial"/>
          <w:color w:val="000000"/>
          <w:sz w:val="22"/>
        </w:rPr>
        <w:t>c. a shared-way that allows for pedestrians, bicycles, etc., as well as car movements at slow speeds,</w:t>
      </w:r>
    </w:p>
    <w:p>
      <w:pPr>
        <w:pStyle w:val="CaselawQuote"/>
        <w:spacing w:before="150" w:after="150"/>
        <w:ind w:left="1350"/>
        <w:jc w:val="left"/>
      </w:pPr>
      <w:r>
        <w:rPr>
          <w:rFonts w:ascii="Arial"/>
          <w:color w:val="000000"/>
          <w:sz w:val="22"/>
        </w:rPr>
        <w:t>d. passive surveillance and safety (CPTED) by increasing activity and interaction.</w:t>
      </w:r>
    </w:p>
    <w:p>
      <w:pPr>
        <w:pStyle w:val="CaselawQuote"/>
        <w:spacing w:before="150" w:after="150"/>
        <w:ind w:left="1350"/>
        <w:jc w:val="left"/>
      </w:pPr>
      <w:r>
        <w:rPr>
          <w:rFonts w:ascii="Arial"/>
          <w:color w:val="000000"/>
          <w:sz w:val="22"/>
        </w:rPr>
        <w:t>e. easy and functional access for emergency vehicles to all residential entries and addresses (ie: fire trucks, ambulances, police vehicles).</w:t>
      </w:r>
    </w:p>
    <w:p>
      <w:pPr>
        <w:pStyle w:val="CaselawQuote"/>
        <w:spacing w:before="150" w:after="150"/>
        <w:ind w:left="1350"/>
        <w:jc w:val="left"/>
      </w:pPr>
      <w:r>
        <w:rPr>
          <w:rFonts w:ascii="Arial"/>
          <w:color w:val="000000"/>
          <w:sz w:val="22"/>
        </w:rPr>
        <w:t xml:space="preserve">f. a </w:t>
      </w:r>
      <w:r>
        <w:rPr>
          <w:rFonts w:ascii="Arial"/>
          <w:color w:val="000000"/>
          <w:sz w:val="22"/>
        </w:rPr>
        <w:t>significant setback buffer between the rear fences of the adjoining Norfolk properties and the Terraces in the R2 zoned land of the proposal. This provides a satisfactory transition, meeting the spirt of the DCP and complying with the height controls.</w:t>
      </w:r>
    </w:p>
    <w:p>
      <w:pPr>
        <w:pStyle w:val="CaselawQuote"/>
        <w:spacing w:before="150" w:after="150"/>
        <w:ind w:left="1350"/>
        <w:jc w:val="left"/>
      </w:pPr>
      <w:r>
        <w:rPr>
          <w:rFonts w:ascii="Arial"/>
          <w:color w:val="000000"/>
          <w:sz w:val="22"/>
        </w:rPr>
        <w:t>g. …</w:t>
      </w:r>
    </w:p>
    <w:p>
      <w:pPr>
        <w:pStyle w:val="CaselawQuote"/>
        <w:spacing w:before="150" w:after="150"/>
        <w:ind w:left="1350"/>
        <w:jc w:val="left"/>
      </w:pPr>
      <w:r>
        <w:rPr>
          <w:rFonts w:ascii="Arial"/>
          <w:color w:val="000000"/>
          <w:sz w:val="22"/>
        </w:rPr>
        <w:t>h. a landscape screen between the shared-way and the rear fence of the existing neighbours (to the south). Which is a welcome green-screen interface between the existing and proposed. It also helps deal with level changes and privacy.”</w:t>
      </w:r>
      <w:r>
        <w:rPr>
          <w:rFonts w:ascii="Arial"/>
          <w:color w:val="000000"/>
          <w:sz w:val="22"/>
        </w:rPr>
        <w:t xml:space="preserve"> (Ex 9 par 39 a-f, h) </w:t>
      </w:r>
    </w:p>
    <w:p>
      <w:pPr>
        <w:pStyle w:val="CaselawNumbered10"/>
        <w:numPr>
          <w:ilvl w:val="0"/>
          <w:numId w:val="169"/>
        </w:numPr>
        <w:spacing w:before="150" w:after="0"/>
        <w:ind w:left="600" w:hanging="600"/>
      </w:pPr>
      <w:r>
        <w:rPr>
          <w:rFonts w:ascii="Arial"/>
          <w:color w:val="000000"/>
          <w:sz w:val="24"/>
        </w:rPr>
        <w:t>In supporting the western extension of the Norfolk Road along the face of the apartments culminating in a roundabout</w:t>
      </w:r>
      <w:r>
        <w:rPr>
          <w:rFonts w:ascii="Arial"/>
          <w:color w:val="000000"/>
          <w:sz w:val="24"/>
        </w:rPr>
        <w:t>,</w:t>
      </w:r>
      <w:r>
        <w:rPr>
          <w:rFonts w:ascii="Arial"/>
          <w:color w:val="000000"/>
          <w:sz w:val="24"/>
        </w:rPr>
        <w:t xml:space="preserve"> </w:t>
      </w:r>
      <w:r>
        <w:rPr>
          <w:rFonts w:ascii="Arial"/>
          <w:color w:val="000000"/>
          <w:sz w:val="24"/>
        </w:rPr>
        <w:t xml:space="preserve">Mr Carter believes that it provides </w:t>
      </w:r>
      <w:r>
        <w:rPr>
          <w:rFonts w:ascii="Arial"/>
          <w:color w:val="000000"/>
          <w:sz w:val="24"/>
        </w:rPr>
        <w:t>“…</w:t>
      </w:r>
      <w:r>
        <w:rPr>
          <w:rFonts w:ascii="Arial"/>
          <w:color w:val="000000"/>
          <w:sz w:val="24"/>
        </w:rPr>
        <w:t>the apartments with a logical and easy to understand residential address</w:t>
      </w:r>
      <w:r>
        <w:rPr>
          <w:rFonts w:ascii="Arial"/>
          <w:color w:val="000000"/>
          <w:sz w:val="24"/>
        </w:rPr>
        <w:t xml:space="preserve">” </w:t>
      </w:r>
      <w:r>
        <w:rPr>
          <w:rFonts w:ascii="Arial"/>
          <w:color w:val="000000"/>
          <w:sz w:val="24"/>
        </w:rPr>
        <w:t xml:space="preserve">which </w:t>
      </w:r>
      <w:r>
        <w:rPr>
          <w:rFonts w:ascii="Arial"/>
          <w:color w:val="000000"/>
          <w:sz w:val="24"/>
        </w:rPr>
        <w:t>“…</w:t>
      </w:r>
      <w:r>
        <w:rPr>
          <w:rFonts w:ascii="Arial"/>
          <w:i/>
          <w:color w:val="000000"/>
          <w:sz w:val="24"/>
        </w:rPr>
        <w:t>makes simple everyday living events like pizza delivery, food and parcel deliveries and uber and taxi pickups and drop</w:t>
      </w:r>
      <w:r>
        <w:rPr>
          <w:rFonts w:ascii="Arial"/>
          <w:i/>
          <w:color w:val="000000"/>
          <w:sz w:val="24"/>
        </w:rPr>
        <w:t>-</w:t>
      </w:r>
      <w:r>
        <w:rPr>
          <w:rFonts w:ascii="Arial"/>
          <w:i/>
          <w:color w:val="000000"/>
          <w:sz w:val="24"/>
        </w:rPr>
        <w:t>offs easy and legible</w:t>
      </w:r>
      <w:r>
        <w:rPr>
          <w:rFonts w:ascii="Arial"/>
          <w:color w:val="000000"/>
          <w:sz w:val="24"/>
        </w:rPr>
        <w:t>”</w:t>
      </w:r>
      <w:r>
        <w:rPr>
          <w:rFonts w:ascii="Arial"/>
          <w:color w:val="000000"/>
          <w:sz w:val="24"/>
        </w:rPr>
        <w:t xml:space="preserve">. An outcome which Mr Carter described as a better urban design outcome (Ex 11 par 28). An outcome that is consistent with the original </w:t>
      </w:r>
      <w:r>
        <w:rPr>
          <w:rFonts w:ascii="Arial"/>
          <w:color w:val="000000"/>
          <w:sz w:val="24"/>
        </w:rPr>
        <w:t>ISP</w:t>
      </w:r>
      <w:r>
        <w:rPr>
          <w:rFonts w:ascii="Arial"/>
          <w:color w:val="000000"/>
          <w:sz w:val="24"/>
        </w:rPr>
        <w:t xml:space="preserve"> </w:t>
      </w:r>
      <w:r>
        <w:rPr>
          <w:rFonts w:ascii="Arial"/>
          <w:color w:val="000000"/>
          <w:sz w:val="24"/>
        </w:rPr>
        <w:t>(DCP Fig</w:t>
      </w:r>
      <w:r>
        <w:rPr>
          <w:rFonts w:ascii="Arial"/>
          <w:color w:val="000000"/>
          <w:sz w:val="24"/>
        </w:rPr>
        <w:t xml:space="preserve"> </w:t>
      </w:r>
      <w:r>
        <w:rPr>
          <w:rFonts w:ascii="Arial"/>
          <w:color w:val="000000"/>
          <w:sz w:val="24"/>
        </w:rPr>
        <w:t xml:space="preserve">2). Whereas he described the urban design outcome (Fig 5, Ex 9), the sketch that deleted Norfolk Road extension, as </w:t>
      </w:r>
      <w:r>
        <w:rPr>
          <w:rFonts w:ascii="Arial"/>
          <w:color w:val="000000"/>
          <w:sz w:val="24"/>
        </w:rPr>
        <w:t>“</w:t>
      </w:r>
      <w:r>
        <w:rPr>
          <w:rFonts w:ascii="Arial"/>
          <w:color w:val="000000"/>
          <w:sz w:val="24"/>
        </w:rPr>
        <w:t>not the best urban design outcome for this proposal</w:t>
      </w:r>
      <w:r>
        <w:rPr>
          <w:rFonts w:ascii="Arial"/>
          <w:color w:val="000000"/>
          <w:sz w:val="24"/>
        </w:rPr>
        <w:t xml:space="preserve">” </w:t>
      </w:r>
      <w:r>
        <w:rPr>
          <w:rFonts w:ascii="Arial"/>
          <w:color w:val="000000"/>
          <w:sz w:val="24"/>
        </w:rPr>
        <w:t>- for the reasons identified at par</w:t>
      </w:r>
      <w:r>
        <w:rPr>
          <w:rFonts w:ascii="Arial"/>
          <w:color w:val="000000"/>
          <w:sz w:val="24"/>
        </w:rPr>
        <w:t>s</w:t>
      </w:r>
      <w:r>
        <w:rPr>
          <w:rFonts w:ascii="Arial"/>
          <w:color w:val="000000"/>
          <w:sz w:val="24"/>
        </w:rPr>
        <w:t xml:space="preserve"> </w:t>
      </w:r>
      <w:r>
        <w:rPr>
          <w:rFonts w:ascii="Arial"/>
          <w:color w:val="000000"/>
          <w:sz w:val="24"/>
        </w:rPr>
        <w:t xml:space="preserve">21-32 </w:t>
      </w:r>
      <w:r>
        <w:rPr>
          <w:rFonts w:ascii="Arial"/>
          <w:color w:val="000000"/>
          <w:sz w:val="24"/>
        </w:rPr>
        <w:t xml:space="preserve">in </w:t>
      </w:r>
      <w:r>
        <w:rPr>
          <w:rFonts w:ascii="Arial"/>
          <w:color w:val="000000"/>
          <w:sz w:val="24"/>
        </w:rPr>
        <w:t xml:space="preserve">Ex 11. </w:t>
      </w:r>
    </w:p>
    <w:p>
      <w:pPr>
        <w:pStyle w:val="CaselawNumbered10"/>
        <w:numPr>
          <w:ilvl w:val="0"/>
          <w:numId w:val="169"/>
        </w:numPr>
        <w:spacing w:before="150" w:after="0"/>
        <w:ind w:left="600" w:hanging="600"/>
      </w:pPr>
      <w:r>
        <w:rPr>
          <w:rFonts w:ascii="Arial"/>
          <w:color w:val="000000"/>
          <w:sz w:val="24"/>
        </w:rPr>
        <w:t xml:space="preserve">The DCP states that new streets and connections should </w:t>
      </w:r>
      <w:r>
        <w:rPr>
          <w:rFonts w:ascii="Arial"/>
          <w:b/>
          <w:color w:val="000000"/>
          <w:sz w:val="24"/>
        </w:rPr>
        <w:t>generally</w:t>
      </w:r>
      <w:r>
        <w:rPr>
          <w:rFonts w:ascii="Arial"/>
          <w:color w:val="000000"/>
          <w:sz w:val="24"/>
        </w:rPr>
        <w:t xml:space="preserve"> </w:t>
      </w:r>
      <w:r>
        <w:rPr>
          <w:rFonts w:ascii="Arial"/>
          <w:color w:val="000000"/>
          <w:sz w:val="24"/>
        </w:rPr>
        <w:t xml:space="preserve">be in accordance with the key design principles and ISP outlined in Section 1 and the typical street sections outlined in Fig 3. With that in mind, Henroth contends that the Norfolk Road alternative access while not anticipated by the DCP still achieves the key objectives and provisions of the DCP in respect to the desired future character of the Chullora Local Centre, the staging of the works to ensure the ongoing viability of the centre and the other stated relevant stated key design principles as reflected in the ISP. In making that submission, </w:t>
      </w:r>
      <w:r>
        <w:rPr>
          <w:rFonts w:ascii="Arial"/>
          <w:color w:val="000000"/>
          <w:sz w:val="24"/>
        </w:rPr>
        <w:t>Henroth</w:t>
      </w:r>
      <w:r>
        <w:rPr>
          <w:rFonts w:ascii="Arial"/>
          <w:color w:val="000000"/>
          <w:sz w:val="24"/>
        </w:rPr>
        <w:t xml:space="preserve"> </w:t>
      </w:r>
      <w:r>
        <w:rPr>
          <w:rFonts w:ascii="Arial"/>
          <w:color w:val="000000"/>
          <w:sz w:val="24"/>
        </w:rPr>
        <w:t xml:space="preserve">refers to the note on the ISP that qualifies the indicative design by acknowledging that: </w:t>
      </w:r>
      <w:r>
        <w:rPr>
          <w:rFonts w:ascii="Arial"/>
          <w:color w:val="000000"/>
          <w:sz w:val="24"/>
        </w:rPr>
        <w:t>“</w:t>
      </w:r>
      <w:r>
        <w:rPr>
          <w:rFonts w:ascii="Arial"/>
          <w:i/>
          <w:color w:val="000000"/>
          <w:sz w:val="24"/>
        </w:rPr>
        <w:t>the details of internal traffic movements are to be confirmed at the detailed design stage and consultation with Transport for NSW and Council”</w:t>
      </w:r>
      <w:r>
        <w:rPr>
          <w:rFonts w:ascii="Arial"/>
          <w:color w:val="000000"/>
          <w:sz w:val="24"/>
        </w:rPr>
        <w:t xml:space="preserve">. </w:t>
      </w:r>
    </w:p>
    <w:p>
      <w:pPr>
        <w:pStyle w:val="CaselawNumbered10"/>
        <w:numPr>
          <w:ilvl w:val="0"/>
          <w:numId w:val="169"/>
        </w:numPr>
        <w:spacing w:before="150" w:after="0"/>
        <w:ind w:left="600" w:hanging="600"/>
      </w:pPr>
      <w:r>
        <w:rPr>
          <w:rFonts w:ascii="Arial"/>
          <w:color w:val="000000"/>
          <w:sz w:val="24"/>
        </w:rPr>
        <w:t>As the original SEE records, Henroth point</w:t>
      </w:r>
      <w:r>
        <w:rPr>
          <w:rFonts w:ascii="Arial"/>
          <w:color w:val="000000"/>
          <w:sz w:val="24"/>
        </w:rPr>
        <w:t>s</w:t>
      </w:r>
      <w:r>
        <w:rPr>
          <w:rFonts w:ascii="Arial"/>
          <w:color w:val="000000"/>
          <w:sz w:val="24"/>
        </w:rPr>
        <w:t xml:space="preserve"> </w:t>
      </w:r>
      <w:r>
        <w:rPr>
          <w:rFonts w:ascii="Arial"/>
          <w:color w:val="000000"/>
          <w:sz w:val="24"/>
        </w:rPr>
        <w:t xml:space="preserve">out that the application went through a lengthy pre-DA consultation before its submission. This included the submission of written legal advice about the legality of the proposed Norfolk Road access. The application was referred and considered by </w:t>
      </w:r>
      <w:r>
        <w:rPr>
          <w:rFonts w:ascii="Arial"/>
          <w:color w:val="000000"/>
          <w:sz w:val="24"/>
        </w:rPr>
        <w:t>Tf</w:t>
      </w:r>
      <w:r>
        <w:rPr>
          <w:rFonts w:ascii="Arial"/>
          <w:color w:val="000000"/>
          <w:sz w:val="24"/>
        </w:rPr>
        <w:t>NSW and TFNSW</w:t>
      </w:r>
      <w:r>
        <w:rPr>
          <w:rFonts w:ascii="Arial"/>
          <w:color w:val="000000"/>
          <w:sz w:val="24"/>
        </w:rPr>
        <w:t>’</w:t>
      </w:r>
      <w:r>
        <w:rPr>
          <w:rFonts w:ascii="Arial"/>
          <w:color w:val="000000"/>
          <w:sz w:val="24"/>
        </w:rPr>
        <w:t>s comments informed the Council</w:t>
      </w:r>
      <w:r>
        <w:rPr>
          <w:rFonts w:ascii="Arial"/>
          <w:color w:val="000000"/>
          <w:sz w:val="24"/>
        </w:rPr>
        <w:t>’</w:t>
      </w:r>
      <w:r>
        <w:rPr>
          <w:rFonts w:ascii="Arial"/>
          <w:color w:val="000000"/>
          <w:sz w:val="24"/>
        </w:rPr>
        <w:t xml:space="preserve">s draft conditions. Relevantly, there is no evidence of opposition to the proposed new road by TfNSW. </w:t>
      </w:r>
    </w:p>
    <w:p>
      <w:pPr>
        <w:pStyle w:val="CaselawNumbered10"/>
        <w:numPr>
          <w:ilvl w:val="0"/>
          <w:numId w:val="169"/>
        </w:numPr>
        <w:spacing w:before="150" w:after="0"/>
        <w:ind w:left="600" w:hanging="600"/>
      </w:pPr>
      <w:r>
        <w:rPr>
          <w:rFonts w:ascii="Arial"/>
          <w:color w:val="000000"/>
          <w:sz w:val="24"/>
        </w:rPr>
        <w:t xml:space="preserve">Although some proposed streets are not exactly as described in the DCP, Henroth submits that the primary vehicular access to the site will be from Waterloo Road consistent with the DCP key </w:t>
      </w:r>
      <w:r>
        <w:rPr>
          <w:rFonts w:ascii="Arial"/>
          <w:color w:val="000000"/>
          <w:sz w:val="24"/>
        </w:rPr>
        <w:t xml:space="preserve">design </w:t>
      </w:r>
      <w:r>
        <w:rPr>
          <w:rFonts w:ascii="Arial"/>
          <w:color w:val="000000"/>
          <w:sz w:val="24"/>
        </w:rPr>
        <w:t xml:space="preserve">principles. Servicing will be undertaken from the northern-most access point, which enables the most direct route around the northern boundary to the eastern boundary to access the loading and servicing areas for the retail tenancies in the shopping centre. The existing Waterloo Road access point, adjacent to the roundabout, and the proposed new access point at the south-western corner of the site, will facilitate access to the retail, childcare centre and residential (in Stages 2-4) and parking facilities. The proposed Norfolk Road access point will only allow access to parking allocated for the residential uses in Stages 1 and 2. </w:t>
      </w:r>
    </w:p>
    <w:p>
      <w:pPr>
        <w:pStyle w:val="CaselawNumbered10"/>
        <w:numPr>
          <w:ilvl w:val="0"/>
          <w:numId w:val="169"/>
        </w:numPr>
        <w:spacing w:before="150" w:after="0"/>
        <w:ind w:left="600" w:hanging="600"/>
      </w:pPr>
      <w:r>
        <w:rPr>
          <w:rFonts w:ascii="Arial"/>
          <w:color w:val="000000"/>
          <w:sz w:val="24"/>
        </w:rPr>
        <w:t xml:space="preserve">Henroth maintains that the amended scheme clarifies the access arrangements around the overall site, to ensure that the proposed internal roads and car park entrances are legible, resulting in a reduction of traffic congestion and vehicle/pedestrian conflict. It submits that the new road will provide a key connection and shared access for pedestrians and cyclists from Norfolk Road and Norfolk Reserve. </w:t>
      </w:r>
    </w:p>
    <w:p>
      <w:pPr>
        <w:pStyle w:val="CaselawNumbered10"/>
        <w:numPr>
          <w:ilvl w:val="0"/>
          <w:numId w:val="169"/>
        </w:numPr>
        <w:spacing w:before="150" w:after="0"/>
        <w:ind w:left="600" w:hanging="600"/>
      </w:pPr>
      <w:r>
        <w:rPr>
          <w:rFonts w:ascii="Arial"/>
          <w:color w:val="000000"/>
          <w:sz w:val="24"/>
        </w:rPr>
        <w:t xml:space="preserve">The amount of traffic associated with the residential component of Stages 1 and 2 is accepted to be minor and will not unreasonably impact the traffic conditions on Norfolk Road or the wider road network (Traffic report accompanying the DA (Appendix H)). The entry to the Basement Level 02 car park will be secured and will not allow entry for public parking. The commercial and childcare parking spaces will be located on Basement Level 01 and this level of car parking will only be accessed via the existing basement level in the centre of the site. The amended landscaping will provide a visual and acoustic buffer for the existing residential dwellings fronting Norfolk Road. Albeit, no amenity contention has been raised by the Council with respect to the new road separate from the public submissions which I have addressed. </w:t>
      </w:r>
    </w:p>
    <w:p>
      <w:pPr>
        <w:pStyle w:val="CaselawNumbered10"/>
        <w:numPr>
          <w:ilvl w:val="0"/>
          <w:numId w:val="169"/>
        </w:numPr>
        <w:spacing w:before="150" w:after="0"/>
        <w:ind w:left="600" w:hanging="600"/>
      </w:pPr>
      <w:r>
        <w:rPr>
          <w:rFonts w:ascii="Arial"/>
          <w:color w:val="000000"/>
          <w:sz w:val="24"/>
        </w:rPr>
        <w:t xml:space="preserve">Henroth emphasises that the DCP states that the key design principles and the ISP are an indictive guide to any future development applications for the site. They are </w:t>
      </w:r>
      <w:r>
        <w:rPr>
          <w:rFonts w:ascii="Arial"/>
          <w:color w:val="000000"/>
          <w:sz w:val="24"/>
        </w:rPr>
        <w:t>“</w:t>
      </w:r>
      <w:r>
        <w:rPr>
          <w:rFonts w:ascii="Arial"/>
          <w:color w:val="000000"/>
          <w:sz w:val="24"/>
        </w:rPr>
        <w:t>indicative</w:t>
      </w:r>
      <w:r>
        <w:rPr>
          <w:rFonts w:ascii="Arial"/>
          <w:color w:val="000000"/>
          <w:sz w:val="24"/>
        </w:rPr>
        <w:t xml:space="preserve">” </w:t>
      </w:r>
      <w:r>
        <w:rPr>
          <w:rFonts w:ascii="Arial"/>
          <w:color w:val="000000"/>
          <w:sz w:val="24"/>
        </w:rPr>
        <w:t>not</w:t>
      </w:r>
      <w:r>
        <w:rPr>
          <w:rFonts w:ascii="Arial"/>
          <w:color w:val="000000"/>
          <w:sz w:val="24"/>
        </w:rPr>
        <w:t xml:space="preserve"> </w:t>
      </w:r>
      <w:r>
        <w:rPr>
          <w:rFonts w:ascii="Arial"/>
          <w:color w:val="000000"/>
          <w:sz w:val="24"/>
        </w:rPr>
        <w:t>“</w:t>
      </w:r>
      <w:r>
        <w:rPr>
          <w:rFonts w:ascii="Arial"/>
          <w:color w:val="000000"/>
          <w:sz w:val="24"/>
        </w:rPr>
        <w:t>prescriptive</w:t>
      </w:r>
      <w:r>
        <w:rPr>
          <w:rFonts w:ascii="Arial"/>
          <w:color w:val="000000"/>
          <w:sz w:val="24"/>
        </w:rPr>
        <w:t>”</w:t>
      </w:r>
      <w:r>
        <w:rPr>
          <w:rFonts w:ascii="Arial"/>
          <w:color w:val="000000"/>
          <w:sz w:val="24"/>
        </w:rPr>
        <w:t xml:space="preserve">. </w:t>
      </w:r>
    </w:p>
    <w:p>
      <w:pPr>
        <w:pStyle w:val="CaselawNumbered10"/>
        <w:numPr>
          <w:ilvl w:val="0"/>
          <w:numId w:val="169"/>
        </w:numPr>
        <w:spacing w:before="150" w:after="0"/>
        <w:ind w:left="600" w:hanging="600"/>
      </w:pPr>
      <w:r>
        <w:rPr>
          <w:rFonts w:ascii="Arial"/>
          <w:color w:val="000000"/>
          <w:sz w:val="24"/>
        </w:rPr>
        <w:t>While acknowledging that the DCP provisions are fundamental elements and focal points in the decision-making process:</w:t>
      </w:r>
      <w:r>
        <w:rPr>
          <w:rFonts w:ascii="Arial"/>
          <w:color w:val="000000"/>
          <w:sz w:val="24"/>
        </w:rPr>
        <w:t xml:space="preserve"> </w:t>
      </w:r>
      <w:r>
        <w:rPr>
          <w:rFonts w:ascii="Arial"/>
          <w:i/>
          <w:color w:val="000000"/>
          <w:sz w:val="24"/>
        </w:rPr>
        <w:t>Z</w:t>
      </w:r>
      <w:r>
        <w:rPr>
          <w:rFonts w:ascii="Arial"/>
          <w:i/>
          <w:color w:val="000000"/>
          <w:sz w:val="24"/>
        </w:rPr>
        <w:t>h</w:t>
      </w:r>
      <w:r>
        <w:rPr>
          <w:rFonts w:ascii="Arial"/>
          <w:i/>
          <w:color w:val="000000"/>
          <w:sz w:val="24"/>
        </w:rPr>
        <w:t>ang</w:t>
      </w:r>
      <w:r>
        <w:rPr>
          <w:rFonts w:ascii="Arial"/>
          <w:color w:val="000000"/>
          <w:sz w:val="24"/>
        </w:rPr>
        <w:t>, Henroth submits there may be alternative solutions to achieve the objects of the provisions pursuant to s</w:t>
      </w:r>
      <w:r>
        <w:rPr>
          <w:rFonts w:ascii="Arial"/>
          <w:color w:val="000000"/>
          <w:sz w:val="24"/>
        </w:rPr>
        <w:t> </w:t>
      </w:r>
      <w:r>
        <w:rPr>
          <w:rFonts w:ascii="Arial"/>
          <w:color w:val="000000"/>
          <w:sz w:val="24"/>
        </w:rPr>
        <w:t xml:space="preserve">4.15(3A)(b) of the EPA Act. It contends that it has simply taken up that opportunity and lodged a DA which offers a reasonable alternative design to that set out in the DCP yet still achieving the objects of the provisions. Subsection (3A) provides: </w:t>
      </w:r>
    </w:p>
    <w:p>
      <w:pPr>
        <w:pStyle w:val="CaselawQuote"/>
        <w:spacing w:before="150" w:after="150"/>
        <w:ind w:left="1350"/>
        <w:jc w:val="left"/>
      </w:pPr>
      <w:r>
        <w:rPr>
          <w:rFonts w:ascii="Arial"/>
          <w:color w:val="000000"/>
          <w:sz w:val="22"/>
        </w:rPr>
        <w:t xml:space="preserve">(3A) </w:t>
      </w:r>
      <w:r>
        <w:rPr>
          <w:rFonts w:ascii="Arial"/>
          <w:b/>
          <w:color w:val="000000"/>
          <w:sz w:val="22"/>
        </w:rPr>
        <w:t>Development control plans</w:t>
      </w:r>
      <w:r>
        <w:rPr>
          <w:rFonts w:ascii="Arial"/>
          <w:color w:val="000000"/>
          <w:sz w:val="22"/>
        </w:rPr>
        <w:t xml:space="preserve"> If a development control plan contains provisions that relate to the development that is the subject of a development application, the consent authority—</w:t>
      </w:r>
    </w:p>
    <w:p>
      <w:pPr>
        <w:pStyle w:val="CaselawQuote0"/>
        <w:spacing w:before="150" w:after="150"/>
        <w:ind w:left="2100"/>
        <w:jc w:val="left"/>
      </w:pPr>
      <w:r>
        <w:rPr>
          <w:rFonts w:ascii="Arial"/>
          <w:color w:val="000000"/>
          <w:sz w:val="22"/>
        </w:rPr>
        <w:t>(a) if those provisions set standards with respect to an aspect of the development and the development application complies with those standards—is not to require more onerous standards with respect to that aspect of the development, and</w:t>
      </w:r>
    </w:p>
    <w:p>
      <w:pPr>
        <w:pStyle w:val="CaselawQuote0"/>
        <w:spacing w:before="150" w:after="150"/>
        <w:ind w:left="2100"/>
        <w:jc w:val="left"/>
      </w:pPr>
      <w:r>
        <w:rPr>
          <w:rFonts w:ascii="Arial"/>
          <w:color w:val="000000"/>
          <w:sz w:val="22"/>
        </w:rPr>
        <w:t>(b) if those provisions set standards with respect to an aspect of the development and the development application does not comply with those standards—is to be flexible in applying those provisions and allow reasonable alternative solutions that achieve the objects of those standards for dealing with that aspect of the development, and</w:t>
      </w:r>
    </w:p>
    <w:p>
      <w:pPr>
        <w:pStyle w:val="CaselawQuote0"/>
        <w:spacing w:before="150" w:after="150"/>
        <w:ind w:left="2100"/>
        <w:jc w:val="left"/>
      </w:pPr>
      <w:r>
        <w:rPr>
          <w:rFonts w:ascii="Arial"/>
          <w:color w:val="000000"/>
          <w:sz w:val="22"/>
        </w:rPr>
        <w:t>(c) may consider those provisions only in connection with the assessment of that development application.</w:t>
      </w:r>
    </w:p>
    <w:p>
      <w:pPr>
        <w:pStyle w:val="CaselawQuote0"/>
        <w:spacing w:before="150" w:after="150"/>
        <w:ind w:left="2100"/>
        <w:jc w:val="left"/>
      </w:pPr>
      <w:r>
        <w:rPr>
          <w:rFonts w:ascii="Arial"/>
          <w:color w:val="000000"/>
          <w:sz w:val="22"/>
        </w:rPr>
        <w:t xml:space="preserve">In this subsection, </w:t>
      </w:r>
      <w:r>
        <w:rPr>
          <w:rFonts w:ascii="Arial"/>
          <w:b/>
          <w:i/>
          <w:color w:val="000000"/>
          <w:sz w:val="22"/>
        </w:rPr>
        <w:t>standards</w:t>
      </w:r>
      <w:r>
        <w:rPr>
          <w:rFonts w:ascii="Arial"/>
          <w:color w:val="000000"/>
          <w:sz w:val="22"/>
        </w:rPr>
        <w:t xml:space="preserve"> include performance criteria.</w:t>
      </w:r>
    </w:p>
    <w:p>
      <w:pPr>
        <w:pStyle w:val="CaselawNumbered10"/>
        <w:numPr>
          <w:ilvl w:val="0"/>
          <w:numId w:val="170"/>
        </w:numPr>
        <w:spacing w:before="150" w:after="0"/>
        <w:ind w:left="600" w:hanging="600"/>
      </w:pPr>
      <w:r>
        <w:rPr>
          <w:rFonts w:ascii="Arial"/>
          <w:color w:val="000000"/>
          <w:sz w:val="24"/>
        </w:rPr>
        <w:t xml:space="preserve">Henroth rejects any claim that an approval of this DA will set an undesirable precedent for future development because Chapter 11.10 is relevant only to this site. Moreover, this application is only dealing with a particular portion of the site described as Stages 1 and 2. Therefore, the subsequent Stages 3 and 4 are not set in stone by a decision in this case; especially when the DCP expressly acknowledges that the Concept </w:t>
      </w:r>
      <w:r>
        <w:rPr>
          <w:rFonts w:ascii="Arial"/>
          <w:color w:val="000000"/>
          <w:sz w:val="24"/>
        </w:rPr>
        <w:t>P</w:t>
      </w:r>
      <w:r>
        <w:rPr>
          <w:rFonts w:ascii="Arial"/>
          <w:color w:val="000000"/>
          <w:sz w:val="24"/>
        </w:rPr>
        <w:t xml:space="preserve">lan can be revisited and amended at each stage by the Council, where necessary to achieve consistency with the desired future character and the key </w:t>
      </w:r>
      <w:r>
        <w:rPr>
          <w:rFonts w:ascii="Arial"/>
          <w:color w:val="000000"/>
          <w:sz w:val="24"/>
        </w:rPr>
        <w:t xml:space="preserve">design </w:t>
      </w:r>
      <w:r>
        <w:rPr>
          <w:rFonts w:ascii="Arial"/>
          <w:color w:val="000000"/>
          <w:sz w:val="24"/>
        </w:rPr>
        <w:t xml:space="preserve">principles of the DCP in Chapter 11. </w:t>
      </w:r>
    </w:p>
    <w:p>
      <w:pPr>
        <w:pStyle w:val="CaselawNumbered10"/>
        <w:numPr>
          <w:ilvl w:val="0"/>
          <w:numId w:val="170"/>
        </w:numPr>
        <w:spacing w:before="150" w:after="0"/>
        <w:ind w:left="600" w:hanging="600"/>
      </w:pPr>
      <w:r>
        <w:rPr>
          <w:rFonts w:ascii="Arial"/>
          <w:color w:val="000000"/>
          <w:sz w:val="24"/>
        </w:rPr>
        <w:t>As the ramp to the existing car park has now been retained in the latest plans, Henroth submits that the opportunities going forward are not fixed. It is no longer a road to nowhere, as Council submitted, ending in Stage 1 with a 3-metre drop or in a cul-de-sac in Stage 2. Relying on Figs 3, 4 and 5 in Ex 9 being Mr Smith</w:t>
      </w:r>
      <w:r>
        <w:rPr>
          <w:rFonts w:ascii="Arial"/>
          <w:color w:val="000000"/>
          <w:sz w:val="24"/>
        </w:rPr>
        <w:t>’</w:t>
      </w:r>
      <w:r>
        <w:rPr>
          <w:rFonts w:ascii="Arial"/>
          <w:color w:val="000000"/>
          <w:sz w:val="24"/>
        </w:rPr>
        <w:t>s interpretation either of the DCP or modifications that he contemplates are within the scope of the DCP (Tcpt, 19 June 2024, pp 121(28)-138(9))</w:t>
      </w:r>
      <w:r>
        <w:rPr>
          <w:rFonts w:ascii="Arial"/>
          <w:color w:val="000000"/>
          <w:sz w:val="24"/>
        </w:rPr>
        <w:t>,</w:t>
      </w:r>
      <w:r>
        <w:rPr>
          <w:rFonts w:ascii="Arial"/>
          <w:color w:val="000000"/>
          <w:sz w:val="24"/>
        </w:rPr>
        <w:t xml:space="preserve"> </w:t>
      </w:r>
      <w:r>
        <w:rPr>
          <w:rFonts w:ascii="Arial"/>
          <w:color w:val="000000"/>
          <w:sz w:val="24"/>
        </w:rPr>
        <w:t xml:space="preserve">Henroth submits that Fig 3 is just as much a road to nowhere as it comes off Waterloo Road and requires a U-turn at the end near the reserve to go back out. And, while the Council can argue that Fig 4 is also a road that goes nowhere </w:t>
      </w:r>
      <w:r>
        <w:rPr>
          <w:rFonts w:ascii="Arial"/>
          <w:color w:val="000000"/>
          <w:sz w:val="24"/>
        </w:rPr>
        <w:t xml:space="preserve">– </w:t>
      </w:r>
      <w:r>
        <w:rPr>
          <w:rFonts w:ascii="Arial"/>
          <w:color w:val="000000"/>
          <w:sz w:val="24"/>
        </w:rPr>
        <w:t xml:space="preserve">it submits that the Norfolk Road is permissible albeit not what the DCP anticipated. The same can be said, for Fig 5 which has no vehicular access; it provides for access off Waterloo Road and into a basement car park that leads to </w:t>
      </w:r>
      <w:r>
        <w:rPr>
          <w:rFonts w:ascii="Arial"/>
          <w:color w:val="000000"/>
          <w:sz w:val="24"/>
        </w:rPr>
        <w:t>nowhere except</w:t>
      </w:r>
      <w:r>
        <w:rPr>
          <w:rFonts w:ascii="Arial"/>
          <w:color w:val="000000"/>
          <w:sz w:val="24"/>
        </w:rPr>
        <w:t xml:space="preserve"> </w:t>
      </w:r>
      <w:r>
        <w:rPr>
          <w:rFonts w:ascii="Arial"/>
          <w:color w:val="000000"/>
          <w:sz w:val="24"/>
        </w:rPr>
        <w:t xml:space="preserve">that the ISP has an arrow that goes all the way out to the eastern boundary with the Norfolk Reserve, but that arrow does not appear to connect to any road. The only connection offsite, based on the ISP for the </w:t>
      </w:r>
      <w:r>
        <w:rPr>
          <w:rFonts w:ascii="Arial"/>
          <w:color w:val="000000"/>
          <w:sz w:val="24"/>
        </w:rPr>
        <w:t>road, is</w:t>
      </w:r>
      <w:r>
        <w:rPr>
          <w:rFonts w:ascii="Arial"/>
          <w:color w:val="000000"/>
          <w:sz w:val="24"/>
        </w:rPr>
        <w:t xml:space="preserve"> </w:t>
      </w:r>
      <w:r>
        <w:rPr>
          <w:rFonts w:ascii="Arial"/>
          <w:color w:val="000000"/>
          <w:sz w:val="24"/>
        </w:rPr>
        <w:t xml:space="preserve">a pedestrian access. </w:t>
      </w:r>
    </w:p>
    <w:p>
      <w:pPr>
        <w:pStyle w:val="CaselawNormal"/>
        <w:spacing w:before="150" w:after="150"/>
        <w:ind w:left="600"/>
        <w:jc w:val="left"/>
      </w:pPr>
      <w:r>
        <w:drawing>
          <wp:inline distT="0" distB="0" distL="0" distR="0">
            <wp:extent cx="4377980" cy="28829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6"/>
                    <a:stretch>
                      <a:fillRect/>
                    </a:stretch>
                  </pic:blipFill>
                  <pic:spPr>
                    <a:xfrm>
                      <a:off x="0" y="0"/>
                      <a:ext cx="4377980" cy="2882900"/>
                    </a:xfrm>
                    <a:prstGeom prst="rect">
                      <a:avLst/>
                    </a:prstGeom>
                  </pic:spPr>
                </pic:pic>
              </a:graphicData>
            </a:graphic>
          </wp:inline>
        </w:drawing>
      </w:r>
    </w:p>
    <w:p>
      <w:pPr>
        <w:pStyle w:val="CaselawNormal"/>
        <w:spacing w:before="150" w:after="150"/>
        <w:ind w:left="600"/>
        <w:jc w:val="left"/>
      </w:pPr>
      <w:r>
        <w:drawing>
          <wp:inline distT="0" distB="0" distL="0" distR="0">
            <wp:extent cx="4453005" cy="28829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7"/>
                    <a:stretch>
                      <a:fillRect/>
                    </a:stretch>
                  </pic:blipFill>
                  <pic:spPr>
                    <a:xfrm>
                      <a:off x="0" y="0"/>
                      <a:ext cx="4453005" cy="2882900"/>
                    </a:xfrm>
                    <a:prstGeom prst="rect">
                      <a:avLst/>
                    </a:prstGeom>
                  </pic:spPr>
                </pic:pic>
              </a:graphicData>
            </a:graphic>
          </wp:inline>
        </w:drawing>
      </w:r>
    </w:p>
    <w:p>
      <w:pPr>
        <w:pStyle w:val="CaselawNormal"/>
        <w:spacing w:before="150" w:after="150"/>
        <w:ind w:left="600"/>
        <w:jc w:val="left"/>
      </w:pPr>
      <w:r>
        <w:drawing>
          <wp:inline distT="0" distB="0" distL="0" distR="0">
            <wp:extent cx="4415175" cy="3238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128"/>
                    <a:stretch>
                      <a:fillRect/>
                    </a:stretch>
                  </pic:blipFill>
                  <pic:spPr>
                    <a:xfrm>
                      <a:off x="0" y="0"/>
                      <a:ext cx="4415175" cy="3238500"/>
                    </a:xfrm>
                    <a:prstGeom prst="rect">
                      <a:avLst/>
                    </a:prstGeom>
                  </pic:spPr>
                </pic:pic>
              </a:graphicData>
            </a:graphic>
          </wp:inline>
        </w:drawing>
      </w:r>
    </w:p>
    <w:p>
      <w:pPr>
        <w:pStyle w:val="CaselawNumbered10"/>
        <w:numPr>
          <w:ilvl w:val="0"/>
          <w:numId w:val="171"/>
        </w:numPr>
        <w:spacing w:before="150" w:after="0"/>
        <w:ind w:left="600" w:hanging="600"/>
      </w:pPr>
      <w:r>
        <w:rPr>
          <w:rFonts w:ascii="Arial"/>
          <w:color w:val="000000"/>
          <w:sz w:val="24"/>
        </w:rPr>
        <w:t xml:space="preserve">Therefore, when considering the concept of permeability in the DCP it is not only motor vehicle permeability but pedestrian that is </w:t>
      </w:r>
      <w:r>
        <w:rPr>
          <w:rFonts w:ascii="Arial"/>
          <w:color w:val="000000"/>
          <w:sz w:val="24"/>
        </w:rPr>
        <w:t>identified</w:t>
      </w:r>
      <w:r>
        <w:rPr>
          <w:rFonts w:ascii="Arial"/>
          <w:color w:val="000000"/>
          <w:sz w:val="24"/>
        </w:rPr>
        <w:t xml:space="preserve">: Key design principle (c) in the </w:t>
      </w:r>
      <w:r>
        <w:rPr>
          <w:rFonts w:ascii="Arial"/>
          <w:color w:val="000000"/>
          <w:sz w:val="24"/>
        </w:rPr>
        <w:t>ISP</w:t>
      </w:r>
      <w:r>
        <w:rPr>
          <w:rFonts w:ascii="Arial"/>
          <w:color w:val="000000"/>
          <w:sz w:val="24"/>
        </w:rPr>
        <w:t xml:space="preserve">. </w:t>
      </w:r>
    </w:p>
    <w:p>
      <w:pPr>
        <w:pStyle w:val="CaselawNumbered10"/>
        <w:numPr>
          <w:ilvl w:val="0"/>
          <w:numId w:val="171"/>
        </w:numPr>
        <w:spacing w:before="150" w:after="0"/>
        <w:ind w:left="600" w:hanging="600"/>
      </w:pPr>
      <w:r>
        <w:rPr>
          <w:rFonts w:ascii="Arial"/>
          <w:color w:val="000000"/>
          <w:sz w:val="24"/>
        </w:rPr>
        <w:t xml:space="preserve">The proposed design is said to have a permeable pattern of new streets, which are publicly accessible and appropriately respond to key connections within the site and the adjacent neighbourhoods. Henroth emphasises that all internal streets consist of shared paths to prioritise pedestrians and cyclists not vehicles. Through the ground floor plan pedestrians can permeate to and from the Civic </w:t>
      </w:r>
      <w:r>
        <w:rPr>
          <w:rFonts w:ascii="Arial"/>
          <w:color w:val="000000"/>
          <w:sz w:val="24"/>
        </w:rPr>
        <w:t>Plaza which</w:t>
      </w:r>
      <w:r>
        <w:rPr>
          <w:rFonts w:ascii="Arial"/>
          <w:color w:val="000000"/>
          <w:sz w:val="24"/>
        </w:rPr>
        <w:t xml:space="preserve"> </w:t>
      </w:r>
      <w:r>
        <w:rPr>
          <w:rFonts w:ascii="Arial"/>
          <w:color w:val="000000"/>
          <w:sz w:val="24"/>
        </w:rPr>
        <w:t xml:space="preserve">also feeds pedestrian access into the southern portion of the site and out to and into Norfolk Reserve. As </w:t>
      </w:r>
      <w:r>
        <w:rPr>
          <w:rFonts w:ascii="Arial"/>
          <w:color w:val="000000"/>
          <w:sz w:val="24"/>
        </w:rPr>
        <w:t>such,</w:t>
      </w:r>
      <w:r>
        <w:rPr>
          <w:rFonts w:ascii="Arial"/>
          <w:color w:val="000000"/>
          <w:sz w:val="24"/>
        </w:rPr>
        <w:t xml:space="preserve"> </w:t>
      </w:r>
      <w:r>
        <w:rPr>
          <w:rFonts w:ascii="Arial"/>
          <w:color w:val="000000"/>
          <w:sz w:val="24"/>
        </w:rPr>
        <w:t xml:space="preserve">that is entirely consistent with the DCP key </w:t>
      </w:r>
      <w:r>
        <w:rPr>
          <w:rFonts w:ascii="Arial"/>
          <w:color w:val="000000"/>
          <w:sz w:val="24"/>
        </w:rPr>
        <w:t xml:space="preserve">design </w:t>
      </w:r>
      <w:r>
        <w:rPr>
          <w:rFonts w:ascii="Arial"/>
          <w:color w:val="000000"/>
          <w:sz w:val="24"/>
        </w:rPr>
        <w:t xml:space="preserve">principle requiring permeability. </w:t>
      </w:r>
    </w:p>
    <w:p>
      <w:pPr>
        <w:pStyle w:val="CaselawNumbered10"/>
        <w:numPr>
          <w:ilvl w:val="0"/>
          <w:numId w:val="171"/>
        </w:numPr>
        <w:spacing w:before="150" w:after="0"/>
        <w:ind w:left="600" w:hanging="600"/>
      </w:pPr>
      <w:r>
        <w:rPr>
          <w:rFonts w:ascii="Arial"/>
          <w:color w:val="000000"/>
          <w:sz w:val="24"/>
        </w:rPr>
        <w:t>Henroth</w:t>
      </w:r>
      <w:r>
        <w:rPr>
          <w:rFonts w:ascii="Arial"/>
          <w:color w:val="000000"/>
          <w:sz w:val="24"/>
        </w:rPr>
        <w:t xml:space="preserve"> </w:t>
      </w:r>
      <w:r>
        <w:rPr>
          <w:rFonts w:ascii="Arial"/>
          <w:color w:val="000000"/>
          <w:sz w:val="24"/>
        </w:rPr>
        <w:t>submits that the fact that the public do not have access to the basement car park from Norfolk Lane and will need to do a U</w:t>
      </w:r>
      <w:r>
        <w:rPr>
          <w:rFonts w:ascii="Arial"/>
          <w:color w:val="000000"/>
          <w:sz w:val="24"/>
        </w:rPr>
        <w:t>-</w:t>
      </w:r>
      <w:r>
        <w:rPr>
          <w:rFonts w:ascii="Arial"/>
          <w:color w:val="000000"/>
          <w:sz w:val="24"/>
        </w:rPr>
        <w:t xml:space="preserve">turn to leave, does not mean the development is not legible. Nor does that feature mean that pedestrians and cyclists are not prioritised. </w:t>
      </w:r>
    </w:p>
    <w:p>
      <w:pPr>
        <w:pStyle w:val="CaselawNumbered10"/>
        <w:numPr>
          <w:ilvl w:val="0"/>
          <w:numId w:val="171"/>
        </w:numPr>
        <w:spacing w:before="150" w:after="0"/>
        <w:ind w:left="600" w:hanging="600"/>
      </w:pPr>
      <w:r>
        <w:rPr>
          <w:rFonts w:ascii="Arial"/>
          <w:color w:val="000000"/>
          <w:sz w:val="24"/>
        </w:rPr>
        <w:t xml:space="preserve">It is submitted that the residential parking from Norfolk Road under the building is exactly what the </w:t>
      </w:r>
      <w:r>
        <w:rPr>
          <w:rFonts w:ascii="Arial"/>
          <w:color w:val="000000"/>
          <w:sz w:val="24"/>
        </w:rPr>
        <w:t>ISP</w:t>
      </w:r>
      <w:r>
        <w:rPr>
          <w:rFonts w:ascii="Arial"/>
          <w:color w:val="000000"/>
          <w:sz w:val="24"/>
        </w:rPr>
        <w:t xml:space="preserve"> </w:t>
      </w:r>
      <w:r>
        <w:rPr>
          <w:rFonts w:ascii="Arial"/>
          <w:color w:val="000000"/>
          <w:sz w:val="24"/>
        </w:rPr>
        <w:t xml:space="preserve">suggests. Albeit, it refers to </w:t>
      </w:r>
      <w:r>
        <w:rPr>
          <w:rFonts w:ascii="Arial"/>
          <w:color w:val="000000"/>
          <w:sz w:val="24"/>
        </w:rPr>
        <w:t>the dotted</w:t>
      </w:r>
      <w:r>
        <w:rPr>
          <w:rFonts w:ascii="Arial"/>
          <w:color w:val="000000"/>
          <w:sz w:val="24"/>
        </w:rPr>
        <w:t xml:space="preserve"> </w:t>
      </w:r>
      <w:r>
        <w:rPr>
          <w:rFonts w:ascii="Arial"/>
          <w:color w:val="000000"/>
          <w:sz w:val="24"/>
        </w:rPr>
        <w:t>line in/ off Waterloo R</w:t>
      </w:r>
      <w:r>
        <w:rPr>
          <w:rFonts w:ascii="Arial"/>
          <w:color w:val="000000"/>
          <w:sz w:val="24"/>
        </w:rPr>
        <w:t>oa</w:t>
      </w:r>
      <w:r>
        <w:rPr>
          <w:rFonts w:ascii="Arial"/>
          <w:color w:val="000000"/>
          <w:sz w:val="24"/>
        </w:rPr>
        <w:t xml:space="preserve">d over an area in the southwestern portion </w:t>
      </w:r>
      <w:r>
        <w:rPr>
          <w:rFonts w:ascii="Arial"/>
          <w:color w:val="000000"/>
          <w:sz w:val="24"/>
        </w:rPr>
        <w:t xml:space="preserve">– </w:t>
      </w:r>
      <w:r>
        <w:rPr>
          <w:rFonts w:ascii="Arial"/>
          <w:color w:val="000000"/>
          <w:sz w:val="24"/>
        </w:rPr>
        <w:t>going under a grey area that is an indicative building. As such, the separation of the proposed residential users from the other users is</w:t>
      </w:r>
      <w:r>
        <w:rPr>
          <w:rFonts w:ascii="Arial"/>
          <w:color w:val="000000"/>
          <w:sz w:val="24"/>
        </w:rPr>
        <w:t>,</w:t>
      </w:r>
      <w:r>
        <w:rPr>
          <w:rFonts w:ascii="Arial"/>
          <w:color w:val="000000"/>
          <w:sz w:val="24"/>
        </w:rPr>
        <w:t xml:space="preserve"> </w:t>
      </w:r>
      <w:r>
        <w:rPr>
          <w:rFonts w:ascii="Arial"/>
          <w:color w:val="000000"/>
          <w:sz w:val="24"/>
        </w:rPr>
        <w:t>as Mr Ryan identifies in the Amended SEE (Ex D)</w:t>
      </w:r>
      <w:r>
        <w:rPr>
          <w:rFonts w:ascii="Arial"/>
          <w:color w:val="000000"/>
          <w:sz w:val="24"/>
        </w:rPr>
        <w:t>,</w:t>
      </w:r>
      <w:r>
        <w:rPr>
          <w:rFonts w:ascii="Arial"/>
          <w:color w:val="000000"/>
          <w:sz w:val="24"/>
        </w:rPr>
        <w:t xml:space="preserve"> </w:t>
      </w:r>
      <w:r>
        <w:rPr>
          <w:rFonts w:ascii="Arial"/>
          <w:color w:val="000000"/>
          <w:sz w:val="24"/>
        </w:rPr>
        <w:t>an improved amenity for those residents consistent with the DCP and exactly what s</w:t>
      </w:r>
      <w:r>
        <w:rPr>
          <w:rFonts w:ascii="Arial"/>
          <w:color w:val="000000"/>
          <w:sz w:val="24"/>
        </w:rPr>
        <w:t xml:space="preserve"> </w:t>
      </w:r>
      <w:r>
        <w:rPr>
          <w:rFonts w:ascii="Arial"/>
          <w:color w:val="000000"/>
          <w:sz w:val="24"/>
        </w:rPr>
        <w:t xml:space="preserve">4.15 (3A) of the EPA Act commands, improved outcomes in relation to what is contemplated in the </w:t>
      </w:r>
      <w:r>
        <w:rPr>
          <w:rFonts w:ascii="Arial"/>
          <w:color w:val="000000"/>
          <w:sz w:val="24"/>
        </w:rPr>
        <w:t>ISP</w:t>
      </w:r>
      <w:r>
        <w:rPr>
          <w:rFonts w:ascii="Arial"/>
          <w:color w:val="000000"/>
          <w:sz w:val="24"/>
        </w:rPr>
        <w:t xml:space="preserve">, and in terms of separation and the like. Ultimately, </w:t>
      </w:r>
      <w:r>
        <w:rPr>
          <w:rFonts w:ascii="Arial"/>
          <w:color w:val="000000"/>
          <w:sz w:val="24"/>
        </w:rPr>
        <w:t>Henroth</w:t>
      </w:r>
      <w:r>
        <w:rPr>
          <w:rFonts w:ascii="Arial"/>
          <w:color w:val="000000"/>
          <w:sz w:val="24"/>
        </w:rPr>
        <w:t xml:space="preserve"> </w:t>
      </w:r>
      <w:r>
        <w:rPr>
          <w:rFonts w:ascii="Arial"/>
          <w:color w:val="000000"/>
          <w:sz w:val="24"/>
        </w:rPr>
        <w:t xml:space="preserve">submits that all the elements said to be missing from the proposal - as identified in the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 xml:space="preserve">s submissions at </w:t>
      </w:r>
      <w:r>
        <w:rPr>
          <w:rFonts w:ascii="Arial"/>
          <w:color w:val="000000"/>
          <w:sz w:val="24"/>
        </w:rPr>
        <w:t xml:space="preserve">par </w:t>
      </w:r>
      <w:r>
        <w:rPr>
          <w:rFonts w:ascii="Arial"/>
          <w:color w:val="000000"/>
          <w:sz w:val="24"/>
        </w:rPr>
        <w:t xml:space="preserve">141, are in fact satisfied by the amended application. </w:t>
      </w:r>
      <w:r>
        <w:rPr>
          <w:rFonts w:ascii="Arial"/>
          <w:color w:val="000000"/>
          <w:sz w:val="24"/>
        </w:rPr>
        <w:t>Henroth</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Addendum</w:t>
      </w:r>
      <w:r>
        <w:rPr>
          <w:rFonts w:ascii="Arial"/>
          <w:color w:val="000000"/>
          <w:sz w:val="24"/>
        </w:rPr>
        <w:t xml:space="preserve"> </w:t>
      </w:r>
      <w:r>
        <w:rPr>
          <w:rFonts w:ascii="Arial"/>
          <w:color w:val="000000"/>
          <w:sz w:val="24"/>
        </w:rPr>
        <w:t xml:space="preserve">SEE considers the amended DA against each of the provisions of the DCP and finds it consistent with key </w:t>
      </w:r>
      <w:r>
        <w:rPr>
          <w:rFonts w:ascii="Arial"/>
          <w:color w:val="000000"/>
          <w:sz w:val="24"/>
        </w:rPr>
        <w:t xml:space="preserve">design </w:t>
      </w:r>
      <w:r>
        <w:rPr>
          <w:rFonts w:ascii="Arial"/>
          <w:color w:val="000000"/>
          <w:sz w:val="24"/>
        </w:rPr>
        <w:t>principles and priorities and the ISP (Ex D Tab 6).</w:t>
      </w:r>
    </w:p>
    <w:p>
      <w:pPr>
        <w:pStyle w:val="CaselawNumbered10"/>
        <w:numPr>
          <w:ilvl w:val="0"/>
          <w:numId w:val="171"/>
        </w:numPr>
        <w:spacing w:before="150" w:after="0"/>
        <w:ind w:left="600" w:hanging="600"/>
      </w:pPr>
      <w:r>
        <w:rPr>
          <w:rFonts w:ascii="Arial"/>
          <w:color w:val="000000"/>
          <w:sz w:val="24"/>
        </w:rPr>
        <w:t xml:space="preserve">Henroth contends that Section 3.3 of the DCP is an example of a </w:t>
      </w:r>
      <w:r>
        <w:rPr>
          <w:rFonts w:ascii="Arial"/>
          <w:color w:val="000000"/>
          <w:sz w:val="24"/>
        </w:rPr>
        <w:t>“</w:t>
      </w:r>
      <w:r>
        <w:rPr>
          <w:rFonts w:ascii="Arial"/>
          <w:color w:val="000000"/>
          <w:sz w:val="24"/>
        </w:rPr>
        <w:t>non-prescriptive indicator in the DCP</w:t>
      </w:r>
      <w:r>
        <w:rPr>
          <w:rFonts w:ascii="Arial"/>
          <w:color w:val="000000"/>
          <w:sz w:val="24"/>
        </w:rPr>
        <w:t>”</w:t>
      </w:r>
      <w:r>
        <w:rPr>
          <w:rFonts w:ascii="Arial"/>
          <w:color w:val="000000"/>
          <w:sz w:val="24"/>
        </w:rPr>
        <w:t xml:space="preserve">. The section states that </w:t>
      </w:r>
      <w:r>
        <w:rPr>
          <w:rFonts w:ascii="Arial"/>
          <w:color w:val="000000"/>
          <w:sz w:val="24"/>
        </w:rPr>
        <w:t>“</w:t>
      </w:r>
      <w:r>
        <w:rPr>
          <w:rFonts w:ascii="Arial"/>
          <w:i/>
          <w:color w:val="000000"/>
          <w:sz w:val="24"/>
        </w:rPr>
        <w:t xml:space="preserve">New streets and connections should </w:t>
      </w:r>
      <w:r>
        <w:rPr>
          <w:rFonts w:ascii="Arial"/>
          <w:b/>
          <w:i/>
          <w:color w:val="000000"/>
          <w:sz w:val="24"/>
        </w:rPr>
        <w:t>generally be in accordance</w:t>
      </w:r>
      <w:r>
        <w:rPr>
          <w:rFonts w:ascii="Arial"/>
          <w:i/>
          <w:color w:val="000000"/>
          <w:sz w:val="24"/>
        </w:rPr>
        <w:t xml:space="preserve"> with key design principles and indicative structure plan outlined in section 1 and the typical street sections outlined in Figure 3</w:t>
      </w:r>
      <w:r>
        <w:rPr>
          <w:rFonts w:ascii="Arial"/>
          <w:color w:val="000000"/>
          <w:sz w:val="24"/>
        </w:rPr>
        <w:t>”</w:t>
      </w:r>
      <w:r>
        <w:rPr>
          <w:rFonts w:ascii="Arial"/>
          <w:color w:val="000000"/>
          <w:sz w:val="24"/>
        </w:rPr>
        <w:t>. In that regard</w:t>
      </w:r>
      <w:r>
        <w:rPr>
          <w:rFonts w:ascii="Arial"/>
          <w:color w:val="000000"/>
          <w:sz w:val="24"/>
        </w:rPr>
        <w:t xml:space="preserve">, it </w:t>
      </w:r>
      <w:r>
        <w:rPr>
          <w:rFonts w:ascii="Arial"/>
          <w:color w:val="000000"/>
          <w:sz w:val="24"/>
        </w:rPr>
        <w:t xml:space="preserve">submits that the development will: </w:t>
      </w:r>
    </w:p>
    <w:p>
      <w:pPr>
        <w:pStyle w:val="CaselawBullet"/>
        <w:numPr>
          <w:ilvl w:val="0"/>
          <w:numId w:val="172"/>
        </w:numPr>
        <w:spacing w:before="150" w:after="0"/>
        <w:ind w:left="600" w:hanging="250"/>
      </w:pPr>
      <w:r>
        <w:rPr>
          <w:rFonts w:ascii="Arial"/>
          <w:color w:val="000000"/>
          <w:sz w:val="24"/>
        </w:rPr>
        <w:t xml:space="preserve">minimise overshadowing and visual impacts to adjoining properties (Key </w:t>
      </w:r>
      <w:r>
        <w:rPr>
          <w:rFonts w:ascii="Arial"/>
          <w:color w:val="000000"/>
          <w:sz w:val="24"/>
        </w:rPr>
        <w:t xml:space="preserve">design </w:t>
      </w:r>
      <w:r>
        <w:rPr>
          <w:rFonts w:ascii="Arial"/>
          <w:color w:val="000000"/>
          <w:sz w:val="24"/>
        </w:rPr>
        <w:t>p</w:t>
      </w:r>
      <w:r>
        <w:rPr>
          <w:rFonts w:ascii="Arial"/>
          <w:color w:val="000000"/>
          <w:sz w:val="24"/>
        </w:rPr>
        <w:t xml:space="preserve">rinciple (g)). </w:t>
      </w:r>
    </w:p>
    <w:p>
      <w:pPr>
        <w:pStyle w:val="CaselawBullet"/>
        <w:numPr>
          <w:ilvl w:val="0"/>
          <w:numId w:val="172"/>
        </w:numPr>
        <w:spacing w:before="150" w:after="0"/>
        <w:ind w:left="600" w:hanging="250"/>
      </w:pPr>
      <w:r>
        <w:rPr>
          <w:rFonts w:ascii="Arial"/>
          <w:color w:val="000000"/>
          <w:sz w:val="24"/>
        </w:rPr>
        <w:t xml:space="preserve">provides passive surveillance over Norfolk Park and along Waterloo Road; </w:t>
      </w:r>
    </w:p>
    <w:p>
      <w:pPr>
        <w:pStyle w:val="CaselawBullet"/>
        <w:numPr>
          <w:ilvl w:val="0"/>
          <w:numId w:val="172"/>
        </w:numPr>
        <w:spacing w:before="150" w:after="0"/>
        <w:ind w:left="600" w:hanging="250"/>
      </w:pPr>
      <w:r>
        <w:rPr>
          <w:rFonts w:ascii="Arial"/>
          <w:color w:val="000000"/>
          <w:sz w:val="24"/>
        </w:rPr>
        <w:t xml:space="preserve">insofar as the southern precinct is concerned </w:t>
      </w:r>
      <w:r>
        <w:rPr>
          <w:rFonts w:ascii="Arial"/>
          <w:color w:val="000000"/>
          <w:sz w:val="24"/>
        </w:rPr>
        <w:t>Henroth</w:t>
      </w:r>
      <w:r>
        <w:rPr>
          <w:rFonts w:ascii="Arial"/>
          <w:color w:val="000000"/>
          <w:sz w:val="24"/>
        </w:rPr>
        <w:t xml:space="preserve"> </w:t>
      </w:r>
      <w:r>
        <w:rPr>
          <w:rFonts w:ascii="Arial"/>
          <w:color w:val="000000"/>
          <w:sz w:val="24"/>
        </w:rPr>
        <w:t xml:space="preserve">contends that the land use has been designed and located in accordance with the ISP which has the shaded zone of lower density development without any specification of where it is to go; </w:t>
      </w:r>
    </w:p>
    <w:p>
      <w:pPr>
        <w:pStyle w:val="CaselawBullet"/>
        <w:numPr>
          <w:ilvl w:val="0"/>
          <w:numId w:val="172"/>
        </w:numPr>
        <w:spacing w:before="150" w:after="0"/>
        <w:ind w:left="600" w:hanging="250"/>
      </w:pPr>
      <w:r>
        <w:rPr>
          <w:rFonts w:ascii="Arial"/>
          <w:color w:val="000000"/>
          <w:sz w:val="24"/>
        </w:rPr>
        <w:t xml:space="preserve">ground level non-residential use is located on ground level around the </w:t>
      </w:r>
      <w:r>
        <w:rPr>
          <w:rFonts w:ascii="Arial"/>
          <w:color w:val="000000"/>
          <w:sz w:val="24"/>
        </w:rPr>
        <w:t>C</w:t>
      </w:r>
      <w:r>
        <w:rPr>
          <w:rFonts w:ascii="Arial"/>
          <w:color w:val="000000"/>
          <w:sz w:val="24"/>
        </w:rPr>
        <w:t xml:space="preserve">entral </w:t>
      </w:r>
      <w:r>
        <w:rPr>
          <w:rFonts w:ascii="Arial"/>
          <w:color w:val="000000"/>
          <w:sz w:val="24"/>
        </w:rPr>
        <w:t>C</w:t>
      </w:r>
      <w:r>
        <w:rPr>
          <w:rFonts w:ascii="Arial"/>
          <w:color w:val="000000"/>
          <w:sz w:val="24"/>
        </w:rPr>
        <w:t xml:space="preserve">ivic </w:t>
      </w:r>
      <w:r>
        <w:rPr>
          <w:rFonts w:ascii="Arial"/>
          <w:color w:val="000000"/>
          <w:sz w:val="24"/>
        </w:rPr>
        <w:t>P</w:t>
      </w:r>
      <w:r>
        <w:rPr>
          <w:rFonts w:ascii="Arial"/>
          <w:color w:val="000000"/>
          <w:sz w:val="24"/>
        </w:rPr>
        <w:t xml:space="preserve">laza; and </w:t>
      </w:r>
    </w:p>
    <w:p>
      <w:pPr>
        <w:pStyle w:val="CaselawBullet"/>
        <w:numPr>
          <w:ilvl w:val="0"/>
          <w:numId w:val="172"/>
        </w:numPr>
        <w:spacing w:before="150" w:after="0"/>
        <w:ind w:left="600" w:hanging="250"/>
      </w:pPr>
      <w:r>
        <w:rPr>
          <w:rFonts w:ascii="Arial"/>
          <w:color w:val="000000"/>
          <w:sz w:val="24"/>
        </w:rPr>
        <w:t xml:space="preserve">a childcare centre and community facilities are located in areas where they will assist in activating the public domain entirely consistent with </w:t>
      </w:r>
      <w:r>
        <w:rPr>
          <w:rFonts w:ascii="Arial"/>
          <w:color w:val="000000"/>
          <w:sz w:val="24"/>
        </w:rPr>
        <w:t>S</w:t>
      </w:r>
      <w:r>
        <w:rPr>
          <w:rFonts w:ascii="Arial"/>
          <w:color w:val="000000"/>
          <w:sz w:val="24"/>
        </w:rPr>
        <w:t>ection 4.3 of the DCP;</w:t>
      </w:r>
    </w:p>
    <w:p>
      <w:pPr>
        <w:pStyle w:val="CaselawBullet"/>
        <w:numPr>
          <w:ilvl w:val="0"/>
          <w:numId w:val="172"/>
        </w:numPr>
        <w:spacing w:before="150" w:after="0"/>
        <w:ind w:left="600" w:hanging="250"/>
      </w:pPr>
      <w:r>
        <w:rPr>
          <w:rFonts w:ascii="Arial"/>
          <w:color w:val="000000"/>
          <w:sz w:val="24"/>
        </w:rPr>
        <w:t xml:space="preserve">taller buildings up to six storeys have been located in the centre of the site in accord with the DCP with a transition to four storeys along </w:t>
      </w:r>
      <w:r>
        <w:rPr>
          <w:rFonts w:ascii="Arial"/>
          <w:color w:val="000000"/>
          <w:sz w:val="24"/>
        </w:rPr>
        <w:t>W</w:t>
      </w:r>
      <w:r>
        <w:rPr>
          <w:rFonts w:ascii="Arial"/>
          <w:color w:val="000000"/>
          <w:sz w:val="24"/>
        </w:rPr>
        <w:t xml:space="preserve">aterloo Road and the Norfolk Reserve boundary; </w:t>
      </w:r>
      <w:r>
        <w:rPr>
          <w:rFonts w:ascii="Arial"/>
          <w:color w:val="000000"/>
          <w:sz w:val="24"/>
        </w:rPr>
        <w:t xml:space="preserve">and </w:t>
      </w:r>
      <w:r>
        <w:rPr>
          <w:rFonts w:ascii="Arial"/>
          <w:color w:val="000000"/>
          <w:sz w:val="24"/>
        </w:rPr>
        <w:t xml:space="preserve"> </w:t>
      </w:r>
    </w:p>
    <w:p>
      <w:pPr>
        <w:pStyle w:val="CaselawBullet"/>
        <w:numPr>
          <w:ilvl w:val="0"/>
          <w:numId w:val="172"/>
        </w:numPr>
        <w:spacing w:before="150" w:after="0"/>
        <w:ind w:left="600" w:hanging="250"/>
      </w:pPr>
      <w:r>
        <w:rPr>
          <w:rFonts w:ascii="Arial"/>
          <w:color w:val="000000"/>
          <w:sz w:val="24"/>
        </w:rPr>
        <w:t>two</w:t>
      </w:r>
      <w:r>
        <w:rPr>
          <w:rFonts w:ascii="Arial"/>
          <w:color w:val="000000"/>
          <w:sz w:val="24"/>
        </w:rPr>
        <w:t>-</w:t>
      </w:r>
      <w:r>
        <w:rPr>
          <w:rFonts w:ascii="Arial"/>
          <w:color w:val="000000"/>
          <w:sz w:val="24"/>
        </w:rPr>
        <w:t xml:space="preserve">storey townhouses are to be located adjacent to the southern boundary at more than the 10m setback in the ISP, with front gardens terraces aimed at maximising street activity. </w:t>
      </w:r>
    </w:p>
    <w:p>
      <w:pPr>
        <w:pStyle w:val="CaselawNumbered10"/>
        <w:numPr>
          <w:ilvl w:val="0"/>
          <w:numId w:val="173"/>
        </w:numPr>
        <w:spacing w:before="150" w:after="0"/>
        <w:ind w:left="600" w:hanging="600"/>
      </w:pPr>
      <w:r>
        <w:rPr>
          <w:rFonts w:ascii="Arial"/>
          <w:color w:val="000000"/>
          <w:sz w:val="24"/>
        </w:rPr>
        <w:t xml:space="preserve">While </w:t>
      </w:r>
      <w:r>
        <w:rPr>
          <w:rFonts w:ascii="Arial"/>
          <w:color w:val="000000"/>
          <w:sz w:val="24"/>
        </w:rPr>
        <w:t>Henroth</w:t>
      </w:r>
      <w:r>
        <w:rPr>
          <w:rFonts w:ascii="Arial"/>
          <w:color w:val="000000"/>
          <w:sz w:val="24"/>
        </w:rPr>
        <w:t xml:space="preserve"> </w:t>
      </w:r>
      <w:r>
        <w:rPr>
          <w:rFonts w:ascii="Arial"/>
          <w:color w:val="000000"/>
          <w:sz w:val="24"/>
        </w:rPr>
        <w:t xml:space="preserve">declined to make the suggested change to </w:t>
      </w:r>
      <w:r>
        <w:rPr>
          <w:rFonts w:ascii="Arial"/>
          <w:color w:val="000000"/>
          <w:sz w:val="24"/>
        </w:rPr>
        <w:t>“</w:t>
      </w:r>
      <w:r>
        <w:rPr>
          <w:rFonts w:ascii="Arial"/>
          <w:color w:val="000000"/>
          <w:sz w:val="24"/>
        </w:rPr>
        <w:t>close the gap</w:t>
      </w:r>
      <w:r>
        <w:rPr>
          <w:rFonts w:ascii="Arial"/>
          <w:color w:val="000000"/>
          <w:sz w:val="24"/>
        </w:rPr>
        <w:t>”</w:t>
      </w:r>
      <w:r>
        <w:rPr>
          <w:rFonts w:ascii="Arial"/>
          <w:color w:val="000000"/>
          <w:sz w:val="24"/>
        </w:rPr>
        <w:t>,</w:t>
      </w:r>
      <w:r>
        <w:rPr>
          <w:rFonts w:ascii="Arial"/>
          <w:color w:val="000000"/>
          <w:sz w:val="24"/>
        </w:rPr>
        <w:t xml:space="preserve"> </w:t>
      </w:r>
      <w:r>
        <w:rPr>
          <w:rFonts w:ascii="Arial"/>
          <w:color w:val="000000"/>
          <w:sz w:val="24"/>
        </w:rPr>
        <w:t xml:space="preserve">the mall entry from Norfolk Lane, as supported by the urban design experts </w:t>
      </w:r>
      <w:r>
        <w:rPr>
          <w:rFonts w:ascii="Arial"/>
          <w:color w:val="000000"/>
          <w:sz w:val="24"/>
        </w:rPr>
        <w:t>(</w:t>
      </w:r>
      <w:r>
        <w:rPr>
          <w:rFonts w:ascii="Arial"/>
          <w:color w:val="000000"/>
          <w:sz w:val="24"/>
        </w:rPr>
        <w:t>Mr Carter and Mr Smith</w:t>
      </w:r>
      <w:r>
        <w:rPr>
          <w:rFonts w:ascii="Arial"/>
          <w:color w:val="000000"/>
          <w:sz w:val="24"/>
        </w:rPr>
        <w:t>)</w:t>
      </w:r>
      <w:r>
        <w:rPr>
          <w:rFonts w:ascii="Arial"/>
          <w:color w:val="000000"/>
          <w:sz w:val="24"/>
        </w:rPr>
        <w:t xml:space="preserve"> </w:t>
      </w:r>
      <w:r>
        <w:rPr>
          <w:rFonts w:ascii="Arial"/>
          <w:color w:val="000000"/>
          <w:sz w:val="24"/>
        </w:rPr>
        <w:t xml:space="preserve">at this Stage it submits that the opportunity to reconsider this will be available at the </w:t>
      </w:r>
      <w:r>
        <w:rPr>
          <w:rFonts w:ascii="Arial"/>
          <w:color w:val="000000"/>
          <w:sz w:val="24"/>
        </w:rPr>
        <w:t>S</w:t>
      </w:r>
      <w:r>
        <w:rPr>
          <w:rFonts w:ascii="Arial"/>
          <w:color w:val="000000"/>
          <w:sz w:val="24"/>
        </w:rPr>
        <w:t xml:space="preserve">tage 2 DA stage. Henroth </w:t>
      </w:r>
      <w:r>
        <w:rPr>
          <w:rFonts w:ascii="Arial"/>
          <w:color w:val="000000"/>
          <w:sz w:val="24"/>
        </w:rPr>
        <w:t>has proposed</w:t>
      </w:r>
      <w:r>
        <w:rPr>
          <w:rFonts w:ascii="Arial"/>
          <w:color w:val="000000"/>
          <w:sz w:val="24"/>
        </w:rPr>
        <w:t xml:space="preserve"> </w:t>
      </w:r>
      <w:r>
        <w:rPr>
          <w:rFonts w:ascii="Arial"/>
          <w:color w:val="000000"/>
          <w:sz w:val="24"/>
        </w:rPr>
        <w:t xml:space="preserve">a condition of consent to address this and I will deal with this later when considering conditions. </w:t>
      </w:r>
    </w:p>
    <w:p>
      <w:pPr>
        <w:pStyle w:val="CaselawNumbered10"/>
        <w:numPr>
          <w:ilvl w:val="0"/>
          <w:numId w:val="173"/>
        </w:numPr>
        <w:spacing w:before="150" w:after="0"/>
        <w:ind w:left="600" w:hanging="600"/>
      </w:pPr>
      <w:r>
        <w:rPr>
          <w:rFonts w:ascii="Arial"/>
          <w:color w:val="000000"/>
          <w:sz w:val="24"/>
        </w:rPr>
        <w:t xml:space="preserve">In respect of Stage 2, the urban design experts have agreed to the changes shown in Fig 7 of the Urban Design JER and it is appropriate that they be implemented. </w:t>
      </w:r>
    </w:p>
    <w:p>
      <w:pPr>
        <w:pStyle w:val="CaselawNumbered10"/>
        <w:numPr>
          <w:ilvl w:val="0"/>
          <w:numId w:val="173"/>
        </w:numPr>
        <w:spacing w:before="150" w:after="0"/>
        <w:ind w:left="600" w:hanging="600"/>
      </w:pPr>
      <w:r>
        <w:rPr>
          <w:rFonts w:ascii="Arial"/>
          <w:color w:val="000000"/>
          <w:sz w:val="24"/>
        </w:rPr>
        <w:t>Henroth</w:t>
      </w:r>
      <w:r>
        <w:rPr>
          <w:rFonts w:ascii="Arial"/>
          <w:color w:val="000000"/>
          <w:sz w:val="24"/>
        </w:rPr>
        <w:t xml:space="preserve"> </w:t>
      </w:r>
      <w:r>
        <w:rPr>
          <w:rFonts w:ascii="Arial"/>
          <w:color w:val="000000"/>
          <w:sz w:val="24"/>
        </w:rPr>
        <w:t xml:space="preserve">contends that a key driver of the proposed design response, and justification for any alternative solutions to strict compliance with the DCP has been the need for staged development that ensures the ongoing viable operation of the shopping centre, which is a key </w:t>
      </w:r>
      <w:r>
        <w:rPr>
          <w:rFonts w:ascii="Arial"/>
          <w:color w:val="000000"/>
          <w:sz w:val="24"/>
        </w:rPr>
        <w:t xml:space="preserve">design </w:t>
      </w:r>
      <w:r>
        <w:rPr>
          <w:rFonts w:ascii="Arial"/>
          <w:color w:val="000000"/>
          <w:sz w:val="24"/>
        </w:rPr>
        <w:t xml:space="preserve">principle of the site-specific DCP. It contends that the amended DA incorporates the key components of the relevant controls and policies and has been designed to change the current centre into a vibrant multi-use, people focused, town centre. </w:t>
      </w:r>
    </w:p>
    <w:p>
      <w:pPr>
        <w:pStyle w:val="CaselawNumbered10"/>
        <w:numPr>
          <w:ilvl w:val="0"/>
          <w:numId w:val="173"/>
        </w:numPr>
        <w:spacing w:before="150" w:after="0"/>
        <w:ind w:left="600" w:hanging="600"/>
      </w:pPr>
      <w:r>
        <w:rPr>
          <w:rFonts w:ascii="Arial"/>
          <w:color w:val="000000"/>
          <w:sz w:val="24"/>
        </w:rPr>
        <w:t>Henroth</w:t>
      </w:r>
      <w:r>
        <w:rPr>
          <w:rFonts w:ascii="Arial"/>
          <w:color w:val="000000"/>
          <w:sz w:val="24"/>
        </w:rPr>
        <w:t xml:space="preserve"> </w:t>
      </w:r>
      <w:r>
        <w:rPr>
          <w:rFonts w:ascii="Arial"/>
          <w:color w:val="000000"/>
          <w:sz w:val="24"/>
        </w:rPr>
        <w:t xml:space="preserve">emphasises that the development includes the concept for a high-quality shop top housing development </w:t>
      </w:r>
      <w:r>
        <w:rPr>
          <w:rFonts w:ascii="Arial"/>
          <w:color w:val="000000"/>
          <w:sz w:val="24"/>
        </w:rPr>
        <w:t>“</w:t>
      </w:r>
      <w:r>
        <w:rPr>
          <w:rFonts w:ascii="Arial"/>
          <w:color w:val="000000"/>
          <w:sz w:val="24"/>
        </w:rPr>
        <w:t>sleeving</w:t>
      </w:r>
      <w:r>
        <w:rPr>
          <w:rFonts w:ascii="Arial"/>
          <w:color w:val="000000"/>
          <w:sz w:val="24"/>
        </w:rPr>
        <w:t xml:space="preserve">” </w:t>
      </w:r>
      <w:r>
        <w:rPr>
          <w:rFonts w:ascii="Arial"/>
          <w:color w:val="000000"/>
          <w:sz w:val="24"/>
        </w:rPr>
        <w:t xml:space="preserve">the existing Chullora Marketplace building (which will remain operational throughout) and offers an improved public domain within the site to encourage community activities, active transport, and ongoing passive surveillance within the proposed public domain. These features, and other public benefits, are also encapsulated in the </w:t>
      </w:r>
      <w:r>
        <w:rPr>
          <w:rFonts w:ascii="Arial"/>
          <w:color w:val="000000"/>
          <w:sz w:val="24"/>
        </w:rPr>
        <w:t>VPA</w:t>
      </w:r>
      <w:r>
        <w:rPr>
          <w:rFonts w:ascii="Arial"/>
          <w:color w:val="000000"/>
          <w:sz w:val="24"/>
        </w:rPr>
        <w:t xml:space="preserve"> </w:t>
      </w:r>
      <w:r>
        <w:rPr>
          <w:rFonts w:ascii="Arial"/>
          <w:color w:val="000000"/>
          <w:sz w:val="24"/>
        </w:rPr>
        <w:t xml:space="preserve">prepared in conjunction with the PP, executed by both parties on 26 March 2022 - in accordance with s 7.4 of the EPA Act (Ex 14 (Council bundle) Vol 4 Item 17). </w:t>
      </w:r>
    </w:p>
    <w:p>
      <w:pPr>
        <w:pStyle w:val="CaselawHeading3"/>
        <w:keepNext/>
        <w:spacing w:before="150" w:after="150" w:line="264"/>
        <w:ind w:left="0"/>
        <w:jc w:val="left"/>
      </w:pPr>
      <w:r>
        <w:rPr>
          <w:rFonts w:ascii="Arial"/>
        </w:rPr>
        <w:t>Findings</w:t>
      </w:r>
      <w:r>
        <w:rPr>
          <w:rFonts w:ascii="Arial"/>
        </w:rPr>
        <w:t xml:space="preserve"> </w:t>
      </w:r>
      <w:r>
        <w:rPr>
          <w:rFonts w:ascii="Arial"/>
        </w:rPr>
        <w:t>–</w:t>
      </w:r>
      <w:r>
        <w:rPr>
          <w:rFonts w:ascii="Arial"/>
        </w:rPr>
        <w:t xml:space="preserve"> </w:t>
      </w:r>
      <w:r>
        <w:rPr>
          <w:rFonts w:ascii="Arial"/>
        </w:rPr>
        <w:t xml:space="preserve">Consistency with the </w:t>
      </w:r>
      <w:r>
        <w:rPr>
          <w:rFonts w:ascii="Arial"/>
        </w:rPr>
        <w:t>DCP</w:t>
      </w:r>
      <w:r>
        <w:rPr>
          <w:rFonts w:ascii="Arial"/>
        </w:rPr>
        <w:t xml:space="preserve"> </w:t>
      </w:r>
    </w:p>
    <w:p>
      <w:pPr>
        <w:pStyle w:val="CaselawNumbered10"/>
        <w:numPr>
          <w:ilvl w:val="0"/>
          <w:numId w:val="174"/>
        </w:numPr>
        <w:spacing w:before="150" w:after="0"/>
        <w:ind w:left="600" w:hanging="600"/>
      </w:pPr>
      <w:r>
        <w:rPr>
          <w:rFonts w:ascii="Arial"/>
          <w:color w:val="000000"/>
          <w:sz w:val="24"/>
        </w:rPr>
        <w:t>The Council</w:t>
      </w:r>
      <w:r>
        <w:rPr>
          <w:rFonts w:ascii="Arial"/>
          <w:color w:val="000000"/>
          <w:sz w:val="24"/>
        </w:rPr>
        <w:t>’</w:t>
      </w:r>
      <w:r>
        <w:rPr>
          <w:rFonts w:ascii="Arial"/>
          <w:color w:val="000000"/>
          <w:sz w:val="24"/>
        </w:rPr>
        <w:t xml:space="preserve">s DCP states that the ISP and the key </w:t>
      </w:r>
      <w:r>
        <w:rPr>
          <w:rFonts w:ascii="Arial"/>
          <w:color w:val="000000"/>
          <w:sz w:val="24"/>
        </w:rPr>
        <w:t xml:space="preserve">design </w:t>
      </w:r>
      <w:r>
        <w:rPr>
          <w:rFonts w:ascii="Arial"/>
          <w:color w:val="000000"/>
          <w:sz w:val="24"/>
        </w:rPr>
        <w:t xml:space="preserve">principles and priorities are to guide any future development application for the site. Furthermore, as the urban design experts </w:t>
      </w:r>
      <w:r>
        <w:rPr>
          <w:rFonts w:ascii="Arial"/>
          <w:color w:val="000000"/>
          <w:sz w:val="24"/>
        </w:rPr>
        <w:t>agree,</w:t>
      </w:r>
      <w:r>
        <w:rPr>
          <w:rFonts w:ascii="Arial"/>
          <w:color w:val="000000"/>
          <w:sz w:val="24"/>
        </w:rPr>
        <w:t xml:space="preserve"> </w:t>
      </w:r>
      <w:r>
        <w:rPr>
          <w:rFonts w:ascii="Arial"/>
          <w:color w:val="000000"/>
          <w:sz w:val="24"/>
        </w:rPr>
        <w:t xml:space="preserve">the DCP ISP includes the notation that </w:t>
      </w:r>
      <w:r>
        <w:rPr>
          <w:rFonts w:ascii="Arial"/>
          <w:color w:val="000000"/>
          <w:sz w:val="24"/>
        </w:rPr>
        <w:t>“</w:t>
      </w:r>
      <w:r>
        <w:rPr>
          <w:rFonts w:ascii="Arial"/>
          <w:color w:val="000000"/>
          <w:sz w:val="24"/>
        </w:rPr>
        <w:t>the details of internal traffic movements are to be confirmed at that detailed design stage with consultation with Transport for NSW and Council</w:t>
      </w:r>
      <w:r>
        <w:rPr>
          <w:rFonts w:ascii="Arial"/>
          <w:color w:val="000000"/>
          <w:sz w:val="24"/>
        </w:rPr>
        <w:t>”</w:t>
      </w:r>
      <w:r>
        <w:rPr>
          <w:rFonts w:ascii="Arial"/>
          <w:color w:val="000000"/>
          <w:sz w:val="24"/>
        </w:rPr>
        <w:t>. I am not aware of any object</w:t>
      </w:r>
      <w:r>
        <w:rPr>
          <w:rFonts w:ascii="Arial"/>
          <w:color w:val="000000"/>
          <w:sz w:val="24"/>
        </w:rPr>
        <w:t>ion</w:t>
      </w:r>
      <w:r>
        <w:rPr>
          <w:rFonts w:ascii="Arial"/>
          <w:color w:val="000000"/>
          <w:sz w:val="24"/>
        </w:rPr>
        <w:t xml:space="preserve"> </w:t>
      </w:r>
      <w:r>
        <w:rPr>
          <w:rFonts w:ascii="Arial"/>
          <w:color w:val="000000"/>
          <w:sz w:val="24"/>
        </w:rPr>
        <w:t>by Transport after referral of the DA to the proposed access of Norfolk R</w:t>
      </w:r>
      <w:r>
        <w:rPr>
          <w:rFonts w:ascii="Arial"/>
          <w:color w:val="000000"/>
          <w:sz w:val="24"/>
        </w:rPr>
        <w:t>oa</w:t>
      </w:r>
      <w:r>
        <w:rPr>
          <w:rFonts w:ascii="Arial"/>
          <w:color w:val="000000"/>
          <w:sz w:val="24"/>
        </w:rPr>
        <w:t xml:space="preserve">d or any other aspect of the proposal. </w:t>
      </w:r>
    </w:p>
    <w:p>
      <w:pPr>
        <w:pStyle w:val="CaselawNumbered10"/>
        <w:numPr>
          <w:ilvl w:val="0"/>
          <w:numId w:val="174"/>
        </w:numPr>
        <w:spacing w:before="150" w:after="0"/>
        <w:ind w:left="600" w:hanging="600"/>
      </w:pPr>
      <w:r>
        <w:rPr>
          <w:rFonts w:ascii="Arial"/>
          <w:color w:val="000000"/>
          <w:sz w:val="24"/>
        </w:rPr>
        <w:t xml:space="preserve">The urban design experts also agree that the DCP states expressly that </w:t>
      </w:r>
      <w:r>
        <w:rPr>
          <w:rFonts w:ascii="Arial"/>
          <w:color w:val="000000"/>
          <w:sz w:val="24"/>
        </w:rPr>
        <w:t>“</w:t>
      </w:r>
      <w:r>
        <w:rPr>
          <w:rFonts w:ascii="Arial"/>
          <w:color w:val="000000"/>
          <w:sz w:val="24"/>
        </w:rPr>
        <w:t>Council may consider amendments to the ISP (applying to the whole site) at each stage where required consistent with the desired character and key design principles for the centre</w:t>
      </w:r>
      <w:r>
        <w:rPr>
          <w:rFonts w:ascii="Arial"/>
          <w:color w:val="000000"/>
          <w:sz w:val="24"/>
        </w:rPr>
        <w:t>”</w:t>
      </w:r>
      <w:r>
        <w:rPr>
          <w:rFonts w:ascii="Arial"/>
          <w:color w:val="000000"/>
          <w:sz w:val="24"/>
        </w:rPr>
        <w:t xml:space="preserve">. Consequently, the experts agree that strict compliance with the DCP is not and cannot be required under the Act </w:t>
      </w:r>
      <w:r>
        <w:rPr>
          <w:rFonts w:ascii="Arial"/>
          <w:color w:val="000000"/>
          <w:sz w:val="24"/>
        </w:rPr>
        <w:t xml:space="preserve">where </w:t>
      </w:r>
      <w:r>
        <w:rPr>
          <w:rFonts w:ascii="Arial"/>
          <w:color w:val="000000"/>
          <w:sz w:val="24"/>
        </w:rPr>
        <w:t>“</w:t>
      </w:r>
      <w:r>
        <w:rPr>
          <w:rFonts w:ascii="Arial"/>
          <w:i/>
          <w:color w:val="000000"/>
          <w:sz w:val="24"/>
        </w:rPr>
        <w:t>Alternative solutions that achieve the objects of those standards for dealing with that aspect of the development are demonstrated”.</w:t>
      </w:r>
      <w:r>
        <w:rPr>
          <w:rFonts w:ascii="Arial"/>
          <w:color w:val="000000"/>
          <w:sz w:val="24"/>
        </w:rPr>
        <w:t xml:space="preserve"> </w:t>
      </w:r>
    </w:p>
    <w:p>
      <w:pPr>
        <w:pStyle w:val="CaselawNumbered10"/>
        <w:numPr>
          <w:ilvl w:val="0"/>
          <w:numId w:val="174"/>
        </w:numPr>
        <w:spacing w:before="150" w:after="0"/>
        <w:ind w:left="600" w:hanging="600"/>
      </w:pPr>
      <w:r>
        <w:rPr>
          <w:rFonts w:ascii="Arial"/>
          <w:color w:val="000000"/>
          <w:sz w:val="24"/>
        </w:rPr>
        <w:t xml:space="preserve">The purpose and status of a DCP is prescribed in the EPA </w:t>
      </w:r>
      <w:r>
        <w:rPr>
          <w:rFonts w:ascii="Arial"/>
          <w:color w:val="000000"/>
          <w:sz w:val="24"/>
        </w:rPr>
        <w:t>Act,</w:t>
      </w:r>
      <w:r>
        <w:rPr>
          <w:rFonts w:ascii="Arial"/>
          <w:color w:val="000000"/>
          <w:sz w:val="24"/>
        </w:rPr>
        <w:t xml:space="preserve"> </w:t>
      </w:r>
      <w:r>
        <w:rPr>
          <w:rFonts w:ascii="Arial"/>
          <w:color w:val="000000"/>
          <w:sz w:val="24"/>
        </w:rPr>
        <w:t>and s</w:t>
      </w:r>
      <w:r>
        <w:rPr>
          <w:rFonts w:ascii="Arial"/>
          <w:color w:val="000000"/>
          <w:sz w:val="24"/>
        </w:rPr>
        <w:t xml:space="preserve"> </w:t>
      </w:r>
      <w:r>
        <w:rPr>
          <w:rFonts w:ascii="Arial"/>
          <w:color w:val="000000"/>
          <w:sz w:val="24"/>
        </w:rPr>
        <w:t xml:space="preserve">4.15(3A) states that where a development does not comply with the standards in the DCP the consent authority </w:t>
      </w:r>
      <w:r>
        <w:rPr>
          <w:rFonts w:ascii="Arial"/>
          <w:color w:val="000000"/>
          <w:sz w:val="24"/>
        </w:rPr>
        <w:t>“</w:t>
      </w:r>
      <w:r>
        <w:rPr>
          <w:rFonts w:ascii="Arial"/>
          <w:color w:val="000000"/>
          <w:sz w:val="24"/>
        </w:rPr>
        <w:t>is to be flexible in applying those provisions and allow reasonable alternative solutions that achieve the objects of the standards for dealing with that aspect of the development</w:t>
      </w:r>
      <w:r>
        <w:rPr>
          <w:rFonts w:ascii="Arial"/>
          <w:color w:val="000000"/>
          <w:sz w:val="24"/>
        </w:rPr>
        <w:t>”</w:t>
      </w:r>
      <w:r>
        <w:rPr>
          <w:rFonts w:ascii="Arial"/>
          <w:color w:val="000000"/>
          <w:sz w:val="24"/>
        </w:rPr>
        <w:t>. Section 3.42 also states that DCP</w:t>
      </w:r>
      <w:r>
        <w:rPr>
          <w:rFonts w:ascii="Arial"/>
          <w:color w:val="000000"/>
          <w:sz w:val="24"/>
        </w:rPr>
        <w:t>s</w:t>
      </w:r>
      <w:r>
        <w:rPr>
          <w:rFonts w:ascii="Arial"/>
          <w:color w:val="000000"/>
          <w:sz w:val="24"/>
        </w:rPr>
        <w:t xml:space="preserve"> </w:t>
      </w:r>
      <w:r>
        <w:rPr>
          <w:rFonts w:ascii="Arial"/>
          <w:color w:val="000000"/>
          <w:sz w:val="24"/>
        </w:rPr>
        <w:t>a</w:t>
      </w:r>
      <w:r>
        <w:rPr>
          <w:rFonts w:ascii="Arial"/>
          <w:color w:val="000000"/>
          <w:sz w:val="24"/>
        </w:rPr>
        <w:t>r</w:t>
      </w:r>
      <w:r>
        <w:rPr>
          <w:rFonts w:ascii="Arial"/>
          <w:color w:val="000000"/>
          <w:sz w:val="24"/>
        </w:rPr>
        <w:t xml:space="preserve">e not statutory instruments and that they should facilitate permissible development. </w:t>
      </w:r>
    </w:p>
    <w:p>
      <w:pPr>
        <w:pStyle w:val="CaselawNumbered10"/>
        <w:numPr>
          <w:ilvl w:val="0"/>
          <w:numId w:val="174"/>
        </w:numPr>
        <w:spacing w:before="150" w:after="0"/>
        <w:ind w:left="600" w:hanging="600"/>
      </w:pPr>
      <w:r>
        <w:rPr>
          <w:rFonts w:ascii="Arial"/>
          <w:color w:val="000000"/>
          <w:sz w:val="24"/>
        </w:rPr>
        <w:t>The urban design experts agree that the architect of the proposal (Turner</w:t>
      </w:r>
      <w:r>
        <w:rPr>
          <w:rFonts w:ascii="Arial"/>
          <w:color w:val="000000"/>
          <w:sz w:val="24"/>
        </w:rPr>
        <w:t xml:space="preserve"> </w:t>
      </w:r>
      <w:r>
        <w:rPr>
          <w:rFonts w:ascii="Arial"/>
          <w:color w:val="000000"/>
          <w:sz w:val="24"/>
        </w:rPr>
        <w:t>Studio</w:t>
      </w:r>
      <w:r>
        <w:rPr>
          <w:rFonts w:ascii="Arial"/>
          <w:color w:val="000000"/>
          <w:sz w:val="24"/>
        </w:rPr>
        <w:t>) has a proven record of being capable of achieving design excellence (Ex 11 par</w:t>
      </w:r>
      <w:r>
        <w:rPr>
          <w:rFonts w:ascii="Arial"/>
          <w:color w:val="000000"/>
          <w:sz w:val="24"/>
        </w:rPr>
        <w:t xml:space="preserve"> </w:t>
      </w:r>
      <w:r>
        <w:rPr>
          <w:rFonts w:ascii="Arial"/>
          <w:color w:val="000000"/>
          <w:sz w:val="24"/>
        </w:rPr>
        <w:t xml:space="preserve">6). To that end, they also agree that the proposed strategy is a sensible way of providing meaningful quality housing co-located with the amenity of a shopping centre </w:t>
      </w:r>
      <w:r>
        <w:rPr>
          <w:rFonts w:ascii="Arial"/>
          <w:color w:val="000000"/>
          <w:sz w:val="24"/>
        </w:rPr>
        <w:t xml:space="preserve">– </w:t>
      </w:r>
      <w:r>
        <w:rPr>
          <w:rFonts w:ascii="Arial"/>
          <w:color w:val="000000"/>
          <w:sz w:val="24"/>
        </w:rPr>
        <w:t xml:space="preserve">like a local town centre. It is also agreed that </w:t>
      </w:r>
      <w:r>
        <w:rPr>
          <w:rFonts w:ascii="Arial"/>
          <w:color w:val="000000"/>
          <w:sz w:val="24"/>
        </w:rPr>
        <w:t>“</w:t>
      </w:r>
      <w:r>
        <w:rPr>
          <w:rFonts w:ascii="Arial"/>
          <w:i/>
          <w:color w:val="000000"/>
          <w:sz w:val="24"/>
        </w:rPr>
        <w:t>the over-arching strategy is a good and sensible approach to sites like these and should be encouraged and supported to help solve the housing crisis and poor urban design</w:t>
      </w:r>
      <w:r>
        <w:rPr>
          <w:rFonts w:ascii="Arial"/>
          <w:color w:val="000000"/>
          <w:sz w:val="24"/>
        </w:rPr>
        <w:t>”</w:t>
      </w:r>
      <w:r>
        <w:rPr>
          <w:rFonts w:ascii="Arial"/>
          <w:color w:val="000000"/>
          <w:sz w:val="24"/>
        </w:rPr>
        <w:t xml:space="preserve">. </w:t>
      </w:r>
    </w:p>
    <w:p>
      <w:pPr>
        <w:pStyle w:val="CaselawNumbered10"/>
        <w:numPr>
          <w:ilvl w:val="0"/>
          <w:numId w:val="174"/>
        </w:numPr>
        <w:spacing w:before="150" w:after="0"/>
        <w:ind w:left="600" w:hanging="600"/>
      </w:pPr>
      <w:r>
        <w:rPr>
          <w:rFonts w:ascii="Arial"/>
          <w:color w:val="000000"/>
          <w:sz w:val="24"/>
        </w:rPr>
        <w:t xml:space="preserve">Furthermore, they accept that the commercial viability needs to be maintained, as it is integral to the vitality of the project. </w:t>
      </w:r>
    </w:p>
    <w:p>
      <w:pPr>
        <w:pStyle w:val="CaselawNumbered10"/>
        <w:numPr>
          <w:ilvl w:val="0"/>
          <w:numId w:val="174"/>
        </w:numPr>
        <w:spacing w:before="150" w:after="0"/>
        <w:ind w:left="600" w:hanging="600"/>
      </w:pPr>
      <w:r>
        <w:rPr>
          <w:rFonts w:ascii="Arial"/>
          <w:color w:val="000000"/>
          <w:sz w:val="24"/>
        </w:rPr>
        <w:t>The expert</w:t>
      </w:r>
      <w:r>
        <w:rPr>
          <w:rFonts w:ascii="Arial"/>
          <w:color w:val="000000"/>
          <w:sz w:val="24"/>
        </w:rPr>
        <w:t>s</w:t>
      </w:r>
      <w:r>
        <w:rPr>
          <w:rFonts w:ascii="Arial"/>
          <w:color w:val="000000"/>
          <w:sz w:val="24"/>
        </w:rPr>
        <w:t xml:space="preserve"> </w:t>
      </w:r>
      <w:r>
        <w:rPr>
          <w:rFonts w:ascii="Arial"/>
          <w:color w:val="000000"/>
          <w:sz w:val="24"/>
        </w:rPr>
        <w:t xml:space="preserve">state in the joint report that </w:t>
      </w:r>
      <w:r>
        <w:rPr>
          <w:rFonts w:ascii="Arial"/>
          <w:color w:val="000000"/>
          <w:sz w:val="24"/>
        </w:rPr>
        <w:t>“</w:t>
      </w:r>
      <w:r>
        <w:rPr>
          <w:rFonts w:ascii="Arial"/>
          <w:color w:val="000000"/>
          <w:sz w:val="24"/>
        </w:rPr>
        <w:t xml:space="preserve">Critical to that commercial vitality of the project are: </w:t>
      </w:r>
    </w:p>
    <w:p>
      <w:pPr>
        <w:pStyle w:val="CaselawNumbereda"/>
        <w:numPr>
          <w:ilvl w:val="0"/>
          <w:numId w:val="175"/>
        </w:numPr>
        <w:spacing w:before="150" w:after="0"/>
        <w:ind w:left="2100" w:hanging="750"/>
      </w:pPr>
      <w:r>
        <w:rPr>
          <w:rFonts w:ascii="Arial"/>
          <w:color w:val="000000"/>
          <w:sz w:val="24"/>
        </w:rPr>
        <w:t xml:space="preserve">That the shopping centre continues to trade with minimum </w:t>
      </w:r>
      <w:r>
        <w:rPr>
          <w:rFonts w:ascii="Arial"/>
          <w:color w:val="000000"/>
          <w:sz w:val="24"/>
        </w:rPr>
        <w:t>disruption,</w:t>
      </w:r>
      <w:r>
        <w:rPr>
          <w:rFonts w:ascii="Arial"/>
          <w:color w:val="000000"/>
          <w:sz w:val="24"/>
        </w:rPr>
        <w:t xml:space="preserve"> </w:t>
      </w:r>
      <w:r>
        <w:rPr>
          <w:rFonts w:ascii="Arial"/>
          <w:color w:val="000000"/>
          <w:sz w:val="24"/>
        </w:rPr>
        <w:t>which means the major retail outlets like Coles and Woolworths largely remain unaffected in their trad</w:t>
      </w:r>
      <w:r>
        <w:rPr>
          <w:rFonts w:ascii="Arial"/>
          <w:color w:val="000000"/>
          <w:sz w:val="24"/>
        </w:rPr>
        <w:t>e</w:t>
      </w:r>
      <w:r>
        <w:rPr>
          <w:rFonts w:ascii="Arial"/>
          <w:color w:val="000000"/>
          <w:sz w:val="24"/>
        </w:rPr>
        <w:t xml:space="preserve"> </w:t>
      </w:r>
      <w:r>
        <w:rPr>
          <w:rFonts w:ascii="Arial"/>
          <w:color w:val="000000"/>
          <w:sz w:val="24"/>
        </w:rPr>
        <w:t>for as long as possible as they are highly used and valued, have long</w:t>
      </w:r>
      <w:r>
        <w:rPr>
          <w:rFonts w:ascii="Arial"/>
          <w:color w:val="000000"/>
          <w:sz w:val="24"/>
        </w:rPr>
        <w:t>-</w:t>
      </w:r>
      <w:r>
        <w:rPr>
          <w:rFonts w:ascii="Arial"/>
          <w:color w:val="000000"/>
          <w:sz w:val="24"/>
        </w:rPr>
        <w:t xml:space="preserve">term leases and critical carparking requirements as part of their leasing conditions. </w:t>
      </w:r>
    </w:p>
    <w:p>
      <w:pPr>
        <w:pStyle w:val="CaselawNumbereda"/>
        <w:numPr>
          <w:ilvl w:val="0"/>
          <w:numId w:val="175"/>
        </w:numPr>
        <w:spacing w:before="150" w:after="0"/>
        <w:ind w:left="2100" w:hanging="750"/>
      </w:pPr>
      <w:r>
        <w:rPr>
          <w:rFonts w:ascii="Arial"/>
          <w:color w:val="000000"/>
          <w:sz w:val="24"/>
        </w:rPr>
        <w:t xml:space="preserve">That carparking be optimised only for the duration of the construction, but for the proposal in general. Chullora Marketplace is not close to train station and is predominantly serviced by </w:t>
      </w:r>
      <w:r>
        <w:rPr>
          <w:rFonts w:ascii="Arial"/>
          <w:color w:val="000000"/>
          <w:sz w:val="24"/>
        </w:rPr>
        <w:t>car.</w:t>
      </w:r>
      <w:r>
        <w:rPr>
          <w:rFonts w:ascii="Arial"/>
          <w:color w:val="000000"/>
          <w:sz w:val="24"/>
        </w:rPr>
        <w:t xml:space="preserve"> </w:t>
      </w:r>
      <w:r>
        <w:rPr>
          <w:rFonts w:ascii="Arial"/>
          <w:color w:val="000000"/>
          <w:sz w:val="24"/>
        </w:rPr>
        <w:t xml:space="preserve">The shopping centre is therefore car </w:t>
      </w:r>
      <w:r>
        <w:rPr>
          <w:rFonts w:ascii="Arial"/>
          <w:color w:val="000000"/>
          <w:sz w:val="24"/>
        </w:rPr>
        <w:t>dependant,</w:t>
      </w:r>
      <w:r>
        <w:rPr>
          <w:rFonts w:ascii="Arial"/>
          <w:color w:val="000000"/>
          <w:sz w:val="24"/>
        </w:rPr>
        <w:t xml:space="preserve"> </w:t>
      </w:r>
      <w:r>
        <w:rPr>
          <w:rFonts w:ascii="Arial"/>
          <w:color w:val="000000"/>
          <w:sz w:val="24"/>
        </w:rPr>
        <w:t>making car</w:t>
      </w:r>
      <w:r>
        <w:rPr>
          <w:rFonts w:ascii="Arial"/>
          <w:color w:val="000000"/>
          <w:sz w:val="24"/>
        </w:rPr>
        <w:t xml:space="preserve"> </w:t>
      </w:r>
      <w:r>
        <w:rPr>
          <w:rFonts w:ascii="Arial"/>
          <w:color w:val="000000"/>
          <w:sz w:val="24"/>
        </w:rPr>
        <w:t xml:space="preserve">parking and car parking spots critical. </w:t>
      </w:r>
    </w:p>
    <w:p>
      <w:pPr>
        <w:pStyle w:val="CaselawNumbered10"/>
        <w:numPr>
          <w:ilvl w:val="0"/>
          <w:numId w:val="176"/>
        </w:numPr>
        <w:spacing w:before="150" w:after="0"/>
        <w:ind w:left="600" w:hanging="600"/>
      </w:pPr>
      <w:r>
        <w:rPr>
          <w:rFonts w:ascii="Arial"/>
          <w:color w:val="000000"/>
          <w:sz w:val="24"/>
        </w:rPr>
        <w:t xml:space="preserve">Mr Carter and Mr Smith have assessed that </w:t>
      </w:r>
      <w:r>
        <w:rPr>
          <w:rFonts w:ascii="Arial"/>
          <w:color w:val="000000"/>
          <w:sz w:val="24"/>
        </w:rPr>
        <w:t>the proposal</w:t>
      </w:r>
      <w:r>
        <w:rPr>
          <w:rFonts w:ascii="Arial"/>
          <w:color w:val="000000"/>
          <w:sz w:val="24"/>
        </w:rPr>
        <w:t xml:space="preserve"> </w:t>
      </w:r>
      <w:r>
        <w:rPr>
          <w:rFonts w:ascii="Arial"/>
          <w:color w:val="000000"/>
          <w:sz w:val="24"/>
        </w:rPr>
        <w:t>as satisfying the key SEPP 65/A</w:t>
      </w:r>
      <w:r>
        <w:rPr>
          <w:rFonts w:ascii="Arial"/>
          <w:color w:val="000000"/>
          <w:sz w:val="24"/>
        </w:rPr>
        <w:t>DG</w:t>
      </w:r>
      <w:r>
        <w:rPr>
          <w:rFonts w:ascii="Arial"/>
          <w:color w:val="000000"/>
          <w:sz w:val="24"/>
        </w:rPr>
        <w:t xml:space="preserve"> </w:t>
      </w:r>
      <w:r>
        <w:rPr>
          <w:rFonts w:ascii="Arial"/>
          <w:color w:val="000000"/>
          <w:sz w:val="24"/>
        </w:rPr>
        <w:t>criteria, and specifically the key (but not limited too) amenity criteria of solar access, cross ventilation, separation distances, privacy, and communal open spaces, except where changes are noted in their joint report (Ex 9, par 53) in respect to improvements to the A</w:t>
      </w:r>
      <w:r>
        <w:rPr>
          <w:rFonts w:ascii="Arial"/>
          <w:color w:val="000000"/>
          <w:sz w:val="24"/>
        </w:rPr>
        <w:t>DG</w:t>
      </w:r>
      <w:r>
        <w:rPr>
          <w:rFonts w:ascii="Arial"/>
          <w:color w:val="000000"/>
          <w:sz w:val="24"/>
        </w:rPr>
        <w:t xml:space="preserve"> </w:t>
      </w:r>
      <w:r>
        <w:rPr>
          <w:rFonts w:ascii="Arial"/>
          <w:color w:val="000000"/>
          <w:sz w:val="24"/>
        </w:rPr>
        <w:t xml:space="preserve">response. These changes are identified in more detail in their reports but in general terms include the removal of the midpoint access to the shopping centre; the reorganisation of the Mini Major and retail tenancy spaces so that the retail engages with </w:t>
      </w:r>
      <w:r>
        <w:rPr>
          <w:rFonts w:ascii="Arial"/>
          <w:color w:val="000000"/>
          <w:sz w:val="24"/>
        </w:rPr>
        <w:t xml:space="preserve">the </w:t>
      </w:r>
      <w:r>
        <w:rPr>
          <w:rFonts w:ascii="Arial"/>
          <w:color w:val="000000"/>
          <w:sz w:val="24"/>
        </w:rPr>
        <w:t xml:space="preserve">pedestrian walk and plaza </w:t>
      </w:r>
      <w:r>
        <w:rPr>
          <w:rFonts w:ascii="Arial"/>
          <w:color w:val="000000"/>
          <w:sz w:val="24"/>
        </w:rPr>
        <w:t xml:space="preserve">– </w:t>
      </w:r>
      <w:r>
        <w:rPr>
          <w:rFonts w:ascii="Arial"/>
          <w:color w:val="000000"/>
          <w:sz w:val="24"/>
        </w:rPr>
        <w:t>thereby providing active commercial frontage either side of the north</w:t>
      </w:r>
      <w:r>
        <w:rPr>
          <w:rFonts w:ascii="Arial"/>
          <w:color w:val="000000"/>
          <w:sz w:val="24"/>
        </w:rPr>
        <w:t>-</w:t>
      </w:r>
      <w:r>
        <w:rPr>
          <w:rFonts w:ascii="Arial"/>
          <w:color w:val="000000"/>
          <w:sz w:val="24"/>
        </w:rPr>
        <w:t xml:space="preserve">south pedestrian walk at the junction of </w:t>
      </w:r>
      <w:r>
        <w:rPr>
          <w:rFonts w:ascii="Arial"/>
          <w:color w:val="000000"/>
          <w:sz w:val="24"/>
        </w:rPr>
        <w:t>S</w:t>
      </w:r>
      <w:r>
        <w:rPr>
          <w:rFonts w:ascii="Arial"/>
          <w:color w:val="000000"/>
          <w:sz w:val="24"/>
        </w:rPr>
        <w:t>tages 1 and 2; (</w:t>
      </w:r>
      <w:r>
        <w:rPr>
          <w:rFonts w:ascii="Arial"/>
          <w:color w:val="000000"/>
          <w:sz w:val="24"/>
        </w:rPr>
        <w:t>Ex 9 F</w:t>
      </w:r>
      <w:r>
        <w:rPr>
          <w:rFonts w:ascii="Arial"/>
          <w:color w:val="000000"/>
          <w:sz w:val="24"/>
        </w:rPr>
        <w:t>ig 7 point C</w:t>
      </w:r>
      <w:r>
        <w:rPr>
          <w:rFonts w:ascii="Arial"/>
          <w:color w:val="000000"/>
          <w:sz w:val="24"/>
        </w:rPr>
        <w:t>)</w:t>
      </w:r>
      <w:r>
        <w:rPr>
          <w:rFonts w:ascii="Arial"/>
          <w:color w:val="000000"/>
          <w:sz w:val="24"/>
        </w:rPr>
        <w:t>; the retail plaza be made a regular orthogonal shape and active commercial as much as practical as possible on the southern side (</w:t>
      </w:r>
      <w:r>
        <w:rPr>
          <w:rFonts w:ascii="Arial"/>
          <w:color w:val="000000"/>
          <w:sz w:val="24"/>
        </w:rPr>
        <w:t>S</w:t>
      </w:r>
      <w:r>
        <w:rPr>
          <w:rFonts w:ascii="Arial"/>
          <w:color w:val="000000"/>
          <w:sz w:val="24"/>
        </w:rPr>
        <w:t xml:space="preserve">tage 1 and western side </w:t>
      </w:r>
      <w:r>
        <w:rPr>
          <w:rFonts w:ascii="Arial"/>
          <w:color w:val="000000"/>
          <w:sz w:val="24"/>
        </w:rPr>
        <w:t>S</w:t>
      </w:r>
      <w:r>
        <w:rPr>
          <w:rFonts w:ascii="Arial"/>
          <w:color w:val="000000"/>
          <w:sz w:val="24"/>
        </w:rPr>
        <w:t>tage 2</w:t>
      </w:r>
      <w:r>
        <w:rPr>
          <w:rFonts w:ascii="Arial"/>
          <w:color w:val="000000"/>
          <w:sz w:val="24"/>
        </w:rPr>
        <w:t>)</w:t>
      </w:r>
      <w:r>
        <w:rPr>
          <w:rFonts w:ascii="Arial"/>
          <w:color w:val="000000"/>
          <w:sz w:val="24"/>
        </w:rPr>
        <w:t>; reconfiguration of the retail outlet on the eastern interact of the plaza (Fig 7) to increase perm</w:t>
      </w:r>
      <w:r>
        <w:rPr>
          <w:rFonts w:ascii="Arial"/>
          <w:color w:val="000000"/>
          <w:sz w:val="24"/>
        </w:rPr>
        <w:t>e</w:t>
      </w:r>
      <w:r>
        <w:rPr>
          <w:rFonts w:ascii="Arial"/>
          <w:color w:val="000000"/>
          <w:sz w:val="24"/>
        </w:rPr>
        <w:t xml:space="preserve">ability. </w:t>
      </w:r>
    </w:p>
    <w:p>
      <w:pPr>
        <w:pStyle w:val="CaselawNumbered10"/>
        <w:numPr>
          <w:ilvl w:val="0"/>
          <w:numId w:val="176"/>
        </w:numPr>
        <w:spacing w:before="150" w:after="0"/>
        <w:ind w:left="600" w:hanging="600"/>
      </w:pPr>
      <w:r>
        <w:rPr>
          <w:rFonts w:ascii="Arial"/>
          <w:color w:val="000000"/>
          <w:sz w:val="24"/>
        </w:rPr>
        <w:t>Despite substantial agreement about many of the design elements of the proposal</w:t>
      </w:r>
      <w:r>
        <w:rPr>
          <w:rFonts w:ascii="Arial"/>
          <w:color w:val="000000"/>
          <w:sz w:val="24"/>
        </w:rPr>
        <w:t>,</w:t>
      </w:r>
      <w:r>
        <w:rPr>
          <w:rFonts w:ascii="Arial"/>
          <w:color w:val="000000"/>
          <w:sz w:val="24"/>
        </w:rPr>
        <w:t xml:space="preserve"> </w:t>
      </w:r>
      <w:r>
        <w:rPr>
          <w:rFonts w:ascii="Arial"/>
          <w:color w:val="000000"/>
          <w:sz w:val="24"/>
        </w:rPr>
        <w:t xml:space="preserve">Mr Smith does not approve of the Norfolk Road connection. As such, he gave evidence that the proposal fails to achieve the objectives of the DCP because the driveway provided from Norfolk </w:t>
      </w:r>
      <w:r>
        <w:rPr>
          <w:rFonts w:ascii="Arial"/>
          <w:color w:val="000000"/>
          <w:sz w:val="24"/>
        </w:rPr>
        <w:t xml:space="preserve">Road </w:t>
      </w:r>
      <w:r>
        <w:rPr>
          <w:rFonts w:ascii="Arial"/>
          <w:color w:val="000000"/>
          <w:sz w:val="24"/>
        </w:rPr>
        <w:t>does not create a clear and legible movement network with though site connectivity as required by the DCP. He is concerned that while there is no access to the childcare car park fr</w:t>
      </w:r>
      <w:r>
        <w:rPr>
          <w:rFonts w:ascii="Arial"/>
          <w:color w:val="000000"/>
          <w:sz w:val="24"/>
        </w:rPr>
        <w:t>o</w:t>
      </w:r>
      <w:r>
        <w:rPr>
          <w:rFonts w:ascii="Arial"/>
          <w:color w:val="000000"/>
          <w:sz w:val="24"/>
        </w:rPr>
        <w:t>m this driveway, shoppers and carers wi</w:t>
      </w:r>
      <w:r>
        <w:rPr>
          <w:rFonts w:ascii="Arial"/>
          <w:color w:val="000000"/>
          <w:sz w:val="24"/>
        </w:rPr>
        <w:t>ll</w:t>
      </w:r>
      <w:r>
        <w:rPr>
          <w:rFonts w:ascii="Arial"/>
          <w:color w:val="000000"/>
          <w:sz w:val="24"/>
        </w:rPr>
        <w:t xml:space="preserve"> </w:t>
      </w:r>
      <w:r>
        <w:rPr>
          <w:rFonts w:ascii="Arial"/>
          <w:color w:val="000000"/>
          <w:sz w:val="24"/>
        </w:rPr>
        <w:t>use this entry point for opportunity parking and as a childcare drop</w:t>
      </w:r>
      <w:r>
        <w:rPr>
          <w:rFonts w:ascii="Arial"/>
          <w:color w:val="000000"/>
          <w:sz w:val="24"/>
        </w:rPr>
        <w:t>-</w:t>
      </w:r>
      <w:r>
        <w:rPr>
          <w:rFonts w:ascii="Arial"/>
          <w:color w:val="000000"/>
          <w:sz w:val="24"/>
        </w:rPr>
        <w:t xml:space="preserve">off point. The result will be lots of turning movements and pedestrian and car conflict. Mr Smith is concerned that the </w:t>
      </w:r>
      <w:r>
        <w:rPr>
          <w:rFonts w:ascii="Arial"/>
          <w:color w:val="000000"/>
          <w:sz w:val="24"/>
        </w:rPr>
        <w:t>S</w:t>
      </w:r>
      <w:r>
        <w:rPr>
          <w:rFonts w:ascii="Arial"/>
          <w:color w:val="000000"/>
          <w:sz w:val="24"/>
        </w:rPr>
        <w:t xml:space="preserve">tage 1 does not connect to any street in Stage 2 </w:t>
      </w:r>
      <w:r>
        <w:rPr>
          <w:rFonts w:ascii="Arial"/>
          <w:color w:val="000000"/>
          <w:sz w:val="24"/>
        </w:rPr>
        <w:t xml:space="preserve">– </w:t>
      </w:r>
      <w:r>
        <w:rPr>
          <w:rFonts w:ascii="Arial"/>
          <w:color w:val="000000"/>
          <w:sz w:val="24"/>
        </w:rPr>
        <w:t xml:space="preserve">it remains disconnected. Thereby the benefit of Norfolk </w:t>
      </w:r>
      <w:r>
        <w:rPr>
          <w:rFonts w:ascii="Arial"/>
          <w:color w:val="000000"/>
          <w:sz w:val="24"/>
        </w:rPr>
        <w:t>Road</w:t>
      </w:r>
      <w:r>
        <w:rPr>
          <w:rFonts w:ascii="Arial"/>
          <w:color w:val="000000"/>
          <w:sz w:val="24"/>
        </w:rPr>
        <w:t xml:space="preserve"> </w:t>
      </w:r>
      <w:r>
        <w:rPr>
          <w:rFonts w:ascii="Arial"/>
          <w:color w:val="000000"/>
          <w:sz w:val="24"/>
        </w:rPr>
        <w:t xml:space="preserve">is lost in </w:t>
      </w:r>
      <w:r>
        <w:rPr>
          <w:rFonts w:ascii="Arial"/>
          <w:color w:val="000000"/>
          <w:sz w:val="24"/>
        </w:rPr>
        <w:t>S</w:t>
      </w:r>
      <w:r>
        <w:rPr>
          <w:rFonts w:ascii="Arial"/>
          <w:color w:val="000000"/>
          <w:sz w:val="24"/>
        </w:rPr>
        <w:t xml:space="preserve">tage 2. </w:t>
      </w:r>
    </w:p>
    <w:p>
      <w:pPr>
        <w:pStyle w:val="CaselawNumbered10"/>
        <w:numPr>
          <w:ilvl w:val="0"/>
          <w:numId w:val="176"/>
        </w:numPr>
        <w:spacing w:before="150" w:after="0"/>
        <w:ind w:left="600" w:hanging="600"/>
      </w:pPr>
      <w:r>
        <w:rPr>
          <w:rFonts w:ascii="Arial"/>
          <w:color w:val="000000"/>
          <w:sz w:val="24"/>
        </w:rPr>
        <w:t xml:space="preserve">That said, Mr Smith agreed with Mr Carter regarding the identity of the residential apartments, </w:t>
      </w:r>
      <w:r>
        <w:rPr>
          <w:rFonts w:ascii="Arial"/>
          <w:color w:val="000000"/>
          <w:sz w:val="24"/>
        </w:rPr>
        <w:t>and</w:t>
      </w:r>
      <w:r>
        <w:rPr>
          <w:rFonts w:ascii="Arial"/>
          <w:color w:val="000000"/>
          <w:sz w:val="24"/>
        </w:rPr>
        <w:t xml:space="preserve"> </w:t>
      </w:r>
      <w:r>
        <w:rPr>
          <w:rFonts w:ascii="Arial"/>
          <w:color w:val="000000"/>
          <w:sz w:val="24"/>
        </w:rPr>
        <w:t xml:space="preserve">the improvements in safety by providing vehicle access close to the front door of the apartments. </w:t>
      </w:r>
      <w:r>
        <w:rPr>
          <w:rFonts w:ascii="Arial"/>
          <w:color w:val="000000"/>
          <w:sz w:val="24"/>
        </w:rPr>
        <w:t>M</w:t>
      </w:r>
      <w:r>
        <w:rPr>
          <w:rFonts w:ascii="Arial"/>
          <w:color w:val="000000"/>
          <w:sz w:val="24"/>
        </w:rPr>
        <w:t>r</w:t>
      </w:r>
      <w:r>
        <w:rPr>
          <w:rFonts w:ascii="Arial"/>
          <w:color w:val="000000"/>
          <w:sz w:val="24"/>
        </w:rPr>
        <w:t xml:space="preserve"> </w:t>
      </w:r>
      <w:r>
        <w:rPr>
          <w:rFonts w:ascii="Arial"/>
          <w:color w:val="000000"/>
          <w:sz w:val="24"/>
        </w:rPr>
        <w:t xml:space="preserve">Smith also </w:t>
      </w:r>
      <w:r>
        <w:rPr>
          <w:rFonts w:ascii="Arial"/>
          <w:color w:val="000000"/>
          <w:sz w:val="24"/>
        </w:rPr>
        <w:t xml:space="preserve">suggested that if the Norfolk </w:t>
      </w:r>
      <w:r>
        <w:rPr>
          <w:rFonts w:ascii="Arial"/>
          <w:color w:val="000000"/>
          <w:sz w:val="24"/>
        </w:rPr>
        <w:t>Road</w:t>
      </w:r>
      <w:r>
        <w:rPr>
          <w:rFonts w:ascii="Arial"/>
          <w:color w:val="000000"/>
          <w:sz w:val="24"/>
        </w:rPr>
        <w:t xml:space="preserve"> </w:t>
      </w:r>
      <w:r>
        <w:rPr>
          <w:rFonts w:ascii="Arial"/>
          <w:color w:val="000000"/>
          <w:sz w:val="24"/>
        </w:rPr>
        <w:t xml:space="preserve">is permissible the isolation issue could be solved if in </w:t>
      </w:r>
      <w:r>
        <w:rPr>
          <w:rFonts w:ascii="Arial"/>
          <w:color w:val="000000"/>
          <w:sz w:val="24"/>
        </w:rPr>
        <w:t>S</w:t>
      </w:r>
      <w:r>
        <w:rPr>
          <w:rFonts w:ascii="Arial"/>
          <w:color w:val="000000"/>
          <w:sz w:val="24"/>
        </w:rPr>
        <w:t xml:space="preserve">tage 2 Norfolk Lane could be connected through the </w:t>
      </w:r>
      <w:r>
        <w:rPr>
          <w:rFonts w:ascii="Arial"/>
          <w:color w:val="000000"/>
          <w:sz w:val="24"/>
        </w:rPr>
        <w:t xml:space="preserve">site </w:t>
      </w:r>
      <w:r>
        <w:rPr>
          <w:rFonts w:ascii="Arial"/>
          <w:color w:val="000000"/>
          <w:sz w:val="24"/>
        </w:rPr>
        <w:t>into the new street network (Fig</w:t>
      </w:r>
      <w:r>
        <w:rPr>
          <w:rFonts w:ascii="Arial"/>
          <w:color w:val="000000"/>
          <w:sz w:val="24"/>
        </w:rPr>
        <w:t>s</w:t>
      </w:r>
      <w:r>
        <w:rPr>
          <w:rFonts w:ascii="Arial"/>
          <w:color w:val="000000"/>
          <w:sz w:val="24"/>
        </w:rPr>
        <w:t xml:space="preserve"> </w:t>
      </w:r>
      <w:r>
        <w:rPr>
          <w:rFonts w:ascii="Arial"/>
          <w:color w:val="000000"/>
          <w:sz w:val="24"/>
        </w:rPr>
        <w:t>1,</w:t>
      </w:r>
      <w:r>
        <w:rPr>
          <w:rFonts w:ascii="Arial"/>
          <w:color w:val="000000"/>
          <w:sz w:val="24"/>
        </w:rPr>
        <w:t xml:space="preserve"> </w:t>
      </w:r>
      <w:r>
        <w:rPr>
          <w:rFonts w:ascii="Arial"/>
          <w:color w:val="000000"/>
          <w:sz w:val="24"/>
        </w:rPr>
        <w:t>3 and 4 E</w:t>
      </w:r>
      <w:r>
        <w:rPr>
          <w:rFonts w:ascii="Arial"/>
          <w:color w:val="000000"/>
          <w:sz w:val="24"/>
        </w:rPr>
        <w:t>x</w:t>
      </w:r>
      <w:r>
        <w:rPr>
          <w:rFonts w:ascii="Arial"/>
          <w:color w:val="000000"/>
          <w:sz w:val="24"/>
        </w:rPr>
        <w:t xml:space="preserve"> </w:t>
      </w:r>
      <w:r>
        <w:rPr>
          <w:rFonts w:ascii="Arial"/>
          <w:color w:val="000000"/>
          <w:sz w:val="24"/>
        </w:rPr>
        <w:t xml:space="preserve">9). Mr Smith is content with the </w:t>
      </w:r>
      <w:r>
        <w:rPr>
          <w:rFonts w:ascii="Arial"/>
          <w:color w:val="000000"/>
          <w:sz w:val="24"/>
        </w:rPr>
        <w:t>C</w:t>
      </w:r>
      <w:r>
        <w:rPr>
          <w:rFonts w:ascii="Arial"/>
          <w:color w:val="000000"/>
          <w:sz w:val="24"/>
        </w:rPr>
        <w:t xml:space="preserve">ivic </w:t>
      </w:r>
      <w:r>
        <w:rPr>
          <w:rFonts w:ascii="Arial"/>
          <w:color w:val="000000"/>
          <w:sz w:val="24"/>
        </w:rPr>
        <w:t>S</w:t>
      </w:r>
      <w:r>
        <w:rPr>
          <w:rFonts w:ascii="Arial"/>
          <w:color w:val="000000"/>
          <w:sz w:val="24"/>
        </w:rPr>
        <w:t xml:space="preserve">quare amendments as agreed to be made to </w:t>
      </w:r>
      <w:r>
        <w:rPr>
          <w:rFonts w:ascii="Arial"/>
          <w:color w:val="000000"/>
          <w:sz w:val="24"/>
        </w:rPr>
        <w:t xml:space="preserve">the </w:t>
      </w:r>
      <w:r>
        <w:rPr>
          <w:rFonts w:ascii="Arial"/>
          <w:color w:val="000000"/>
          <w:sz w:val="24"/>
        </w:rPr>
        <w:t xml:space="preserve">proposal as they enable better connection between the existing retail frontage and the new retail frontage in Stage 1. </w:t>
      </w:r>
    </w:p>
    <w:p>
      <w:pPr>
        <w:pStyle w:val="CaselawNumbered10"/>
        <w:numPr>
          <w:ilvl w:val="0"/>
          <w:numId w:val="176"/>
        </w:numPr>
        <w:spacing w:before="150" w:after="0"/>
        <w:ind w:left="600" w:hanging="600"/>
      </w:pPr>
      <w:r>
        <w:rPr>
          <w:rFonts w:ascii="Arial"/>
          <w:color w:val="000000"/>
          <w:sz w:val="24"/>
        </w:rPr>
        <w:t xml:space="preserve">Mr Smith approved of the increased setback to the buildings but said that the benefits were diluted by the lack of landscaping provided to the </w:t>
      </w:r>
      <w:r>
        <w:rPr>
          <w:rFonts w:ascii="Arial"/>
          <w:color w:val="000000"/>
          <w:sz w:val="24"/>
        </w:rPr>
        <w:t>boundary,</w:t>
      </w:r>
      <w:r>
        <w:rPr>
          <w:rFonts w:ascii="Arial"/>
          <w:color w:val="000000"/>
          <w:sz w:val="24"/>
        </w:rPr>
        <w:t xml:space="preserve"> </w:t>
      </w:r>
      <w:r>
        <w:rPr>
          <w:rFonts w:ascii="Arial"/>
          <w:color w:val="000000"/>
          <w:sz w:val="24"/>
        </w:rPr>
        <w:t xml:space="preserve">retention of the existing ramp, and the retention of the levels of the existing loading dock which he believes creates significant privacy impacts to the adjacent R2 zoned land. He is critical of </w:t>
      </w:r>
      <w:r>
        <w:rPr>
          <w:rFonts w:ascii="Arial"/>
          <w:color w:val="000000"/>
          <w:sz w:val="24"/>
        </w:rPr>
        <w:t>the transition</w:t>
      </w:r>
      <w:r>
        <w:rPr>
          <w:rFonts w:ascii="Arial"/>
          <w:color w:val="000000"/>
          <w:sz w:val="24"/>
        </w:rPr>
        <w:t xml:space="preserve"> </w:t>
      </w:r>
      <w:r>
        <w:rPr>
          <w:rFonts w:ascii="Arial"/>
          <w:color w:val="000000"/>
          <w:sz w:val="24"/>
        </w:rPr>
        <w:t xml:space="preserve">to the R2 land and believes the ramp should be replaced with deep soil planting to a width of at least 6 preferably 10m. This would obviously necessitate the cutting back of the basement to enable this planting and once that is done the ground level of the landscaping </w:t>
      </w:r>
      <w:r>
        <w:rPr>
          <w:rFonts w:ascii="Arial"/>
          <w:color w:val="000000"/>
          <w:sz w:val="24"/>
        </w:rPr>
        <w:t xml:space="preserve">could </w:t>
      </w:r>
      <w:r>
        <w:rPr>
          <w:rFonts w:ascii="Arial"/>
          <w:color w:val="000000"/>
          <w:sz w:val="24"/>
        </w:rPr>
        <w:t xml:space="preserve">then transition from </w:t>
      </w:r>
      <w:r>
        <w:rPr>
          <w:rFonts w:ascii="Arial"/>
          <w:color w:val="000000"/>
          <w:sz w:val="24"/>
        </w:rPr>
        <w:t xml:space="preserve">the </w:t>
      </w:r>
      <w:r>
        <w:rPr>
          <w:rFonts w:ascii="Arial"/>
          <w:color w:val="000000"/>
          <w:sz w:val="24"/>
        </w:rPr>
        <w:t>proposed level</w:t>
      </w:r>
      <w:r>
        <w:rPr>
          <w:rFonts w:ascii="Arial"/>
          <w:color w:val="000000"/>
          <w:sz w:val="24"/>
        </w:rPr>
        <w:t xml:space="preserve"> </w:t>
      </w:r>
      <w:r>
        <w:rPr>
          <w:rFonts w:ascii="Arial"/>
          <w:color w:val="000000"/>
          <w:sz w:val="24"/>
        </w:rPr>
        <w:t xml:space="preserve">of the internal street and the ground level at the boundary. </w:t>
      </w:r>
    </w:p>
    <w:p>
      <w:pPr>
        <w:pStyle w:val="CaselawNumbered10"/>
        <w:numPr>
          <w:ilvl w:val="0"/>
          <w:numId w:val="176"/>
        </w:numPr>
        <w:spacing w:before="150" w:after="0"/>
        <w:ind w:left="600" w:hanging="600"/>
      </w:pPr>
      <w:r>
        <w:rPr>
          <w:rFonts w:ascii="Arial"/>
          <w:color w:val="000000"/>
          <w:sz w:val="24"/>
        </w:rPr>
        <w:t>Th</w:t>
      </w:r>
      <w:r>
        <w:rPr>
          <w:rFonts w:ascii="Arial"/>
          <w:color w:val="000000"/>
          <w:sz w:val="24"/>
        </w:rPr>
        <w:t xml:space="preserve">at said, as </w:t>
      </w:r>
      <w:r>
        <w:rPr>
          <w:rFonts w:ascii="Arial"/>
          <w:color w:val="000000"/>
          <w:sz w:val="24"/>
        </w:rPr>
        <w:t xml:space="preserve">Mr Carter </w:t>
      </w:r>
      <w:r>
        <w:rPr>
          <w:rFonts w:ascii="Arial"/>
          <w:color w:val="000000"/>
          <w:sz w:val="24"/>
        </w:rPr>
        <w:t xml:space="preserve">stated in his evidence </w:t>
      </w:r>
      <w:r>
        <w:rPr>
          <w:rFonts w:ascii="Arial"/>
          <w:color w:val="000000"/>
          <w:sz w:val="24"/>
        </w:rPr>
        <w:t xml:space="preserve">it is inevitable that some refinement </w:t>
      </w:r>
      <w:r>
        <w:rPr>
          <w:rFonts w:ascii="Arial"/>
          <w:color w:val="000000"/>
          <w:sz w:val="24"/>
        </w:rPr>
        <w:t xml:space="preserve">of </w:t>
      </w:r>
      <w:r>
        <w:rPr>
          <w:rFonts w:ascii="Arial"/>
          <w:color w:val="000000"/>
          <w:sz w:val="24"/>
        </w:rPr>
        <w:t>th</w:t>
      </w:r>
      <w:r>
        <w:rPr>
          <w:rFonts w:ascii="Arial"/>
          <w:color w:val="000000"/>
          <w:sz w:val="24"/>
        </w:rPr>
        <w:t>e</w:t>
      </w:r>
      <w:r>
        <w:rPr>
          <w:rFonts w:ascii="Arial"/>
          <w:color w:val="000000"/>
          <w:sz w:val="24"/>
        </w:rPr>
        <w:t xml:space="preserve"> </w:t>
      </w:r>
      <w:r>
        <w:rPr>
          <w:rFonts w:ascii="Arial"/>
          <w:color w:val="000000"/>
          <w:sz w:val="24"/>
        </w:rPr>
        <w:t xml:space="preserve">abstract indicative plan </w:t>
      </w:r>
      <w:r>
        <w:rPr>
          <w:rFonts w:ascii="Arial"/>
          <w:color w:val="000000"/>
          <w:sz w:val="24"/>
        </w:rPr>
        <w:t xml:space="preserve">will occur </w:t>
      </w:r>
      <w:r>
        <w:rPr>
          <w:rFonts w:ascii="Arial"/>
          <w:color w:val="000000"/>
          <w:sz w:val="24"/>
        </w:rPr>
        <w:t xml:space="preserve">at the more detailed concept application and Stage 1 DA. The DCP though site specific and without question a central focus offers both generic controls as well as the site specific. I am satisfied that the application complies with the relevant provision of LEP 2015, the draft LEP 2023 and the DCP after consideration of all the evidence including </w:t>
      </w:r>
      <w:r>
        <w:rPr>
          <w:rFonts w:ascii="Arial"/>
          <w:color w:val="000000"/>
          <w:sz w:val="24"/>
        </w:rPr>
        <w:t>Mr Ryan</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Table 2 of the </w:t>
      </w:r>
      <w:r>
        <w:rPr>
          <w:rFonts w:ascii="Arial"/>
          <w:color w:val="000000"/>
          <w:sz w:val="24"/>
        </w:rPr>
        <w:t>Addendum</w:t>
      </w:r>
      <w:r>
        <w:rPr>
          <w:rFonts w:ascii="Arial"/>
          <w:color w:val="000000"/>
          <w:sz w:val="24"/>
        </w:rPr>
        <w:t xml:space="preserve"> </w:t>
      </w:r>
      <w:r>
        <w:rPr>
          <w:rFonts w:ascii="Arial"/>
          <w:color w:val="000000"/>
          <w:sz w:val="24"/>
        </w:rPr>
        <w:t xml:space="preserve">SEE. </w:t>
      </w:r>
      <w:r>
        <w:rPr>
          <w:rFonts w:ascii="Arial"/>
          <w:color w:val="000000"/>
          <w:sz w:val="24"/>
        </w:rPr>
        <w:t xml:space="preserve">Where </w:t>
      </w:r>
      <w:r>
        <w:rPr>
          <w:rFonts w:ascii="Arial"/>
          <w:color w:val="000000"/>
          <w:sz w:val="24"/>
        </w:rPr>
        <w:t xml:space="preserve">there is divergence from the DCP as Mr Carter and Mr Ryan told the Court improvements to the design </w:t>
      </w:r>
      <w:r>
        <w:rPr>
          <w:rFonts w:ascii="Arial"/>
          <w:color w:val="000000"/>
          <w:sz w:val="24"/>
        </w:rPr>
        <w:t>have been achieved.</w:t>
      </w:r>
    </w:p>
    <w:p>
      <w:pPr>
        <w:pStyle w:val="CaselawNumbered10"/>
        <w:numPr>
          <w:ilvl w:val="0"/>
          <w:numId w:val="176"/>
        </w:numPr>
        <w:spacing w:before="150" w:after="0"/>
        <w:ind w:left="600" w:hanging="600"/>
      </w:pPr>
      <w:r>
        <w:rPr>
          <w:rFonts w:ascii="Arial"/>
          <w:color w:val="000000"/>
          <w:sz w:val="24"/>
        </w:rPr>
        <w:t>Accepting that</w:t>
      </w:r>
      <w:r>
        <w:rPr>
          <w:rFonts w:ascii="Arial"/>
          <w:color w:val="000000"/>
          <w:sz w:val="24"/>
        </w:rPr>
        <w:t xml:space="preserve"> </w:t>
      </w:r>
      <w:r>
        <w:rPr>
          <w:rFonts w:ascii="Arial"/>
          <w:color w:val="000000"/>
          <w:sz w:val="24"/>
        </w:rPr>
        <w:t xml:space="preserve">a DCP is certainly a focal point: </w:t>
      </w:r>
      <w:r>
        <w:rPr>
          <w:rFonts w:ascii="Arial"/>
          <w:i/>
          <w:color w:val="000000"/>
          <w:sz w:val="24"/>
        </w:rPr>
        <w:t>Z</w:t>
      </w:r>
      <w:r>
        <w:rPr>
          <w:rFonts w:ascii="Arial"/>
          <w:i/>
          <w:color w:val="000000"/>
          <w:sz w:val="24"/>
        </w:rPr>
        <w:t>hang</w:t>
      </w:r>
      <w:r>
        <w:rPr>
          <w:rFonts w:ascii="Arial"/>
          <w:color w:val="000000"/>
          <w:sz w:val="24"/>
        </w:rPr>
        <w:t>, it</w:t>
      </w:r>
      <w:r>
        <w:rPr>
          <w:rFonts w:ascii="Arial"/>
          <w:color w:val="000000"/>
          <w:sz w:val="24"/>
        </w:rPr>
        <w:t xml:space="preserve"> </w:t>
      </w:r>
      <w:r>
        <w:rPr>
          <w:rFonts w:ascii="Arial"/>
          <w:color w:val="000000"/>
          <w:sz w:val="24"/>
        </w:rPr>
        <w:t>is also acknowledged in s</w:t>
      </w:r>
      <w:r>
        <w:rPr>
          <w:rFonts w:ascii="Arial"/>
          <w:color w:val="000000"/>
          <w:sz w:val="24"/>
        </w:rPr>
        <w:t xml:space="preserve"> </w:t>
      </w:r>
      <w:r>
        <w:rPr>
          <w:rFonts w:ascii="Arial"/>
          <w:color w:val="000000"/>
          <w:sz w:val="24"/>
        </w:rPr>
        <w:t xml:space="preserve">4.15 of the EPA Act that </w:t>
      </w:r>
      <w:r>
        <w:rPr>
          <w:rFonts w:ascii="Arial"/>
          <w:color w:val="000000"/>
          <w:sz w:val="24"/>
        </w:rPr>
        <w:t xml:space="preserve">a DCP is </w:t>
      </w:r>
      <w:r>
        <w:rPr>
          <w:rFonts w:ascii="Arial"/>
          <w:color w:val="000000"/>
          <w:sz w:val="24"/>
        </w:rPr>
        <w:t xml:space="preserve">designed to be flexible to deal with the complexities of development proposals as the design develops. They are not fixed controls. </w:t>
      </w:r>
      <w:r>
        <w:rPr>
          <w:rFonts w:ascii="Arial"/>
          <w:color w:val="000000"/>
          <w:sz w:val="24"/>
        </w:rPr>
        <w:t>Consequently, strict compliance with the DCP is not and cannot be required under the Ac</w:t>
      </w:r>
      <w:r>
        <w:rPr>
          <w:rFonts w:ascii="Arial"/>
          <w:color w:val="000000"/>
          <w:sz w:val="24"/>
        </w:rPr>
        <w:t>t</w:t>
      </w:r>
      <w:r>
        <w:rPr>
          <w:rFonts w:ascii="Arial"/>
          <w:color w:val="000000"/>
          <w:sz w:val="24"/>
        </w:rPr>
        <w:t xml:space="preserve">, </w:t>
      </w:r>
      <w:r>
        <w:rPr>
          <w:rFonts w:ascii="Arial"/>
          <w:color w:val="000000"/>
          <w:sz w:val="24"/>
        </w:rPr>
        <w:t xml:space="preserve">especially </w:t>
      </w:r>
      <w:r>
        <w:rPr>
          <w:rFonts w:ascii="Arial"/>
          <w:color w:val="000000"/>
          <w:sz w:val="24"/>
        </w:rPr>
        <w:t>where alternative solutions that achieve the objects of those standards for dealing with that aspect of the development are demonstrated</w:t>
      </w:r>
      <w:r>
        <w:rPr>
          <w:rFonts w:ascii="Arial"/>
          <w:color w:val="000000"/>
          <w:sz w:val="24"/>
        </w:rPr>
        <w:t xml:space="preserve"> </w:t>
      </w:r>
      <w:r>
        <w:rPr>
          <w:rFonts w:ascii="Arial"/>
          <w:color w:val="000000"/>
          <w:sz w:val="24"/>
        </w:rPr>
        <w:t xml:space="preserve">as is the case at hand for the reasons </w:t>
      </w:r>
      <w:r>
        <w:rPr>
          <w:rFonts w:ascii="Arial"/>
          <w:color w:val="000000"/>
          <w:sz w:val="24"/>
        </w:rPr>
        <w:t>articulated</w:t>
      </w:r>
      <w:r>
        <w:rPr>
          <w:rFonts w:ascii="Arial"/>
          <w:color w:val="000000"/>
          <w:sz w:val="24"/>
        </w:rPr>
        <w:t xml:space="preserve"> </w:t>
      </w:r>
      <w:r>
        <w:rPr>
          <w:rFonts w:ascii="Arial"/>
          <w:color w:val="000000"/>
          <w:sz w:val="24"/>
        </w:rPr>
        <w:t>by the applicant</w:t>
      </w:r>
      <w:r>
        <w:rPr>
          <w:rFonts w:ascii="Arial"/>
          <w:color w:val="000000"/>
          <w:sz w:val="24"/>
        </w:rPr>
        <w:t>’</w:t>
      </w:r>
      <w:r>
        <w:rPr>
          <w:rFonts w:ascii="Arial"/>
          <w:color w:val="000000"/>
          <w:sz w:val="24"/>
        </w:rPr>
        <w:t>s experts as summarised in this judgment</w:t>
      </w:r>
      <w:r>
        <w:rPr>
          <w:rFonts w:ascii="Arial"/>
          <w:color w:val="000000"/>
          <w:sz w:val="24"/>
        </w:rPr>
        <w:t xml:space="preserve">. </w:t>
      </w:r>
    </w:p>
    <w:p>
      <w:pPr>
        <w:pStyle w:val="CaselawNumbered10"/>
        <w:numPr>
          <w:ilvl w:val="0"/>
          <w:numId w:val="176"/>
        </w:numPr>
        <w:spacing w:before="150" w:after="0"/>
        <w:ind w:left="600" w:hanging="600"/>
      </w:pPr>
      <w:r>
        <w:rPr>
          <w:rFonts w:ascii="Arial"/>
          <w:color w:val="000000"/>
          <w:sz w:val="24"/>
        </w:rPr>
        <w:t xml:space="preserve">As </w:t>
      </w:r>
      <w:r>
        <w:rPr>
          <w:rFonts w:ascii="Arial"/>
          <w:color w:val="000000"/>
          <w:sz w:val="24"/>
        </w:rPr>
        <w:t xml:space="preserve">Mr Carter </w:t>
      </w:r>
      <w:r>
        <w:rPr>
          <w:rFonts w:ascii="Arial"/>
          <w:color w:val="000000"/>
          <w:sz w:val="24"/>
        </w:rPr>
        <w:t xml:space="preserve">stated in his </w:t>
      </w:r>
      <w:r>
        <w:rPr>
          <w:rFonts w:ascii="Arial"/>
          <w:color w:val="000000"/>
          <w:sz w:val="24"/>
        </w:rPr>
        <w:t xml:space="preserve">evidence </w:t>
      </w:r>
      <w:r>
        <w:rPr>
          <w:rFonts w:ascii="Arial"/>
          <w:color w:val="000000"/>
          <w:sz w:val="24"/>
        </w:rPr>
        <w:t xml:space="preserve">this DA is a good example of how a DCP applied as a guide with </w:t>
      </w:r>
      <w:r>
        <w:rPr>
          <w:rFonts w:ascii="Arial"/>
          <w:color w:val="000000"/>
          <w:sz w:val="24"/>
        </w:rPr>
        <w:t xml:space="preserve">an </w:t>
      </w:r>
      <w:r>
        <w:rPr>
          <w:rFonts w:ascii="Arial"/>
          <w:color w:val="000000"/>
          <w:sz w:val="24"/>
        </w:rPr>
        <w:t>“</w:t>
      </w:r>
      <w:r>
        <w:rPr>
          <w:rFonts w:ascii="Arial"/>
          <w:color w:val="000000"/>
          <w:sz w:val="24"/>
        </w:rPr>
        <w:t>indicative plan</w:t>
      </w:r>
      <w:r>
        <w:rPr>
          <w:rFonts w:ascii="Arial"/>
          <w:color w:val="000000"/>
          <w:sz w:val="24"/>
        </w:rPr>
        <w:t xml:space="preserve">” </w:t>
      </w:r>
      <w:r>
        <w:rPr>
          <w:rFonts w:ascii="Arial"/>
          <w:color w:val="000000"/>
          <w:sz w:val="24"/>
        </w:rPr>
        <w:t xml:space="preserve">can flexibly deal with a large complex multifaceted and multi staged proposal and better achieve the stated objectives. For the </w:t>
      </w:r>
      <w:r>
        <w:rPr>
          <w:rFonts w:ascii="Arial"/>
          <w:color w:val="000000"/>
          <w:sz w:val="24"/>
        </w:rPr>
        <w:t>reasons given</w:t>
      </w:r>
      <w:r>
        <w:rPr>
          <w:rFonts w:ascii="Arial"/>
          <w:color w:val="000000"/>
          <w:sz w:val="24"/>
        </w:rPr>
        <w:t xml:space="preserve"> </w:t>
      </w:r>
      <w:r>
        <w:rPr>
          <w:rFonts w:ascii="Arial"/>
          <w:color w:val="000000"/>
          <w:sz w:val="24"/>
        </w:rPr>
        <w:t>by Mr Carter I accept that the proposed change</w:t>
      </w:r>
      <w:r>
        <w:rPr>
          <w:rFonts w:ascii="Arial"/>
          <w:color w:val="000000"/>
          <w:sz w:val="24"/>
        </w:rPr>
        <w:t>s</w:t>
      </w:r>
      <w:r>
        <w:rPr>
          <w:rFonts w:ascii="Arial"/>
          <w:color w:val="000000"/>
          <w:sz w:val="24"/>
        </w:rPr>
        <w:t xml:space="preserve"> </w:t>
      </w:r>
      <w:r>
        <w:rPr>
          <w:rFonts w:ascii="Arial"/>
          <w:color w:val="000000"/>
          <w:sz w:val="24"/>
        </w:rPr>
        <w:t>to the ISP in this</w:t>
      </w:r>
      <w:r>
        <w:rPr>
          <w:rFonts w:ascii="Arial"/>
          <w:color w:val="000000"/>
          <w:sz w:val="24"/>
        </w:rPr>
        <w:t xml:space="preserve"> </w:t>
      </w:r>
      <w:r>
        <w:rPr>
          <w:rFonts w:ascii="Arial"/>
          <w:color w:val="000000"/>
          <w:sz w:val="24"/>
        </w:rPr>
        <w:t xml:space="preserve">application </w:t>
      </w:r>
      <w:r>
        <w:rPr>
          <w:rFonts w:ascii="Arial"/>
          <w:color w:val="000000"/>
          <w:sz w:val="24"/>
        </w:rPr>
        <w:t xml:space="preserve"> </w:t>
      </w:r>
      <w:r>
        <w:rPr>
          <w:rFonts w:ascii="Arial"/>
          <w:color w:val="000000"/>
          <w:sz w:val="24"/>
        </w:rPr>
        <w:t xml:space="preserve">is minor (Ex </w:t>
      </w:r>
      <w:r>
        <w:rPr>
          <w:rFonts w:ascii="Arial"/>
          <w:color w:val="000000"/>
          <w:sz w:val="24"/>
        </w:rPr>
        <w:t>11 Fig</w:t>
      </w:r>
      <w:r>
        <w:rPr>
          <w:rFonts w:ascii="Arial"/>
          <w:color w:val="000000"/>
          <w:sz w:val="24"/>
        </w:rPr>
        <w:t xml:space="preserve"> </w:t>
      </w:r>
      <w:r>
        <w:rPr>
          <w:rFonts w:ascii="Arial"/>
          <w:color w:val="000000"/>
          <w:sz w:val="24"/>
        </w:rPr>
        <w:t>6 cf with Fig 1). Also</w:t>
      </w:r>
      <w:r>
        <w:rPr>
          <w:rFonts w:ascii="Arial"/>
          <w:color w:val="000000"/>
          <w:sz w:val="24"/>
        </w:rPr>
        <w:t>,</w:t>
      </w:r>
      <w:r>
        <w:rPr>
          <w:rFonts w:ascii="Arial"/>
          <w:color w:val="000000"/>
          <w:sz w:val="24"/>
        </w:rPr>
        <w:t xml:space="preserve"> </w:t>
      </w:r>
      <w:r>
        <w:rPr>
          <w:rFonts w:ascii="Arial"/>
          <w:color w:val="000000"/>
          <w:sz w:val="24"/>
        </w:rPr>
        <w:t xml:space="preserve">noting that the plan is </w:t>
      </w:r>
      <w:r>
        <w:rPr>
          <w:rFonts w:ascii="Arial"/>
          <w:color w:val="000000"/>
          <w:sz w:val="24"/>
        </w:rPr>
        <w:t>“</w:t>
      </w:r>
      <w:r>
        <w:rPr>
          <w:rFonts w:ascii="Arial"/>
          <w:color w:val="000000"/>
          <w:sz w:val="24"/>
        </w:rPr>
        <w:t>indicative</w:t>
      </w:r>
      <w:r>
        <w:rPr>
          <w:rFonts w:ascii="Arial"/>
          <w:color w:val="000000"/>
          <w:sz w:val="24"/>
        </w:rPr>
        <w:t>”</w:t>
      </w:r>
      <w:r>
        <w:rPr>
          <w:rFonts w:ascii="Arial"/>
          <w:color w:val="000000"/>
          <w:sz w:val="24"/>
        </w:rPr>
        <w:t>. That said, it is clear that the I</w:t>
      </w:r>
      <w:r>
        <w:rPr>
          <w:rFonts w:ascii="Arial"/>
          <w:color w:val="000000"/>
          <w:sz w:val="24"/>
        </w:rPr>
        <w:t>SP</w:t>
      </w:r>
      <w:r>
        <w:rPr>
          <w:rFonts w:ascii="Arial"/>
          <w:color w:val="000000"/>
          <w:sz w:val="24"/>
        </w:rPr>
        <w:t xml:space="preserve"> </w:t>
      </w:r>
      <w:r>
        <w:rPr>
          <w:rFonts w:ascii="Arial"/>
          <w:color w:val="000000"/>
          <w:sz w:val="24"/>
        </w:rPr>
        <w:t xml:space="preserve">always anticipated a road with a turning head </w:t>
      </w:r>
      <w:r>
        <w:rPr>
          <w:rFonts w:ascii="Arial"/>
          <w:color w:val="000000"/>
          <w:sz w:val="24"/>
        </w:rPr>
        <w:t>required,</w:t>
      </w:r>
      <w:r>
        <w:rPr>
          <w:rFonts w:ascii="Arial"/>
          <w:color w:val="000000"/>
          <w:sz w:val="24"/>
        </w:rPr>
        <w:t xml:space="preserve"> </w:t>
      </w:r>
      <w:r>
        <w:rPr>
          <w:rFonts w:ascii="Arial"/>
          <w:color w:val="000000"/>
          <w:sz w:val="24"/>
        </w:rPr>
        <w:t xml:space="preserve">as it only ever had one entry point and exit. This is exactly what is now proposed, not from Waterloo but Norfolk Road. </w:t>
      </w:r>
      <w:r>
        <w:rPr>
          <w:rFonts w:ascii="Arial"/>
          <w:color w:val="000000"/>
          <w:sz w:val="24"/>
        </w:rPr>
        <w:t xml:space="preserve">While </w:t>
      </w:r>
      <w:r>
        <w:rPr>
          <w:rFonts w:ascii="Arial"/>
          <w:color w:val="000000"/>
          <w:sz w:val="24"/>
        </w:rPr>
        <w:t xml:space="preserve">it is not clear from the ISP whether the plan envisaged a separation of shopping centre traffic from the residential and childcare addresses, as the dotted arrow simply runs along the edge of the R2 zone land and the 20m height zoned land the proposal solves this. The result is as Mr Carter states </w:t>
      </w:r>
      <w:r>
        <w:rPr>
          <w:rFonts w:ascii="Arial"/>
          <w:color w:val="000000"/>
          <w:sz w:val="24"/>
        </w:rPr>
        <w:t>“</w:t>
      </w:r>
      <w:r>
        <w:rPr>
          <w:rFonts w:ascii="Arial"/>
          <w:color w:val="000000"/>
          <w:sz w:val="24"/>
        </w:rPr>
        <w:t>a better urban design outcome</w:t>
      </w:r>
      <w:r>
        <w:rPr>
          <w:rFonts w:ascii="Arial"/>
          <w:color w:val="000000"/>
          <w:sz w:val="24"/>
        </w:rPr>
        <w:t>”</w:t>
      </w:r>
      <w:r>
        <w:rPr>
          <w:rFonts w:ascii="Arial"/>
          <w:color w:val="000000"/>
          <w:sz w:val="24"/>
        </w:rPr>
        <w:t xml:space="preserve"> </w:t>
      </w:r>
      <w:r>
        <w:rPr>
          <w:rFonts w:ascii="Arial"/>
          <w:color w:val="000000"/>
          <w:sz w:val="24"/>
        </w:rPr>
        <w:t>(Ex 11</w:t>
      </w:r>
      <w:r>
        <w:rPr>
          <w:rFonts w:ascii="Arial"/>
          <w:color w:val="000000"/>
          <w:sz w:val="24"/>
        </w:rPr>
        <w:t>).</w:t>
      </w:r>
      <w:r>
        <w:rPr>
          <w:rFonts w:ascii="Arial"/>
          <w:color w:val="000000"/>
          <w:sz w:val="24"/>
        </w:rPr>
        <w:t xml:space="preserve"> </w:t>
      </w:r>
    </w:p>
    <w:p>
      <w:pPr>
        <w:pStyle w:val="CaselawNumbered10"/>
        <w:numPr>
          <w:ilvl w:val="0"/>
          <w:numId w:val="176"/>
        </w:numPr>
        <w:spacing w:before="150" w:after="0"/>
        <w:ind w:left="600" w:hanging="600"/>
      </w:pPr>
      <w:r>
        <w:rPr>
          <w:rFonts w:ascii="Arial"/>
          <w:color w:val="000000"/>
          <w:sz w:val="24"/>
        </w:rPr>
        <w:t xml:space="preserve">I accept that the western extension of Norfolk Lane along the face of the apartments culminating in a roundabout provides the apartments with a logical and easy to understand residential address. It provides useful short-term parking for visitors to these homes. It is a share way that allows </w:t>
      </w:r>
      <w:r>
        <w:rPr>
          <w:rFonts w:ascii="Arial"/>
          <w:color w:val="000000"/>
          <w:sz w:val="24"/>
        </w:rPr>
        <w:t>pedestrians,</w:t>
      </w:r>
      <w:r>
        <w:rPr>
          <w:rFonts w:ascii="Arial"/>
          <w:color w:val="000000"/>
          <w:sz w:val="24"/>
        </w:rPr>
        <w:t xml:space="preserve"> </w:t>
      </w:r>
      <w:r>
        <w:rPr>
          <w:rFonts w:ascii="Arial"/>
          <w:color w:val="000000"/>
          <w:sz w:val="24"/>
        </w:rPr>
        <w:t xml:space="preserve">bicycles etc as well being designed to accommodate car movements at slow speeds. The laneway adds to passive surveillance and safety by increasing activity and interaction. This design supports emergency vehicles </w:t>
      </w:r>
      <w:r>
        <w:rPr>
          <w:rFonts w:ascii="Arial"/>
          <w:color w:val="000000"/>
          <w:sz w:val="24"/>
        </w:rPr>
        <w:t xml:space="preserve">– </w:t>
      </w:r>
      <w:r>
        <w:rPr>
          <w:rFonts w:ascii="Arial"/>
          <w:color w:val="000000"/>
          <w:sz w:val="24"/>
        </w:rPr>
        <w:t xml:space="preserve">offering easy function and access to all </w:t>
      </w:r>
      <w:r>
        <w:rPr>
          <w:rFonts w:ascii="Arial"/>
          <w:color w:val="000000"/>
          <w:sz w:val="24"/>
        </w:rPr>
        <w:t>residential,</w:t>
      </w:r>
      <w:r>
        <w:rPr>
          <w:rFonts w:ascii="Arial"/>
          <w:color w:val="000000"/>
          <w:sz w:val="24"/>
        </w:rPr>
        <w:t xml:space="preserve"> </w:t>
      </w:r>
      <w:r>
        <w:rPr>
          <w:rFonts w:ascii="Arial"/>
          <w:color w:val="000000"/>
          <w:sz w:val="24"/>
        </w:rPr>
        <w:t xml:space="preserve">there is a significant setback 30m between the rear fences of the adjoining properties and the Terraces in the R2 zone land of the </w:t>
      </w:r>
      <w:r>
        <w:rPr>
          <w:rFonts w:ascii="Arial"/>
          <w:color w:val="000000"/>
          <w:sz w:val="24"/>
        </w:rPr>
        <w:t>proposal.</w:t>
      </w:r>
      <w:r>
        <w:rPr>
          <w:rFonts w:ascii="Arial"/>
          <w:color w:val="000000"/>
          <w:sz w:val="24"/>
        </w:rPr>
        <w:t xml:space="preserve"> </w:t>
      </w:r>
      <w:r>
        <w:rPr>
          <w:rFonts w:ascii="Arial"/>
          <w:color w:val="000000"/>
          <w:sz w:val="24"/>
        </w:rPr>
        <w:t xml:space="preserve">The design complies with the height </w:t>
      </w:r>
      <w:r>
        <w:rPr>
          <w:rFonts w:ascii="Arial"/>
          <w:color w:val="000000"/>
          <w:sz w:val="24"/>
        </w:rPr>
        <w:t>controls -</w:t>
      </w:r>
      <w:r>
        <w:rPr>
          <w:rFonts w:ascii="Arial"/>
          <w:color w:val="000000"/>
          <w:sz w:val="24"/>
        </w:rPr>
        <w:t xml:space="preserve"> </w:t>
      </w:r>
      <w:r>
        <w:rPr>
          <w:rFonts w:ascii="Arial"/>
          <w:color w:val="000000"/>
          <w:sz w:val="24"/>
        </w:rPr>
        <w:t xml:space="preserve">as the terraces are within the blue shaded area of the ISP </w:t>
      </w:r>
      <w:r>
        <w:rPr>
          <w:rFonts w:ascii="Arial"/>
          <w:color w:val="000000"/>
          <w:sz w:val="24"/>
        </w:rPr>
        <w:t xml:space="preserve">– </w:t>
      </w:r>
      <w:r>
        <w:rPr>
          <w:rFonts w:ascii="Arial"/>
          <w:color w:val="000000"/>
          <w:sz w:val="24"/>
        </w:rPr>
        <w:t>and I accept for reason outlined by Mr Carter and Mr Ryan in their joint report i</w:t>
      </w:r>
      <w:r>
        <w:rPr>
          <w:rFonts w:ascii="Arial"/>
          <w:color w:val="000000"/>
          <w:sz w:val="24"/>
        </w:rPr>
        <w:t>t is</w:t>
      </w:r>
      <w:r>
        <w:rPr>
          <w:rFonts w:ascii="Arial"/>
          <w:color w:val="000000"/>
          <w:sz w:val="24"/>
        </w:rPr>
        <w:t xml:space="preserve"> </w:t>
      </w:r>
      <w:r>
        <w:rPr>
          <w:rFonts w:ascii="Arial"/>
          <w:color w:val="000000"/>
          <w:sz w:val="24"/>
        </w:rPr>
        <w:t xml:space="preserve">an appropriate transition </w:t>
      </w:r>
      <w:r>
        <w:rPr>
          <w:rFonts w:ascii="Arial"/>
          <w:color w:val="000000"/>
          <w:sz w:val="24"/>
        </w:rPr>
        <w:t>(Ex</w:t>
      </w:r>
      <w:r>
        <w:rPr>
          <w:rFonts w:ascii="Arial"/>
          <w:color w:val="000000"/>
          <w:sz w:val="24"/>
        </w:rPr>
        <w:t xml:space="preserve"> </w:t>
      </w:r>
      <w:r>
        <w:rPr>
          <w:rFonts w:ascii="Arial"/>
          <w:color w:val="000000"/>
          <w:sz w:val="24"/>
        </w:rPr>
        <w:t xml:space="preserve">11 and planning report). </w:t>
      </w:r>
    </w:p>
    <w:p>
      <w:pPr>
        <w:pStyle w:val="CaselawNumbered10"/>
        <w:numPr>
          <w:ilvl w:val="0"/>
          <w:numId w:val="176"/>
        </w:numPr>
        <w:spacing w:before="150" w:after="0"/>
        <w:ind w:left="600" w:hanging="600"/>
      </w:pPr>
      <w:r>
        <w:rPr>
          <w:rFonts w:ascii="Arial"/>
          <w:color w:val="000000"/>
          <w:sz w:val="24"/>
        </w:rPr>
        <w:t>As the A</w:t>
      </w:r>
      <w:r>
        <w:rPr>
          <w:rFonts w:ascii="Arial"/>
          <w:color w:val="000000"/>
          <w:sz w:val="24"/>
        </w:rPr>
        <w:t>ddendum</w:t>
      </w:r>
      <w:r>
        <w:rPr>
          <w:rFonts w:ascii="Arial"/>
          <w:color w:val="000000"/>
          <w:sz w:val="24"/>
        </w:rPr>
        <w:t xml:space="preserve"> </w:t>
      </w:r>
      <w:r>
        <w:rPr>
          <w:rFonts w:ascii="Arial"/>
          <w:color w:val="000000"/>
          <w:sz w:val="24"/>
        </w:rPr>
        <w:t>SEE identifies</w:t>
      </w:r>
      <w:r>
        <w:rPr>
          <w:rFonts w:ascii="Arial"/>
          <w:color w:val="000000"/>
          <w:sz w:val="24"/>
        </w:rPr>
        <w:t>,</w:t>
      </w:r>
      <w:r>
        <w:rPr>
          <w:rFonts w:ascii="Arial"/>
          <w:color w:val="000000"/>
          <w:sz w:val="24"/>
        </w:rPr>
        <w:t xml:space="preserve"> </w:t>
      </w:r>
      <w:r>
        <w:rPr>
          <w:rFonts w:ascii="Arial"/>
          <w:color w:val="000000"/>
          <w:sz w:val="24"/>
        </w:rPr>
        <w:t xml:space="preserve">the development achieves a high level of consistency with the site-specific section of the DCP having regard to: </w:t>
      </w:r>
    </w:p>
    <w:p>
      <w:pPr>
        <w:pStyle w:val="CaselawQuote"/>
        <w:spacing w:before="150" w:after="150"/>
        <w:ind w:left="1350"/>
        <w:jc w:val="left"/>
      </w:pPr>
      <w:r>
        <w:rPr>
          <w:rFonts w:ascii="Arial"/>
          <w:color w:val="000000"/>
          <w:sz w:val="22"/>
        </w:rPr>
        <w:t xml:space="preserve">“• The purpose and status of a DCP as prescribed in the </w:t>
      </w:r>
      <w:r>
        <w:rPr>
          <w:rFonts w:ascii="Arial"/>
          <w:i/>
          <w:color w:val="000000"/>
          <w:sz w:val="22"/>
        </w:rPr>
        <w:t>Environmental Planning and Assessment Act 1979</w:t>
      </w:r>
      <w:r>
        <w:rPr>
          <w:rFonts w:ascii="Arial"/>
          <w:color w:val="000000"/>
          <w:sz w:val="22"/>
        </w:rPr>
        <w:t>. Particularly Section 4.15(3A), where a DA does not ‘comply’ with standards in the DCP, the DCP ‘</w:t>
      </w:r>
      <w:r>
        <w:rPr>
          <w:rFonts w:ascii="Arial"/>
          <w:i/>
          <w:color w:val="000000"/>
          <w:sz w:val="22"/>
        </w:rPr>
        <w:t>is to be flexible in applying those provisions and allow reasonable alternative solutions that achieve the objects of those standards for dealing with that aspect of the development</w:t>
      </w:r>
      <w:r>
        <w:rPr>
          <w:rFonts w:ascii="Arial"/>
          <w:color w:val="000000"/>
          <w:sz w:val="22"/>
        </w:rPr>
        <w:t xml:space="preserve">’. Also, Section 3.42 that states that DCPs are not statutory requires and that they should </w:t>
      </w:r>
      <w:r>
        <w:rPr>
          <w:rFonts w:ascii="Arial"/>
          <w:i/>
          <w:color w:val="000000"/>
          <w:sz w:val="22"/>
        </w:rPr>
        <w:t xml:space="preserve">facilitate </w:t>
      </w:r>
      <w:r>
        <w:rPr>
          <w:rFonts w:ascii="Arial"/>
          <w:color w:val="000000"/>
          <w:sz w:val="22"/>
        </w:rPr>
        <w:t xml:space="preserve">permissible development; </w:t>
      </w:r>
    </w:p>
    <w:p>
      <w:pPr>
        <w:pStyle w:val="CaselawQuote"/>
        <w:spacing w:before="150" w:after="150"/>
        <w:ind w:left="1350"/>
        <w:jc w:val="left"/>
      </w:pPr>
      <w:r>
        <w:rPr>
          <w:rFonts w:ascii="Arial"/>
          <w:color w:val="000000"/>
          <w:sz w:val="22"/>
        </w:rPr>
        <w:t xml:space="preserve">• The DCP’s Indicative Structure Plan notes that </w:t>
      </w:r>
      <w:r>
        <w:rPr>
          <w:rFonts w:ascii="Arial"/>
          <w:i/>
          <w:color w:val="000000"/>
          <w:sz w:val="22"/>
        </w:rPr>
        <w:t>the details of internal traffic movements are to be confirmed at the detailed design stage with consultation with Transport for NSW and Council</w:t>
      </w:r>
      <w:r>
        <w:rPr>
          <w:rFonts w:ascii="Arial"/>
          <w:color w:val="000000"/>
          <w:sz w:val="22"/>
        </w:rPr>
        <w:t xml:space="preserve">; </w:t>
      </w:r>
    </w:p>
    <w:p>
      <w:pPr>
        <w:pStyle w:val="CaselawQuote"/>
        <w:spacing w:before="150" w:after="150"/>
        <w:ind w:left="1350"/>
        <w:jc w:val="left"/>
      </w:pPr>
      <w:r>
        <w:rPr>
          <w:rFonts w:ascii="Arial"/>
          <w:color w:val="000000"/>
          <w:sz w:val="22"/>
        </w:rPr>
        <w:t xml:space="preserve">• The new streets proposed are generally consistent with the minimum road widths, as identified in the Council’s DCP for the site and generally; </w:t>
      </w:r>
    </w:p>
    <w:p>
      <w:pPr>
        <w:pStyle w:val="CaselawQuote"/>
        <w:spacing w:before="150" w:after="150"/>
        <w:ind w:left="1350"/>
        <w:jc w:val="left"/>
      </w:pPr>
      <w:r>
        <w:rPr>
          <w:rFonts w:ascii="Arial"/>
          <w:color w:val="000000"/>
          <w:sz w:val="22"/>
        </w:rPr>
        <w:t xml:space="preserve">• A key objective of the DCP is to ensure the ongoing viability of the shopping centre; and </w:t>
      </w:r>
    </w:p>
    <w:p>
      <w:pPr>
        <w:pStyle w:val="CaselawQuote"/>
        <w:spacing w:before="150" w:after="150"/>
        <w:ind w:left="1350"/>
        <w:jc w:val="left"/>
      </w:pPr>
      <w:r>
        <w:rPr>
          <w:rFonts w:ascii="Arial"/>
          <w:color w:val="000000"/>
          <w:sz w:val="22"/>
        </w:rPr>
        <w:t>• Turner Studio have developed a Concept Plan that complies with the ISP for the purposes of assessing the DCP outcome against the DA response. This ‘compliant scheme’ highlights a number of issues in redeveloping the site, including the loss of commercial floorspace, insufficient retail parking spaces to support the shopping centre, the poor amenity for low density residential properties in the south of the site and ongoing viability concerns for the existing shopping centre (Appendix A).”</w:t>
      </w:r>
    </w:p>
    <w:p>
      <w:pPr>
        <w:pStyle w:val="CaselawNumbered10"/>
        <w:numPr>
          <w:ilvl w:val="0"/>
          <w:numId w:val="177"/>
        </w:numPr>
        <w:spacing w:before="150" w:after="0"/>
        <w:ind w:left="600" w:hanging="600"/>
      </w:pPr>
      <w:r>
        <w:rPr>
          <w:rFonts w:ascii="Arial"/>
          <w:color w:val="000000"/>
          <w:sz w:val="24"/>
        </w:rPr>
        <w:t>Ultimately, t</w:t>
      </w:r>
      <w:r>
        <w:rPr>
          <w:rFonts w:ascii="Arial"/>
          <w:color w:val="000000"/>
          <w:sz w:val="24"/>
        </w:rPr>
        <w:t>he variations result from an urban design response and detailed Stage 1 building design that prioriti</w:t>
      </w:r>
      <w:r>
        <w:rPr>
          <w:rFonts w:ascii="Arial"/>
          <w:color w:val="000000"/>
          <w:sz w:val="24"/>
        </w:rPr>
        <w:t>s</w:t>
      </w:r>
      <w:r>
        <w:rPr>
          <w:rFonts w:ascii="Arial"/>
          <w:color w:val="000000"/>
          <w:sz w:val="24"/>
        </w:rPr>
        <w:t xml:space="preserve">es commercial feasibility of the existing shopping </w:t>
      </w:r>
      <w:r>
        <w:rPr>
          <w:rFonts w:ascii="Arial"/>
          <w:color w:val="000000"/>
          <w:sz w:val="24"/>
        </w:rPr>
        <w:t>centre,</w:t>
      </w:r>
      <w:r>
        <w:rPr>
          <w:rFonts w:ascii="Arial"/>
          <w:color w:val="000000"/>
          <w:sz w:val="24"/>
        </w:rPr>
        <w:t xml:space="preserve"> </w:t>
      </w:r>
      <w:r>
        <w:rPr>
          <w:rFonts w:ascii="Arial"/>
          <w:color w:val="000000"/>
          <w:sz w:val="24"/>
        </w:rPr>
        <w:t>ensures accessibility into and through the site from both retail and residential parking and seeks to protect and improve the amenity of adjoining low density residential properties</w:t>
      </w:r>
      <w:r>
        <w:rPr>
          <w:rFonts w:ascii="Arial"/>
          <w:color w:val="000000"/>
          <w:sz w:val="24"/>
        </w:rPr>
        <w:t>. After careful consideration of all of the evidence</w:t>
      </w:r>
      <w:r>
        <w:rPr>
          <w:rFonts w:ascii="Arial"/>
          <w:color w:val="000000"/>
          <w:sz w:val="24"/>
        </w:rPr>
        <w:t>,</w:t>
      </w:r>
      <w:r>
        <w:rPr>
          <w:rFonts w:ascii="Arial"/>
          <w:color w:val="000000"/>
          <w:sz w:val="24"/>
        </w:rPr>
        <w:t xml:space="preserve"> </w:t>
      </w:r>
      <w:r>
        <w:rPr>
          <w:rFonts w:ascii="Arial"/>
          <w:color w:val="000000"/>
          <w:sz w:val="24"/>
        </w:rPr>
        <w:t xml:space="preserve">I am satisfied that the proposal </w:t>
      </w:r>
      <w:r>
        <w:rPr>
          <w:rFonts w:ascii="Arial"/>
          <w:color w:val="000000"/>
          <w:sz w:val="24"/>
        </w:rPr>
        <w:t>is consistent with the key design principles and priorities in the DCP and the ISP</w:t>
      </w:r>
      <w:r>
        <w:rPr>
          <w:rFonts w:ascii="Arial"/>
          <w:color w:val="000000"/>
          <w:sz w:val="24"/>
        </w:rPr>
        <w:t xml:space="preserve">. </w:t>
      </w:r>
    </w:p>
    <w:p>
      <w:pPr>
        <w:pStyle w:val="CaselawHeading2"/>
        <w:keepNext/>
        <w:spacing w:before="150" w:after="150" w:line="264"/>
        <w:ind w:left="0"/>
        <w:jc w:val="left"/>
      </w:pPr>
      <w:r>
        <w:rPr>
          <w:rFonts w:ascii="Arial"/>
        </w:rPr>
        <w:t>Conditions</w:t>
      </w:r>
    </w:p>
    <w:p>
      <w:pPr>
        <w:pStyle w:val="CaselawNumbered10"/>
        <w:numPr>
          <w:ilvl w:val="0"/>
          <w:numId w:val="178"/>
        </w:numPr>
        <w:spacing w:before="150" w:after="0"/>
        <w:ind w:left="600" w:hanging="600"/>
      </w:pPr>
      <w:r>
        <w:rPr>
          <w:rFonts w:ascii="Arial"/>
          <w:color w:val="000000"/>
          <w:sz w:val="24"/>
        </w:rPr>
        <w:t xml:space="preserve">The parties' urban design experts agree that in the Stage 1 DA the gap between the proposed new Aldi and Mini Major (Drawing DA-030-004 Rev ZH) should be removed due to amenity impacts on the adjoining residence(s). They also agreed that access to the mall (retail component) should be obtained via an extension to the footpath on Norfolk Lane that would continue a pathway around the buildings to connect with the existing footpath that proceeds to the existing main entry. </w:t>
      </w:r>
    </w:p>
    <w:p>
      <w:pPr>
        <w:pStyle w:val="CaselawNumbered10"/>
        <w:numPr>
          <w:ilvl w:val="0"/>
          <w:numId w:val="178"/>
        </w:numPr>
        <w:spacing w:before="150" w:after="0"/>
        <w:ind w:left="600" w:hanging="600"/>
      </w:pPr>
      <w:r>
        <w:rPr>
          <w:rFonts w:ascii="Arial"/>
          <w:color w:val="000000"/>
          <w:sz w:val="24"/>
        </w:rPr>
        <w:t xml:space="preserve">The Council has proposed a condition 1(h) (draft conditions forwarded to the Court </w:t>
      </w:r>
      <w:r>
        <w:rPr>
          <w:rFonts w:ascii="Arial"/>
          <w:color w:val="000000"/>
          <w:sz w:val="24"/>
        </w:rPr>
        <w:t xml:space="preserve">on </w:t>
      </w:r>
      <w:r>
        <w:rPr>
          <w:rFonts w:ascii="Arial"/>
          <w:color w:val="000000"/>
          <w:sz w:val="24"/>
        </w:rPr>
        <w:t xml:space="preserve">28 June </w:t>
      </w:r>
      <w:r>
        <w:rPr>
          <w:rFonts w:ascii="Arial"/>
          <w:color w:val="000000"/>
          <w:sz w:val="24"/>
        </w:rPr>
        <w:t>2</w:t>
      </w:r>
      <w:r>
        <w:rPr>
          <w:rFonts w:ascii="Arial"/>
          <w:color w:val="000000"/>
          <w:sz w:val="24"/>
        </w:rPr>
        <w:t>024) addressing this evidence in Stage 1.</w:t>
      </w:r>
    </w:p>
    <w:p>
      <w:pPr>
        <w:pStyle w:val="CaselawNumbered10"/>
        <w:numPr>
          <w:ilvl w:val="0"/>
          <w:numId w:val="178"/>
        </w:numPr>
        <w:spacing w:before="150" w:after="0"/>
        <w:ind w:left="600" w:hanging="600"/>
      </w:pPr>
      <w:r>
        <w:rPr>
          <w:rFonts w:ascii="Arial"/>
          <w:color w:val="000000"/>
          <w:sz w:val="24"/>
        </w:rPr>
        <w:t xml:space="preserve">Despite the agreed urban design evidence, Henroth maintains that the entry to the mall as currently proposed from Norfolk Lane should remain. However, if the Court required the </w:t>
      </w:r>
      <w:r>
        <w:rPr>
          <w:rFonts w:ascii="Arial"/>
          <w:color w:val="000000"/>
          <w:sz w:val="24"/>
        </w:rPr>
        <w:t>“</w:t>
      </w:r>
      <w:r>
        <w:rPr>
          <w:rFonts w:ascii="Arial"/>
          <w:color w:val="000000"/>
          <w:sz w:val="24"/>
        </w:rPr>
        <w:t>gap to be closed</w:t>
      </w:r>
      <w:r>
        <w:rPr>
          <w:rFonts w:ascii="Arial"/>
          <w:color w:val="000000"/>
          <w:sz w:val="24"/>
        </w:rPr>
        <w:t xml:space="preserve">” </w:t>
      </w:r>
      <w:r>
        <w:rPr>
          <w:rFonts w:ascii="Arial"/>
          <w:color w:val="000000"/>
          <w:sz w:val="24"/>
        </w:rPr>
        <w:t>in accord with the urban design evidence</w:t>
      </w:r>
      <w:r>
        <w:rPr>
          <w:rFonts w:ascii="Arial"/>
          <w:color w:val="000000"/>
          <w:sz w:val="24"/>
        </w:rPr>
        <w:t>,</w:t>
      </w:r>
      <w:r>
        <w:rPr>
          <w:rFonts w:ascii="Arial"/>
          <w:color w:val="000000"/>
          <w:sz w:val="24"/>
        </w:rPr>
        <w:t xml:space="preserve"> </w:t>
      </w:r>
      <w:r>
        <w:rPr>
          <w:rFonts w:ascii="Arial"/>
          <w:color w:val="000000"/>
          <w:sz w:val="24"/>
        </w:rPr>
        <w:t xml:space="preserve">then </w:t>
      </w:r>
      <w:r>
        <w:rPr>
          <w:rFonts w:ascii="Arial"/>
          <w:color w:val="000000"/>
          <w:sz w:val="24"/>
        </w:rPr>
        <w:t>Henroth</w:t>
      </w:r>
      <w:r>
        <w:rPr>
          <w:rFonts w:ascii="Arial"/>
          <w:color w:val="000000"/>
          <w:sz w:val="24"/>
        </w:rPr>
        <w:t xml:space="preserve"> </w:t>
      </w:r>
      <w:r>
        <w:rPr>
          <w:rFonts w:ascii="Arial"/>
          <w:color w:val="000000"/>
          <w:sz w:val="24"/>
        </w:rPr>
        <w:t>proposes deletion of the Council</w:t>
      </w:r>
      <w:r>
        <w:rPr>
          <w:rFonts w:ascii="Arial"/>
          <w:color w:val="000000"/>
          <w:sz w:val="24"/>
        </w:rPr>
        <w:t>’</w:t>
      </w:r>
      <w:r>
        <w:rPr>
          <w:rFonts w:ascii="Arial"/>
          <w:color w:val="000000"/>
          <w:sz w:val="24"/>
        </w:rPr>
        <w:t xml:space="preserve">s condition 1(h) and its replacement with its draft </w:t>
      </w:r>
      <w:r>
        <w:rPr>
          <w:rFonts w:ascii="Arial"/>
          <w:color w:val="000000"/>
          <w:sz w:val="24"/>
        </w:rPr>
        <w:t>condition</w:t>
      </w:r>
      <w:r>
        <w:rPr>
          <w:rFonts w:ascii="Arial"/>
          <w:color w:val="000000"/>
          <w:sz w:val="24"/>
        </w:rPr>
        <w:t xml:space="preserve">. In short, it offers either two alternatives </w:t>
      </w:r>
      <w:r>
        <w:rPr>
          <w:rFonts w:ascii="Arial"/>
          <w:color w:val="000000"/>
          <w:sz w:val="24"/>
        </w:rPr>
        <w:t xml:space="preserve">- </w:t>
      </w:r>
      <w:r>
        <w:rPr>
          <w:rFonts w:ascii="Arial"/>
          <w:color w:val="000000"/>
          <w:sz w:val="24"/>
        </w:rPr>
        <w:t>one closing the gap in Stage 1 or in Stage 2. I prefer the Council</w:t>
      </w:r>
      <w:r>
        <w:rPr>
          <w:rFonts w:ascii="Arial"/>
          <w:color w:val="000000"/>
          <w:sz w:val="24"/>
        </w:rPr>
        <w:t>’</w:t>
      </w:r>
      <w:r>
        <w:rPr>
          <w:rFonts w:ascii="Arial"/>
          <w:color w:val="000000"/>
          <w:sz w:val="24"/>
        </w:rPr>
        <w:t xml:space="preserve">s </w:t>
      </w:r>
      <w:r>
        <w:rPr>
          <w:rFonts w:ascii="Arial"/>
          <w:color w:val="000000"/>
          <w:sz w:val="24"/>
        </w:rPr>
        <w:t xml:space="preserve">proposed </w:t>
      </w:r>
      <w:r>
        <w:rPr>
          <w:rFonts w:ascii="Arial"/>
          <w:color w:val="000000"/>
          <w:sz w:val="24"/>
        </w:rPr>
        <w:t>condition 2 for the reasons identified by the urban design experts</w:t>
      </w:r>
      <w:r>
        <w:rPr>
          <w:rFonts w:ascii="Arial"/>
          <w:color w:val="000000"/>
          <w:sz w:val="24"/>
        </w:rPr>
        <w:t xml:space="preserve">. </w:t>
      </w:r>
      <w:r>
        <w:rPr>
          <w:rFonts w:ascii="Arial"/>
          <w:color w:val="000000"/>
          <w:sz w:val="24"/>
        </w:rPr>
        <w:t xml:space="preserve"> </w:t>
      </w:r>
      <w:r>
        <w:rPr>
          <w:rFonts w:ascii="Arial"/>
          <w:color w:val="000000"/>
          <w:sz w:val="24"/>
        </w:rPr>
        <w:t>T</w:t>
      </w:r>
      <w:r>
        <w:rPr>
          <w:rFonts w:ascii="Arial"/>
          <w:color w:val="000000"/>
          <w:sz w:val="24"/>
        </w:rPr>
        <w:t xml:space="preserve">here should be no gap created during the </w:t>
      </w:r>
      <w:r>
        <w:rPr>
          <w:rFonts w:ascii="Arial"/>
          <w:color w:val="000000"/>
          <w:sz w:val="24"/>
        </w:rPr>
        <w:t>S</w:t>
      </w:r>
      <w:r>
        <w:rPr>
          <w:rFonts w:ascii="Arial"/>
          <w:color w:val="000000"/>
          <w:sz w:val="24"/>
        </w:rPr>
        <w:t>tage 1 development.</w:t>
      </w:r>
    </w:p>
    <w:p>
      <w:pPr>
        <w:pStyle w:val="CaselawNumbered10"/>
        <w:numPr>
          <w:ilvl w:val="0"/>
          <w:numId w:val="178"/>
        </w:numPr>
        <w:spacing w:before="150" w:after="0"/>
        <w:ind w:left="600" w:hanging="600"/>
      </w:pPr>
      <w:r>
        <w:rPr>
          <w:rFonts w:ascii="Arial"/>
          <w:color w:val="000000"/>
          <w:sz w:val="24"/>
        </w:rPr>
        <w:t xml:space="preserve">Another matter at issue is the timing of the certification for remediation. There is a </w:t>
      </w:r>
      <w:r>
        <w:rPr>
          <w:rFonts w:ascii="Arial"/>
          <w:color w:val="000000"/>
          <w:sz w:val="24"/>
        </w:rPr>
        <w:t>R</w:t>
      </w:r>
      <w:r>
        <w:rPr>
          <w:rFonts w:ascii="Arial"/>
          <w:color w:val="000000"/>
          <w:sz w:val="24"/>
        </w:rPr>
        <w:t xml:space="preserve">emediation Action Plan, as agreed by the contamination experts, and the </w:t>
      </w:r>
      <w:r>
        <w:rPr>
          <w:rFonts w:ascii="Arial"/>
          <w:color w:val="000000"/>
          <w:sz w:val="24"/>
        </w:rPr>
        <w:t>C</w:t>
      </w:r>
      <w:r>
        <w:rPr>
          <w:rFonts w:ascii="Arial"/>
          <w:color w:val="000000"/>
          <w:sz w:val="24"/>
        </w:rPr>
        <w:t>ouncil</w:t>
      </w:r>
      <w:r>
        <w:rPr>
          <w:rFonts w:ascii="Arial"/>
          <w:color w:val="000000"/>
          <w:sz w:val="24"/>
        </w:rPr>
        <w:t>’</w:t>
      </w:r>
      <w:r>
        <w:rPr>
          <w:rFonts w:ascii="Arial"/>
          <w:color w:val="000000"/>
          <w:sz w:val="24"/>
        </w:rPr>
        <w:t xml:space="preserve">s condition requires remediation and certification before the issue of the </w:t>
      </w:r>
      <w:r>
        <w:rPr>
          <w:rFonts w:ascii="Arial"/>
          <w:color w:val="000000"/>
          <w:sz w:val="24"/>
        </w:rPr>
        <w:t>construction certificate (CC)</w:t>
      </w:r>
      <w:r>
        <w:rPr>
          <w:rFonts w:ascii="Arial"/>
          <w:color w:val="000000"/>
          <w:sz w:val="24"/>
        </w:rPr>
        <w:t xml:space="preserve">. Henroth submits that this raises a complication that would require all remediation completed before Stage 1 was started. The Urban Design </w:t>
      </w:r>
      <w:r>
        <w:rPr>
          <w:rFonts w:ascii="Arial"/>
          <w:color w:val="000000"/>
          <w:sz w:val="24"/>
        </w:rPr>
        <w:t>JER</w:t>
      </w:r>
      <w:r>
        <w:rPr>
          <w:rFonts w:ascii="Arial"/>
          <w:color w:val="000000"/>
          <w:sz w:val="24"/>
        </w:rPr>
        <w:t xml:space="preserve"> </w:t>
      </w:r>
      <w:r>
        <w:rPr>
          <w:rFonts w:ascii="Arial"/>
          <w:color w:val="000000"/>
          <w:sz w:val="24"/>
        </w:rPr>
        <w:t>in Annexure A</w:t>
      </w:r>
      <w:r>
        <w:rPr>
          <w:rFonts w:ascii="Arial"/>
          <w:color w:val="000000"/>
          <w:sz w:val="24"/>
        </w:rPr>
        <w:t xml:space="preserve"> </w:t>
      </w:r>
      <w:r>
        <w:rPr>
          <w:rFonts w:ascii="Arial"/>
          <w:color w:val="000000"/>
          <w:sz w:val="24"/>
        </w:rPr>
        <w:t>(Ex 9)</w:t>
      </w:r>
      <w:r>
        <w:rPr>
          <w:rFonts w:ascii="Arial"/>
          <w:color w:val="000000"/>
          <w:sz w:val="24"/>
        </w:rPr>
        <w:t xml:space="preserve"> </w:t>
      </w:r>
      <w:r>
        <w:rPr>
          <w:rFonts w:ascii="Arial"/>
          <w:color w:val="000000"/>
          <w:sz w:val="24"/>
        </w:rPr>
        <w:t xml:space="preserve">shows an internal staging sequence </w:t>
      </w:r>
      <w:r>
        <w:rPr>
          <w:rFonts w:ascii="Arial"/>
          <w:color w:val="000000"/>
          <w:sz w:val="24"/>
        </w:rPr>
        <w:t>for Stage</w:t>
      </w:r>
      <w:r>
        <w:rPr>
          <w:rFonts w:ascii="Arial"/>
          <w:color w:val="000000"/>
          <w:sz w:val="24"/>
        </w:rPr>
        <w:t xml:space="preserve"> </w:t>
      </w:r>
      <w:r>
        <w:rPr>
          <w:rFonts w:ascii="Arial"/>
          <w:color w:val="000000"/>
          <w:sz w:val="24"/>
        </w:rPr>
        <w:t>1. Henroth would like the remediation certification to be at the later O</w:t>
      </w:r>
      <w:r>
        <w:rPr>
          <w:rFonts w:ascii="Arial"/>
          <w:color w:val="000000"/>
          <w:sz w:val="24"/>
        </w:rPr>
        <w:t xml:space="preserve">ccupation </w:t>
      </w:r>
      <w:r>
        <w:rPr>
          <w:rFonts w:ascii="Arial"/>
          <w:color w:val="000000"/>
          <w:sz w:val="24"/>
        </w:rPr>
        <w:t>C</w:t>
      </w:r>
      <w:r>
        <w:rPr>
          <w:rFonts w:ascii="Arial"/>
          <w:color w:val="000000"/>
          <w:sz w:val="24"/>
        </w:rPr>
        <w:t>ertificate (OC)</w:t>
      </w:r>
      <w:r>
        <w:rPr>
          <w:rFonts w:ascii="Arial"/>
          <w:color w:val="000000"/>
          <w:sz w:val="24"/>
        </w:rPr>
        <w:t xml:space="preserve"> </w:t>
      </w:r>
      <w:r>
        <w:rPr>
          <w:rFonts w:ascii="Arial"/>
          <w:color w:val="000000"/>
          <w:sz w:val="24"/>
        </w:rPr>
        <w:t xml:space="preserve">stage to allow some work to be done. I am satisfied for the reasons submitted by </w:t>
      </w:r>
      <w:r>
        <w:rPr>
          <w:rFonts w:ascii="Arial"/>
          <w:color w:val="000000"/>
          <w:sz w:val="24"/>
        </w:rPr>
        <w:t>Henroth</w:t>
      </w:r>
      <w:r>
        <w:rPr>
          <w:rFonts w:ascii="Arial"/>
          <w:color w:val="000000"/>
          <w:sz w:val="24"/>
        </w:rPr>
        <w:t>’</w:t>
      </w:r>
      <w:r>
        <w:rPr>
          <w:rFonts w:ascii="Arial"/>
          <w:color w:val="000000"/>
          <w:sz w:val="24"/>
        </w:rPr>
        <w:t>s</w:t>
      </w:r>
      <w:r>
        <w:rPr>
          <w:rFonts w:ascii="Arial"/>
          <w:color w:val="000000"/>
          <w:sz w:val="24"/>
        </w:rPr>
        <w:t xml:space="preserve"> </w:t>
      </w:r>
      <w:r>
        <w:rPr>
          <w:rFonts w:ascii="Arial"/>
          <w:color w:val="000000"/>
          <w:sz w:val="24"/>
        </w:rPr>
        <w:t xml:space="preserve">contamination expert that the remediation certification should be submitted before OC rather than CC to allow the sequential </w:t>
      </w:r>
      <w:r>
        <w:rPr>
          <w:rFonts w:ascii="Arial"/>
          <w:color w:val="000000"/>
          <w:sz w:val="24"/>
        </w:rPr>
        <w:t>S</w:t>
      </w:r>
      <w:r>
        <w:rPr>
          <w:rFonts w:ascii="Arial"/>
          <w:color w:val="000000"/>
          <w:sz w:val="24"/>
        </w:rPr>
        <w:t xml:space="preserve">tage 1 works to be undertaken in a timelier manner avoiding demolition which undermines the logical staging of the works. The building site will be secured from the public during Stage 1 works, and it must be assumed that </w:t>
      </w:r>
      <w:r>
        <w:rPr>
          <w:rFonts w:ascii="Arial"/>
          <w:color w:val="000000"/>
          <w:sz w:val="24"/>
        </w:rPr>
        <w:t>Henroth</w:t>
      </w:r>
      <w:r>
        <w:rPr>
          <w:rFonts w:ascii="Arial"/>
          <w:color w:val="000000"/>
          <w:sz w:val="24"/>
        </w:rPr>
        <w:t xml:space="preserve"> </w:t>
      </w:r>
      <w:r>
        <w:rPr>
          <w:rFonts w:ascii="Arial"/>
          <w:color w:val="000000"/>
          <w:sz w:val="24"/>
        </w:rPr>
        <w:t xml:space="preserve">will comply with relevant OHS and other legislation to ensure a safe work site during the build. The remediation certification </w:t>
      </w:r>
      <w:r>
        <w:rPr>
          <w:rFonts w:ascii="Arial"/>
          <w:color w:val="000000"/>
          <w:sz w:val="24"/>
        </w:rPr>
        <w:t>should be issued</w:t>
      </w:r>
      <w:r>
        <w:rPr>
          <w:rFonts w:ascii="Arial"/>
          <w:color w:val="000000"/>
          <w:sz w:val="24"/>
        </w:rPr>
        <w:t xml:space="preserve"> </w:t>
      </w:r>
      <w:r>
        <w:rPr>
          <w:rFonts w:ascii="Arial"/>
          <w:color w:val="000000"/>
          <w:sz w:val="24"/>
        </w:rPr>
        <w:t xml:space="preserve">before </w:t>
      </w:r>
      <w:r>
        <w:rPr>
          <w:rFonts w:ascii="Arial"/>
          <w:color w:val="000000"/>
          <w:sz w:val="24"/>
        </w:rPr>
        <w:t xml:space="preserve">the </w:t>
      </w:r>
      <w:r>
        <w:rPr>
          <w:rFonts w:ascii="Arial"/>
          <w:color w:val="000000"/>
          <w:sz w:val="24"/>
        </w:rPr>
        <w:t>OC.</w:t>
      </w:r>
    </w:p>
    <w:p>
      <w:pPr>
        <w:pStyle w:val="CaselawNumbered10"/>
        <w:numPr>
          <w:ilvl w:val="0"/>
          <w:numId w:val="178"/>
        </w:numPr>
        <w:spacing w:before="150" w:after="0"/>
        <w:ind w:left="600" w:hanging="600"/>
      </w:pPr>
      <w:r>
        <w:rPr>
          <w:rFonts w:ascii="Arial"/>
          <w:color w:val="000000"/>
          <w:sz w:val="24"/>
        </w:rPr>
        <w:t>In all other respects</w:t>
      </w:r>
      <w:r>
        <w:rPr>
          <w:rFonts w:ascii="Arial"/>
          <w:color w:val="000000"/>
          <w:sz w:val="24"/>
        </w:rPr>
        <w:t>,</w:t>
      </w:r>
      <w:r>
        <w:rPr>
          <w:rFonts w:ascii="Arial"/>
          <w:color w:val="000000"/>
          <w:sz w:val="24"/>
        </w:rPr>
        <w:t xml:space="preserve"> </w:t>
      </w:r>
      <w:r>
        <w:rPr>
          <w:rFonts w:ascii="Arial"/>
          <w:color w:val="000000"/>
          <w:sz w:val="24"/>
        </w:rPr>
        <w:t>I accept the Council</w:t>
      </w:r>
      <w:r>
        <w:rPr>
          <w:rFonts w:ascii="Arial"/>
          <w:color w:val="000000"/>
          <w:sz w:val="24"/>
        </w:rPr>
        <w:t>’</w:t>
      </w:r>
      <w:r>
        <w:rPr>
          <w:rFonts w:ascii="Arial"/>
          <w:color w:val="000000"/>
          <w:sz w:val="24"/>
        </w:rPr>
        <w:t>s draft conditions</w:t>
      </w:r>
      <w:r>
        <w:rPr>
          <w:rFonts w:ascii="Arial"/>
          <w:color w:val="000000"/>
          <w:sz w:val="24"/>
        </w:rPr>
        <w:t xml:space="preserve"> </w:t>
      </w:r>
      <w:r>
        <w:rPr>
          <w:rFonts w:ascii="Arial"/>
          <w:color w:val="000000"/>
          <w:sz w:val="24"/>
        </w:rPr>
        <w:t>and they</w:t>
      </w:r>
      <w:r>
        <w:rPr>
          <w:rFonts w:ascii="Arial"/>
          <w:color w:val="000000"/>
          <w:sz w:val="24"/>
        </w:rPr>
        <w:t xml:space="preserve"> </w:t>
      </w:r>
      <w:r>
        <w:rPr>
          <w:rFonts w:ascii="Arial"/>
          <w:color w:val="000000"/>
          <w:sz w:val="24"/>
        </w:rPr>
        <w:t xml:space="preserve">are to be imposed on the </w:t>
      </w:r>
      <w:r>
        <w:rPr>
          <w:rFonts w:ascii="Arial"/>
          <w:color w:val="000000"/>
          <w:sz w:val="24"/>
        </w:rPr>
        <w:t xml:space="preserve">development </w:t>
      </w:r>
      <w:r>
        <w:rPr>
          <w:rFonts w:ascii="Arial"/>
          <w:color w:val="000000"/>
          <w:sz w:val="24"/>
        </w:rPr>
        <w:t>consent</w:t>
      </w:r>
      <w:r>
        <w:rPr>
          <w:rFonts w:ascii="Arial"/>
          <w:color w:val="000000"/>
          <w:sz w:val="24"/>
        </w:rPr>
        <w:t xml:space="preserve"> </w:t>
      </w:r>
      <w:r>
        <w:rPr>
          <w:rFonts w:ascii="Arial"/>
          <w:color w:val="000000"/>
          <w:sz w:val="24"/>
        </w:rPr>
        <w:t>granted in this appeal</w:t>
      </w:r>
      <w:r>
        <w:rPr>
          <w:rFonts w:ascii="Arial"/>
          <w:color w:val="000000"/>
          <w:sz w:val="24"/>
        </w:rPr>
        <w:t xml:space="preserve">. </w:t>
      </w:r>
    </w:p>
    <w:p>
      <w:pPr>
        <w:pStyle w:val="CaselawNumbered10"/>
        <w:numPr>
          <w:ilvl w:val="0"/>
          <w:numId w:val="178"/>
        </w:numPr>
        <w:spacing w:before="150" w:after="0"/>
        <w:ind w:left="600" w:hanging="600"/>
      </w:pPr>
      <w:r>
        <w:rPr>
          <w:rFonts w:ascii="Arial"/>
          <w:color w:val="000000"/>
          <w:sz w:val="24"/>
        </w:rPr>
        <w:t>For completeness</w:t>
      </w:r>
      <w:r>
        <w:rPr>
          <w:rFonts w:ascii="Arial"/>
          <w:color w:val="000000"/>
          <w:sz w:val="24"/>
        </w:rPr>
        <w:t>,</w:t>
      </w:r>
      <w:r>
        <w:rPr>
          <w:rFonts w:ascii="Arial"/>
          <w:color w:val="000000"/>
          <w:sz w:val="24"/>
        </w:rPr>
        <w:t xml:space="preserve"> </w:t>
      </w:r>
      <w:r>
        <w:rPr>
          <w:rFonts w:ascii="Arial"/>
          <w:color w:val="000000"/>
          <w:sz w:val="24"/>
        </w:rPr>
        <w:t>I recall that with respect to Stage 2, the urban design experts agreed to the changes shown in Fig 7 of the Urban Design JER</w:t>
      </w:r>
      <w:r>
        <w:rPr>
          <w:rFonts w:ascii="Arial"/>
          <w:color w:val="000000"/>
          <w:sz w:val="24"/>
        </w:rPr>
        <w:t xml:space="preserve"> </w:t>
      </w:r>
      <w:r>
        <w:rPr>
          <w:rFonts w:ascii="Arial"/>
          <w:color w:val="000000"/>
          <w:sz w:val="24"/>
        </w:rPr>
        <w:t>(Ex 9)</w:t>
      </w:r>
      <w:r>
        <w:rPr>
          <w:rFonts w:ascii="Arial"/>
          <w:color w:val="000000"/>
          <w:sz w:val="24"/>
        </w:rPr>
        <w:t>. Those changes were not incorporated into the amended architectural plans before the Court. Although it may be possible to condition these changes, Mr Smith said it would be preferable to have amended plans for certainty because further development applications will need to be consistent with any approved concept plan. An amended plan needs to be prepared and included in the final plans</w:t>
      </w:r>
      <w:r>
        <w:rPr>
          <w:rFonts w:ascii="Arial"/>
          <w:color w:val="000000"/>
          <w:sz w:val="24"/>
        </w:rPr>
        <w:t xml:space="preserve"> </w:t>
      </w:r>
      <w:r>
        <w:rPr>
          <w:rFonts w:ascii="Arial"/>
          <w:color w:val="000000"/>
          <w:sz w:val="24"/>
        </w:rPr>
        <w:t>reflecting these changes</w:t>
      </w:r>
      <w:r>
        <w:rPr>
          <w:rFonts w:ascii="Arial"/>
          <w:color w:val="000000"/>
          <w:sz w:val="24"/>
        </w:rPr>
        <w:t xml:space="preserve">. </w:t>
      </w:r>
    </w:p>
    <w:p>
      <w:pPr>
        <w:pStyle w:val="CaselawNumbered10"/>
        <w:numPr>
          <w:ilvl w:val="0"/>
          <w:numId w:val="178"/>
        </w:numPr>
        <w:spacing w:before="150" w:after="0"/>
        <w:ind w:left="600" w:hanging="600"/>
      </w:pPr>
      <w:r>
        <w:rPr>
          <w:rFonts w:ascii="Arial"/>
          <w:color w:val="000000"/>
          <w:sz w:val="24"/>
        </w:rPr>
        <w:t>To the extent that the childcare centre contention is related to the Court</w:t>
      </w:r>
      <w:r>
        <w:rPr>
          <w:rFonts w:ascii="Arial"/>
          <w:color w:val="000000"/>
          <w:sz w:val="24"/>
        </w:rPr>
        <w:t>’</w:t>
      </w:r>
      <w:r>
        <w:rPr>
          <w:rFonts w:ascii="Arial"/>
          <w:color w:val="000000"/>
          <w:sz w:val="24"/>
        </w:rPr>
        <w:t xml:space="preserve">s ability to grant approval because of the </w:t>
      </w:r>
      <w:r>
        <w:rPr>
          <w:rFonts w:ascii="Arial"/>
          <w:color w:val="000000"/>
          <w:sz w:val="24"/>
        </w:rPr>
        <w:t>Child Care Planning Guideline (Guidelines)</w:t>
      </w:r>
      <w:r>
        <w:rPr>
          <w:rFonts w:ascii="Arial"/>
          <w:color w:val="000000"/>
          <w:sz w:val="24"/>
        </w:rPr>
        <w:t>, and s 3.23 of the T&amp;I SEPP (Ex 14 Vol 2 at p 461), Henroth relies on Mr Ryan</w:t>
      </w:r>
      <w:r>
        <w:rPr>
          <w:rFonts w:ascii="Arial"/>
          <w:color w:val="000000"/>
          <w:sz w:val="24"/>
        </w:rPr>
        <w:t>’</w:t>
      </w:r>
      <w:r>
        <w:rPr>
          <w:rFonts w:ascii="Arial"/>
          <w:color w:val="000000"/>
          <w:sz w:val="24"/>
        </w:rPr>
        <w:t xml:space="preserve">s Table 6 that considered the Guidelines (Ex E, Tab 4 p 46 Table 6) and </w:t>
      </w:r>
      <w:r>
        <w:rPr>
          <w:rFonts w:ascii="Arial"/>
          <w:color w:val="000000"/>
          <w:sz w:val="24"/>
        </w:rPr>
        <w:t xml:space="preserve">the </w:t>
      </w:r>
      <w:r>
        <w:rPr>
          <w:rFonts w:ascii="Arial"/>
          <w:color w:val="000000"/>
          <w:sz w:val="24"/>
        </w:rPr>
        <w:t>Table 1 compliance table</w:t>
      </w:r>
      <w:r>
        <w:rPr>
          <w:rFonts w:ascii="Arial"/>
          <w:color w:val="000000"/>
          <w:sz w:val="24"/>
        </w:rPr>
        <w:t xml:space="preserve"> </w:t>
      </w:r>
      <w:r>
        <w:rPr>
          <w:rFonts w:ascii="Arial"/>
          <w:color w:val="000000"/>
          <w:sz w:val="24"/>
        </w:rPr>
        <w:t>in Ex M</w:t>
      </w:r>
      <w:r>
        <w:rPr>
          <w:rFonts w:ascii="Arial"/>
          <w:color w:val="000000"/>
          <w:sz w:val="24"/>
        </w:rPr>
        <w:t xml:space="preserve"> </w:t>
      </w:r>
      <w:r>
        <w:rPr>
          <w:rFonts w:ascii="Arial"/>
          <w:color w:val="000000"/>
          <w:sz w:val="24"/>
        </w:rPr>
        <w:t>for the proposed centre-based childcare facility.</w:t>
      </w:r>
    </w:p>
    <w:p>
      <w:pPr>
        <w:pStyle w:val="CaselawNumbered10"/>
        <w:numPr>
          <w:ilvl w:val="0"/>
          <w:numId w:val="178"/>
        </w:numPr>
        <w:spacing w:before="150" w:after="0"/>
        <w:ind w:left="600" w:hanging="600"/>
      </w:pPr>
      <w:r>
        <w:rPr>
          <w:rFonts w:ascii="Arial"/>
          <w:color w:val="000000"/>
          <w:sz w:val="24"/>
        </w:rPr>
        <w:t>The application involves a concept application, or one which seeks the conceptual approval subject to final fit out. It is submitted that the appropriate approach is that those of the matters that are required to be considered, that can be taken into account at this stage, should be taken into account, rather than ignoring them and either deferring them until later or ignoring them and refusing them</w:t>
      </w:r>
      <w:r>
        <w:rPr>
          <w:rFonts w:ascii="Arial"/>
          <w:color w:val="000000"/>
          <w:sz w:val="24"/>
        </w:rPr>
        <w:t>:</w:t>
      </w:r>
      <w:r>
        <w:rPr>
          <w:rFonts w:ascii="Arial"/>
          <w:color w:val="000000"/>
          <w:sz w:val="24"/>
        </w:rPr>
        <w:t xml:space="preserve"> </w:t>
      </w:r>
      <w:r>
        <w:rPr>
          <w:rFonts w:ascii="Arial"/>
          <w:i/>
          <w:color w:val="000000"/>
          <w:sz w:val="24"/>
        </w:rPr>
        <w:t>T</w:t>
      </w:r>
      <w:r>
        <w:rPr>
          <w:rFonts w:ascii="Arial"/>
          <w:i/>
          <w:color w:val="000000"/>
          <w:sz w:val="24"/>
        </w:rPr>
        <w:t>he</w:t>
      </w:r>
      <w:r>
        <w:rPr>
          <w:rFonts w:ascii="Arial"/>
          <w:color w:val="000000"/>
          <w:sz w:val="24"/>
        </w:rPr>
        <w:t xml:space="preserve"> </w:t>
      </w:r>
      <w:r>
        <w:rPr>
          <w:rFonts w:ascii="Arial"/>
          <w:i/>
          <w:color w:val="000000"/>
          <w:sz w:val="24"/>
        </w:rPr>
        <w:t>Uniting Church in Australia Property Trust (NSW) v Parramatta City Council</w:t>
      </w:r>
      <w:r>
        <w:rPr>
          <w:rFonts w:ascii="Arial"/>
          <w:color w:val="000000"/>
          <w:sz w:val="24"/>
        </w:rPr>
        <w:t xml:space="preserve"> </w:t>
      </w:r>
      <w:r>
        <w:rPr>
          <w:rFonts w:ascii="Arial"/>
          <w:color w:val="000000"/>
          <w:sz w:val="24"/>
        </w:rPr>
        <w:t>[2018] NSWLEC 158</w:t>
      </w:r>
      <w:r>
        <w:rPr>
          <w:rFonts w:ascii="Arial"/>
          <w:color w:val="000000"/>
          <w:sz w:val="24"/>
        </w:rPr>
        <w:t xml:space="preserve">. </w:t>
      </w:r>
    </w:p>
    <w:p>
      <w:pPr>
        <w:pStyle w:val="CaselawNumbered10"/>
        <w:numPr>
          <w:ilvl w:val="0"/>
          <w:numId w:val="178"/>
        </w:numPr>
        <w:spacing w:before="150" w:after="0"/>
        <w:ind w:left="600" w:hanging="600"/>
      </w:pPr>
      <w:r>
        <w:rPr>
          <w:rFonts w:ascii="Arial"/>
          <w:color w:val="000000"/>
          <w:sz w:val="24"/>
        </w:rPr>
        <w:t xml:space="preserve">As I understand the final position on this issue the Council now accepts the concept approval of the proposed childcare centre subject to a condition dealing with its final fit out, operation and numbers. I am satisfied on the evidence that such a condition can be imposed and ought to be. </w:t>
      </w:r>
    </w:p>
    <w:p>
      <w:pPr>
        <w:pStyle w:val="CaselawHeading2"/>
        <w:keepNext/>
        <w:spacing w:before="150" w:after="150" w:line="264"/>
        <w:ind w:left="0"/>
        <w:jc w:val="left"/>
      </w:pPr>
      <w:r>
        <w:rPr>
          <w:rFonts w:ascii="Arial"/>
        </w:rPr>
        <w:t xml:space="preserve">Conclusion </w:t>
      </w:r>
      <w:r>
        <w:rPr>
          <w:rFonts w:ascii="Arial"/>
        </w:rPr>
        <w:t xml:space="preserve">and </w:t>
      </w:r>
      <w:r>
        <w:rPr>
          <w:rFonts w:ascii="Arial"/>
        </w:rPr>
        <w:t>d</w:t>
      </w:r>
      <w:r>
        <w:rPr>
          <w:rFonts w:ascii="Arial"/>
        </w:rPr>
        <w:t>irections</w:t>
      </w:r>
      <w:r>
        <w:rPr>
          <w:rFonts w:ascii="Arial"/>
        </w:rPr>
        <w:t xml:space="preserve"> </w:t>
      </w:r>
    </w:p>
    <w:p>
      <w:pPr>
        <w:pStyle w:val="CaselawNumbered10"/>
        <w:numPr>
          <w:ilvl w:val="0"/>
          <w:numId w:val="179"/>
        </w:numPr>
        <w:spacing w:before="150" w:after="0"/>
        <w:ind w:left="600" w:hanging="600"/>
      </w:pPr>
      <w:r>
        <w:rPr>
          <w:rFonts w:ascii="Arial"/>
          <w:color w:val="000000"/>
          <w:sz w:val="24"/>
        </w:rPr>
        <w:t xml:space="preserve">For the reasons stated, I have decided to grant development consent to the DA on a conditional basis. Before those orders can be made, the draft conditions forwarded to the Court on 28 June 2024 need to be amended to reflect my reasons for judgment. To that end, I make the following directions: </w:t>
      </w:r>
    </w:p>
    <w:p>
      <w:pPr>
        <w:pStyle w:val="CaselawNumbered1"/>
        <w:numPr>
          <w:ilvl w:val="0"/>
          <w:numId w:val="180"/>
        </w:numPr>
        <w:spacing w:before="150" w:after="0"/>
        <w:ind w:left="1350" w:hanging="750"/>
      </w:pPr>
      <w:r>
        <w:rPr>
          <w:rFonts w:ascii="Arial"/>
          <w:color w:val="000000"/>
          <w:sz w:val="24"/>
        </w:rPr>
        <w:t xml:space="preserve">The parties are to confer and settle the conditions in accordance with my reasons for judgment and to provide a copy to the Court by 7 November 2024. </w:t>
      </w:r>
    </w:p>
    <w:p>
      <w:pPr>
        <w:pStyle w:val="CaselawNumbered1"/>
        <w:numPr>
          <w:ilvl w:val="0"/>
          <w:numId w:val="180"/>
        </w:numPr>
        <w:spacing w:before="150" w:after="0"/>
        <w:ind w:left="1350" w:hanging="750"/>
      </w:pPr>
      <w:r>
        <w:rPr>
          <w:rFonts w:ascii="Arial"/>
          <w:color w:val="000000"/>
          <w:sz w:val="24"/>
        </w:rPr>
        <w:t>Upon receipt of the agreed conditions after review if they are acceptable, I will make final orders.</w:t>
      </w:r>
    </w:p>
    <w:p>
      <w:pPr>
        <w:pStyle w:val="CaselawNormal"/>
        <w:spacing w:before="150" w:after="150"/>
        <w:ind w:left="600"/>
        <w:jc w:val="left"/>
      </w:pPr>
      <w:r>
        <w:rPr>
          <w:rFonts w:ascii="Arial"/>
          <w:b/>
          <w:color w:val="000000"/>
          <w:sz w:val="24"/>
        </w:rPr>
        <w:t>…………………</w:t>
      </w:r>
    </w:p>
    <w:p>
      <w:pPr>
        <w:pStyle w:val="CaselawNormal"/>
        <w:spacing w:before="150" w:after="150"/>
        <w:ind w:left="600"/>
        <w:jc w:val="left"/>
      </w:pPr>
      <w:r>
        <w:rPr>
          <w:rFonts w:ascii="Arial"/>
          <w:b/>
          <w:color w:val="000000"/>
          <w:sz w:val="24"/>
        </w:rPr>
        <w:t xml:space="preserve">S Dixon </w:t>
      </w:r>
    </w:p>
    <w:p>
      <w:pPr>
        <w:pStyle w:val="CaselawNormal"/>
        <w:spacing w:before="150" w:after="150"/>
        <w:ind w:left="600"/>
        <w:jc w:val="left"/>
      </w:pPr>
      <w:r>
        <w:rPr>
          <w:rFonts w:ascii="Arial"/>
          <w:b/>
          <w:color w:val="000000"/>
          <w:sz w:val="24"/>
        </w:rPr>
        <w:t>Senior Commissioner of the Court</w:t>
      </w:r>
      <w:r>
        <w:rPr>
          <w:rFonts w:ascii="Arial"/>
          <w:color w:val="000000"/>
          <w:sz w:val="24"/>
        </w:rPr>
        <w:t xml:space="preserve"> </w:t>
      </w:r>
    </w:p>
    <w:p>
      <w:pPr>
        <w:pStyle w:val="CaselawHeading2"/>
        <w:keepNext/>
        <w:spacing w:after="150"/>
      </w:pPr>
      <w:r>
        <w:t>Amendments</w:t>
      </w:r>
    </w:p>
    <w:p>
      <w:pPr>
        <w:pStyle w:val="CaselawNormal"/>
      </w:pPr>
      <w:r>
        <w:t>30 October 2024 - Correction to typographical error at [4]. </w:t>
      </w:r>
    </w:p>
    <w:p>
      <w:pPr>
        <w:pStyle w:val="CaselawNormal"/>
      </w:pPr>
      <w:r>
        <w:t>31 October 2024 - Correction to typographical error at [167].</w:t>
      </w:r>
    </w:p>
    <w:p w:rsidR="00F65F85" w:rsidP="00F65F85" w:rsidRDefault="00F65F85">
      <w:pPr>
        <w:shd w:val="clear" w:color="auto" w:fill="FFFFFF"/>
        <w:spacing w:after="0" w:line="240" w:lineRule="auto"/>
        <w:ind w:left="119"/>
        <w:rPr>
          <w:rFonts w:cs="Arial"/>
          <w:color w:val="737373"/>
          <w:sz w:val="20"/>
          <w:szCs w:val="20"/>
          <w:lang w:eastAsia="en-US"/>
        </w:rPr>
      </w:pPr>
    </w:p>
    <w:p w:rsidR="00121EC3" w:rsidP="00F65F85" w:rsidRDefault="00121EC3">
      <w:pPr>
        <w:shd w:val="clear" w:color="auto" w:fill="FFFFFF"/>
        <w:spacing w:after="0" w:line="240" w:lineRule="auto"/>
        <w:ind w:left="119"/>
        <w:rPr>
          <w:rFonts w:cs="Arial"/>
          <w:color w:val="737373"/>
          <w:sz w:val="20"/>
          <w:szCs w:val="20"/>
          <w:lang w:eastAsia="en-US"/>
        </w:rPr>
      </w:pPr>
      <w:bookmarkStart w:name="_GoBack" w:id="0"/>
      <w:bookmarkEnd w:id="0"/>
    </w:p>
    <w:p w:rsidRPr="00820AFE" w:rsidR="004C5062" w:rsidP="00121EC3" w:rsidRDefault="00121EC3">
      <w:pPr>
        <w:shd w:val="clear" w:color="auto" w:fill="FFFFFF"/>
        <w:spacing w:after="0" w:line="240" w:lineRule="auto"/>
        <w:ind w:left="119"/>
        <w:rPr>
          <w:rFonts w:cs="Arial"/>
          <w:color w:val="000000"/>
          <w:lang w:eastAsia="en-US"/>
        </w:rPr>
      </w:pPr>
      <w:r w:rsidRPr="00575FAB">
        <w:rPr>
          <w:rFonts w:cs="Arial"/>
          <w:color w:val="737373"/>
          <w:sz w:val="20"/>
          <w:szCs w:val="20"/>
          <w:lang w:eastAsia="en-US"/>
        </w:rPr>
        <w:t>DISCLAIMER - Every effort has been made to comply with suppression orders or statutory provisions prohibiting publication that may apply to this judgment or decision. The onus remains on any person using material in the judgment or decision to ensure that the intended use of that material does not breach any such order or provision. Further e</w:t>
      </w:r>
      <w:r>
        <w:rPr>
          <w:rFonts w:cs="Arial"/>
          <w:color w:val="737373"/>
          <w:sz w:val="20"/>
          <w:szCs w:val="20"/>
          <w:lang w:eastAsia="en-US"/>
        </w:rPr>
        <w:t xml:space="preserve">nquiries may be directed to the </w:t>
      </w:r>
      <w:r w:rsidRPr="00575FAB">
        <w:rPr>
          <w:rFonts w:cs="Arial"/>
          <w:color w:val="737373"/>
          <w:sz w:val="20"/>
          <w:szCs w:val="20"/>
          <w:lang w:eastAsia="en-US"/>
        </w:rPr>
        <w:t>Registry of the Court or Tribunal in which it was generated.</w:t>
      </w:r>
    </w:p>
    <w:sectPr w:rsidRPr="00820AFE" w:rsidR="004C50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5B" w:rsidRDefault="00882F5B" w:rsidP="0049645A">
      <w:pPr>
        <w:spacing w:after="0" w:line="240" w:lineRule="auto"/>
      </w:pPr>
      <w:r>
        <w:separator/>
      </w:r>
    </w:p>
  </w:endnote>
  <w:endnote w:type="continuationSeparator" w:id="0">
    <w:p w:rsidR="00882F5B" w:rsidRDefault="00882F5B" w:rsidP="004964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5B" w:rsidRDefault="00882F5B" w:rsidP="0049645A">
      <w:pPr>
        <w:spacing w:after="0" w:line="240" w:lineRule="auto"/>
      </w:pPr>
      <w:r>
        <w:separator/>
      </w:r>
    </w:p>
  </w:footnote>
  <w:footnote w:type="continuationSeparator" w:id="0">
    <w:p w:rsidR="00882F5B" w:rsidRDefault="00882F5B" w:rsidP="0049645A">
      <w:pPr>
        <w:spacing w:after="0" w:line="240" w:lineRule="auto"/>
      </w:pPr>
      <w:r>
        <w:continuationSeparator/>
      </w:r>
    </w:p>
  </w:footnote>
</w:footnotes>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p14">
  <w:abstractNum w:abstractNumId="0">
    <w:nsid w:val="FFFFFF89"/>
    <w:multiLevelType w:val="singleLevel"/>
    <w:tmpl w:val="37A06812"/>
    <w:lvl w:ilvl="0">
      <w:start w:val="1"/>
      <w:numFmt w:val="bullet"/>
      <w:pStyle w:val="ListBullet"/>
      <w:lvlText w:val=""/>
      <w:lvlJc w:val="left"/>
      <w:pPr>
        <w:tabs>
          <w:tab w:val="num" w:pos="360"/>
        </w:tabs>
        <w:ind w:left="360" w:hanging="360"/>
      </w:pPr>
      <w:rPr>
        <w:rFonts w:hint="default" w:ascii="Symbol" w:hAnsi="Symbol"/>
      </w:rPr>
    </w:lvl>
  </w:abstractNum>
  <w:abstractNum w:abstractNumId="1">
    <w:nsid w:val="0E515A52"/>
    <w:multiLevelType w:val="hybridMultilevel"/>
    <w:tmpl w:val="A3AEE4F8"/>
    <w:lvl w:ilvl="0" w:tplc="8E3C1F56">
      <w:start w:val="1"/>
      <w:numFmt w:val="bullet"/>
      <w:pStyle w:val="Bulletforunderhdr12"/>
      <w:lvlText w:val=""/>
      <w:lvlJc w:val="left"/>
      <w:pPr>
        <w:tabs>
          <w:tab w:val="num" w:pos="1287"/>
        </w:tabs>
        <w:ind w:left="1287" w:hanging="360"/>
      </w:pPr>
      <w:rPr>
        <w:rFonts w:hint="default" w:ascii="Symbol" w:hAnsi="Symbol"/>
      </w:rPr>
    </w:lvl>
    <w:lvl w:ilvl="1" w:tplc="04090003">
      <w:start w:val="1"/>
      <w:numFmt w:val="bullet"/>
      <w:lvlText w:val="o"/>
      <w:lvlJc w:val="left"/>
      <w:pPr>
        <w:tabs>
          <w:tab w:val="num" w:pos="2007"/>
        </w:tabs>
        <w:ind w:left="2007" w:hanging="360"/>
      </w:pPr>
      <w:rPr>
        <w:rFonts w:hint="default" w:ascii="Courier New" w:hAnsi="Courier New" w:cs="Times New Roman"/>
      </w:rPr>
    </w:lvl>
    <w:lvl w:ilvl="2" w:tplc="04090005">
      <w:start w:val="1"/>
      <w:numFmt w:val="bullet"/>
      <w:lvlText w:val=""/>
      <w:lvlJc w:val="left"/>
      <w:pPr>
        <w:tabs>
          <w:tab w:val="num" w:pos="2727"/>
        </w:tabs>
        <w:ind w:left="2727" w:hanging="360"/>
      </w:pPr>
      <w:rPr>
        <w:rFonts w:hint="default" w:ascii="Wingdings" w:hAnsi="Wingdings"/>
      </w:rPr>
    </w:lvl>
    <w:lvl w:ilvl="3" w:tplc="04090001">
      <w:start w:val="1"/>
      <w:numFmt w:val="bullet"/>
      <w:lvlText w:val=""/>
      <w:lvlJc w:val="left"/>
      <w:pPr>
        <w:tabs>
          <w:tab w:val="num" w:pos="3447"/>
        </w:tabs>
        <w:ind w:left="3447" w:hanging="360"/>
      </w:pPr>
      <w:rPr>
        <w:rFonts w:hint="default" w:ascii="Symbol" w:hAnsi="Symbol"/>
      </w:rPr>
    </w:lvl>
    <w:lvl w:ilvl="4" w:tplc="04090003">
      <w:start w:val="1"/>
      <w:numFmt w:val="bullet"/>
      <w:lvlText w:val="o"/>
      <w:lvlJc w:val="left"/>
      <w:pPr>
        <w:tabs>
          <w:tab w:val="num" w:pos="4167"/>
        </w:tabs>
        <w:ind w:left="4167" w:hanging="360"/>
      </w:pPr>
      <w:rPr>
        <w:rFonts w:hint="default" w:ascii="Courier New" w:hAnsi="Courier New" w:cs="Times New Roman"/>
      </w:rPr>
    </w:lvl>
    <w:lvl w:ilvl="5" w:tplc="04090005">
      <w:start w:val="1"/>
      <w:numFmt w:val="bullet"/>
      <w:lvlText w:val=""/>
      <w:lvlJc w:val="left"/>
      <w:pPr>
        <w:tabs>
          <w:tab w:val="num" w:pos="4887"/>
        </w:tabs>
        <w:ind w:left="4887" w:hanging="360"/>
      </w:pPr>
      <w:rPr>
        <w:rFonts w:hint="default" w:ascii="Wingdings" w:hAnsi="Wingdings"/>
      </w:rPr>
    </w:lvl>
    <w:lvl w:ilvl="6" w:tplc="04090001">
      <w:start w:val="1"/>
      <w:numFmt w:val="bullet"/>
      <w:lvlText w:val=""/>
      <w:lvlJc w:val="left"/>
      <w:pPr>
        <w:tabs>
          <w:tab w:val="num" w:pos="5607"/>
        </w:tabs>
        <w:ind w:left="5607" w:hanging="360"/>
      </w:pPr>
      <w:rPr>
        <w:rFonts w:hint="default" w:ascii="Symbol" w:hAnsi="Symbol"/>
      </w:rPr>
    </w:lvl>
    <w:lvl w:ilvl="7" w:tplc="04090003">
      <w:start w:val="1"/>
      <w:numFmt w:val="bullet"/>
      <w:lvlText w:val="o"/>
      <w:lvlJc w:val="left"/>
      <w:pPr>
        <w:tabs>
          <w:tab w:val="num" w:pos="6327"/>
        </w:tabs>
        <w:ind w:left="6327" w:hanging="360"/>
      </w:pPr>
      <w:rPr>
        <w:rFonts w:hint="default" w:ascii="Courier New" w:hAnsi="Courier New" w:cs="Times New Roman"/>
      </w:rPr>
    </w:lvl>
    <w:lvl w:ilvl="8" w:tplc="04090005">
      <w:start w:val="1"/>
      <w:numFmt w:val="bullet"/>
      <w:lvlText w:val=""/>
      <w:lvlJc w:val="left"/>
      <w:pPr>
        <w:tabs>
          <w:tab w:val="num" w:pos="7047"/>
        </w:tabs>
        <w:ind w:left="7047" w:hanging="360"/>
      </w:pPr>
      <w:rPr>
        <w:rFonts w:hint="default" w:ascii="Wingdings" w:hAnsi="Wingdings"/>
      </w:rPr>
    </w:lvl>
  </w:abstractNum>
  <w:abstractNum w:abstractNumId="2">
    <w:nsid w:val="138E60B1"/>
    <w:multiLevelType w:val="singleLevel"/>
    <w:tmpl w:val="1EBA084E"/>
    <w:lvl w:ilvl="0">
      <w:start w:val="1"/>
      <w:numFmt w:val="bullet"/>
      <w:pStyle w:val="ListwithBullet"/>
      <w:lvlText w:val=""/>
      <w:lvlJc w:val="left"/>
      <w:pPr>
        <w:tabs>
          <w:tab w:val="num" w:pos="720"/>
        </w:tabs>
        <w:ind w:left="720" w:hanging="360"/>
      </w:pPr>
      <w:rPr>
        <w:rFonts w:hint="default" w:ascii="Wingdings" w:hAnsi="Wingdings"/>
        <w:sz w:val="12"/>
      </w:rPr>
    </w:lvl>
  </w:abstractNum>
  <w:abstractNum w:abstractNumId="3">
    <w:nsid w:val="1399788B"/>
    <w:multiLevelType w:val="hybridMultilevel"/>
    <w:tmpl w:val="8DFA16E2"/>
    <w:lvl w:ilvl="0" w:tplc="41E6A8CC">
      <w:start w:val="1"/>
      <w:numFmt w:val="bullet"/>
      <w:lvlText w:val="•"/>
      <w:lvlJc w:val="left"/>
      <w:pPr>
        <w:tabs>
          <w:tab w:val="num" w:pos="720"/>
        </w:tabs>
        <w:ind w:left="720" w:hanging="360"/>
      </w:pPr>
      <w:rPr>
        <w:rFonts w:hint="default" w:ascii="Arial" w:hAnsi="Arial" w:cs="Times New Roman"/>
      </w:rPr>
    </w:lvl>
    <w:lvl w:ilvl="1" w:tplc="3D0A3894">
      <w:start w:val="1"/>
      <w:numFmt w:val="bullet"/>
      <w:lvlText w:val="•"/>
      <w:lvlJc w:val="left"/>
      <w:pPr>
        <w:tabs>
          <w:tab w:val="num" w:pos="1440"/>
        </w:tabs>
        <w:ind w:left="1440" w:hanging="360"/>
      </w:pPr>
      <w:rPr>
        <w:rFonts w:hint="default" w:ascii="Arial" w:hAnsi="Arial" w:cs="Times New Roman"/>
      </w:rPr>
    </w:lvl>
    <w:lvl w:ilvl="2" w:tplc="D6DE8A02">
      <w:start w:val="1"/>
      <w:numFmt w:val="bullet"/>
      <w:lvlText w:val="•"/>
      <w:lvlJc w:val="left"/>
      <w:pPr>
        <w:tabs>
          <w:tab w:val="num" w:pos="2160"/>
        </w:tabs>
        <w:ind w:left="2160" w:hanging="360"/>
      </w:pPr>
      <w:rPr>
        <w:rFonts w:hint="default" w:ascii="Arial" w:hAnsi="Arial" w:cs="Times New Roman"/>
      </w:rPr>
    </w:lvl>
    <w:lvl w:ilvl="3" w:tplc="0DEEE040">
      <w:start w:val="1"/>
      <w:numFmt w:val="bullet"/>
      <w:lvlText w:val="•"/>
      <w:lvlJc w:val="left"/>
      <w:pPr>
        <w:tabs>
          <w:tab w:val="num" w:pos="2880"/>
        </w:tabs>
        <w:ind w:left="2880" w:hanging="360"/>
      </w:pPr>
      <w:rPr>
        <w:rFonts w:hint="default" w:ascii="Arial" w:hAnsi="Arial" w:cs="Times New Roman"/>
      </w:rPr>
    </w:lvl>
    <w:lvl w:ilvl="4" w:tplc="9D2C3098">
      <w:start w:val="1"/>
      <w:numFmt w:val="bullet"/>
      <w:lvlText w:val="•"/>
      <w:lvlJc w:val="left"/>
      <w:pPr>
        <w:tabs>
          <w:tab w:val="num" w:pos="3600"/>
        </w:tabs>
        <w:ind w:left="3600" w:hanging="360"/>
      </w:pPr>
      <w:rPr>
        <w:rFonts w:hint="default" w:ascii="Arial" w:hAnsi="Arial" w:cs="Times New Roman"/>
      </w:rPr>
    </w:lvl>
    <w:lvl w:ilvl="5" w:tplc="8E34C874">
      <w:start w:val="1"/>
      <w:numFmt w:val="bullet"/>
      <w:lvlText w:val="•"/>
      <w:lvlJc w:val="left"/>
      <w:pPr>
        <w:tabs>
          <w:tab w:val="num" w:pos="4320"/>
        </w:tabs>
        <w:ind w:left="4320" w:hanging="360"/>
      </w:pPr>
      <w:rPr>
        <w:rFonts w:hint="default" w:ascii="Arial" w:hAnsi="Arial" w:cs="Times New Roman"/>
      </w:rPr>
    </w:lvl>
    <w:lvl w:ilvl="6" w:tplc="861EB0D4">
      <w:start w:val="1"/>
      <w:numFmt w:val="bullet"/>
      <w:lvlText w:val="•"/>
      <w:lvlJc w:val="left"/>
      <w:pPr>
        <w:tabs>
          <w:tab w:val="num" w:pos="5040"/>
        </w:tabs>
        <w:ind w:left="5040" w:hanging="360"/>
      </w:pPr>
      <w:rPr>
        <w:rFonts w:hint="default" w:ascii="Arial" w:hAnsi="Arial" w:cs="Times New Roman"/>
      </w:rPr>
    </w:lvl>
    <w:lvl w:ilvl="7" w:tplc="5932446E">
      <w:start w:val="1"/>
      <w:numFmt w:val="bullet"/>
      <w:lvlText w:val="•"/>
      <w:lvlJc w:val="left"/>
      <w:pPr>
        <w:tabs>
          <w:tab w:val="num" w:pos="5760"/>
        </w:tabs>
        <w:ind w:left="5760" w:hanging="360"/>
      </w:pPr>
      <w:rPr>
        <w:rFonts w:hint="default" w:ascii="Arial" w:hAnsi="Arial" w:cs="Times New Roman"/>
      </w:rPr>
    </w:lvl>
    <w:lvl w:ilvl="8" w:tplc="969C7920">
      <w:start w:val="1"/>
      <w:numFmt w:val="bullet"/>
      <w:lvlText w:val="•"/>
      <w:lvlJc w:val="left"/>
      <w:pPr>
        <w:tabs>
          <w:tab w:val="num" w:pos="6480"/>
        </w:tabs>
        <w:ind w:left="6480" w:hanging="360"/>
      </w:pPr>
      <w:rPr>
        <w:rFonts w:hint="default" w:ascii="Arial" w:hAnsi="Arial" w:cs="Times New Roman"/>
      </w:rPr>
    </w:lvl>
  </w:abstractNum>
  <w:abstractNum w:abstractNumId="4">
    <w:nsid w:val="18A93517"/>
    <w:multiLevelType w:val="hybridMultilevel"/>
    <w:tmpl w:val="DFEC12B2"/>
    <w:lvl w:ilvl="0" w:tplc="D91818DA">
      <w:start w:val="1"/>
      <w:numFmt w:val="decimal"/>
      <w:pStyle w:val="DBRNumbering"/>
      <w:lvlText w:val="DBR_%1."/>
      <w:lvlJc w:val="left"/>
      <w:pPr>
        <w:ind w:left="36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5">
    <w:nsid w:val="236B011C"/>
    <w:multiLevelType w:val="hybridMultilevel"/>
    <w:tmpl w:val="A1D054F8"/>
    <w:lvl w:ilvl="0" w:tplc="345AD890">
      <w:start w:val="1"/>
      <w:numFmt w:val="bullet"/>
      <w:lvlText w:val="•"/>
      <w:lvlJc w:val="left"/>
      <w:pPr>
        <w:tabs>
          <w:tab w:val="num" w:pos="720"/>
        </w:tabs>
        <w:ind w:left="720" w:hanging="360"/>
      </w:pPr>
      <w:rPr>
        <w:rFonts w:hint="default" w:ascii="Arial" w:hAnsi="Arial" w:cs="Times New Roman"/>
      </w:rPr>
    </w:lvl>
    <w:lvl w:ilvl="1" w:tplc="C2A25116">
      <w:start w:val="1"/>
      <w:numFmt w:val="bullet"/>
      <w:lvlText w:val="•"/>
      <w:lvlJc w:val="left"/>
      <w:pPr>
        <w:tabs>
          <w:tab w:val="num" w:pos="1440"/>
        </w:tabs>
        <w:ind w:left="1440" w:hanging="360"/>
      </w:pPr>
      <w:rPr>
        <w:rFonts w:hint="default" w:ascii="Arial" w:hAnsi="Arial" w:cs="Times New Roman"/>
      </w:rPr>
    </w:lvl>
    <w:lvl w:ilvl="2" w:tplc="1952B01E">
      <w:start w:val="1"/>
      <w:numFmt w:val="bullet"/>
      <w:lvlText w:val="•"/>
      <w:lvlJc w:val="left"/>
      <w:pPr>
        <w:tabs>
          <w:tab w:val="num" w:pos="2160"/>
        </w:tabs>
        <w:ind w:left="2160" w:hanging="360"/>
      </w:pPr>
      <w:rPr>
        <w:rFonts w:hint="default" w:ascii="Arial" w:hAnsi="Arial" w:cs="Times New Roman"/>
      </w:rPr>
    </w:lvl>
    <w:lvl w:ilvl="3" w:tplc="FAF67244">
      <w:start w:val="1"/>
      <w:numFmt w:val="bullet"/>
      <w:lvlText w:val="•"/>
      <w:lvlJc w:val="left"/>
      <w:pPr>
        <w:tabs>
          <w:tab w:val="num" w:pos="2880"/>
        </w:tabs>
        <w:ind w:left="2880" w:hanging="360"/>
      </w:pPr>
      <w:rPr>
        <w:rFonts w:hint="default" w:ascii="Arial" w:hAnsi="Arial" w:cs="Times New Roman"/>
      </w:rPr>
    </w:lvl>
    <w:lvl w:ilvl="4" w:tplc="2C68FAE2">
      <w:start w:val="1"/>
      <w:numFmt w:val="bullet"/>
      <w:lvlText w:val="•"/>
      <w:lvlJc w:val="left"/>
      <w:pPr>
        <w:tabs>
          <w:tab w:val="num" w:pos="3600"/>
        </w:tabs>
        <w:ind w:left="3600" w:hanging="360"/>
      </w:pPr>
      <w:rPr>
        <w:rFonts w:hint="default" w:ascii="Arial" w:hAnsi="Arial" w:cs="Times New Roman"/>
      </w:rPr>
    </w:lvl>
    <w:lvl w:ilvl="5" w:tplc="665AEB92">
      <w:start w:val="1"/>
      <w:numFmt w:val="bullet"/>
      <w:lvlText w:val="•"/>
      <w:lvlJc w:val="left"/>
      <w:pPr>
        <w:tabs>
          <w:tab w:val="num" w:pos="4320"/>
        </w:tabs>
        <w:ind w:left="4320" w:hanging="360"/>
      </w:pPr>
      <w:rPr>
        <w:rFonts w:hint="default" w:ascii="Arial" w:hAnsi="Arial" w:cs="Times New Roman"/>
      </w:rPr>
    </w:lvl>
    <w:lvl w:ilvl="6" w:tplc="E1841134">
      <w:start w:val="1"/>
      <w:numFmt w:val="bullet"/>
      <w:lvlText w:val="•"/>
      <w:lvlJc w:val="left"/>
      <w:pPr>
        <w:tabs>
          <w:tab w:val="num" w:pos="5040"/>
        </w:tabs>
        <w:ind w:left="5040" w:hanging="360"/>
      </w:pPr>
      <w:rPr>
        <w:rFonts w:hint="default" w:ascii="Arial" w:hAnsi="Arial" w:cs="Times New Roman"/>
      </w:rPr>
    </w:lvl>
    <w:lvl w:ilvl="7" w:tplc="786C417E">
      <w:start w:val="1"/>
      <w:numFmt w:val="bullet"/>
      <w:lvlText w:val="•"/>
      <w:lvlJc w:val="left"/>
      <w:pPr>
        <w:tabs>
          <w:tab w:val="num" w:pos="5760"/>
        </w:tabs>
        <w:ind w:left="5760" w:hanging="360"/>
      </w:pPr>
      <w:rPr>
        <w:rFonts w:hint="default" w:ascii="Arial" w:hAnsi="Arial" w:cs="Times New Roman"/>
      </w:rPr>
    </w:lvl>
    <w:lvl w:ilvl="8" w:tplc="DCEE5316">
      <w:start w:val="1"/>
      <w:numFmt w:val="bullet"/>
      <w:lvlText w:val="•"/>
      <w:lvlJc w:val="left"/>
      <w:pPr>
        <w:tabs>
          <w:tab w:val="num" w:pos="6480"/>
        </w:tabs>
        <w:ind w:left="6480" w:hanging="360"/>
      </w:pPr>
      <w:rPr>
        <w:rFonts w:hint="default" w:ascii="Arial" w:hAnsi="Arial" w:cs="Times New Roman"/>
      </w:rPr>
    </w:lvl>
  </w:abstractNum>
  <w:abstractNum w:abstractNumId="6">
    <w:nsid w:val="2377446C"/>
    <w:multiLevelType w:val="hybridMultilevel"/>
    <w:tmpl w:val="1D28DDB4"/>
    <w:lvl w:ilvl="0" w:tplc="D8E08AF4">
      <w:start w:val="1"/>
      <w:numFmt w:val="bullet"/>
      <w:pStyle w:val="Index1"/>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7">
    <w:nsid w:val="28854318"/>
    <w:multiLevelType w:val="hybridMultilevel"/>
    <w:tmpl w:val="613233AA"/>
    <w:lvl w:ilvl="0" w:tplc="63647648">
      <w:start w:val="1"/>
      <w:numFmt w:val="bullet"/>
      <w:lvlText w:val="•"/>
      <w:lvlJc w:val="left"/>
      <w:pPr>
        <w:tabs>
          <w:tab w:val="num" w:pos="720"/>
        </w:tabs>
        <w:ind w:left="720" w:hanging="360"/>
      </w:pPr>
      <w:rPr>
        <w:rFonts w:hint="default" w:ascii="Arial" w:hAnsi="Arial" w:cs="Times New Roman"/>
      </w:rPr>
    </w:lvl>
    <w:lvl w:ilvl="1" w:tplc="4E50CA74">
      <w:start w:val="1"/>
      <w:numFmt w:val="bullet"/>
      <w:lvlText w:val="•"/>
      <w:lvlJc w:val="left"/>
      <w:pPr>
        <w:tabs>
          <w:tab w:val="num" w:pos="1440"/>
        </w:tabs>
        <w:ind w:left="1440" w:hanging="360"/>
      </w:pPr>
      <w:rPr>
        <w:rFonts w:hint="default" w:ascii="Arial" w:hAnsi="Arial" w:cs="Times New Roman"/>
      </w:rPr>
    </w:lvl>
    <w:lvl w:ilvl="2" w:tplc="7C24DACA">
      <w:start w:val="1"/>
      <w:numFmt w:val="bullet"/>
      <w:lvlText w:val="•"/>
      <w:lvlJc w:val="left"/>
      <w:pPr>
        <w:tabs>
          <w:tab w:val="num" w:pos="2160"/>
        </w:tabs>
        <w:ind w:left="2160" w:hanging="360"/>
      </w:pPr>
      <w:rPr>
        <w:rFonts w:hint="default" w:ascii="Arial" w:hAnsi="Arial" w:cs="Times New Roman"/>
      </w:rPr>
    </w:lvl>
    <w:lvl w:ilvl="3" w:tplc="26840C80">
      <w:start w:val="1"/>
      <w:numFmt w:val="bullet"/>
      <w:lvlText w:val="•"/>
      <w:lvlJc w:val="left"/>
      <w:pPr>
        <w:tabs>
          <w:tab w:val="num" w:pos="2880"/>
        </w:tabs>
        <w:ind w:left="2880" w:hanging="360"/>
      </w:pPr>
      <w:rPr>
        <w:rFonts w:hint="default" w:ascii="Arial" w:hAnsi="Arial" w:cs="Times New Roman"/>
      </w:rPr>
    </w:lvl>
    <w:lvl w:ilvl="4" w:tplc="10B09236">
      <w:start w:val="1"/>
      <w:numFmt w:val="bullet"/>
      <w:lvlText w:val="•"/>
      <w:lvlJc w:val="left"/>
      <w:pPr>
        <w:tabs>
          <w:tab w:val="num" w:pos="3600"/>
        </w:tabs>
        <w:ind w:left="3600" w:hanging="360"/>
      </w:pPr>
      <w:rPr>
        <w:rFonts w:hint="default" w:ascii="Arial" w:hAnsi="Arial" w:cs="Times New Roman"/>
      </w:rPr>
    </w:lvl>
    <w:lvl w:ilvl="5" w:tplc="CFDCCB16">
      <w:start w:val="1"/>
      <w:numFmt w:val="bullet"/>
      <w:lvlText w:val="•"/>
      <w:lvlJc w:val="left"/>
      <w:pPr>
        <w:tabs>
          <w:tab w:val="num" w:pos="4320"/>
        </w:tabs>
        <w:ind w:left="4320" w:hanging="360"/>
      </w:pPr>
      <w:rPr>
        <w:rFonts w:hint="default" w:ascii="Arial" w:hAnsi="Arial" w:cs="Times New Roman"/>
      </w:rPr>
    </w:lvl>
    <w:lvl w:ilvl="6" w:tplc="C706D966">
      <w:start w:val="1"/>
      <w:numFmt w:val="bullet"/>
      <w:lvlText w:val="•"/>
      <w:lvlJc w:val="left"/>
      <w:pPr>
        <w:tabs>
          <w:tab w:val="num" w:pos="5040"/>
        </w:tabs>
        <w:ind w:left="5040" w:hanging="360"/>
      </w:pPr>
      <w:rPr>
        <w:rFonts w:hint="default" w:ascii="Arial" w:hAnsi="Arial" w:cs="Times New Roman"/>
      </w:rPr>
    </w:lvl>
    <w:lvl w:ilvl="7" w:tplc="9BBABC10">
      <w:start w:val="1"/>
      <w:numFmt w:val="bullet"/>
      <w:lvlText w:val="•"/>
      <w:lvlJc w:val="left"/>
      <w:pPr>
        <w:tabs>
          <w:tab w:val="num" w:pos="5760"/>
        </w:tabs>
        <w:ind w:left="5760" w:hanging="360"/>
      </w:pPr>
      <w:rPr>
        <w:rFonts w:hint="default" w:ascii="Arial" w:hAnsi="Arial" w:cs="Times New Roman"/>
      </w:rPr>
    </w:lvl>
    <w:lvl w:ilvl="8" w:tplc="4258B410">
      <w:start w:val="1"/>
      <w:numFmt w:val="bullet"/>
      <w:lvlText w:val="•"/>
      <w:lvlJc w:val="left"/>
      <w:pPr>
        <w:tabs>
          <w:tab w:val="num" w:pos="6480"/>
        </w:tabs>
        <w:ind w:left="6480" w:hanging="360"/>
      </w:pPr>
      <w:rPr>
        <w:rFonts w:hint="default" w:ascii="Arial" w:hAnsi="Arial" w:cs="Times New Roman"/>
      </w:rPr>
    </w:lvl>
  </w:abstractNum>
  <w:abstractNum w:abstractNumId="8">
    <w:nsid w:val="294A3A9A"/>
    <w:multiLevelType w:val="hybridMultilevel"/>
    <w:tmpl w:val="D95C3AE0"/>
    <w:lvl w:ilvl="0" w:tplc="2C2E32B2">
      <w:start w:val="1"/>
      <w:numFmt w:val="bullet"/>
      <w:pStyle w:val="CaselawBullet"/>
      <w:lvlText w:val=""/>
      <w:lvlJc w:val="left"/>
      <w:pPr>
        <w:ind w:left="1440" w:hanging="360"/>
      </w:pPr>
      <w:rPr>
        <w:rFonts w:hint="default" w:ascii="Symbol" w:hAnsi="Symbol"/>
      </w:rPr>
    </w:lvl>
    <w:lvl w:ilvl="1" w:tplc="0C090003" w:tentative="true">
      <w:start w:val="1"/>
      <w:numFmt w:val="bullet"/>
      <w:lvlText w:val="o"/>
      <w:lvlJc w:val="left"/>
      <w:pPr>
        <w:ind w:left="2160" w:hanging="360"/>
      </w:pPr>
      <w:rPr>
        <w:rFonts w:hint="default" w:ascii="Courier New" w:hAnsi="Courier New" w:cs="Courier New"/>
      </w:rPr>
    </w:lvl>
    <w:lvl w:ilvl="2" w:tplc="0C090005" w:tentative="true">
      <w:start w:val="1"/>
      <w:numFmt w:val="bullet"/>
      <w:lvlText w:val=""/>
      <w:lvlJc w:val="left"/>
      <w:pPr>
        <w:ind w:left="2880" w:hanging="360"/>
      </w:pPr>
      <w:rPr>
        <w:rFonts w:hint="default" w:ascii="Wingdings" w:hAnsi="Wingdings"/>
      </w:rPr>
    </w:lvl>
    <w:lvl w:ilvl="3" w:tplc="0C090001" w:tentative="true">
      <w:start w:val="1"/>
      <w:numFmt w:val="bullet"/>
      <w:lvlText w:val=""/>
      <w:lvlJc w:val="left"/>
      <w:pPr>
        <w:ind w:left="3600" w:hanging="360"/>
      </w:pPr>
      <w:rPr>
        <w:rFonts w:hint="default" w:ascii="Symbol" w:hAnsi="Symbol"/>
      </w:rPr>
    </w:lvl>
    <w:lvl w:ilvl="4" w:tplc="0C090003" w:tentative="true">
      <w:start w:val="1"/>
      <w:numFmt w:val="bullet"/>
      <w:lvlText w:val="o"/>
      <w:lvlJc w:val="left"/>
      <w:pPr>
        <w:ind w:left="4320" w:hanging="360"/>
      </w:pPr>
      <w:rPr>
        <w:rFonts w:hint="default" w:ascii="Courier New" w:hAnsi="Courier New" w:cs="Courier New"/>
      </w:rPr>
    </w:lvl>
    <w:lvl w:ilvl="5" w:tplc="0C090005" w:tentative="true">
      <w:start w:val="1"/>
      <w:numFmt w:val="bullet"/>
      <w:lvlText w:val=""/>
      <w:lvlJc w:val="left"/>
      <w:pPr>
        <w:ind w:left="5040" w:hanging="360"/>
      </w:pPr>
      <w:rPr>
        <w:rFonts w:hint="default" w:ascii="Wingdings" w:hAnsi="Wingdings"/>
      </w:rPr>
    </w:lvl>
    <w:lvl w:ilvl="6" w:tplc="0C090001" w:tentative="true">
      <w:start w:val="1"/>
      <w:numFmt w:val="bullet"/>
      <w:lvlText w:val=""/>
      <w:lvlJc w:val="left"/>
      <w:pPr>
        <w:ind w:left="5760" w:hanging="360"/>
      </w:pPr>
      <w:rPr>
        <w:rFonts w:hint="default" w:ascii="Symbol" w:hAnsi="Symbol"/>
      </w:rPr>
    </w:lvl>
    <w:lvl w:ilvl="7" w:tplc="0C090003" w:tentative="true">
      <w:start w:val="1"/>
      <w:numFmt w:val="bullet"/>
      <w:lvlText w:val="o"/>
      <w:lvlJc w:val="left"/>
      <w:pPr>
        <w:ind w:left="6480" w:hanging="360"/>
      </w:pPr>
      <w:rPr>
        <w:rFonts w:hint="default" w:ascii="Courier New" w:hAnsi="Courier New" w:cs="Courier New"/>
      </w:rPr>
    </w:lvl>
    <w:lvl w:ilvl="8" w:tplc="0C090005" w:tentative="true">
      <w:start w:val="1"/>
      <w:numFmt w:val="bullet"/>
      <w:lvlText w:val=""/>
      <w:lvlJc w:val="left"/>
      <w:pPr>
        <w:ind w:left="7200" w:hanging="360"/>
      </w:pPr>
      <w:rPr>
        <w:rFonts w:hint="default" w:ascii="Wingdings" w:hAnsi="Wingdings"/>
      </w:rPr>
    </w:lvl>
  </w:abstractNum>
  <w:abstractNum w:abstractNumId="9">
    <w:nsid w:val="31D62726"/>
    <w:multiLevelType w:val="hybridMultilevel"/>
    <w:tmpl w:val="7CEA8C86"/>
    <w:lvl w:ilvl="0" w:tplc="08090001">
      <w:start w:val="1"/>
      <w:numFmt w:val="bullet"/>
      <w:pStyle w:val="TableBullet"/>
      <w:lvlText w:val=""/>
      <w:lvlJc w:val="left"/>
      <w:pPr>
        <w:tabs>
          <w:tab w:val="num" w:pos="1287"/>
        </w:tabs>
        <w:ind w:left="1287" w:hanging="360"/>
      </w:pPr>
      <w:rPr>
        <w:rFonts w:hint="default" w:ascii="Symbol" w:hAnsi="Symbol"/>
      </w:rPr>
    </w:lvl>
    <w:lvl w:ilvl="1" w:tplc="08090003">
      <w:start w:val="1"/>
      <w:numFmt w:val="bullet"/>
      <w:lvlText w:val="o"/>
      <w:lvlJc w:val="left"/>
      <w:pPr>
        <w:tabs>
          <w:tab w:val="num" w:pos="2007"/>
        </w:tabs>
        <w:ind w:left="2007" w:hanging="360"/>
      </w:pPr>
      <w:rPr>
        <w:rFonts w:hint="default" w:ascii="Courier New" w:hAnsi="Courier New" w:cs="Courier New"/>
      </w:rPr>
    </w:lvl>
    <w:lvl w:ilvl="2" w:tplc="08090005">
      <w:start w:val="1"/>
      <w:numFmt w:val="bullet"/>
      <w:lvlText w:val=""/>
      <w:lvlJc w:val="left"/>
      <w:pPr>
        <w:tabs>
          <w:tab w:val="num" w:pos="2727"/>
        </w:tabs>
        <w:ind w:left="2727" w:hanging="360"/>
      </w:pPr>
      <w:rPr>
        <w:rFonts w:hint="default" w:ascii="Wingdings" w:hAnsi="Wingdings"/>
      </w:rPr>
    </w:lvl>
    <w:lvl w:ilvl="3" w:tplc="08090001">
      <w:start w:val="1"/>
      <w:numFmt w:val="bullet"/>
      <w:lvlText w:val=""/>
      <w:lvlJc w:val="left"/>
      <w:pPr>
        <w:tabs>
          <w:tab w:val="num" w:pos="3447"/>
        </w:tabs>
        <w:ind w:left="3447" w:hanging="360"/>
      </w:pPr>
      <w:rPr>
        <w:rFonts w:hint="default" w:ascii="Symbol" w:hAnsi="Symbol"/>
      </w:rPr>
    </w:lvl>
    <w:lvl w:ilvl="4" w:tplc="08090003">
      <w:start w:val="1"/>
      <w:numFmt w:val="bullet"/>
      <w:lvlText w:val="o"/>
      <w:lvlJc w:val="left"/>
      <w:pPr>
        <w:tabs>
          <w:tab w:val="num" w:pos="4167"/>
        </w:tabs>
        <w:ind w:left="4167" w:hanging="360"/>
      </w:pPr>
      <w:rPr>
        <w:rFonts w:hint="default" w:ascii="Courier New" w:hAnsi="Courier New" w:cs="Courier New"/>
      </w:rPr>
    </w:lvl>
    <w:lvl w:ilvl="5" w:tplc="08090005">
      <w:start w:val="1"/>
      <w:numFmt w:val="bullet"/>
      <w:lvlText w:val=""/>
      <w:lvlJc w:val="left"/>
      <w:pPr>
        <w:tabs>
          <w:tab w:val="num" w:pos="4887"/>
        </w:tabs>
        <w:ind w:left="4887" w:hanging="360"/>
      </w:pPr>
      <w:rPr>
        <w:rFonts w:hint="default" w:ascii="Wingdings" w:hAnsi="Wingdings"/>
      </w:rPr>
    </w:lvl>
    <w:lvl w:ilvl="6" w:tplc="08090001">
      <w:start w:val="1"/>
      <w:numFmt w:val="bullet"/>
      <w:lvlText w:val=""/>
      <w:lvlJc w:val="left"/>
      <w:pPr>
        <w:tabs>
          <w:tab w:val="num" w:pos="5607"/>
        </w:tabs>
        <w:ind w:left="5607" w:hanging="360"/>
      </w:pPr>
      <w:rPr>
        <w:rFonts w:hint="default" w:ascii="Symbol" w:hAnsi="Symbol"/>
      </w:rPr>
    </w:lvl>
    <w:lvl w:ilvl="7" w:tplc="08090003">
      <w:start w:val="1"/>
      <w:numFmt w:val="bullet"/>
      <w:lvlText w:val="o"/>
      <w:lvlJc w:val="left"/>
      <w:pPr>
        <w:tabs>
          <w:tab w:val="num" w:pos="6327"/>
        </w:tabs>
        <w:ind w:left="6327" w:hanging="360"/>
      </w:pPr>
      <w:rPr>
        <w:rFonts w:hint="default" w:ascii="Courier New" w:hAnsi="Courier New" w:cs="Courier New"/>
      </w:rPr>
    </w:lvl>
    <w:lvl w:ilvl="8" w:tplc="08090005">
      <w:start w:val="1"/>
      <w:numFmt w:val="bullet"/>
      <w:lvlText w:val=""/>
      <w:lvlJc w:val="left"/>
      <w:pPr>
        <w:tabs>
          <w:tab w:val="num" w:pos="7047"/>
        </w:tabs>
        <w:ind w:left="7047" w:hanging="360"/>
      </w:pPr>
      <w:rPr>
        <w:rFonts w:hint="default" w:ascii="Wingdings" w:hAnsi="Wingdings"/>
      </w:rPr>
    </w:lvl>
  </w:abstractNum>
  <w:abstractNum w:abstractNumId="10">
    <w:nsid w:val="32C84D31"/>
    <w:multiLevelType w:val="hybridMultilevel"/>
    <w:tmpl w:val="6EA29FB4"/>
    <w:lvl w:ilvl="0" w:tplc="3AFAE3D2">
      <w:start w:val="1"/>
      <w:numFmt w:val="decimal"/>
      <w:pStyle w:val="CaselawNumbered1"/>
      <w:lvlText w:val="(%1)"/>
      <w:lvlJc w:val="left"/>
      <w:pPr>
        <w:ind w:left="720" w:hanging="360"/>
      </w:pPr>
      <w:rPr>
        <w:rFonts w:hint="default"/>
      </w:rPr>
    </w:lvl>
    <w:lvl w:ilvl="1" w:tplc="0C090019" w:tentative="true">
      <w:start w:val="1"/>
      <w:numFmt w:val="lowerLetter"/>
      <w:lvlText w:val="%2."/>
      <w:lvlJc w:val="left"/>
      <w:pPr>
        <w:ind w:left="1440" w:hanging="360"/>
      </w:pPr>
    </w:lvl>
    <w:lvl w:ilvl="2" w:tplc="0C09001B" w:tentative="true">
      <w:start w:val="1"/>
      <w:numFmt w:val="lowerRoman"/>
      <w:lvlText w:val="%3."/>
      <w:lvlJc w:val="right"/>
      <w:pPr>
        <w:ind w:left="2160" w:hanging="180"/>
      </w:pPr>
    </w:lvl>
    <w:lvl w:ilvl="3" w:tplc="0C09000F" w:tentative="true">
      <w:start w:val="1"/>
      <w:numFmt w:val="decimal"/>
      <w:lvlText w:val="%4."/>
      <w:lvlJc w:val="left"/>
      <w:pPr>
        <w:ind w:left="2880" w:hanging="360"/>
      </w:pPr>
    </w:lvl>
    <w:lvl w:ilvl="4" w:tplc="0C090019" w:tentative="true">
      <w:start w:val="1"/>
      <w:numFmt w:val="lowerLetter"/>
      <w:lvlText w:val="%5."/>
      <w:lvlJc w:val="left"/>
      <w:pPr>
        <w:ind w:left="3600" w:hanging="360"/>
      </w:pPr>
    </w:lvl>
    <w:lvl w:ilvl="5" w:tplc="0C09001B" w:tentative="true">
      <w:start w:val="1"/>
      <w:numFmt w:val="lowerRoman"/>
      <w:lvlText w:val="%6."/>
      <w:lvlJc w:val="right"/>
      <w:pPr>
        <w:ind w:left="4320" w:hanging="180"/>
      </w:pPr>
    </w:lvl>
    <w:lvl w:ilvl="6" w:tplc="0C09000F" w:tentative="true">
      <w:start w:val="1"/>
      <w:numFmt w:val="decimal"/>
      <w:lvlText w:val="%7."/>
      <w:lvlJc w:val="left"/>
      <w:pPr>
        <w:ind w:left="5040" w:hanging="360"/>
      </w:pPr>
    </w:lvl>
    <w:lvl w:ilvl="7" w:tplc="0C090019" w:tentative="true">
      <w:start w:val="1"/>
      <w:numFmt w:val="lowerLetter"/>
      <w:lvlText w:val="%8."/>
      <w:lvlJc w:val="left"/>
      <w:pPr>
        <w:ind w:left="5760" w:hanging="360"/>
      </w:pPr>
    </w:lvl>
    <w:lvl w:ilvl="8" w:tplc="0C09001B" w:tentative="true">
      <w:start w:val="1"/>
      <w:numFmt w:val="lowerRoman"/>
      <w:lvlText w:val="%9."/>
      <w:lvlJc w:val="right"/>
      <w:pPr>
        <w:ind w:left="6480" w:hanging="180"/>
      </w:pPr>
    </w:lvl>
  </w:abstractNum>
  <w:abstractNum w:abstractNumId="11">
    <w:nsid w:val="33DF2FB6"/>
    <w:multiLevelType w:val="hybridMultilevel"/>
    <w:tmpl w:val="33CC98FE"/>
    <w:lvl w:ilvl="0" w:tplc="DBA8805A">
      <w:start w:val="1"/>
      <w:numFmt w:val="decimal"/>
      <w:pStyle w:val="NFRNumbering"/>
      <w:lvlText w:val="NFR_%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start w:val="1"/>
      <w:numFmt w:val="lowerRoman"/>
      <w:lvlText w:val="%6."/>
      <w:lvlJc w:val="right"/>
      <w:pPr>
        <w:ind w:left="3960" w:hanging="180"/>
      </w:pPr>
    </w:lvl>
    <w:lvl w:ilvl="6" w:tplc="0C09000F">
      <w:start w:val="1"/>
      <w:numFmt w:val="decimal"/>
      <w:lvlText w:val="%7."/>
      <w:lvlJc w:val="left"/>
      <w:pPr>
        <w:ind w:left="4680" w:hanging="360"/>
      </w:pPr>
    </w:lvl>
    <w:lvl w:ilvl="7" w:tplc="0C090019">
      <w:start w:val="1"/>
      <w:numFmt w:val="lowerLetter"/>
      <w:lvlText w:val="%8."/>
      <w:lvlJc w:val="left"/>
      <w:pPr>
        <w:ind w:left="5400" w:hanging="360"/>
      </w:pPr>
    </w:lvl>
    <w:lvl w:ilvl="8" w:tplc="0C09001B">
      <w:start w:val="1"/>
      <w:numFmt w:val="lowerRoman"/>
      <w:lvlText w:val="%9."/>
      <w:lvlJc w:val="right"/>
      <w:pPr>
        <w:ind w:left="6120" w:hanging="180"/>
      </w:pPr>
    </w:lvl>
  </w:abstractNum>
  <w:abstractNum w:abstractNumId="12">
    <w:nsid w:val="353D152B"/>
    <w:multiLevelType w:val="hybridMultilevel"/>
    <w:tmpl w:val="87261C24"/>
    <w:lvl w:ilvl="0" w:tplc="F3C2251E">
      <w:start w:val="1"/>
      <w:numFmt w:val="lowerRoman"/>
      <w:pStyle w:val="CaselawNumberedi"/>
      <w:lvlText w:val="(%1)"/>
      <w:lvlJc w:val="left"/>
      <w:pPr>
        <w:ind w:left="2160" w:hanging="360"/>
      </w:pPr>
      <w:rPr>
        <w:rFonts w:hint="default"/>
      </w:rPr>
    </w:lvl>
    <w:lvl w:ilvl="1" w:tplc="0C090019" w:tentative="true">
      <w:start w:val="1"/>
      <w:numFmt w:val="lowerLetter"/>
      <w:lvlText w:val="%2."/>
      <w:lvlJc w:val="left"/>
      <w:pPr>
        <w:ind w:left="2880" w:hanging="360"/>
      </w:pPr>
    </w:lvl>
    <w:lvl w:ilvl="2" w:tplc="0C09001B" w:tentative="true">
      <w:start w:val="1"/>
      <w:numFmt w:val="lowerRoman"/>
      <w:lvlText w:val="%3."/>
      <w:lvlJc w:val="right"/>
      <w:pPr>
        <w:ind w:left="3600" w:hanging="180"/>
      </w:pPr>
    </w:lvl>
    <w:lvl w:ilvl="3" w:tplc="0C09000F" w:tentative="true">
      <w:start w:val="1"/>
      <w:numFmt w:val="decimal"/>
      <w:lvlText w:val="%4."/>
      <w:lvlJc w:val="left"/>
      <w:pPr>
        <w:ind w:left="4320" w:hanging="360"/>
      </w:pPr>
    </w:lvl>
    <w:lvl w:ilvl="4" w:tplc="0C090019" w:tentative="true">
      <w:start w:val="1"/>
      <w:numFmt w:val="lowerLetter"/>
      <w:lvlText w:val="%5."/>
      <w:lvlJc w:val="left"/>
      <w:pPr>
        <w:ind w:left="5040" w:hanging="360"/>
      </w:pPr>
    </w:lvl>
    <w:lvl w:ilvl="5" w:tplc="0C09001B" w:tentative="true">
      <w:start w:val="1"/>
      <w:numFmt w:val="lowerRoman"/>
      <w:lvlText w:val="%6."/>
      <w:lvlJc w:val="right"/>
      <w:pPr>
        <w:ind w:left="5760" w:hanging="180"/>
      </w:pPr>
    </w:lvl>
    <w:lvl w:ilvl="6" w:tplc="0C09000F" w:tentative="true">
      <w:start w:val="1"/>
      <w:numFmt w:val="decimal"/>
      <w:lvlText w:val="%7."/>
      <w:lvlJc w:val="left"/>
      <w:pPr>
        <w:ind w:left="6480" w:hanging="360"/>
      </w:pPr>
    </w:lvl>
    <w:lvl w:ilvl="7" w:tplc="0C090019" w:tentative="true">
      <w:start w:val="1"/>
      <w:numFmt w:val="lowerLetter"/>
      <w:lvlText w:val="%8."/>
      <w:lvlJc w:val="left"/>
      <w:pPr>
        <w:ind w:left="7200" w:hanging="360"/>
      </w:pPr>
    </w:lvl>
    <w:lvl w:ilvl="8" w:tplc="0C09001B" w:tentative="true">
      <w:start w:val="1"/>
      <w:numFmt w:val="lowerRoman"/>
      <w:lvlText w:val="%9."/>
      <w:lvlJc w:val="right"/>
      <w:pPr>
        <w:ind w:left="7920" w:hanging="180"/>
      </w:pPr>
    </w:lvl>
  </w:abstractNum>
  <w:abstractNum w:abstractNumId="13">
    <w:nsid w:val="46736775"/>
    <w:multiLevelType w:val="hybridMultilevel"/>
    <w:tmpl w:val="81BEEDF8"/>
    <w:lvl w:ilvl="0" w:tplc="0C090001">
      <w:start w:val="1"/>
      <w:numFmt w:val="bullet"/>
      <w:lvlText w:val=""/>
      <w:lvlJc w:val="left"/>
      <w:pPr>
        <w:ind w:left="720" w:hanging="360"/>
      </w:pPr>
      <w:rPr>
        <w:rFonts w:hint="default" w:ascii="Symbol" w:hAnsi="Symbol"/>
      </w:rPr>
    </w:lvl>
    <w:lvl w:ilvl="1" w:tplc="0C090003">
      <w:start w:val="1"/>
      <w:numFmt w:val="bullet"/>
      <w:lvlText w:val="o"/>
      <w:lvlJc w:val="left"/>
      <w:pPr>
        <w:ind w:left="1440" w:hanging="360"/>
      </w:pPr>
      <w:rPr>
        <w:rFonts w:hint="default" w:ascii="Courier New" w:hAnsi="Courier New" w:cs="Courier New"/>
      </w:rPr>
    </w:lvl>
    <w:lvl w:ilvl="2" w:tplc="0C090005">
      <w:start w:val="1"/>
      <w:numFmt w:val="bullet"/>
      <w:lvlText w:val=""/>
      <w:lvlJc w:val="left"/>
      <w:pPr>
        <w:ind w:left="2160" w:hanging="360"/>
      </w:pPr>
      <w:rPr>
        <w:rFonts w:hint="default" w:ascii="Wingdings" w:hAnsi="Wingdings"/>
      </w:rPr>
    </w:lvl>
    <w:lvl w:ilvl="3" w:tplc="0C090001">
      <w:start w:val="1"/>
      <w:numFmt w:val="bullet"/>
      <w:lvlText w:val=""/>
      <w:lvlJc w:val="left"/>
      <w:pPr>
        <w:ind w:left="2880" w:hanging="360"/>
      </w:pPr>
      <w:rPr>
        <w:rFonts w:hint="default" w:ascii="Symbol" w:hAnsi="Symbol"/>
      </w:rPr>
    </w:lvl>
    <w:lvl w:ilvl="4" w:tplc="0C090003">
      <w:start w:val="1"/>
      <w:numFmt w:val="bullet"/>
      <w:lvlText w:val="o"/>
      <w:lvlJc w:val="left"/>
      <w:pPr>
        <w:ind w:left="3600" w:hanging="360"/>
      </w:pPr>
      <w:rPr>
        <w:rFonts w:hint="default" w:ascii="Courier New" w:hAnsi="Courier New" w:cs="Courier New"/>
      </w:rPr>
    </w:lvl>
    <w:lvl w:ilvl="5" w:tplc="0C090005">
      <w:start w:val="1"/>
      <w:numFmt w:val="bullet"/>
      <w:lvlText w:val=""/>
      <w:lvlJc w:val="left"/>
      <w:pPr>
        <w:ind w:left="4320" w:hanging="360"/>
      </w:pPr>
      <w:rPr>
        <w:rFonts w:hint="default" w:ascii="Wingdings" w:hAnsi="Wingdings"/>
      </w:rPr>
    </w:lvl>
    <w:lvl w:ilvl="6" w:tplc="0C090001">
      <w:start w:val="1"/>
      <w:numFmt w:val="bullet"/>
      <w:lvlText w:val=""/>
      <w:lvlJc w:val="left"/>
      <w:pPr>
        <w:ind w:left="5040" w:hanging="360"/>
      </w:pPr>
      <w:rPr>
        <w:rFonts w:hint="default" w:ascii="Symbol" w:hAnsi="Symbol"/>
      </w:rPr>
    </w:lvl>
    <w:lvl w:ilvl="7" w:tplc="0C090003">
      <w:start w:val="1"/>
      <w:numFmt w:val="bullet"/>
      <w:lvlText w:val="o"/>
      <w:lvlJc w:val="left"/>
      <w:pPr>
        <w:ind w:left="5760" w:hanging="360"/>
      </w:pPr>
      <w:rPr>
        <w:rFonts w:hint="default" w:ascii="Courier New" w:hAnsi="Courier New" w:cs="Courier New"/>
      </w:rPr>
    </w:lvl>
    <w:lvl w:ilvl="8" w:tplc="0C090005">
      <w:start w:val="1"/>
      <w:numFmt w:val="bullet"/>
      <w:lvlText w:val=""/>
      <w:lvlJc w:val="left"/>
      <w:pPr>
        <w:ind w:left="6480" w:hanging="360"/>
      </w:pPr>
      <w:rPr>
        <w:rFonts w:hint="default" w:ascii="Wingdings" w:hAnsi="Wingdings"/>
      </w:rPr>
    </w:lvl>
  </w:abstractNum>
  <w:abstractNum w:abstractNumId="14">
    <w:nsid w:val="4A6E132D"/>
    <w:multiLevelType w:val="multilevel"/>
    <w:tmpl w:val="EFFE9968"/>
    <w:lvl w:ilvl="0">
      <w:start w:val="1"/>
      <w:numFmt w:val="upperLetter"/>
      <w:lvlText w:val="%1."/>
      <w:lvlJc w:val="left"/>
      <w:pPr>
        <w:tabs>
          <w:tab w:val="num" w:pos="-288"/>
        </w:tabs>
        <w:ind w:left="-288" w:hanging="432"/>
      </w:pPr>
    </w:lvl>
    <w:lvl w:ilvl="1">
      <w:start w:val="1"/>
      <w:numFmt w:val="decimal"/>
      <w:pStyle w:val="AppendixHeading2"/>
      <w:lvlText w:val="%1.%2"/>
      <w:lvlJc w:val="left"/>
      <w:pPr>
        <w:tabs>
          <w:tab w:val="num" w:pos="-144"/>
        </w:tabs>
        <w:ind w:left="-144" w:hanging="576"/>
      </w:pPr>
    </w:lvl>
    <w:lvl w:ilvl="2">
      <w:start w:val="1"/>
      <w:numFmt w:val="decimal"/>
      <w:lvlText w:val="%2.%1.%3"/>
      <w:lvlJc w:val="left"/>
      <w:pPr>
        <w:tabs>
          <w:tab w:val="num" w:pos="360"/>
        </w:tabs>
        <w:ind w:left="0" w:hanging="720"/>
      </w:pPr>
    </w:lvl>
    <w:lvl w:ilvl="3">
      <w:start w:val="1"/>
      <w:numFmt w:val="decimal"/>
      <w:lvlText w:val="%1.%2.%3.%4"/>
      <w:lvlJc w:val="left"/>
      <w:pPr>
        <w:tabs>
          <w:tab w:val="num" w:pos="144"/>
        </w:tabs>
        <w:ind w:left="144" w:hanging="864"/>
      </w:pPr>
    </w:lvl>
    <w:lvl w:ilvl="4">
      <w:start w:val="1"/>
      <w:numFmt w:val="decimal"/>
      <w:lvlText w:val="%1.%2.%3.%4.%5"/>
      <w:lvlJc w:val="left"/>
      <w:pPr>
        <w:tabs>
          <w:tab w:val="num" w:pos="288"/>
        </w:tabs>
        <w:ind w:left="288" w:hanging="1008"/>
      </w:pPr>
    </w:lvl>
    <w:lvl w:ilvl="5">
      <w:start w:val="1"/>
      <w:numFmt w:val="decimal"/>
      <w:lvlText w:val="%1.%2.%3.%4.%5.%6"/>
      <w:lvlJc w:val="left"/>
      <w:pPr>
        <w:tabs>
          <w:tab w:val="num" w:pos="432"/>
        </w:tabs>
        <w:ind w:left="432" w:hanging="1152"/>
      </w:pPr>
    </w:lvl>
    <w:lvl w:ilvl="6">
      <w:start w:val="1"/>
      <w:numFmt w:val="decimal"/>
      <w:lvlText w:val="%1.%2.%3.%4.%5.%6.%7"/>
      <w:lvlJc w:val="left"/>
      <w:pPr>
        <w:tabs>
          <w:tab w:val="num" w:pos="576"/>
        </w:tabs>
        <w:ind w:left="576" w:hanging="1296"/>
      </w:pPr>
    </w:lvl>
    <w:lvl w:ilvl="7">
      <w:start w:val="1"/>
      <w:numFmt w:val="decimal"/>
      <w:lvlText w:val="%1.%2.%3.%4.%5.%6.%7.%8"/>
      <w:lvlJc w:val="left"/>
      <w:pPr>
        <w:tabs>
          <w:tab w:val="num" w:pos="720"/>
        </w:tabs>
        <w:ind w:left="720" w:hanging="1440"/>
      </w:pPr>
    </w:lvl>
    <w:lvl w:ilvl="8">
      <w:start w:val="1"/>
      <w:numFmt w:val="decimal"/>
      <w:lvlText w:val="%1.%2.%3.%4.%5.%6.%7.%8.%9"/>
      <w:lvlJc w:val="left"/>
      <w:pPr>
        <w:tabs>
          <w:tab w:val="num" w:pos="864"/>
        </w:tabs>
        <w:ind w:left="864" w:hanging="1584"/>
      </w:pPr>
    </w:lvl>
  </w:abstractNum>
  <w:abstractNum w:abstractNumId="15">
    <w:nsid w:val="50702DEE"/>
    <w:multiLevelType w:val="hybridMultilevel"/>
    <w:tmpl w:val="4DA6461C"/>
    <w:lvl w:ilvl="0" w:tplc="00C27798">
      <w:start w:val="1"/>
      <w:numFmt w:val="lowerLetter"/>
      <w:pStyle w:val="CaselawNumbereda"/>
      <w:lvlText w:val="(%1)"/>
      <w:lvlJc w:val="left"/>
      <w:pPr>
        <w:ind w:left="144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6">
    <w:nsid w:val="52623F3D"/>
    <w:multiLevelType w:val="hybridMultilevel"/>
    <w:tmpl w:val="A106EF2E"/>
    <w:lvl w:ilvl="0" w:tplc="4DAC301C">
      <w:start w:val="1"/>
      <w:numFmt w:val="decimal"/>
      <w:pStyle w:val="CaselawNumbered10"/>
      <w:lvlText w:val="%1"/>
      <w:lvlJc w:val="left"/>
      <w:pPr>
        <w:ind w:left="360" w:hanging="360"/>
      </w:pPr>
      <w:rPr>
        <w:rFonts w:hint="default"/>
      </w:rPr>
    </w:lvl>
    <w:lvl w:ilvl="1" w:tplc="0C090019" w:tentative="true">
      <w:start w:val="1"/>
      <w:numFmt w:val="lowerLetter"/>
      <w:lvlText w:val="%2."/>
      <w:lvlJc w:val="left"/>
      <w:pPr>
        <w:ind w:left="2160" w:hanging="360"/>
      </w:pPr>
    </w:lvl>
    <w:lvl w:ilvl="2" w:tplc="0C09001B" w:tentative="true">
      <w:start w:val="1"/>
      <w:numFmt w:val="lowerRoman"/>
      <w:lvlText w:val="%3."/>
      <w:lvlJc w:val="right"/>
      <w:pPr>
        <w:ind w:left="2880" w:hanging="180"/>
      </w:pPr>
    </w:lvl>
    <w:lvl w:ilvl="3" w:tplc="0C09000F" w:tentative="true">
      <w:start w:val="1"/>
      <w:numFmt w:val="decimal"/>
      <w:lvlText w:val="%4."/>
      <w:lvlJc w:val="left"/>
      <w:pPr>
        <w:ind w:left="3600" w:hanging="360"/>
      </w:pPr>
    </w:lvl>
    <w:lvl w:ilvl="4" w:tplc="0C090019" w:tentative="true">
      <w:start w:val="1"/>
      <w:numFmt w:val="lowerLetter"/>
      <w:lvlText w:val="%5."/>
      <w:lvlJc w:val="left"/>
      <w:pPr>
        <w:ind w:left="4320" w:hanging="360"/>
      </w:pPr>
    </w:lvl>
    <w:lvl w:ilvl="5" w:tplc="0C09001B" w:tentative="true">
      <w:start w:val="1"/>
      <w:numFmt w:val="lowerRoman"/>
      <w:lvlText w:val="%6."/>
      <w:lvlJc w:val="right"/>
      <w:pPr>
        <w:ind w:left="5040" w:hanging="180"/>
      </w:pPr>
    </w:lvl>
    <w:lvl w:ilvl="6" w:tplc="0C09000F" w:tentative="true">
      <w:start w:val="1"/>
      <w:numFmt w:val="decimal"/>
      <w:lvlText w:val="%7."/>
      <w:lvlJc w:val="left"/>
      <w:pPr>
        <w:ind w:left="5760" w:hanging="360"/>
      </w:pPr>
    </w:lvl>
    <w:lvl w:ilvl="7" w:tplc="0C090019" w:tentative="true">
      <w:start w:val="1"/>
      <w:numFmt w:val="lowerLetter"/>
      <w:lvlText w:val="%8."/>
      <w:lvlJc w:val="left"/>
      <w:pPr>
        <w:ind w:left="6480" w:hanging="360"/>
      </w:pPr>
    </w:lvl>
    <w:lvl w:ilvl="8" w:tplc="0C09001B" w:tentative="true">
      <w:start w:val="1"/>
      <w:numFmt w:val="lowerRoman"/>
      <w:lvlText w:val="%9."/>
      <w:lvlJc w:val="right"/>
      <w:pPr>
        <w:ind w:left="7200" w:hanging="180"/>
      </w:pPr>
    </w:lvl>
  </w:abstractNum>
  <w:abstractNum w:abstractNumId="17">
    <w:nsid w:val="52CC25B4"/>
    <w:multiLevelType w:val="hybridMultilevel"/>
    <w:tmpl w:val="3DEE3746"/>
    <w:lvl w:ilvl="0" w:tplc="779C3EE2">
      <w:start w:val="1"/>
      <w:numFmt w:val="bullet"/>
      <w:pStyle w:val="ListBulletIndent"/>
      <w:lvlText w:val="o"/>
      <w:lvlJc w:val="left"/>
      <w:pPr>
        <w:tabs>
          <w:tab w:val="num" w:pos="1159"/>
        </w:tabs>
        <w:ind w:left="1159" w:hanging="360"/>
      </w:pPr>
      <w:rPr>
        <w:rFonts w:hint="default" w:ascii="Courier New" w:hAnsi="Courier New" w:cs="Times New Roman"/>
      </w:rPr>
    </w:lvl>
    <w:lvl w:ilvl="1" w:tplc="04090003">
      <w:start w:val="1"/>
      <w:numFmt w:val="bullet"/>
      <w:lvlText w:val="o"/>
      <w:lvlJc w:val="left"/>
      <w:pPr>
        <w:tabs>
          <w:tab w:val="num" w:pos="2160"/>
        </w:tabs>
        <w:ind w:left="2160" w:hanging="360"/>
      </w:pPr>
      <w:rPr>
        <w:rFonts w:hint="default" w:ascii="Courier New" w:hAnsi="Courier New" w:cs="Times New Roman"/>
      </w:rPr>
    </w:lvl>
    <w:lvl w:ilvl="2" w:tplc="04090005">
      <w:start w:val="1"/>
      <w:numFmt w:val="bullet"/>
      <w:lvlText w:val=""/>
      <w:lvlJc w:val="left"/>
      <w:pPr>
        <w:tabs>
          <w:tab w:val="num" w:pos="2880"/>
        </w:tabs>
        <w:ind w:left="2880" w:hanging="360"/>
      </w:pPr>
      <w:rPr>
        <w:rFonts w:hint="default" w:ascii="Wingdings" w:hAnsi="Wingdings"/>
      </w:rPr>
    </w:lvl>
    <w:lvl w:ilvl="3" w:tplc="04090001">
      <w:start w:val="1"/>
      <w:numFmt w:val="bullet"/>
      <w:lvlText w:val=""/>
      <w:lvlJc w:val="left"/>
      <w:pPr>
        <w:tabs>
          <w:tab w:val="num" w:pos="3600"/>
        </w:tabs>
        <w:ind w:left="3600" w:hanging="360"/>
      </w:pPr>
      <w:rPr>
        <w:rFonts w:hint="default" w:ascii="Symbol" w:hAnsi="Symbol"/>
      </w:rPr>
    </w:lvl>
    <w:lvl w:ilvl="4" w:tplc="04090003">
      <w:start w:val="1"/>
      <w:numFmt w:val="bullet"/>
      <w:lvlText w:val="o"/>
      <w:lvlJc w:val="left"/>
      <w:pPr>
        <w:tabs>
          <w:tab w:val="num" w:pos="4320"/>
        </w:tabs>
        <w:ind w:left="4320" w:hanging="360"/>
      </w:pPr>
      <w:rPr>
        <w:rFonts w:hint="default" w:ascii="Courier New" w:hAnsi="Courier New" w:cs="Times New Roman"/>
      </w:rPr>
    </w:lvl>
    <w:lvl w:ilvl="5" w:tplc="04090005">
      <w:start w:val="1"/>
      <w:numFmt w:val="bullet"/>
      <w:lvlText w:val=""/>
      <w:lvlJc w:val="left"/>
      <w:pPr>
        <w:tabs>
          <w:tab w:val="num" w:pos="5040"/>
        </w:tabs>
        <w:ind w:left="5040" w:hanging="360"/>
      </w:pPr>
      <w:rPr>
        <w:rFonts w:hint="default" w:ascii="Wingdings" w:hAnsi="Wingdings"/>
      </w:rPr>
    </w:lvl>
    <w:lvl w:ilvl="6" w:tplc="04090001">
      <w:start w:val="1"/>
      <w:numFmt w:val="bullet"/>
      <w:lvlText w:val=""/>
      <w:lvlJc w:val="left"/>
      <w:pPr>
        <w:tabs>
          <w:tab w:val="num" w:pos="5760"/>
        </w:tabs>
        <w:ind w:left="5760" w:hanging="360"/>
      </w:pPr>
      <w:rPr>
        <w:rFonts w:hint="default" w:ascii="Symbol" w:hAnsi="Symbol"/>
      </w:rPr>
    </w:lvl>
    <w:lvl w:ilvl="7" w:tplc="04090003">
      <w:start w:val="1"/>
      <w:numFmt w:val="bullet"/>
      <w:lvlText w:val="o"/>
      <w:lvlJc w:val="left"/>
      <w:pPr>
        <w:tabs>
          <w:tab w:val="num" w:pos="6480"/>
        </w:tabs>
        <w:ind w:left="6480" w:hanging="360"/>
      </w:pPr>
      <w:rPr>
        <w:rFonts w:hint="default" w:ascii="Courier New" w:hAnsi="Courier New" w:cs="Times New Roman"/>
      </w:rPr>
    </w:lvl>
    <w:lvl w:ilvl="8" w:tplc="04090005">
      <w:start w:val="1"/>
      <w:numFmt w:val="bullet"/>
      <w:lvlText w:val=""/>
      <w:lvlJc w:val="left"/>
      <w:pPr>
        <w:tabs>
          <w:tab w:val="num" w:pos="7200"/>
        </w:tabs>
        <w:ind w:left="7200" w:hanging="360"/>
      </w:pPr>
      <w:rPr>
        <w:rFonts w:hint="default" w:ascii="Wingdings" w:hAnsi="Wingdings"/>
      </w:rPr>
    </w:lvl>
  </w:abstractNum>
  <w:abstractNum w:abstractNumId="18">
    <w:nsid w:val="63917B65"/>
    <w:multiLevelType w:val="hybridMultilevel"/>
    <w:tmpl w:val="28DA8504"/>
    <w:lvl w:ilvl="0" w:tplc="7EBEE17E">
      <w:start w:val="1"/>
      <w:numFmt w:val="bullet"/>
      <w:lvlText w:val="•"/>
      <w:lvlJc w:val="left"/>
      <w:pPr>
        <w:tabs>
          <w:tab w:val="num" w:pos="720"/>
        </w:tabs>
        <w:ind w:left="720" w:hanging="360"/>
      </w:pPr>
      <w:rPr>
        <w:rFonts w:hint="default" w:ascii="Arial" w:hAnsi="Arial" w:cs="Times New Roman"/>
      </w:rPr>
    </w:lvl>
    <w:lvl w:ilvl="1" w:tplc="1DCC5FE4">
      <w:start w:val="1"/>
      <w:numFmt w:val="bullet"/>
      <w:lvlText w:val="•"/>
      <w:lvlJc w:val="left"/>
      <w:pPr>
        <w:tabs>
          <w:tab w:val="num" w:pos="1440"/>
        </w:tabs>
        <w:ind w:left="1440" w:hanging="360"/>
      </w:pPr>
      <w:rPr>
        <w:rFonts w:hint="default" w:ascii="Arial" w:hAnsi="Arial" w:cs="Times New Roman"/>
      </w:rPr>
    </w:lvl>
    <w:lvl w:ilvl="2" w:tplc="2E2254E0">
      <w:start w:val="1"/>
      <w:numFmt w:val="bullet"/>
      <w:lvlText w:val="•"/>
      <w:lvlJc w:val="left"/>
      <w:pPr>
        <w:tabs>
          <w:tab w:val="num" w:pos="2160"/>
        </w:tabs>
        <w:ind w:left="2160" w:hanging="360"/>
      </w:pPr>
      <w:rPr>
        <w:rFonts w:hint="default" w:ascii="Arial" w:hAnsi="Arial" w:cs="Times New Roman"/>
      </w:rPr>
    </w:lvl>
    <w:lvl w:ilvl="3" w:tplc="A5A07C72">
      <w:start w:val="1"/>
      <w:numFmt w:val="bullet"/>
      <w:lvlText w:val="•"/>
      <w:lvlJc w:val="left"/>
      <w:pPr>
        <w:tabs>
          <w:tab w:val="num" w:pos="2880"/>
        </w:tabs>
        <w:ind w:left="2880" w:hanging="360"/>
      </w:pPr>
      <w:rPr>
        <w:rFonts w:hint="default" w:ascii="Arial" w:hAnsi="Arial" w:cs="Times New Roman"/>
      </w:rPr>
    </w:lvl>
    <w:lvl w:ilvl="4" w:tplc="9E8A9A4E">
      <w:start w:val="1"/>
      <w:numFmt w:val="bullet"/>
      <w:lvlText w:val="•"/>
      <w:lvlJc w:val="left"/>
      <w:pPr>
        <w:tabs>
          <w:tab w:val="num" w:pos="3600"/>
        </w:tabs>
        <w:ind w:left="3600" w:hanging="360"/>
      </w:pPr>
      <w:rPr>
        <w:rFonts w:hint="default" w:ascii="Arial" w:hAnsi="Arial" w:cs="Times New Roman"/>
      </w:rPr>
    </w:lvl>
    <w:lvl w:ilvl="5" w:tplc="31ACE6B0">
      <w:start w:val="1"/>
      <w:numFmt w:val="bullet"/>
      <w:lvlText w:val="•"/>
      <w:lvlJc w:val="left"/>
      <w:pPr>
        <w:tabs>
          <w:tab w:val="num" w:pos="4320"/>
        </w:tabs>
        <w:ind w:left="4320" w:hanging="360"/>
      </w:pPr>
      <w:rPr>
        <w:rFonts w:hint="default" w:ascii="Arial" w:hAnsi="Arial" w:cs="Times New Roman"/>
      </w:rPr>
    </w:lvl>
    <w:lvl w:ilvl="6" w:tplc="AB685CD0">
      <w:start w:val="1"/>
      <w:numFmt w:val="bullet"/>
      <w:lvlText w:val="•"/>
      <w:lvlJc w:val="left"/>
      <w:pPr>
        <w:tabs>
          <w:tab w:val="num" w:pos="5040"/>
        </w:tabs>
        <w:ind w:left="5040" w:hanging="360"/>
      </w:pPr>
      <w:rPr>
        <w:rFonts w:hint="default" w:ascii="Arial" w:hAnsi="Arial" w:cs="Times New Roman"/>
      </w:rPr>
    </w:lvl>
    <w:lvl w:ilvl="7" w:tplc="FC002C06">
      <w:start w:val="1"/>
      <w:numFmt w:val="bullet"/>
      <w:lvlText w:val="•"/>
      <w:lvlJc w:val="left"/>
      <w:pPr>
        <w:tabs>
          <w:tab w:val="num" w:pos="5760"/>
        </w:tabs>
        <w:ind w:left="5760" w:hanging="360"/>
      </w:pPr>
      <w:rPr>
        <w:rFonts w:hint="default" w:ascii="Arial" w:hAnsi="Arial" w:cs="Times New Roman"/>
      </w:rPr>
    </w:lvl>
    <w:lvl w:ilvl="8" w:tplc="6338C1FE">
      <w:start w:val="1"/>
      <w:numFmt w:val="bullet"/>
      <w:lvlText w:val="•"/>
      <w:lvlJc w:val="left"/>
      <w:pPr>
        <w:tabs>
          <w:tab w:val="num" w:pos="6480"/>
        </w:tabs>
        <w:ind w:left="6480" w:hanging="360"/>
      </w:pPr>
      <w:rPr>
        <w:rFonts w:hint="default" w:ascii="Arial" w:hAnsi="Arial" w:cs="Times New Roman"/>
      </w:rPr>
    </w:lvl>
  </w:abstractNum>
  <w:abstractNum w:abstractNumId="19">
    <w:nsid w:val="643A5861"/>
    <w:multiLevelType w:val="hybridMultilevel"/>
    <w:tmpl w:val="5DFCE9E6"/>
    <w:lvl w:ilvl="0" w:tplc="8E086518">
      <w:start w:val="1"/>
      <w:numFmt w:val="bullet"/>
      <w:pStyle w:val="Bulletforblueiinfo"/>
      <w:lvlText w:val=""/>
      <w:lvlJc w:val="left"/>
      <w:pPr>
        <w:tabs>
          <w:tab w:val="num" w:pos="737"/>
        </w:tabs>
        <w:ind w:left="737" w:hanging="368"/>
      </w:pPr>
      <w:rPr>
        <w:rFonts w:hint="default" w:ascii="Symbol" w:hAnsi="Symbol"/>
      </w:rPr>
    </w:lvl>
    <w:lvl w:ilvl="1" w:tplc="04090003">
      <w:start w:val="1"/>
      <w:numFmt w:val="bullet"/>
      <w:lvlText w:val="o"/>
      <w:lvlJc w:val="left"/>
      <w:pPr>
        <w:tabs>
          <w:tab w:val="num" w:pos="1440"/>
        </w:tabs>
        <w:ind w:left="1440" w:hanging="360"/>
      </w:pPr>
      <w:rPr>
        <w:rFonts w:hint="default" w:ascii="Courier New" w:hAnsi="Courier New" w:cs="Times New Roman"/>
      </w:rPr>
    </w:lvl>
    <w:lvl w:ilvl="2" w:tplc="04090005">
      <w:start w:val="1"/>
      <w:numFmt w:val="bullet"/>
      <w:lvlText w:val=""/>
      <w:lvlJc w:val="left"/>
      <w:pPr>
        <w:tabs>
          <w:tab w:val="num" w:pos="2160"/>
        </w:tabs>
        <w:ind w:left="2160" w:hanging="360"/>
      </w:pPr>
      <w:rPr>
        <w:rFonts w:hint="default" w:ascii="Wingdings" w:hAnsi="Wingdings"/>
      </w:rPr>
    </w:lvl>
    <w:lvl w:ilvl="3" w:tplc="04090001">
      <w:start w:val="1"/>
      <w:numFmt w:val="bullet"/>
      <w:lvlText w:val=""/>
      <w:lvlJc w:val="left"/>
      <w:pPr>
        <w:tabs>
          <w:tab w:val="num" w:pos="2880"/>
        </w:tabs>
        <w:ind w:left="2880" w:hanging="360"/>
      </w:pPr>
      <w:rPr>
        <w:rFonts w:hint="default" w:ascii="Symbol" w:hAnsi="Symbol"/>
      </w:rPr>
    </w:lvl>
    <w:lvl w:ilvl="4" w:tplc="04090003">
      <w:start w:val="1"/>
      <w:numFmt w:val="bullet"/>
      <w:lvlText w:val="o"/>
      <w:lvlJc w:val="left"/>
      <w:pPr>
        <w:tabs>
          <w:tab w:val="num" w:pos="3600"/>
        </w:tabs>
        <w:ind w:left="3600" w:hanging="360"/>
      </w:pPr>
      <w:rPr>
        <w:rFonts w:hint="default" w:ascii="Courier New" w:hAnsi="Courier New" w:cs="Times New Roman"/>
      </w:rPr>
    </w:lvl>
    <w:lvl w:ilvl="5" w:tplc="04090005">
      <w:start w:val="1"/>
      <w:numFmt w:val="bullet"/>
      <w:lvlText w:val=""/>
      <w:lvlJc w:val="left"/>
      <w:pPr>
        <w:tabs>
          <w:tab w:val="num" w:pos="4320"/>
        </w:tabs>
        <w:ind w:left="4320" w:hanging="360"/>
      </w:pPr>
      <w:rPr>
        <w:rFonts w:hint="default" w:ascii="Wingdings" w:hAnsi="Wingdings"/>
      </w:rPr>
    </w:lvl>
    <w:lvl w:ilvl="6" w:tplc="04090001">
      <w:start w:val="1"/>
      <w:numFmt w:val="bullet"/>
      <w:lvlText w:val=""/>
      <w:lvlJc w:val="left"/>
      <w:pPr>
        <w:tabs>
          <w:tab w:val="num" w:pos="5040"/>
        </w:tabs>
        <w:ind w:left="5040" w:hanging="360"/>
      </w:pPr>
      <w:rPr>
        <w:rFonts w:hint="default" w:ascii="Symbol" w:hAnsi="Symbol"/>
      </w:rPr>
    </w:lvl>
    <w:lvl w:ilvl="7" w:tplc="04090003">
      <w:start w:val="1"/>
      <w:numFmt w:val="bullet"/>
      <w:lvlText w:val="o"/>
      <w:lvlJc w:val="left"/>
      <w:pPr>
        <w:tabs>
          <w:tab w:val="num" w:pos="5760"/>
        </w:tabs>
        <w:ind w:left="5760" w:hanging="360"/>
      </w:pPr>
      <w:rPr>
        <w:rFonts w:hint="default" w:ascii="Courier New" w:hAnsi="Courier New" w:cs="Times New Roman"/>
      </w:rPr>
    </w:lvl>
    <w:lvl w:ilvl="8" w:tplc="04090005">
      <w:start w:val="1"/>
      <w:numFmt w:val="bullet"/>
      <w:lvlText w:val=""/>
      <w:lvlJc w:val="left"/>
      <w:pPr>
        <w:tabs>
          <w:tab w:val="num" w:pos="6480"/>
        </w:tabs>
        <w:ind w:left="6480" w:hanging="360"/>
      </w:pPr>
      <w:rPr>
        <w:rFonts w:hint="default" w:ascii="Wingdings" w:hAnsi="Wingdings"/>
      </w:rPr>
    </w:lvl>
  </w:abstractNum>
  <w:abstractNum w:abstractNumId="20">
    <w:nsid w:val="692A3A69"/>
    <w:multiLevelType w:val="hybridMultilevel"/>
    <w:tmpl w:val="05DAD142"/>
    <w:lvl w:ilvl="0" w:tplc="73421F34">
      <w:start w:val="1"/>
      <w:numFmt w:val="bullet"/>
      <w:lvlText w:val="•"/>
      <w:lvlJc w:val="left"/>
      <w:pPr>
        <w:tabs>
          <w:tab w:val="num" w:pos="720"/>
        </w:tabs>
        <w:ind w:left="720" w:hanging="360"/>
      </w:pPr>
      <w:rPr>
        <w:rFonts w:hint="default" w:ascii="Arial" w:hAnsi="Arial" w:cs="Times New Roman"/>
      </w:rPr>
    </w:lvl>
    <w:lvl w:ilvl="1" w:tplc="8320F500">
      <w:start w:val="1"/>
      <w:numFmt w:val="bullet"/>
      <w:lvlText w:val="•"/>
      <w:lvlJc w:val="left"/>
      <w:pPr>
        <w:tabs>
          <w:tab w:val="num" w:pos="1440"/>
        </w:tabs>
        <w:ind w:left="1440" w:hanging="360"/>
      </w:pPr>
      <w:rPr>
        <w:rFonts w:hint="default" w:ascii="Arial" w:hAnsi="Arial" w:cs="Times New Roman"/>
      </w:rPr>
    </w:lvl>
    <w:lvl w:ilvl="2" w:tplc="8544046E">
      <w:start w:val="1"/>
      <w:numFmt w:val="bullet"/>
      <w:lvlText w:val="•"/>
      <w:lvlJc w:val="left"/>
      <w:pPr>
        <w:tabs>
          <w:tab w:val="num" w:pos="2160"/>
        </w:tabs>
        <w:ind w:left="2160" w:hanging="360"/>
      </w:pPr>
      <w:rPr>
        <w:rFonts w:hint="default" w:ascii="Arial" w:hAnsi="Arial" w:cs="Times New Roman"/>
      </w:rPr>
    </w:lvl>
    <w:lvl w:ilvl="3" w:tplc="3D8EF51A">
      <w:start w:val="1"/>
      <w:numFmt w:val="bullet"/>
      <w:lvlText w:val="•"/>
      <w:lvlJc w:val="left"/>
      <w:pPr>
        <w:tabs>
          <w:tab w:val="num" w:pos="2880"/>
        </w:tabs>
        <w:ind w:left="2880" w:hanging="360"/>
      </w:pPr>
      <w:rPr>
        <w:rFonts w:hint="default" w:ascii="Arial" w:hAnsi="Arial" w:cs="Times New Roman"/>
      </w:rPr>
    </w:lvl>
    <w:lvl w:ilvl="4" w:tplc="AEC2BFAC">
      <w:start w:val="1"/>
      <w:numFmt w:val="bullet"/>
      <w:lvlText w:val="•"/>
      <w:lvlJc w:val="left"/>
      <w:pPr>
        <w:tabs>
          <w:tab w:val="num" w:pos="3600"/>
        </w:tabs>
        <w:ind w:left="3600" w:hanging="360"/>
      </w:pPr>
      <w:rPr>
        <w:rFonts w:hint="default" w:ascii="Arial" w:hAnsi="Arial" w:cs="Times New Roman"/>
      </w:rPr>
    </w:lvl>
    <w:lvl w:ilvl="5" w:tplc="DDE2E5A6">
      <w:start w:val="1"/>
      <w:numFmt w:val="bullet"/>
      <w:lvlText w:val="•"/>
      <w:lvlJc w:val="left"/>
      <w:pPr>
        <w:tabs>
          <w:tab w:val="num" w:pos="4320"/>
        </w:tabs>
        <w:ind w:left="4320" w:hanging="360"/>
      </w:pPr>
      <w:rPr>
        <w:rFonts w:hint="default" w:ascii="Arial" w:hAnsi="Arial" w:cs="Times New Roman"/>
      </w:rPr>
    </w:lvl>
    <w:lvl w:ilvl="6" w:tplc="CBFAAEDE">
      <w:start w:val="1"/>
      <w:numFmt w:val="bullet"/>
      <w:lvlText w:val="•"/>
      <w:lvlJc w:val="left"/>
      <w:pPr>
        <w:tabs>
          <w:tab w:val="num" w:pos="5040"/>
        </w:tabs>
        <w:ind w:left="5040" w:hanging="360"/>
      </w:pPr>
      <w:rPr>
        <w:rFonts w:hint="default" w:ascii="Arial" w:hAnsi="Arial" w:cs="Times New Roman"/>
      </w:rPr>
    </w:lvl>
    <w:lvl w:ilvl="7" w:tplc="F90E4540">
      <w:start w:val="1"/>
      <w:numFmt w:val="bullet"/>
      <w:lvlText w:val="•"/>
      <w:lvlJc w:val="left"/>
      <w:pPr>
        <w:tabs>
          <w:tab w:val="num" w:pos="5760"/>
        </w:tabs>
        <w:ind w:left="5760" w:hanging="360"/>
      </w:pPr>
      <w:rPr>
        <w:rFonts w:hint="default" w:ascii="Arial" w:hAnsi="Arial" w:cs="Times New Roman"/>
      </w:rPr>
    </w:lvl>
    <w:lvl w:ilvl="8" w:tplc="2AE6386C">
      <w:start w:val="1"/>
      <w:numFmt w:val="bullet"/>
      <w:lvlText w:val="•"/>
      <w:lvlJc w:val="left"/>
      <w:pPr>
        <w:tabs>
          <w:tab w:val="num" w:pos="6480"/>
        </w:tabs>
        <w:ind w:left="6480" w:hanging="360"/>
      </w:pPr>
      <w:rPr>
        <w:rFonts w:hint="default" w:ascii="Arial" w:hAnsi="Arial" w:cs="Times New Roman"/>
      </w:rPr>
    </w:lvl>
  </w:abstractNum>
  <w:num w:numId="1">
    <w:abstractNumId w:val="16"/>
  </w:num>
  <w:num w:numId="2">
    <w:abstractNumId w:val="10"/>
  </w:num>
  <w:num w:numId="3">
    <w:abstractNumId w:val="15"/>
  </w:num>
  <w:num w:numId="4">
    <w:abstractNumId w:val="12"/>
  </w:num>
  <w:num w:numId="5">
    <w:abstractNumId w:val="8"/>
  </w:num>
  <w:num w:numId="6">
    <w:abstractNumId w:val="6"/>
  </w:num>
  <w:num w:numId="7">
    <w:abstractNumId w:val="0"/>
  </w:num>
  <w:num w:numId="8">
    <w:abstractNumId w:val="17"/>
  </w:num>
  <w:num w:numId="9">
    <w:abstractNumId w:val="2"/>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9"/>
  </w:num>
  <w:num w:numId="1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18"/>
  </w:num>
  <w:num w:numId="18">
    <w:abstractNumId w:val="5"/>
  </w:num>
  <w:num w:numId="19">
    <w:abstractNumId w:val="20"/>
  </w:num>
  <w:num w:numId="20">
    <w:abstractNumId w:val="7"/>
  </w:num>
  <w:num w:numId="21">
    <w:abstractNumId w:val="3"/>
  </w:num>
  <w:num w:numId="22">
    <w:abstractNumId w:val="16"/>
    <w:lvlOverride w:ilvl="0">
      <w:startOverride w:val="1"/>
    </w:lvlOverride>
  </w:num>
  <w:num w:numId="23">
    <w:abstractNumId w:val="8"/>
    <w:lvlOverride w:ilvl="0">
      <w:startOverride w:val="1"/>
    </w:lvlOverride>
  </w:num>
  <w:num w:numId="24">
    <w:abstractNumId w:val="16"/>
    <w:lvlOverride w:ilvl="0">
      <w:startOverride w:val="3"/>
    </w:lvlOverride>
  </w:num>
  <w:num w:numId="25">
    <w:abstractNumId w:val="16"/>
    <w:lvlOverride w:ilvl="0">
      <w:startOverride w:val="6"/>
    </w:lvlOverride>
  </w:num>
  <w:num w:numId="26">
    <w:abstractNumId w:val="16"/>
    <w:lvlOverride w:ilvl="0">
      <w:startOverride w:val="9"/>
    </w:lvlOverride>
  </w:num>
  <w:num w:numId="27">
    <w:abstractNumId w:val="15"/>
    <w:lvlOverride w:ilvl="0">
      <w:startOverride w:val="1"/>
    </w:lvlOverride>
  </w:num>
  <w:num w:numId="28">
    <w:abstractNumId w:val="16"/>
    <w:lvlOverride w:ilvl="0">
      <w:startOverride w:val="10"/>
    </w:lvlOverride>
  </w:num>
  <w:num w:numId="29">
    <w:abstractNumId w:val="16"/>
    <w:lvlOverride w:ilvl="0">
      <w:startOverride w:val="11"/>
    </w:lvlOverride>
  </w:num>
  <w:num w:numId="30">
    <w:abstractNumId w:val="16"/>
    <w:lvlOverride w:ilvl="0">
      <w:startOverride w:val="12"/>
    </w:lvlOverride>
  </w:num>
  <w:num w:numId="31">
    <w:abstractNumId w:val="16"/>
    <w:lvlOverride w:ilvl="0">
      <w:startOverride w:val="18"/>
    </w:lvlOverride>
  </w:num>
  <w:num w:numId="32">
    <w:abstractNumId w:val="16"/>
    <w:lvlOverride w:ilvl="0">
      <w:startOverride w:val="19"/>
    </w:lvlOverride>
  </w:num>
  <w:num w:numId="33">
    <w:abstractNumId w:val="8"/>
    <w:lvlOverride w:ilvl="0">
      <w:startOverride w:val="1"/>
    </w:lvlOverride>
  </w:num>
  <w:num w:numId="34">
    <w:abstractNumId w:val="16"/>
    <w:lvlOverride w:ilvl="0">
      <w:startOverride w:val="21"/>
    </w:lvlOverride>
  </w:num>
  <w:num w:numId="35">
    <w:abstractNumId w:val="8"/>
    <w:lvlOverride w:ilvl="0">
      <w:startOverride w:val="1"/>
    </w:lvlOverride>
  </w:num>
  <w:num w:numId="36">
    <w:abstractNumId w:val="16"/>
    <w:lvlOverride w:ilvl="0">
      <w:startOverride w:val="28"/>
    </w:lvlOverride>
  </w:num>
  <w:num w:numId="37">
    <w:abstractNumId w:val="10"/>
    <w:lvlOverride w:ilvl="0">
      <w:startOverride w:val="1"/>
    </w:lvlOverride>
  </w:num>
  <w:num w:numId="38">
    <w:abstractNumId w:val="16"/>
    <w:lvlOverride w:ilvl="0">
      <w:startOverride w:val="30"/>
    </w:lvlOverride>
  </w:num>
  <w:num w:numId="39">
    <w:abstractNumId w:val="16"/>
    <w:lvlOverride w:ilvl="0">
      <w:startOverride w:val="31"/>
    </w:lvlOverride>
  </w:num>
  <w:num w:numId="40">
    <w:abstractNumId w:val="10"/>
    <w:lvlOverride w:ilvl="0">
      <w:startOverride w:val="1"/>
    </w:lvlOverride>
  </w:num>
  <w:num w:numId="41">
    <w:abstractNumId w:val="16"/>
    <w:lvlOverride w:ilvl="0">
      <w:startOverride w:val="32"/>
    </w:lvlOverride>
  </w:num>
  <w:num w:numId="42">
    <w:abstractNumId w:val="16"/>
    <w:lvlOverride w:ilvl="0">
      <w:startOverride w:val="33"/>
    </w:lvlOverride>
  </w:num>
  <w:num w:numId="43">
    <w:abstractNumId w:val="16"/>
    <w:lvlOverride w:ilvl="0">
      <w:startOverride w:val="34"/>
    </w:lvlOverride>
  </w:num>
  <w:num w:numId="44">
    <w:abstractNumId w:val="8"/>
    <w:lvlOverride w:ilvl="0">
      <w:startOverride w:val="1"/>
    </w:lvlOverride>
  </w:num>
  <w:num w:numId="45">
    <w:abstractNumId w:val="8"/>
    <w:lvlOverride w:ilvl="0">
      <w:startOverride w:val="1"/>
    </w:lvlOverride>
  </w:num>
  <w:num w:numId="46">
    <w:abstractNumId w:val="16"/>
    <w:lvlOverride w:ilvl="0">
      <w:startOverride w:val="38"/>
    </w:lvlOverride>
  </w:num>
  <w:num w:numId="47">
    <w:abstractNumId w:val="8"/>
    <w:lvlOverride w:ilvl="0">
      <w:startOverride w:val="1"/>
    </w:lvlOverride>
  </w:num>
  <w:num w:numId="48">
    <w:abstractNumId w:val="16"/>
    <w:lvlOverride w:ilvl="0">
      <w:startOverride w:val="40"/>
    </w:lvlOverride>
  </w:num>
  <w:num w:numId="49">
    <w:abstractNumId w:val="16"/>
    <w:lvlOverride w:ilvl="0">
      <w:startOverride w:val="41"/>
    </w:lvlOverride>
  </w:num>
  <w:num w:numId="50">
    <w:abstractNumId w:val="16"/>
    <w:lvlOverride w:ilvl="0">
      <w:startOverride w:val="44"/>
    </w:lvlOverride>
  </w:num>
  <w:num w:numId="51">
    <w:abstractNumId w:val="8"/>
    <w:lvlOverride w:ilvl="0">
      <w:startOverride w:val="1"/>
    </w:lvlOverride>
  </w:num>
  <w:num w:numId="52">
    <w:abstractNumId w:val="16"/>
    <w:lvlOverride w:ilvl="0">
      <w:startOverride w:val="48"/>
    </w:lvlOverride>
  </w:num>
  <w:num w:numId="53">
    <w:abstractNumId w:val="10"/>
    <w:lvlOverride w:ilvl="0">
      <w:startOverride w:val="1"/>
    </w:lvlOverride>
  </w:num>
  <w:num w:numId="54">
    <w:abstractNumId w:val="15"/>
    <w:lvlOverride w:ilvl="0">
      <w:startOverride w:val="1"/>
    </w:lvlOverride>
  </w:num>
  <w:num w:numId="55">
    <w:abstractNumId w:val="10"/>
    <w:lvlOverride w:ilvl="0">
      <w:startOverride w:val="3"/>
    </w:lvlOverride>
  </w:num>
  <w:num w:numId="56">
    <w:abstractNumId w:val="16"/>
    <w:lvlOverride w:ilvl="0">
      <w:startOverride w:val="50"/>
    </w:lvlOverride>
  </w:num>
  <w:num w:numId="57">
    <w:abstractNumId w:val="16"/>
    <w:lvlOverride w:ilvl="0">
      <w:startOverride w:val="52"/>
    </w:lvlOverride>
  </w:num>
  <w:num w:numId="58">
    <w:abstractNumId w:val="16"/>
    <w:lvlOverride w:ilvl="0">
      <w:startOverride w:val="56"/>
    </w:lvlOverride>
  </w:num>
  <w:num w:numId="59">
    <w:abstractNumId w:val="10"/>
    <w:lvlOverride w:ilvl="0">
      <w:startOverride w:val="1"/>
    </w:lvlOverride>
  </w:num>
  <w:num w:numId="60">
    <w:abstractNumId w:val="16"/>
    <w:lvlOverride w:ilvl="0">
      <w:startOverride w:val="59"/>
    </w:lvlOverride>
  </w:num>
  <w:num w:numId="61">
    <w:abstractNumId w:val="10"/>
    <w:lvlOverride w:ilvl="0">
      <w:startOverride w:val="1"/>
    </w:lvlOverride>
  </w:num>
  <w:num w:numId="62">
    <w:abstractNumId w:val="15"/>
    <w:lvlOverride w:ilvl="0">
      <w:startOverride w:val="1"/>
    </w:lvlOverride>
  </w:num>
  <w:num w:numId="63">
    <w:abstractNumId w:val="10"/>
    <w:lvlOverride w:ilvl="0">
      <w:startOverride w:val="2"/>
    </w:lvlOverride>
  </w:num>
  <w:num w:numId="64">
    <w:abstractNumId w:val="15"/>
    <w:lvlOverride w:ilvl="0">
      <w:startOverride w:val="1"/>
    </w:lvlOverride>
  </w:num>
  <w:num w:numId="65">
    <w:abstractNumId w:val="10"/>
    <w:lvlOverride w:ilvl="0">
      <w:startOverride w:val="3"/>
    </w:lvlOverride>
  </w:num>
  <w:num w:numId="66">
    <w:abstractNumId w:val="15"/>
    <w:lvlOverride w:ilvl="0">
      <w:startOverride w:val="1"/>
    </w:lvlOverride>
  </w:num>
  <w:num w:numId="67">
    <w:abstractNumId w:val="10"/>
    <w:lvlOverride w:ilvl="0">
      <w:startOverride w:val="5"/>
    </w:lvlOverride>
  </w:num>
  <w:num w:numId="68">
    <w:abstractNumId w:val="16"/>
    <w:lvlOverride w:ilvl="0">
      <w:startOverride w:val="63"/>
    </w:lvlOverride>
  </w:num>
  <w:num w:numId="69">
    <w:abstractNumId w:val="10"/>
    <w:lvlOverride w:ilvl="0">
      <w:startOverride w:val="1"/>
    </w:lvlOverride>
  </w:num>
  <w:num w:numId="70">
    <w:abstractNumId w:val="16"/>
    <w:lvlOverride w:ilvl="0">
      <w:startOverride w:val="64"/>
    </w:lvlOverride>
  </w:num>
  <w:num w:numId="71">
    <w:abstractNumId w:val="16"/>
    <w:lvlOverride w:ilvl="0">
      <w:startOverride w:val="65"/>
    </w:lvlOverride>
  </w:num>
  <w:num w:numId="72">
    <w:abstractNumId w:val="16"/>
    <w:lvlOverride w:ilvl="0">
      <w:startOverride w:val="71"/>
    </w:lvlOverride>
  </w:num>
  <w:num w:numId="73">
    <w:abstractNumId w:val="15"/>
    <w:lvlOverride w:ilvl="0">
      <w:startOverride w:val="1"/>
    </w:lvlOverride>
  </w:num>
  <w:num w:numId="74">
    <w:abstractNumId w:val="16"/>
    <w:lvlOverride w:ilvl="0">
      <w:startOverride w:val="74"/>
    </w:lvlOverride>
  </w:num>
  <w:num w:numId="75">
    <w:abstractNumId w:val="16"/>
    <w:lvlOverride w:ilvl="0">
      <w:startOverride w:val="75"/>
    </w:lvlOverride>
  </w:num>
  <w:num w:numId="76">
    <w:abstractNumId w:val="16"/>
    <w:lvlOverride w:ilvl="0">
      <w:startOverride w:val="77"/>
    </w:lvlOverride>
  </w:num>
  <w:num w:numId="77">
    <w:abstractNumId w:val="16"/>
    <w:lvlOverride w:ilvl="0">
      <w:startOverride w:val="83"/>
    </w:lvlOverride>
  </w:num>
  <w:num w:numId="78">
    <w:abstractNumId w:val="16"/>
    <w:lvlOverride w:ilvl="0">
      <w:startOverride w:val="86"/>
    </w:lvlOverride>
  </w:num>
  <w:num w:numId="79">
    <w:abstractNumId w:val="10"/>
    <w:lvlOverride w:ilvl="0">
      <w:startOverride w:val="1"/>
    </w:lvlOverride>
  </w:num>
  <w:num w:numId="80">
    <w:abstractNumId w:val="15"/>
    <w:lvlOverride w:ilvl="0">
      <w:startOverride w:val="1"/>
    </w:lvlOverride>
  </w:num>
  <w:num w:numId="81">
    <w:abstractNumId w:val="10"/>
    <w:lvlOverride w:ilvl="0">
      <w:startOverride w:val="5"/>
    </w:lvlOverride>
  </w:num>
  <w:num w:numId="82">
    <w:abstractNumId w:val="16"/>
    <w:lvlOverride w:ilvl="0">
      <w:startOverride w:val="87"/>
    </w:lvlOverride>
  </w:num>
  <w:num w:numId="83">
    <w:abstractNumId w:val="16"/>
    <w:lvlOverride w:ilvl="0">
      <w:startOverride w:val="90"/>
    </w:lvlOverride>
  </w:num>
  <w:num w:numId="84">
    <w:abstractNumId w:val="10"/>
    <w:lvlOverride w:ilvl="0">
      <w:startOverride w:val="1"/>
    </w:lvlOverride>
  </w:num>
  <w:num w:numId="85">
    <w:abstractNumId w:val="16"/>
    <w:lvlOverride w:ilvl="0">
      <w:startOverride w:val="95"/>
    </w:lvlOverride>
  </w:num>
  <w:num w:numId="86">
    <w:abstractNumId w:val="10"/>
    <w:lvlOverride w:ilvl="0">
      <w:startOverride w:val="1"/>
    </w:lvlOverride>
  </w:num>
  <w:num w:numId="87">
    <w:abstractNumId w:val="16"/>
    <w:lvlOverride w:ilvl="0">
      <w:startOverride w:val="97"/>
    </w:lvlOverride>
  </w:num>
  <w:num w:numId="88">
    <w:abstractNumId w:val="10"/>
    <w:lvlOverride w:ilvl="0">
      <w:startOverride w:val="1"/>
    </w:lvlOverride>
  </w:num>
  <w:num w:numId="89">
    <w:abstractNumId w:val="16"/>
    <w:lvlOverride w:ilvl="0">
      <w:startOverride w:val="98"/>
    </w:lvlOverride>
  </w:num>
  <w:num w:numId="90">
    <w:abstractNumId w:val="16"/>
    <w:lvlOverride w:ilvl="0">
      <w:startOverride w:val="100"/>
    </w:lvlOverride>
  </w:num>
  <w:num w:numId="91">
    <w:abstractNumId w:val="16"/>
    <w:lvlOverride w:ilvl="0">
      <w:startOverride w:val="107"/>
    </w:lvlOverride>
  </w:num>
  <w:num w:numId="92">
    <w:abstractNumId w:val="16"/>
    <w:lvlOverride w:ilvl="0">
      <w:startOverride w:val="111"/>
    </w:lvlOverride>
  </w:num>
  <w:num w:numId="93">
    <w:abstractNumId w:val="16"/>
    <w:lvlOverride w:ilvl="0">
      <w:startOverride w:val="113"/>
    </w:lvlOverride>
  </w:num>
  <w:num w:numId="94">
    <w:abstractNumId w:val="8"/>
    <w:lvlOverride w:ilvl="0">
      <w:startOverride w:val="1"/>
    </w:lvlOverride>
  </w:num>
  <w:num w:numId="95">
    <w:abstractNumId w:val="16"/>
    <w:lvlOverride w:ilvl="0">
      <w:startOverride w:val="116"/>
    </w:lvlOverride>
  </w:num>
  <w:num w:numId="96">
    <w:abstractNumId w:val="16"/>
    <w:lvlOverride w:ilvl="0">
      <w:startOverride w:val="119"/>
    </w:lvlOverride>
  </w:num>
  <w:num w:numId="97">
    <w:abstractNumId w:val="16"/>
    <w:lvlOverride w:ilvl="0">
      <w:startOverride w:val="120"/>
    </w:lvlOverride>
  </w:num>
  <w:num w:numId="98">
    <w:abstractNumId w:val="16"/>
    <w:lvlOverride w:ilvl="0">
      <w:startOverride w:val="121"/>
    </w:lvlOverride>
  </w:num>
  <w:num w:numId="99">
    <w:abstractNumId w:val="16"/>
    <w:lvlOverride w:ilvl="0">
      <w:startOverride w:val="122"/>
    </w:lvlOverride>
  </w:num>
  <w:num w:numId="100">
    <w:abstractNumId w:val="16"/>
    <w:lvlOverride w:ilvl="0">
      <w:startOverride w:val="128"/>
    </w:lvlOverride>
  </w:num>
  <w:num w:numId="101">
    <w:abstractNumId w:val="16"/>
    <w:lvlOverride w:ilvl="0">
      <w:startOverride w:val="132"/>
    </w:lvlOverride>
  </w:num>
  <w:num w:numId="102">
    <w:abstractNumId w:val="16"/>
    <w:lvlOverride w:ilvl="0">
      <w:startOverride w:val="134"/>
    </w:lvlOverride>
  </w:num>
  <w:num w:numId="103">
    <w:abstractNumId w:val="16"/>
    <w:lvlOverride w:ilvl="0">
      <w:startOverride w:val="138"/>
    </w:lvlOverride>
  </w:num>
  <w:num w:numId="104">
    <w:abstractNumId w:val="16"/>
    <w:lvlOverride w:ilvl="0">
      <w:startOverride w:val="143"/>
    </w:lvlOverride>
  </w:num>
  <w:num w:numId="105">
    <w:abstractNumId w:val="16"/>
    <w:lvlOverride w:ilvl="0">
      <w:startOverride w:val="148"/>
    </w:lvlOverride>
  </w:num>
  <w:num w:numId="106">
    <w:abstractNumId w:val="16"/>
    <w:lvlOverride w:ilvl="0">
      <w:startOverride w:val="149"/>
    </w:lvlOverride>
  </w:num>
  <w:num w:numId="107">
    <w:abstractNumId w:val="16"/>
    <w:lvlOverride w:ilvl="0">
      <w:startOverride w:val="152"/>
    </w:lvlOverride>
  </w:num>
  <w:num w:numId="108">
    <w:abstractNumId w:val="16"/>
    <w:lvlOverride w:ilvl="0">
      <w:startOverride w:val="153"/>
    </w:lvlOverride>
  </w:num>
  <w:num w:numId="109">
    <w:abstractNumId w:val="16"/>
    <w:lvlOverride w:ilvl="0">
      <w:startOverride w:val="154"/>
    </w:lvlOverride>
  </w:num>
  <w:num w:numId="110">
    <w:abstractNumId w:val="16"/>
    <w:lvlOverride w:ilvl="0">
      <w:startOverride w:val="155"/>
    </w:lvlOverride>
  </w:num>
  <w:num w:numId="111">
    <w:abstractNumId w:val="16"/>
    <w:lvlOverride w:ilvl="0">
      <w:startOverride w:val="160"/>
    </w:lvlOverride>
  </w:num>
  <w:num w:numId="112">
    <w:abstractNumId w:val="16"/>
    <w:lvlOverride w:ilvl="0">
      <w:startOverride w:val="161"/>
    </w:lvlOverride>
  </w:num>
  <w:num w:numId="113">
    <w:abstractNumId w:val="16"/>
    <w:lvlOverride w:ilvl="0">
      <w:startOverride w:val="163"/>
    </w:lvlOverride>
  </w:num>
  <w:num w:numId="114">
    <w:abstractNumId w:val="16"/>
    <w:lvlOverride w:ilvl="0">
      <w:startOverride w:val="165"/>
    </w:lvlOverride>
  </w:num>
  <w:num w:numId="115">
    <w:abstractNumId w:val="10"/>
    <w:lvlOverride w:ilvl="0">
      <w:startOverride w:val="1"/>
    </w:lvlOverride>
  </w:num>
  <w:num w:numId="116">
    <w:abstractNumId w:val="16"/>
    <w:lvlOverride w:ilvl="0">
      <w:startOverride w:val="167"/>
    </w:lvlOverride>
  </w:num>
  <w:num w:numId="117">
    <w:abstractNumId w:val="16"/>
    <w:lvlOverride w:ilvl="0">
      <w:startOverride w:val="169"/>
    </w:lvlOverride>
  </w:num>
  <w:num w:numId="118">
    <w:abstractNumId w:val="16"/>
    <w:lvlOverride w:ilvl="0">
      <w:startOverride w:val="174"/>
    </w:lvlOverride>
  </w:num>
  <w:num w:numId="119">
    <w:abstractNumId w:val="16"/>
    <w:lvlOverride w:ilvl="0">
      <w:startOverride w:val="175"/>
    </w:lvlOverride>
  </w:num>
  <w:num w:numId="120">
    <w:abstractNumId w:val="16"/>
    <w:lvlOverride w:ilvl="0">
      <w:startOverride w:val="178"/>
    </w:lvlOverride>
  </w:num>
  <w:num w:numId="121">
    <w:abstractNumId w:val="16"/>
    <w:lvlOverride w:ilvl="0">
      <w:startOverride w:val="182"/>
    </w:lvlOverride>
  </w:num>
  <w:num w:numId="122">
    <w:abstractNumId w:val="16"/>
    <w:lvlOverride w:ilvl="0">
      <w:startOverride w:val="183"/>
    </w:lvlOverride>
  </w:num>
  <w:num w:numId="123">
    <w:abstractNumId w:val="8"/>
    <w:lvlOverride w:ilvl="0">
      <w:startOverride w:val="1"/>
    </w:lvlOverride>
  </w:num>
  <w:num w:numId="124">
    <w:abstractNumId w:val="16"/>
    <w:lvlOverride w:ilvl="0">
      <w:startOverride w:val="191"/>
    </w:lvlOverride>
  </w:num>
  <w:num w:numId="125">
    <w:abstractNumId w:val="16"/>
    <w:lvlOverride w:ilvl="0">
      <w:startOverride w:val="194"/>
    </w:lvlOverride>
  </w:num>
  <w:num w:numId="126">
    <w:abstractNumId w:val="10"/>
    <w:lvlOverride w:ilvl="0">
      <w:startOverride w:val="1"/>
    </w:lvlOverride>
  </w:num>
  <w:num w:numId="127">
    <w:abstractNumId w:val="16"/>
    <w:lvlOverride w:ilvl="0">
      <w:startOverride w:val="202"/>
    </w:lvlOverride>
  </w:num>
  <w:num w:numId="128">
    <w:abstractNumId w:val="16"/>
    <w:lvlOverride w:ilvl="0">
      <w:startOverride w:val="210"/>
    </w:lvlOverride>
  </w:num>
  <w:num w:numId="129">
    <w:abstractNumId w:val="16"/>
    <w:lvlOverride w:ilvl="0">
      <w:startOverride w:val="211"/>
    </w:lvlOverride>
  </w:num>
  <w:num w:numId="130">
    <w:abstractNumId w:val="16"/>
    <w:lvlOverride w:ilvl="0">
      <w:startOverride w:val="216"/>
    </w:lvlOverride>
  </w:num>
  <w:num w:numId="131">
    <w:abstractNumId w:val="16"/>
    <w:lvlOverride w:ilvl="0">
      <w:startOverride w:val="217"/>
    </w:lvlOverride>
  </w:num>
  <w:num w:numId="132">
    <w:abstractNumId w:val="16"/>
    <w:lvlOverride w:ilvl="0">
      <w:startOverride w:val="219"/>
    </w:lvlOverride>
  </w:num>
  <w:num w:numId="133">
    <w:abstractNumId w:val="16"/>
    <w:lvlOverride w:ilvl="0">
      <w:startOverride w:val="221"/>
    </w:lvlOverride>
  </w:num>
  <w:num w:numId="134">
    <w:abstractNumId w:val="10"/>
    <w:lvlOverride w:ilvl="0">
      <w:startOverride w:val="1"/>
    </w:lvlOverride>
  </w:num>
  <w:num w:numId="135">
    <w:abstractNumId w:val="15"/>
    <w:lvlOverride w:ilvl="0">
      <w:startOverride w:val="1"/>
    </w:lvlOverride>
  </w:num>
  <w:num w:numId="136">
    <w:abstractNumId w:val="10"/>
    <w:lvlOverride w:ilvl="0">
      <w:startOverride w:val="2"/>
    </w:lvlOverride>
  </w:num>
  <w:num w:numId="137">
    <w:abstractNumId w:val="15"/>
    <w:lvlOverride w:ilvl="0">
      <w:startOverride w:val="1"/>
    </w:lvlOverride>
  </w:num>
  <w:num w:numId="138">
    <w:abstractNumId w:val="10"/>
    <w:lvlOverride w:ilvl="0">
      <w:startOverride w:val="3"/>
    </w:lvlOverride>
  </w:num>
  <w:num w:numId="139">
    <w:abstractNumId w:val="15"/>
    <w:lvlOverride w:ilvl="0">
      <w:startOverride w:val="1"/>
    </w:lvlOverride>
  </w:num>
  <w:num w:numId="140">
    <w:abstractNumId w:val="10"/>
    <w:lvlOverride w:ilvl="0">
      <w:startOverride w:val="4"/>
    </w:lvlOverride>
  </w:num>
  <w:num w:numId="141">
    <w:abstractNumId w:val="15"/>
    <w:lvlOverride w:ilvl="0">
      <w:startOverride w:val="1"/>
    </w:lvlOverride>
  </w:num>
  <w:num w:numId="142">
    <w:abstractNumId w:val="10"/>
    <w:lvlOverride w:ilvl="0">
      <w:startOverride w:val="5"/>
    </w:lvlOverride>
  </w:num>
  <w:num w:numId="143">
    <w:abstractNumId w:val="15"/>
    <w:lvlOverride w:ilvl="0">
      <w:startOverride w:val="1"/>
    </w:lvlOverride>
  </w:num>
  <w:num w:numId="144">
    <w:abstractNumId w:val="10"/>
    <w:lvlOverride w:ilvl="0">
      <w:startOverride w:val="6"/>
    </w:lvlOverride>
  </w:num>
  <w:num w:numId="145">
    <w:abstractNumId w:val="15"/>
    <w:lvlOverride w:ilvl="0">
      <w:startOverride w:val="1"/>
    </w:lvlOverride>
  </w:num>
  <w:num w:numId="146">
    <w:abstractNumId w:val="12"/>
    <w:lvlOverride w:ilvl="0">
      <w:startOverride w:val="1"/>
    </w:lvlOverride>
  </w:num>
  <w:num w:numId="147">
    <w:abstractNumId w:val="15"/>
    <w:lvlOverride w:ilvl="0">
      <w:startOverride w:val="3"/>
    </w:lvlOverride>
  </w:num>
  <w:num w:numId="148">
    <w:abstractNumId w:val="10"/>
    <w:lvlOverride w:ilvl="0">
      <w:startOverride w:val="7"/>
    </w:lvlOverride>
  </w:num>
  <w:num w:numId="149">
    <w:abstractNumId w:val="15"/>
    <w:lvlOverride w:ilvl="0">
      <w:startOverride w:val="1"/>
    </w:lvlOverride>
  </w:num>
  <w:num w:numId="150">
    <w:abstractNumId w:val="12"/>
    <w:lvlOverride w:ilvl="0">
      <w:startOverride w:val="1"/>
    </w:lvlOverride>
  </w:num>
  <w:num w:numId="151">
    <w:abstractNumId w:val="10"/>
    <w:lvlOverride w:ilvl="0">
      <w:startOverride w:val="8"/>
    </w:lvlOverride>
  </w:num>
  <w:num w:numId="152">
    <w:abstractNumId w:val="15"/>
    <w:lvlOverride w:ilvl="0">
      <w:startOverride w:val="1"/>
    </w:lvlOverride>
  </w:num>
  <w:num w:numId="153">
    <w:abstractNumId w:val="10"/>
    <w:lvlOverride w:ilvl="0">
      <w:startOverride w:val="9"/>
    </w:lvlOverride>
  </w:num>
  <w:num w:numId="154">
    <w:abstractNumId w:val="15"/>
    <w:lvlOverride w:ilvl="0">
      <w:startOverride w:val="1"/>
    </w:lvlOverride>
  </w:num>
  <w:num w:numId="155">
    <w:abstractNumId w:val="16"/>
    <w:lvlOverride w:ilvl="0">
      <w:startOverride w:val="222"/>
    </w:lvlOverride>
  </w:num>
  <w:num w:numId="156">
    <w:abstractNumId w:val="10"/>
    <w:lvlOverride w:ilvl="0">
      <w:startOverride w:val="1"/>
    </w:lvlOverride>
  </w:num>
  <w:num w:numId="157">
    <w:abstractNumId w:val="16"/>
    <w:lvlOverride w:ilvl="0">
      <w:startOverride w:val="223"/>
    </w:lvlOverride>
  </w:num>
  <w:num w:numId="158">
    <w:abstractNumId w:val="10"/>
    <w:lvlOverride w:ilvl="0">
      <w:startOverride w:val="1"/>
    </w:lvlOverride>
  </w:num>
  <w:num w:numId="159">
    <w:abstractNumId w:val="15"/>
    <w:lvlOverride w:ilvl="0">
      <w:startOverride w:val="1"/>
    </w:lvlOverride>
  </w:num>
  <w:num w:numId="160">
    <w:abstractNumId w:val="10"/>
    <w:lvlOverride w:ilvl="0">
      <w:startOverride w:val="2"/>
    </w:lvlOverride>
  </w:num>
  <w:num w:numId="161">
    <w:abstractNumId w:val="16"/>
    <w:lvlOverride w:ilvl="0">
      <w:startOverride w:val="225"/>
    </w:lvlOverride>
  </w:num>
  <w:num w:numId="162">
    <w:abstractNumId w:val="10"/>
    <w:lvlOverride w:ilvl="0">
      <w:startOverride w:val="1"/>
    </w:lvlOverride>
  </w:num>
  <w:num w:numId="163">
    <w:abstractNumId w:val="16"/>
    <w:lvlOverride w:ilvl="0">
      <w:startOverride w:val="226"/>
    </w:lvlOverride>
  </w:num>
  <w:num w:numId="164">
    <w:abstractNumId w:val="10"/>
    <w:lvlOverride w:ilvl="0">
      <w:startOverride w:val="1"/>
    </w:lvlOverride>
  </w:num>
  <w:num w:numId="165">
    <w:abstractNumId w:val="16"/>
    <w:lvlOverride w:ilvl="0">
      <w:startOverride w:val="227"/>
    </w:lvlOverride>
  </w:num>
  <w:num w:numId="166">
    <w:abstractNumId w:val="16"/>
    <w:lvlOverride w:ilvl="0">
      <w:startOverride w:val="229"/>
    </w:lvlOverride>
  </w:num>
  <w:num w:numId="167">
    <w:abstractNumId w:val="16"/>
    <w:lvlOverride w:ilvl="0">
      <w:startOverride w:val="230"/>
    </w:lvlOverride>
  </w:num>
  <w:num w:numId="168">
    <w:abstractNumId w:val="16"/>
    <w:lvlOverride w:ilvl="0">
      <w:startOverride w:val="231"/>
    </w:lvlOverride>
  </w:num>
  <w:num w:numId="169">
    <w:abstractNumId w:val="16"/>
    <w:lvlOverride w:ilvl="0">
      <w:startOverride w:val="233"/>
    </w:lvlOverride>
  </w:num>
  <w:num w:numId="170">
    <w:abstractNumId w:val="16"/>
    <w:lvlOverride w:ilvl="0">
      <w:startOverride w:val="241"/>
    </w:lvlOverride>
  </w:num>
  <w:num w:numId="171">
    <w:abstractNumId w:val="16"/>
    <w:lvlOverride w:ilvl="0">
      <w:startOverride w:val="243"/>
    </w:lvlOverride>
  </w:num>
  <w:num w:numId="172">
    <w:abstractNumId w:val="8"/>
    <w:lvlOverride w:ilvl="0">
      <w:startOverride w:val="1"/>
    </w:lvlOverride>
  </w:num>
  <w:num w:numId="173">
    <w:abstractNumId w:val="16"/>
    <w:lvlOverride w:ilvl="0">
      <w:startOverride w:val="248"/>
    </w:lvlOverride>
  </w:num>
  <w:num w:numId="174">
    <w:abstractNumId w:val="16"/>
    <w:lvlOverride w:ilvl="0">
      <w:startOverride w:val="252"/>
    </w:lvlOverride>
  </w:num>
  <w:num w:numId="175">
    <w:abstractNumId w:val="15"/>
    <w:lvlOverride w:ilvl="0">
      <w:startOverride w:val="1"/>
    </w:lvlOverride>
  </w:num>
  <w:num w:numId="176">
    <w:abstractNumId w:val="16"/>
    <w:lvlOverride w:ilvl="0">
      <w:startOverride w:val="258"/>
    </w:lvlOverride>
  </w:num>
  <w:num w:numId="177">
    <w:abstractNumId w:val="16"/>
    <w:lvlOverride w:ilvl="0">
      <w:startOverride w:val="267"/>
    </w:lvlOverride>
  </w:num>
  <w:num w:numId="178">
    <w:abstractNumId w:val="16"/>
    <w:lvlOverride w:ilvl="0">
      <w:startOverride w:val="268"/>
    </w:lvlOverride>
  </w:num>
  <w:num w:numId="179">
    <w:abstractNumId w:val="16"/>
    <w:lvlOverride w:ilvl="0">
      <w:startOverride w:val="277"/>
    </w:lvlOverride>
  </w:num>
  <w:num w:numId="180">
    <w:abstractNumId w:val="10"/>
    <w:lvlOverride w:ilvl="0">
      <w:startOverride w:val="1"/>
    </w:lvlOverride>
  </w:num>
  <w:numIdMacAtCleanup w:val="21"/>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zoom w:percent="110"/>
  <w:proofState w:spelling="clean" w:grammar="clean"/>
  <w:stylePaneFormatFilter w:val="1001"/>
  <w:stylePaneSortMethod w:val="0000"/>
  <w:documentProtection w:formatting="true" w:enforcement="false"/>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1B7B"/>
    <w:rsid w:val="0003597A"/>
    <w:rsid w:val="00042DF8"/>
    <w:rsid w:val="00072148"/>
    <w:rsid w:val="000A5273"/>
    <w:rsid w:val="000A5625"/>
    <w:rsid w:val="000A6DFA"/>
    <w:rsid w:val="000B2FCF"/>
    <w:rsid w:val="000C1A83"/>
    <w:rsid w:val="000D1F26"/>
    <w:rsid w:val="00111EC5"/>
    <w:rsid w:val="00121EC3"/>
    <w:rsid w:val="001338EF"/>
    <w:rsid w:val="00153E6E"/>
    <w:rsid w:val="00162707"/>
    <w:rsid w:val="001751EB"/>
    <w:rsid w:val="001820C8"/>
    <w:rsid w:val="00194D5E"/>
    <w:rsid w:val="00196071"/>
    <w:rsid w:val="001A3504"/>
    <w:rsid w:val="001B5128"/>
    <w:rsid w:val="001B7A55"/>
    <w:rsid w:val="001C3ADC"/>
    <w:rsid w:val="001C6E19"/>
    <w:rsid w:val="001D4762"/>
    <w:rsid w:val="001E75B2"/>
    <w:rsid w:val="00201CA2"/>
    <w:rsid w:val="00217987"/>
    <w:rsid w:val="002316E1"/>
    <w:rsid w:val="00251EE4"/>
    <w:rsid w:val="002541A8"/>
    <w:rsid w:val="00266EE1"/>
    <w:rsid w:val="00277342"/>
    <w:rsid w:val="002813BA"/>
    <w:rsid w:val="00287CB0"/>
    <w:rsid w:val="00292360"/>
    <w:rsid w:val="002A0321"/>
    <w:rsid w:val="002B5896"/>
    <w:rsid w:val="002D6852"/>
    <w:rsid w:val="00326903"/>
    <w:rsid w:val="00370C13"/>
    <w:rsid w:val="00372DFF"/>
    <w:rsid w:val="00375B64"/>
    <w:rsid w:val="00392276"/>
    <w:rsid w:val="003C07B8"/>
    <w:rsid w:val="003C2324"/>
    <w:rsid w:val="003C5ECC"/>
    <w:rsid w:val="003E2F29"/>
    <w:rsid w:val="003E7136"/>
    <w:rsid w:val="003F31CE"/>
    <w:rsid w:val="0041314F"/>
    <w:rsid w:val="00455FA7"/>
    <w:rsid w:val="00474412"/>
    <w:rsid w:val="004913C9"/>
    <w:rsid w:val="004930AF"/>
    <w:rsid w:val="0049645A"/>
    <w:rsid w:val="004967FE"/>
    <w:rsid w:val="004A71FA"/>
    <w:rsid w:val="004C5062"/>
    <w:rsid w:val="004D5416"/>
    <w:rsid w:val="005302CC"/>
    <w:rsid w:val="005332AB"/>
    <w:rsid w:val="00542268"/>
    <w:rsid w:val="00546295"/>
    <w:rsid w:val="00555D49"/>
    <w:rsid w:val="00575582"/>
    <w:rsid w:val="00575FAB"/>
    <w:rsid w:val="005B5E79"/>
    <w:rsid w:val="005D42DF"/>
    <w:rsid w:val="00642328"/>
    <w:rsid w:val="00644A82"/>
    <w:rsid w:val="006709AA"/>
    <w:rsid w:val="00676B35"/>
    <w:rsid w:val="00677778"/>
    <w:rsid w:val="00680374"/>
    <w:rsid w:val="006A32FB"/>
    <w:rsid w:val="006A4211"/>
    <w:rsid w:val="006D3721"/>
    <w:rsid w:val="006E0C28"/>
    <w:rsid w:val="006E7434"/>
    <w:rsid w:val="00711F07"/>
    <w:rsid w:val="00720C07"/>
    <w:rsid w:val="007360E8"/>
    <w:rsid w:val="007403DF"/>
    <w:rsid w:val="00770D05"/>
    <w:rsid w:val="00781479"/>
    <w:rsid w:val="00796C0B"/>
    <w:rsid w:val="007B2534"/>
    <w:rsid w:val="007E28FE"/>
    <w:rsid w:val="007F4A55"/>
    <w:rsid w:val="008116B4"/>
    <w:rsid w:val="0081465C"/>
    <w:rsid w:val="00820AFE"/>
    <w:rsid w:val="00822024"/>
    <w:rsid w:val="00831DA1"/>
    <w:rsid w:val="00837FFD"/>
    <w:rsid w:val="00856777"/>
    <w:rsid w:val="008648A1"/>
    <w:rsid w:val="00873086"/>
    <w:rsid w:val="00882F5B"/>
    <w:rsid w:val="008942E1"/>
    <w:rsid w:val="008A0343"/>
    <w:rsid w:val="008D401E"/>
    <w:rsid w:val="008E0F12"/>
    <w:rsid w:val="008E4DC4"/>
    <w:rsid w:val="008F3D40"/>
    <w:rsid w:val="00904372"/>
    <w:rsid w:val="00931AD2"/>
    <w:rsid w:val="00934F67"/>
    <w:rsid w:val="0094336B"/>
    <w:rsid w:val="009459F3"/>
    <w:rsid w:val="0098476B"/>
    <w:rsid w:val="00996CC0"/>
    <w:rsid w:val="009B29A0"/>
    <w:rsid w:val="009C6388"/>
    <w:rsid w:val="009C744F"/>
    <w:rsid w:val="009F0F22"/>
    <w:rsid w:val="00A125DF"/>
    <w:rsid w:val="00A2002E"/>
    <w:rsid w:val="00A345A3"/>
    <w:rsid w:val="00A50595"/>
    <w:rsid w:val="00A666D2"/>
    <w:rsid w:val="00A742BC"/>
    <w:rsid w:val="00A7789C"/>
    <w:rsid w:val="00AC2B81"/>
    <w:rsid w:val="00AC41BF"/>
    <w:rsid w:val="00AE0713"/>
    <w:rsid w:val="00AE6B34"/>
    <w:rsid w:val="00AF2480"/>
    <w:rsid w:val="00B006AC"/>
    <w:rsid w:val="00B0201F"/>
    <w:rsid w:val="00B078D6"/>
    <w:rsid w:val="00B33ABF"/>
    <w:rsid w:val="00B57BBB"/>
    <w:rsid w:val="00B60310"/>
    <w:rsid w:val="00B73C96"/>
    <w:rsid w:val="00B74D80"/>
    <w:rsid w:val="00B914EB"/>
    <w:rsid w:val="00BC3E3E"/>
    <w:rsid w:val="00BF46E1"/>
    <w:rsid w:val="00C11B7B"/>
    <w:rsid w:val="00C13AF5"/>
    <w:rsid w:val="00C27F1D"/>
    <w:rsid w:val="00C40A7E"/>
    <w:rsid w:val="00C41222"/>
    <w:rsid w:val="00C45B9A"/>
    <w:rsid w:val="00C55929"/>
    <w:rsid w:val="00C60864"/>
    <w:rsid w:val="00C6655F"/>
    <w:rsid w:val="00C72D08"/>
    <w:rsid w:val="00C746C8"/>
    <w:rsid w:val="00C9448F"/>
    <w:rsid w:val="00CC23D0"/>
    <w:rsid w:val="00CD6864"/>
    <w:rsid w:val="00CF78E7"/>
    <w:rsid w:val="00D029A0"/>
    <w:rsid w:val="00D149D0"/>
    <w:rsid w:val="00D32E73"/>
    <w:rsid w:val="00D37BAC"/>
    <w:rsid w:val="00D82789"/>
    <w:rsid w:val="00D93D6E"/>
    <w:rsid w:val="00DA03B8"/>
    <w:rsid w:val="00DA4CFB"/>
    <w:rsid w:val="00DA6160"/>
    <w:rsid w:val="00DD45C9"/>
    <w:rsid w:val="00DE3552"/>
    <w:rsid w:val="00DF54D0"/>
    <w:rsid w:val="00E101FF"/>
    <w:rsid w:val="00E1232E"/>
    <w:rsid w:val="00E20610"/>
    <w:rsid w:val="00E20C5D"/>
    <w:rsid w:val="00E4356F"/>
    <w:rsid w:val="00E447C7"/>
    <w:rsid w:val="00E57842"/>
    <w:rsid w:val="00E605E5"/>
    <w:rsid w:val="00E827DB"/>
    <w:rsid w:val="00EB2D93"/>
    <w:rsid w:val="00ED3424"/>
    <w:rsid w:val="00ED5DE9"/>
    <w:rsid w:val="00EE61A9"/>
    <w:rsid w:val="00EF2FE1"/>
    <w:rsid w:val="00EF40A6"/>
    <w:rsid w:val="00EF4519"/>
    <w:rsid w:val="00F11B42"/>
    <w:rsid w:val="00F155CF"/>
    <w:rsid w:val="00F22B5D"/>
    <w:rsid w:val="00F36D30"/>
    <w:rsid w:val="00F52FDE"/>
    <w:rsid w:val="00F65F85"/>
    <w:rsid w:val="00F82171"/>
    <w:rsid w:val="00F822F4"/>
    <w:rsid w:val="00F82F2E"/>
    <w:rsid w:val="00F858CF"/>
    <w:rsid w:val="00F92C9B"/>
    <w:rsid w:val="00F9716D"/>
    <w:rsid w:val="00FB03B7"/>
    <w:rsid w:val="00FB528A"/>
    <w:rsid w:val="00FE376B"/>
    <w:rsid w:val="00FF0BFE"/>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spidmax="1026" v:ext="edit"/>
    <o:shapelayout v:ext="edit">
      <o:idmap data="1" v:ext="edit"/>
    </o:shapelayout>
  </w:shapeDefaults>
  <w:decimalSymbol w:val="."/>
  <w:listSeparator w:val=","/>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w14">
  <w:docDefaults>
    <w:rPrDefault>
      <w:rPr>
        <w:rFonts w:ascii="Arial" w:hAnsi="Arial" w:eastAsia="Calibri" w:cs="Times New Roman"/>
        <w:sz w:val="24"/>
        <w:szCs w:val="24"/>
        <w:lang w:val="en-AU" w:eastAsia="en-AU" w:bidi="ar-SA"/>
      </w:rPr>
    </w:rPrDefault>
    <w:pPrDefault/>
  </w:docDefaults>
  <w:latentStyles w:defLockedState="true" w:defUIPriority="99" w:defSemiHidden="true" w:defUnhideWhenUsed="true" w:defQFormat="false" w:count="267">
    <w:lsdException w:name="Normal" w:locked="false" w:uiPriority="0" w:semiHidden="false" w:unhideWhenUsed="false"/>
    <w:lsdException w:name="heading 1" w:locked="false" w:uiPriority="0" w:semiHidden="false" w:unhideWhenUsed="false" w:qFormat="true"/>
    <w:lsdException w:name="heading 2" w:locked="false" w:uiPriority="0" w:qFormat="true"/>
    <w:lsdException w:name="heading 3" w:locked="false" w:uiPriority="0" w:qFormat="true"/>
    <w:lsdException w:name="heading 4" w:uiPriority="0" w:qFormat="true"/>
    <w:lsdException w:name="heading 5" w:locked="false" w:uiPriority="0" w:qFormat="true"/>
    <w:lsdException w:name="heading 6" w:uiPriority="0" w:qFormat="true"/>
    <w:lsdException w:name="heading 7" w:qFormat="true"/>
    <w:lsdException w:name="heading 8" w:qFormat="true"/>
    <w:lsdException w:name="heading 9" w:qFormat="true"/>
    <w:lsdException w:name="toc 1" w:uiPriority="39" w:qFormat="true"/>
    <w:lsdException w:name="toc 2" w:uiPriority="39" w:qFormat="true"/>
    <w:lsdException w:name="toc 3" w:uiPriority="39" w:qFormat="true"/>
    <w:lsdException w:name="toc 4" w:uiPriority="39"/>
    <w:lsdException w:name="toc 5" w:uiPriority="39"/>
    <w:lsdException w:name="toc 6" w:uiPriority="39"/>
    <w:lsdException w:name="toc 7" w:uiPriority="39"/>
    <w:lsdException w:name="toc 8" w:uiPriority="39"/>
    <w:lsdException w:name="toc 9" w:uiPriority="39"/>
    <w:lsdException w:name="caption" w:qFormat="true"/>
    <w:lsdException w:name="annotation reference" w:uiPriority="0"/>
    <w:lsdException w:name="Title" w:uiPriority="10" w:unhideWhenUsed="false" w:qFormat="true"/>
    <w:lsdException w:name="Default Paragraph Font" w:locked="false" w:uiPriority="1"/>
    <w:lsdException w:name="Body Text" w:locked="false" w:uiPriority="0"/>
    <w:lsdException w:name="Body Text Indent" w:locked="false"/>
    <w:lsdException w:name="Subtitle" w:uiPriority="11" w:unhideWhenUsed="false" w:qFormat="true"/>
    <w:lsdException w:name="Body Text First Indent" w:locked="false"/>
    <w:lsdException w:name="Body Text First Indent 2" w:locked="false"/>
    <w:lsdException w:name="Body Text 2" w:locked="false"/>
    <w:lsdException w:name="Body Text 3" w:locked="false"/>
    <w:lsdException w:name="FollowedHyperlink" w:uiPriority="0"/>
    <w:lsdException w:name="Strong" w:locked="false" w:uiPriority="22" w:unhideWhenUsed="false" w:qFormat="true"/>
    <w:lsdException w:name="Emphasis" w:uiPriority="20" w:unhideWhenUsed="false" w:qFormat="true"/>
    <w:lsdException w:name="HTML Top of Form" w:locked="false"/>
    <w:lsdException w:name="HTML Bottom of Form" w:locked="false"/>
    <w:lsdException w:name="Normal Table" w:locked="false"/>
    <w:lsdException w:name="No List" w:locked="false"/>
    <w:lsdException w:name="Balloon Text" w:locked="false"/>
    <w:lsdException w:name="Table Grid" w:locked="false" w:uiPriority="59" w:semiHidden="false" w:unhideWhenUsed="false"/>
    <w:lsdException w:name="Placeholder Text" w:locked="false" w:unhideWhenUsed="false"/>
    <w:lsdException w:name="No Spacing" w:uiPriority="1" w:unhideWhenUsed="false" w:qFormat="true"/>
    <w:lsdException w:name="Light Shading" w:uiPriority="60" w:semiHidden="false" w:unhideWhenUsed="false"/>
    <w:lsdException w:name="Light List" w:uiPriority="61" w:semiHidden="false" w:unhideWhenUsed="false"/>
    <w:lsdException w:name="Light Grid" w:uiPriority="62" w:semiHidden="false" w:unhideWhenUsed="false"/>
    <w:lsdException w:name="Medium Shading 1" w:uiPriority="63" w:semiHidden="false" w:unhideWhenUsed="false"/>
    <w:lsdException w:name="Medium Shading 2" w:uiPriority="64" w:semiHidden="false" w:unhideWhenUsed="false"/>
    <w:lsdException w:name="Medium List 1" w:uiPriority="65" w:semiHidden="false" w:unhideWhenUsed="false"/>
    <w:lsdException w:name="Medium List 2" w:uiPriority="66" w:semiHidden="false" w:unhideWhenUsed="false"/>
    <w:lsdException w:name="Medium Grid 1" w:uiPriority="67" w:semiHidden="false" w:unhideWhenUsed="false"/>
    <w:lsdException w:name="Medium Grid 2" w:uiPriority="68" w:semiHidden="false" w:unhideWhenUsed="false"/>
    <w:lsdException w:name="Medium Grid 3" w:uiPriority="69" w:semiHidden="false" w:unhideWhenUsed="false"/>
    <w:lsdException w:name="Dark List" w:uiPriority="70" w:semiHidden="false" w:unhideWhenUsed="false"/>
    <w:lsdException w:name="Colorful Shading" w:uiPriority="71" w:semiHidden="false" w:unhideWhenUsed="false"/>
    <w:lsdException w:name="Colorful List" w:uiPriority="72" w:semiHidden="false" w:unhideWhenUsed="false"/>
    <w:lsdException w:name="Colorful Grid" w:uiPriority="73" w:semiHidden="false" w:unhideWhenUsed="false"/>
    <w:lsdException w:name="Light Shading Accent 1" w:uiPriority="60" w:semiHidden="false" w:unhideWhenUsed="false"/>
    <w:lsdException w:name="Light List Accent 1" w:uiPriority="61" w:semiHidden="false" w:unhideWhenUsed="false"/>
    <w:lsdException w:name="Light Grid Accent 1" w:uiPriority="62" w:semiHidden="false" w:unhideWhenUsed="false"/>
    <w:lsdException w:name="Medium Shading 1 Accent 1" w:uiPriority="63" w:semiHidden="false" w:unhideWhenUsed="false"/>
    <w:lsdException w:name="Medium Shading 2 Accent 1" w:uiPriority="64" w:semiHidden="false" w:unhideWhenUsed="false"/>
    <w:lsdException w:name="Medium List 1 Accent 1" w:uiPriority="65" w:semiHidden="false" w:unhideWhenUsed="false"/>
    <w:lsdException w:name="Revision" w:locked="false" w:unhideWhenUsed="false"/>
    <w:lsdException w:name="List Paragraph" w:uiPriority="34" w:unhideWhenUsed="false" w:qFormat="true"/>
    <w:lsdException w:name="Quote" w:uiPriority="29" w:unhideWhenUsed="false" w:qFormat="true"/>
    <w:lsdException w:name="Intense Quote" w:uiPriority="30" w:unhideWhenUsed="false" w:qFormat="true"/>
    <w:lsdException w:name="Medium List 2 Accent 1" w:uiPriority="66" w:semiHidden="false" w:unhideWhenUsed="false"/>
    <w:lsdException w:name="Medium Grid 1 Accent 1" w:uiPriority="67" w:semiHidden="false" w:unhideWhenUsed="false"/>
    <w:lsdException w:name="Medium Grid 2 Accent 1" w:uiPriority="68" w:semiHidden="false" w:unhideWhenUsed="false"/>
    <w:lsdException w:name="Medium Grid 3 Accent 1" w:uiPriority="69" w:semiHidden="false" w:unhideWhenUsed="false"/>
    <w:lsdException w:name="Dark List Accent 1" w:uiPriority="70" w:semiHidden="false" w:unhideWhenUsed="false"/>
    <w:lsdException w:name="Colorful Shading Accent 1" w:uiPriority="71" w:semiHidden="false" w:unhideWhenUsed="false"/>
    <w:lsdException w:name="Colorful List Accent 1" w:uiPriority="72" w:semiHidden="false" w:unhideWhenUsed="false"/>
    <w:lsdException w:name="Colorful Grid Accent 1" w:uiPriority="73" w:semiHidden="false" w:unhideWhenUsed="false"/>
    <w:lsdException w:name="Light Shading Accent 2" w:uiPriority="60" w:semiHidden="false" w:unhideWhenUsed="false"/>
    <w:lsdException w:name="Light List Accent 2" w:uiPriority="61" w:semiHidden="false" w:unhideWhenUsed="false"/>
    <w:lsdException w:name="Light Grid Accent 2" w:uiPriority="62" w:semiHidden="false" w:unhideWhenUsed="false"/>
    <w:lsdException w:name="Medium Shading 1 Accent 2" w:uiPriority="63" w:semiHidden="false" w:unhideWhenUsed="false"/>
    <w:lsdException w:name="Medium Shading 2 Accent 2" w:uiPriority="64" w:semiHidden="false" w:unhideWhenUsed="false"/>
    <w:lsdException w:name="Medium List 1 Accent 2" w:uiPriority="65" w:semiHidden="false" w:unhideWhenUsed="false"/>
    <w:lsdException w:name="Medium List 2 Accent 2" w:uiPriority="66" w:semiHidden="false" w:unhideWhenUsed="false"/>
    <w:lsdException w:name="Medium Grid 1 Accent 2" w:uiPriority="67" w:semiHidden="false" w:unhideWhenUsed="false"/>
    <w:lsdException w:name="Medium Grid 2 Accent 2" w:uiPriority="68" w:semiHidden="false" w:unhideWhenUsed="false"/>
    <w:lsdException w:name="Medium Grid 3 Accent 2" w:uiPriority="69" w:semiHidden="false" w:unhideWhenUsed="false"/>
    <w:lsdException w:name="Dark List Accent 2" w:uiPriority="70" w:semiHidden="false" w:unhideWhenUsed="false"/>
    <w:lsdException w:name="Colorful Shading Accent 2" w:uiPriority="71" w:semiHidden="false" w:unhideWhenUsed="false"/>
    <w:lsdException w:name="Colorful List Accent 2" w:uiPriority="72" w:semiHidden="false" w:unhideWhenUsed="false"/>
    <w:lsdException w:name="Colorful Grid Accent 2" w:uiPriority="73" w:semiHidden="false" w:unhideWhenUsed="false"/>
    <w:lsdException w:name="Light Shading Accent 3" w:uiPriority="60" w:semiHidden="false" w:unhideWhenUsed="false"/>
    <w:lsdException w:name="Light List Accent 3" w:uiPriority="61" w:semiHidden="false" w:unhideWhenUsed="false"/>
    <w:lsdException w:name="Light Grid Accent 3" w:uiPriority="62" w:semiHidden="false" w:unhideWhenUsed="false"/>
    <w:lsdException w:name="Medium Shading 1 Accent 3" w:uiPriority="63" w:semiHidden="false" w:unhideWhenUsed="false"/>
    <w:lsdException w:name="Medium Shading 2 Accent 3" w:uiPriority="64" w:semiHidden="false" w:unhideWhenUsed="false"/>
    <w:lsdException w:name="Medium List 1 Accent 3" w:uiPriority="65" w:semiHidden="false" w:unhideWhenUsed="false"/>
    <w:lsdException w:name="Medium List 2 Accent 3" w:uiPriority="66" w:semiHidden="false" w:unhideWhenUsed="false"/>
    <w:lsdException w:name="Medium Grid 1 Accent 3" w:uiPriority="67" w:semiHidden="false" w:unhideWhenUsed="false"/>
    <w:lsdException w:name="Medium Grid 2 Accent 3" w:uiPriority="68" w:semiHidden="false" w:unhideWhenUsed="false"/>
    <w:lsdException w:name="Medium Grid 3 Accent 3" w:uiPriority="69" w:semiHidden="false" w:unhideWhenUsed="false"/>
    <w:lsdException w:name="Dark List Accent 3" w:uiPriority="70" w:semiHidden="false" w:unhideWhenUsed="false"/>
    <w:lsdException w:name="Colorful Shading Accent 3" w:uiPriority="71" w:semiHidden="false" w:unhideWhenUsed="false"/>
    <w:lsdException w:name="Colorful List Accent 3" w:uiPriority="72" w:semiHidden="false" w:unhideWhenUsed="false"/>
    <w:lsdException w:name="Colorful Grid Accent 3" w:uiPriority="73" w:semiHidden="false" w:unhideWhenUsed="false"/>
    <w:lsdException w:name="Light Shading Accent 4" w:uiPriority="60" w:semiHidden="false" w:unhideWhenUsed="false"/>
    <w:lsdException w:name="Light List Accent 4" w:uiPriority="61" w:semiHidden="false" w:unhideWhenUsed="false"/>
    <w:lsdException w:name="Light Grid Accent 4" w:uiPriority="62" w:semiHidden="false" w:unhideWhenUsed="false"/>
    <w:lsdException w:name="Medium Shading 1 Accent 4" w:uiPriority="63" w:semiHidden="false" w:unhideWhenUsed="false"/>
    <w:lsdException w:name="Medium Shading 2 Accent 4" w:uiPriority="64" w:semiHidden="false" w:unhideWhenUsed="false"/>
    <w:lsdException w:name="Medium List 1 Accent 4" w:uiPriority="65" w:semiHidden="false" w:unhideWhenUsed="false"/>
    <w:lsdException w:name="Medium List 2 Accent 4" w:uiPriority="66" w:semiHidden="false" w:unhideWhenUsed="false"/>
    <w:lsdException w:name="Medium Grid 1 Accent 4" w:uiPriority="67" w:semiHidden="false" w:unhideWhenUsed="false"/>
    <w:lsdException w:name="Medium Grid 2 Accent 4" w:uiPriority="68" w:semiHidden="false" w:unhideWhenUsed="false"/>
    <w:lsdException w:name="Medium Grid 3 Accent 4" w:uiPriority="69" w:semiHidden="false" w:unhideWhenUsed="false"/>
    <w:lsdException w:name="Dark List Accent 4" w:uiPriority="70" w:semiHidden="false" w:unhideWhenUsed="false"/>
    <w:lsdException w:name="Colorful Shading Accent 4" w:uiPriority="71" w:semiHidden="false" w:unhideWhenUsed="false"/>
    <w:lsdException w:name="Colorful List Accent 4" w:uiPriority="72" w:semiHidden="false" w:unhideWhenUsed="false"/>
    <w:lsdException w:name="Colorful Grid Accent 4" w:uiPriority="73" w:semiHidden="false" w:unhideWhenUsed="false"/>
    <w:lsdException w:name="Light Shading Accent 5" w:uiPriority="60" w:semiHidden="false" w:unhideWhenUsed="false"/>
    <w:lsdException w:name="Light List Accent 5" w:uiPriority="61" w:semiHidden="false" w:unhideWhenUsed="false"/>
    <w:lsdException w:name="Light Grid Accent 5" w:uiPriority="62" w:semiHidden="false" w:unhideWhenUsed="false"/>
    <w:lsdException w:name="Medium Shading 1 Accent 5" w:uiPriority="63" w:semiHidden="false" w:unhideWhenUsed="false"/>
    <w:lsdException w:name="Medium Shading 2 Accent 5" w:uiPriority="64" w:semiHidden="false" w:unhideWhenUsed="false"/>
    <w:lsdException w:name="Medium List 1 Accent 5" w:uiPriority="65" w:semiHidden="false" w:unhideWhenUsed="false"/>
    <w:lsdException w:name="Medium List 2 Accent 5" w:uiPriority="66" w:semiHidden="false" w:unhideWhenUsed="false"/>
    <w:lsdException w:name="Medium Grid 1 Accent 5" w:uiPriority="67" w:semiHidden="false" w:unhideWhenUsed="false"/>
    <w:lsdException w:name="Medium Grid 2 Accent 5" w:uiPriority="68" w:semiHidden="false" w:unhideWhenUsed="false"/>
    <w:lsdException w:name="Medium Grid 3 Accent 5" w:uiPriority="69" w:semiHidden="false" w:unhideWhenUsed="false"/>
    <w:lsdException w:name="Dark List Accent 5" w:uiPriority="70" w:semiHidden="false" w:unhideWhenUsed="false"/>
    <w:lsdException w:name="Colorful Shading Accent 5" w:uiPriority="71" w:semiHidden="false" w:unhideWhenUsed="false"/>
    <w:lsdException w:name="Colorful List Accent 5" w:uiPriority="72" w:semiHidden="false" w:unhideWhenUsed="false"/>
    <w:lsdException w:name="Colorful Grid Accent 5" w:uiPriority="73" w:semiHidden="false" w:unhideWhenUsed="false"/>
    <w:lsdException w:name="Light Shading Accent 6" w:uiPriority="60" w:semiHidden="false" w:unhideWhenUsed="false"/>
    <w:lsdException w:name="Light List Accent 6" w:uiPriority="61" w:semiHidden="false" w:unhideWhenUsed="false"/>
    <w:lsdException w:name="Light Grid Accent 6" w:uiPriority="62" w:semiHidden="false" w:unhideWhenUsed="false"/>
    <w:lsdException w:name="Medium Shading 1 Accent 6" w:uiPriority="63" w:semiHidden="false" w:unhideWhenUsed="false"/>
    <w:lsdException w:name="Medium Shading 2 Accent 6" w:uiPriority="64" w:semiHidden="false" w:unhideWhenUsed="false"/>
    <w:lsdException w:name="Medium List 1 Accent 6" w:uiPriority="65" w:semiHidden="false" w:unhideWhenUsed="false"/>
    <w:lsdException w:name="Medium List 2 Accent 6" w:uiPriority="66" w:semiHidden="false" w:unhideWhenUsed="false"/>
    <w:lsdException w:name="Medium Grid 1 Accent 6" w:uiPriority="67" w:semiHidden="false" w:unhideWhenUsed="false"/>
    <w:lsdException w:name="Medium Grid 2 Accent 6" w:uiPriority="68" w:semiHidden="false" w:unhideWhenUsed="false"/>
    <w:lsdException w:name="Medium Grid 3 Accent 6" w:uiPriority="69" w:semiHidden="false" w:unhideWhenUsed="false"/>
    <w:lsdException w:name="Dark List Accent 6" w:uiPriority="70" w:semiHidden="false" w:unhideWhenUsed="false"/>
    <w:lsdException w:name="Colorful Shading Accent 6" w:uiPriority="71" w:semiHidden="false" w:unhideWhenUsed="false"/>
    <w:lsdException w:name="Colorful List Accent 6" w:uiPriority="72" w:semiHidden="false" w:unhideWhenUsed="false"/>
    <w:lsdException w:name="Colorful Grid Accent 6" w:uiPriority="73" w:semiHidden="false" w:unhideWhenUsed="false"/>
    <w:lsdException w:name="Subtle Emphasis" w:uiPriority="19" w:unhideWhenUsed="false" w:qFormat="true"/>
    <w:lsdException w:name="Intense Emphasis" w:uiPriority="21" w:unhideWhenUsed="false" w:qFormat="true"/>
    <w:lsdException w:name="Subtle Reference" w:uiPriority="31" w:unhideWhenUsed="false" w:qFormat="true"/>
    <w:lsdException w:name="Intense Reference" w:uiPriority="32" w:unhideWhenUsed="false" w:qFormat="true"/>
    <w:lsdException w:name="Book Title" w:uiPriority="33" w:unhideWhenUsed="false" w:qFormat="true"/>
    <w:lsdException w:name="Bibliography" w:uiPriority="37"/>
    <w:lsdException w:name="TOC Heading" w:uiPriority="39" w:qFormat="true"/>
  </w:latentStyles>
  <w:style w:type="paragraph" w:styleId="Normal" w:default="true">
    <w:name w:val="Normal"/>
    <w:semiHidden/>
    <w:rsid w:val="009459F3"/>
    <w:pPr>
      <w:spacing w:after="200" w:line="276" w:lineRule="auto"/>
    </w:pPr>
  </w:style>
  <w:style w:type="paragraph" w:styleId="Heading1">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before="240" w:after="60"/>
      <w:outlineLvl w:val="0"/>
    </w:pPr>
    <w:rPr>
      <w:rFonts w:asciiTheme="majorHAnsi" w:hAnsiTheme="majorHAnsi" w:eastAsiaTheme="majorEastAsia" w:cstheme="majorBidi"/>
      <w:b/>
      <w:bCs/>
      <w:kern w:val="32"/>
      <w:sz w:val="32"/>
      <w:szCs w:val="32"/>
    </w:rPr>
  </w:style>
  <w:style w:type="paragraph" w:styleId="Heading2">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before="240" w:after="60"/>
      <w:outlineLvl w:val="1"/>
    </w:pPr>
    <w:rPr>
      <w:rFonts w:asciiTheme="majorHAnsi" w:hAnsiTheme="majorHAnsi" w:eastAsiaTheme="majorEastAsia" w:cstheme="majorBidi"/>
      <w:b/>
      <w:bCs/>
      <w:i/>
      <w:iCs/>
      <w:sz w:val="28"/>
      <w:szCs w:val="28"/>
    </w:rPr>
  </w:style>
  <w:style w:type="paragraph" w:styleId="Heading3">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before="240" w:after="60"/>
      <w:outlineLvl w:val="2"/>
    </w:pPr>
    <w:rPr>
      <w:rFonts w:asciiTheme="majorHAnsi" w:hAnsiTheme="majorHAnsi" w:eastAsiaTheme="majorEastAsia" w:cstheme="majorBidi"/>
      <w:b/>
      <w:bCs/>
      <w:sz w:val="26"/>
      <w:szCs w:val="26"/>
    </w:rPr>
  </w:style>
  <w:style w:type="paragraph" w:styleId="Heading4">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aliases w:val="Level 3 - i,5,Normal5,Level 3 - (i)"/>
    <w:basedOn w:val="Heading4"/>
    <w:next w:val="Normal"/>
    <w:link w:val="Heading5Char"/>
    <w:semiHidden/>
    <w:unhideWhenUsed/>
    <w:qFormat/>
    <w:rsid w:val="00E1232E"/>
    <w:pPr>
      <w:keepLines w:val="false"/>
      <w:tabs>
        <w:tab w:val="num" w:pos="1008"/>
      </w:tabs>
      <w:spacing w:before="240" w:after="120" w:line="300" w:lineRule="auto"/>
      <w:ind w:left="1008" w:hanging="1008"/>
      <w:outlineLvl w:val="4"/>
    </w:pPr>
    <w:rPr>
      <w:rFonts w:ascii="Arial" w:hAnsi="Arial" w:eastAsia="Times New Roman" w:cs="Arial"/>
      <w:b w:val="false"/>
      <w:i w:val="false"/>
      <w:iCs w:val="false"/>
      <w:color w:val="auto"/>
      <w:szCs w:val="28"/>
      <w:lang w:eastAsia="en-US"/>
    </w:rPr>
  </w:style>
  <w:style w:type="paragraph" w:styleId="Heading6">
    <w:name w:val="heading 6"/>
    <w:aliases w:val="Legal Level 1.,Body Text 5,Normal6"/>
    <w:basedOn w:val="Heading5"/>
    <w:next w:val="Normal"/>
    <w:link w:val="Heading6Char"/>
    <w:semiHidden/>
    <w:unhideWhenUsed/>
    <w:qFormat/>
    <w:locked/>
    <w:rsid w:val="00E1232E"/>
    <w:pPr>
      <w:tabs>
        <w:tab w:val="clear" w:pos="1008"/>
        <w:tab w:val="num" w:pos="1152"/>
      </w:tabs>
      <w:ind w:left="1152" w:hanging="1152"/>
      <w:outlineLvl w:val="5"/>
    </w:pPr>
  </w:style>
  <w:style w:type="paragraph" w:styleId="Heading7">
    <w:name w:val="heading 7"/>
    <w:aliases w:val="Legal Level 1.1.,Body Text 6,Heading 7(unused),Normal7"/>
    <w:basedOn w:val="Heading6"/>
    <w:next w:val="Normal"/>
    <w:link w:val="Heading7Char"/>
    <w:uiPriority w:val="99"/>
    <w:semiHidden/>
    <w:unhideWhenUsed/>
    <w:qFormat/>
    <w:locked/>
    <w:rsid w:val="00E1232E"/>
    <w:pPr>
      <w:tabs>
        <w:tab w:val="clear" w:pos="1152"/>
        <w:tab w:val="num" w:pos="1296"/>
      </w:tabs>
      <w:ind w:left="1296" w:hanging="1296"/>
      <w:outlineLvl w:val="6"/>
    </w:pPr>
  </w:style>
  <w:style w:type="paragraph" w:styleId="Heading8">
    <w:name w:val="heading 8"/>
    <w:aliases w:val="Legal Level 1.1.1.,Body Text 7,Heading 8(unused),Heading 8 (Start Appendices),Normal8"/>
    <w:basedOn w:val="Heading7"/>
    <w:next w:val="Normal"/>
    <w:link w:val="Heading8Char"/>
    <w:uiPriority w:val="99"/>
    <w:semiHidden/>
    <w:unhideWhenUsed/>
    <w:qFormat/>
    <w:locked/>
    <w:rsid w:val="00E1232E"/>
    <w:pPr>
      <w:tabs>
        <w:tab w:val="clear" w:pos="1296"/>
        <w:tab w:val="num" w:pos="1440"/>
      </w:tabs>
      <w:ind w:left="1440" w:hanging="1440"/>
      <w:outlineLvl w:val="7"/>
    </w:pPr>
  </w:style>
  <w:style w:type="paragraph" w:styleId="Heading9">
    <w:name w:val="heading 9"/>
    <w:aliases w:val="Legal Level 1.1.1.1.,Body Text 8,Heading 9(unused),Appendix"/>
    <w:basedOn w:val="Heading8"/>
    <w:next w:val="Normal"/>
    <w:link w:val="Heading9Char"/>
    <w:uiPriority w:val="99"/>
    <w:semiHidden/>
    <w:unhideWhenUsed/>
    <w:qFormat/>
    <w:locked/>
    <w:rsid w:val="00E1232E"/>
    <w:pPr>
      <w:tabs>
        <w:tab w:val="clear" w:pos="1440"/>
        <w:tab w:val="num" w:pos="1584"/>
      </w:tabs>
      <w:ind w:left="1584" w:hanging="1584"/>
      <w:outlineLvl w:val="8"/>
    </w:pPr>
  </w:style>
  <w:style w:type="character" w:styleId="DefaultParagraphFont" w:default="true">
    <w:name w:val="Default Paragraph Font"/>
    <w:uiPriority w:val="1"/>
    <w:semiHidden/>
    <w:unhideWhenUsed/>
  </w:style>
  <w:style w:type="table" w:styleId="TableNormal" w:default="true">
    <w:name w:val="Normal Table"/>
    <w:uiPriority w:val="99"/>
    <w:semiHidden/>
    <w:unhideWhenUsed/>
    <w:tblPr>
      <w:tblInd w:w="0" w:type="dxa"/>
      <w:tblCellMar>
        <w:top w:w="0" w:type="dxa"/>
        <w:left w:w="108" w:type="dxa"/>
        <w:bottom w:w="0" w:type="dxa"/>
        <w:right w:w="108" w:type="dxa"/>
      </w:tblCellMar>
    </w:tblPr>
  </w:style>
  <w:style w:type="numbering" w:styleId="NoList" w:default="true">
    <w:name w:val="No List"/>
    <w:uiPriority w:val="99"/>
    <w:semiHidden/>
    <w:unhideWhenUsed/>
  </w:style>
  <w:style w:type="paragraph" w:styleId="CaselawCoversheet" w:customStyle="true">
    <w:name w:val="Caselaw Coversheet"/>
    <w:basedOn w:val="Normal"/>
    <w:qFormat/>
    <w:rsid w:val="009C6388"/>
    <w:pPr>
      <w:spacing w:after="0" w:line="240" w:lineRule="auto"/>
    </w:pPr>
    <w:rPr>
      <w:rFonts w:cs="Arial"/>
    </w:rPr>
  </w:style>
  <w:style w:type="paragraph" w:styleId="CaselawNormal" w:customStyle="true">
    <w:name w:val="Caselaw Normal"/>
    <w:basedOn w:val="CaselawCoversheet"/>
    <w:uiPriority w:val="6"/>
    <w:qFormat/>
    <w:locked/>
    <w:rsid w:val="007360E8"/>
    <w:pPr>
      <w:spacing w:after="240" w:line="360" w:lineRule="auto"/>
      <w:ind w:left="720"/>
    </w:pPr>
  </w:style>
  <w:style w:type="paragraph" w:styleId="CaselawNumbered10" w:customStyle="true">
    <w:name w:val="Caselaw Numbered 1"/>
    <w:basedOn w:val="CaselawNormal"/>
    <w:uiPriority w:val="5"/>
    <w:qFormat/>
    <w:rsid w:val="007360E8"/>
    <w:pPr>
      <w:numPr>
        <w:numId w:val="1"/>
      </w:numPr>
      <w:ind w:left="720" w:hanging="720"/>
    </w:pPr>
  </w:style>
  <w:style w:type="paragraph" w:styleId="CaselawNumbered1" w:customStyle="true">
    <w:name w:val="Caselaw Numbered (1)"/>
    <w:basedOn w:val="CaselawNumbered10"/>
    <w:qFormat/>
    <w:rsid w:val="000A5273"/>
    <w:pPr>
      <w:numPr>
        <w:numId w:val="2"/>
      </w:numPr>
      <w:spacing w:after="360" w:line="240" w:lineRule="auto"/>
      <w:ind w:left="1440" w:hanging="720"/>
    </w:pPr>
  </w:style>
  <w:style w:type="paragraph" w:styleId="CaselawNumbereda" w:customStyle="true">
    <w:name w:val="Caselaw Numbered (a)"/>
    <w:basedOn w:val="CaselawNumbered1"/>
    <w:qFormat/>
    <w:rsid w:val="006E7434"/>
    <w:pPr>
      <w:numPr>
        <w:numId w:val="3"/>
      </w:numPr>
      <w:ind w:left="2160" w:hanging="720"/>
    </w:pPr>
  </w:style>
  <w:style w:type="paragraph" w:styleId="CaselawNumberedi" w:customStyle="true">
    <w:name w:val="Caselaw Numbered (i)"/>
    <w:basedOn w:val="CaselawNumbereda"/>
    <w:qFormat/>
    <w:rsid w:val="006E7434"/>
    <w:pPr>
      <w:numPr>
        <w:numId w:val="4"/>
      </w:numPr>
      <w:ind w:left="2880" w:hanging="720"/>
    </w:pPr>
  </w:style>
  <w:style w:type="paragraph" w:styleId="CaselawHeading1" w:customStyle="true">
    <w:name w:val="Caselaw Heading 1"/>
    <w:basedOn w:val="CaselawCoversheet"/>
    <w:next w:val="CaselawNumbered10"/>
    <w:uiPriority w:val="1"/>
    <w:qFormat/>
    <w:rsid w:val="00770D05"/>
    <w:pPr>
      <w:spacing w:after="240"/>
      <w:outlineLvl w:val="0"/>
    </w:pPr>
    <w:rPr>
      <w:b/>
      <w:caps/>
      <w:sz w:val="28"/>
    </w:rPr>
  </w:style>
  <w:style w:type="paragraph" w:styleId="CaselawHeading2" w:customStyle="true">
    <w:name w:val="Caselaw Heading 2"/>
    <w:basedOn w:val="CaselawHeading1"/>
    <w:next w:val="CaselawNumbered10"/>
    <w:uiPriority w:val="2"/>
    <w:qFormat/>
    <w:rsid w:val="009459F3"/>
    <w:pPr>
      <w:outlineLvl w:val="1"/>
    </w:pPr>
    <w:rPr>
      <w:caps w:val="false"/>
      <w:sz w:val="24"/>
    </w:rPr>
  </w:style>
  <w:style w:type="paragraph" w:styleId="CaselawHeading3" w:customStyle="true">
    <w:name w:val="Caselaw Heading 3"/>
    <w:basedOn w:val="CaselawHeading1"/>
    <w:next w:val="CaselawNumbered10"/>
    <w:uiPriority w:val="3"/>
    <w:qFormat/>
    <w:rsid w:val="009459F3"/>
    <w:pPr>
      <w:outlineLvl w:val="2"/>
    </w:pPr>
    <w:rPr>
      <w:b w:val="false"/>
      <w:i/>
      <w:caps w:val="false"/>
      <w:sz w:val="24"/>
    </w:rPr>
  </w:style>
  <w:style w:type="paragraph" w:styleId="CaselawQuote" w:customStyle="true">
    <w:name w:val="Caselaw Quote &gt;"/>
    <w:basedOn w:val="CaselawNormal"/>
    <w:qFormat/>
    <w:rsid w:val="00DA03B8"/>
    <w:pPr>
      <w:spacing w:after="360" w:line="240" w:lineRule="auto"/>
    </w:pPr>
    <w:rPr>
      <w:sz w:val="22"/>
    </w:rPr>
  </w:style>
  <w:style w:type="paragraph" w:styleId="CaselawQuote0" w:customStyle="true">
    <w:name w:val="Caselaw Quote &gt;&gt;"/>
    <w:basedOn w:val="CaselawNormal"/>
    <w:qFormat/>
    <w:rsid w:val="000A5273"/>
    <w:pPr>
      <w:spacing w:after="360" w:line="240" w:lineRule="auto"/>
      <w:ind w:left="2160"/>
    </w:pPr>
    <w:rPr>
      <w:sz w:val="22"/>
    </w:rPr>
  </w:style>
  <w:style w:type="paragraph" w:styleId="CaselawQuote1" w:customStyle="true">
    <w:name w:val="Caselaw Quote &gt;&gt;&gt;"/>
    <w:basedOn w:val="CaselawQuote0"/>
    <w:qFormat/>
    <w:rsid w:val="000A5273"/>
    <w:pPr>
      <w:ind w:left="2880"/>
    </w:pPr>
  </w:style>
  <w:style w:type="paragraph" w:styleId="CaselawHeading4" w:customStyle="true">
    <w:name w:val="Caselaw Heading 4"/>
    <w:basedOn w:val="CaselawHeading1"/>
    <w:next w:val="CaselawNumbered10"/>
    <w:uiPriority w:val="4"/>
    <w:qFormat/>
    <w:rsid w:val="009459F3"/>
    <w:pPr>
      <w:ind w:left="720"/>
      <w:outlineLvl w:val="3"/>
    </w:pPr>
    <w:rPr>
      <w:caps w:val="false"/>
      <w:sz w:val="22"/>
    </w:rPr>
  </w:style>
  <w:style w:type="character" w:styleId="Heading1Char" w:customStyle="true">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hAnsiTheme="majorHAnsi" w:eastAsiaTheme="majorEastAsia" w:cstheme="majorBidi"/>
      <w:b/>
      <w:bCs/>
      <w:kern w:val="32"/>
      <w:sz w:val="32"/>
      <w:szCs w:val="32"/>
      <w:lang w:eastAsia="en-US"/>
    </w:rPr>
  </w:style>
  <w:style w:type="character" w:styleId="Heading2Char" w:customStyle="true">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hAnsiTheme="majorHAnsi" w:eastAsiaTheme="majorEastAsia" w:cstheme="majorBidi"/>
      <w:b/>
      <w:bCs/>
      <w:i/>
      <w:iCs/>
      <w:sz w:val="28"/>
      <w:szCs w:val="28"/>
      <w:lang w:eastAsia="en-US"/>
    </w:rPr>
  </w:style>
  <w:style w:type="character" w:styleId="Heading3Char" w:customStyle="true">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hAnsiTheme="majorHAnsi" w:eastAsiaTheme="majorEastAsia" w:cstheme="majorBidi"/>
      <w:b/>
      <w:bCs/>
      <w:sz w:val="26"/>
      <w:szCs w:val="26"/>
      <w:lang w:eastAsia="en-US"/>
    </w:rPr>
  </w:style>
  <w:style w:type="table" w:styleId="TableGrid">
    <w:name w:val="Table Grid"/>
    <w:basedOn w:val="TableNormal"/>
    <w:uiPriority w:val="59"/>
    <w:locked/>
    <w:rsid w:val="002D6852"/>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CaselawBullet" w:customStyle="true">
    <w:name w:val="Caselaw Bullet"/>
    <w:basedOn w:val="CaselawNormal"/>
    <w:uiPriority w:val="1"/>
    <w:qFormat/>
    <w:locked/>
    <w:rsid w:val="00F36D30"/>
    <w:pPr>
      <w:numPr>
        <w:numId w:val="5"/>
      </w:numPr>
      <w:spacing w:after="360" w:line="240" w:lineRule="auto"/>
      <w:ind w:hanging="720"/>
    </w:pPr>
  </w:style>
  <w:style w:type="paragraph" w:styleId="CaselawHeading5" w:customStyle="true">
    <w:name w:val="Caselaw Heading 5"/>
    <w:basedOn w:val="CaselawHeading4"/>
    <w:rsid w:val="009459F3"/>
    <w:rPr>
      <w:b w:val="false"/>
      <w:u w:val="single"/>
    </w:rPr>
  </w:style>
  <w:style w:type="paragraph" w:styleId="BalloonText">
    <w:name w:val="Balloon Text"/>
    <w:basedOn w:val="Normal"/>
    <w:link w:val="BalloonTextChar"/>
    <w:uiPriority w:val="99"/>
    <w:semiHidden/>
    <w:unhideWhenUsed/>
    <w:locked/>
    <w:rsid w:val="000A5625"/>
    <w:pPr>
      <w:spacing w:after="0" w:line="240" w:lineRule="auto"/>
    </w:pPr>
    <w:rPr>
      <w:rFonts w:ascii="Tahoma" w:hAnsi="Tahoma" w:cs="Tahoma"/>
      <w:sz w:val="16"/>
      <w:szCs w:val="16"/>
    </w:rPr>
  </w:style>
  <w:style w:type="character" w:styleId="BalloonTextChar" w:customStyle="true">
    <w:name w:val="Balloon Text Char"/>
    <w:basedOn w:val="DefaultParagraphFont"/>
    <w:link w:val="BalloonText"/>
    <w:uiPriority w:val="99"/>
    <w:semiHidden/>
    <w:rsid w:val="000A5625"/>
    <w:rPr>
      <w:rFonts w:ascii="Tahoma" w:hAnsi="Tahoma" w:cs="Tahoma"/>
      <w:sz w:val="16"/>
      <w:szCs w:val="16"/>
    </w:rPr>
  </w:style>
  <w:style w:type="character" w:styleId="PlaceholderText">
    <w:name w:val="Placeholder Text"/>
    <w:basedOn w:val="DefaultParagraphFont"/>
    <w:uiPriority w:val="99"/>
    <w:semiHidden/>
    <w:locked/>
    <w:rsid w:val="00B914EB"/>
    <w:rPr>
      <w:color w:val="808080"/>
    </w:rPr>
  </w:style>
  <w:style w:type="character" w:styleId="Style1" w:customStyle="true">
    <w:name w:val="Style1"/>
    <w:basedOn w:val="Strong"/>
    <w:uiPriority w:val="1"/>
    <w:locked/>
    <w:rsid w:val="00C13AF5"/>
    <w:rPr>
      <w:rFonts w:ascii="Arial" w:hAnsi="Arial"/>
      <w:b w:val="false"/>
      <w:bCs/>
      <w:sz w:val="24"/>
    </w:rPr>
  </w:style>
  <w:style w:type="character" w:styleId="Strong">
    <w:name w:val="Strong"/>
    <w:basedOn w:val="DefaultParagraphFont"/>
    <w:uiPriority w:val="22"/>
    <w:semiHidden/>
    <w:qFormat/>
    <w:locked/>
    <w:rsid w:val="00C13AF5"/>
    <w:rPr>
      <w:b/>
      <w:bCs/>
    </w:rPr>
  </w:style>
  <w:style w:type="paragraph" w:styleId="DocumentMap">
    <w:name w:val="Document Map"/>
    <w:basedOn w:val="Normal"/>
    <w:link w:val="DocumentMapChar"/>
    <w:uiPriority w:val="99"/>
    <w:semiHidden/>
    <w:unhideWhenUsed/>
    <w:locked/>
    <w:rsid w:val="00C11B7B"/>
    <w:pPr>
      <w:spacing w:after="0" w:line="240" w:lineRule="auto"/>
    </w:pPr>
    <w:rPr>
      <w:rFonts w:ascii="Lucida Grande" w:hAnsi="Lucida Grande"/>
    </w:rPr>
  </w:style>
  <w:style w:type="character" w:styleId="DocumentMapChar" w:customStyle="true">
    <w:name w:val="Document Map Char"/>
    <w:basedOn w:val="DefaultParagraphFont"/>
    <w:link w:val="DocumentMap"/>
    <w:uiPriority w:val="99"/>
    <w:semiHidden/>
    <w:rsid w:val="00C11B7B"/>
    <w:rPr>
      <w:rFonts w:ascii="Lucida Grande" w:hAnsi="Lucida Grande"/>
    </w:rPr>
  </w:style>
  <w:style w:type="paragraph" w:styleId="NormalWeb">
    <w:name w:val="Normal (Web)"/>
    <w:basedOn w:val="Normal"/>
    <w:uiPriority w:val="99"/>
    <w:semiHidden/>
    <w:unhideWhenUsed/>
    <w:locked/>
    <w:rsid w:val="00677778"/>
    <w:pPr>
      <w:spacing w:before="100" w:beforeAutospacing="true" w:after="100" w:afterAutospacing="true" w:line="240" w:lineRule="auto"/>
    </w:pPr>
    <w:rPr>
      <w:rFonts w:ascii="Times New Roman" w:hAnsi="Times New Roman" w:eastAsia="Times New Roman"/>
    </w:rPr>
  </w:style>
  <w:style w:type="paragraph" w:styleId="judgmentpara" w:customStyle="true">
    <w:name w:val="judgment_para"/>
    <w:basedOn w:val="Normal"/>
    <w:rsid w:val="00677778"/>
    <w:pPr>
      <w:spacing w:before="100" w:beforeAutospacing="true" w:after="100" w:afterAutospacing="true" w:line="240" w:lineRule="auto"/>
    </w:pPr>
    <w:rPr>
      <w:rFonts w:ascii="Times New Roman" w:hAnsi="Times New Roman" w:eastAsia="Times New Roman"/>
    </w:rPr>
  </w:style>
  <w:style w:type="character" w:styleId="listnumber" w:customStyle="true">
    <w:name w:val="list_number_"/>
    <w:basedOn w:val="DefaultParagraphFont"/>
    <w:rsid w:val="00677778"/>
  </w:style>
  <w:style w:type="paragraph" w:styleId="judgmentnumbereda" w:customStyle="true">
    <w:name w:val="judgment_numbered_a_"/>
    <w:basedOn w:val="Normal"/>
    <w:rsid w:val="00B74D80"/>
    <w:pPr>
      <w:spacing w:before="100" w:beforeAutospacing="true" w:after="100" w:afterAutospacing="true" w:line="240" w:lineRule="auto"/>
    </w:pPr>
    <w:rPr>
      <w:rFonts w:ascii="Times New Roman" w:hAnsi="Times New Roman" w:eastAsia="Times New Roman"/>
    </w:rPr>
  </w:style>
  <w:style w:type="paragraph" w:styleId="judgmentnumberedi" w:customStyle="true">
    <w:name w:val="judgment_numbered_i_"/>
    <w:basedOn w:val="Normal"/>
    <w:rsid w:val="00B74D80"/>
    <w:pPr>
      <w:spacing w:before="100" w:beforeAutospacing="true" w:after="100" w:afterAutospacing="true" w:line="240" w:lineRule="auto"/>
    </w:pPr>
    <w:rPr>
      <w:rFonts w:ascii="Times New Roman" w:hAnsi="Times New Roman" w:eastAsia="Times New Roman"/>
    </w:rPr>
  </w:style>
  <w:style w:type="character" w:styleId="Heading4Char" w:customStyle="true">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hAnsiTheme="majorHAnsi" w:eastAsiaTheme="majorEastAsia" w:cstheme="majorBidi"/>
      <w:b/>
      <w:bCs/>
      <w:i/>
      <w:iCs/>
      <w:color w:val="4F81BD" w:themeColor="accent1"/>
    </w:rPr>
  </w:style>
  <w:style w:type="character" w:styleId="Heading5Char" w:customStyle="true">
    <w:name w:val="Heading 5 Char"/>
    <w:aliases w:val="Level 3 - i Char,5 Char,Normal5 Char,Level 3 - (i) Char"/>
    <w:basedOn w:val="DefaultParagraphFont"/>
    <w:link w:val="Heading5"/>
    <w:semiHidden/>
    <w:rsid w:val="00E1232E"/>
    <w:rPr>
      <w:rFonts w:eastAsia="Times New Roman" w:cs="Arial"/>
      <w:bCs/>
      <w:szCs w:val="28"/>
      <w:lang w:eastAsia="en-US"/>
    </w:rPr>
  </w:style>
  <w:style w:type="character" w:styleId="Heading6Char" w:customStyle="true">
    <w:name w:val="Heading 6 Char"/>
    <w:aliases w:val="Legal Level 1. Char,Body Text 5 Char,Normal6 Char"/>
    <w:basedOn w:val="DefaultParagraphFont"/>
    <w:link w:val="Heading6"/>
    <w:semiHidden/>
    <w:rsid w:val="00E1232E"/>
    <w:rPr>
      <w:rFonts w:eastAsia="Times New Roman" w:cs="Arial"/>
      <w:bCs/>
      <w:szCs w:val="28"/>
      <w:lang w:eastAsia="en-US"/>
    </w:rPr>
  </w:style>
  <w:style w:type="character" w:styleId="Heading7Char" w:customStyle="true">
    <w:name w:val="Heading 7 Char"/>
    <w:aliases w:val="Legal Level 1.1. Char,Body Text 6 Char,Heading 7(unused) Char,Normal7 Char"/>
    <w:basedOn w:val="DefaultParagraphFont"/>
    <w:link w:val="Heading7"/>
    <w:uiPriority w:val="99"/>
    <w:semiHidden/>
    <w:rsid w:val="00E1232E"/>
    <w:rPr>
      <w:rFonts w:eastAsia="Times New Roman" w:cs="Arial"/>
      <w:bCs/>
      <w:szCs w:val="28"/>
      <w:lang w:eastAsia="en-US"/>
    </w:rPr>
  </w:style>
  <w:style w:type="character" w:styleId="Heading8Char" w:customStyle="true">
    <w:name w:val="Heading 8 Char"/>
    <w:aliases w:val="Legal Level 1.1.1. Char,Body Text 7 Char,Heading 8(unused) Char,Heading 8 (Start Appendices) Char,Normal8 Char"/>
    <w:basedOn w:val="DefaultParagraphFont"/>
    <w:link w:val="Heading8"/>
    <w:uiPriority w:val="99"/>
    <w:semiHidden/>
    <w:rsid w:val="00E1232E"/>
    <w:rPr>
      <w:rFonts w:eastAsia="Times New Roman" w:cs="Arial"/>
      <w:bCs/>
      <w:szCs w:val="28"/>
      <w:lang w:eastAsia="en-US"/>
    </w:rPr>
  </w:style>
  <w:style w:type="character" w:styleId="Heading9Char" w:customStyle="true">
    <w:name w:val="Heading 9 Char"/>
    <w:aliases w:val="Legal Level 1.1.1.1. Char,Body Text 8 Char,Heading 9(unused) Char,Appendix Char"/>
    <w:basedOn w:val="DefaultParagraphFont"/>
    <w:link w:val="Heading9"/>
    <w:uiPriority w:val="99"/>
    <w:semiHidden/>
    <w:rsid w:val="00E1232E"/>
    <w:rPr>
      <w:rFonts w:eastAsia="Times New Roman" w:cs="Arial"/>
      <w:bCs/>
      <w:szCs w:val="28"/>
      <w:lang w:eastAsia="en-US"/>
    </w:rPr>
  </w:style>
  <w:style w:type="character" w:styleId="Hyperlink">
    <w:name w:val="Hyperlink"/>
    <w:basedOn w:val="DefaultParagraphFont"/>
    <w:uiPriority w:val="99"/>
    <w:unhideWhenUsed/>
    <w:locked/>
    <w:rsid w:val="00E1232E"/>
    <w:rPr>
      <w:color w:val="0000FF"/>
      <w:u w:val="single"/>
    </w:rPr>
  </w:style>
  <w:style w:type="character" w:styleId="FollowedHyperlink">
    <w:name w:val="FollowedHyperlink"/>
    <w:basedOn w:val="DefaultParagraphFont"/>
    <w:semiHidden/>
    <w:unhideWhenUsed/>
    <w:locked/>
    <w:rsid w:val="00E1232E"/>
    <w:rPr>
      <w:color w:val="800080"/>
      <w:u w:val="single"/>
    </w:rPr>
  </w:style>
  <w:style w:type="character" w:styleId="Heading1Char1" w:customStyle="true">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hAnsiTheme="majorHAnsi" w:eastAsiaTheme="majorEastAsia" w:cstheme="majorBidi"/>
      <w:b/>
      <w:bCs/>
      <w:color w:val="365F91" w:themeColor="accent1" w:themeShade="BF"/>
      <w:sz w:val="28"/>
      <w:szCs w:val="28"/>
      <w:lang w:eastAsia="en-US"/>
    </w:rPr>
  </w:style>
  <w:style w:type="character" w:styleId="Heading2Char1" w:customStyle="true">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hAnsiTheme="majorHAnsi" w:eastAsiaTheme="majorEastAsia" w:cstheme="majorBidi"/>
      <w:b/>
      <w:bCs/>
      <w:color w:val="4F81BD" w:themeColor="accent1"/>
      <w:sz w:val="26"/>
      <w:szCs w:val="26"/>
      <w:lang w:eastAsia="en-US"/>
    </w:rPr>
  </w:style>
  <w:style w:type="character" w:styleId="Heading3Char1" w:customStyle="true">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hAnsiTheme="majorHAnsi" w:eastAsiaTheme="majorEastAsia" w:cstheme="majorBidi"/>
      <w:b/>
      <w:bCs/>
      <w:color w:val="4F81BD" w:themeColor="accent1"/>
      <w:lang w:eastAsia="en-US"/>
    </w:rPr>
  </w:style>
  <w:style w:type="character" w:styleId="Heading4Char1" w:customStyle="true">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hAnsiTheme="majorHAnsi" w:eastAsiaTheme="majorEastAsia" w:cstheme="majorBidi"/>
      <w:b/>
      <w:bCs/>
      <w:i/>
      <w:iCs/>
      <w:color w:val="4F81BD" w:themeColor="accent1"/>
      <w:lang w:eastAsia="en-US"/>
    </w:rPr>
  </w:style>
  <w:style w:type="character" w:styleId="Heading5Char1" w:customStyle="true">
    <w:name w:val="Heading 5 Char1"/>
    <w:aliases w:val="Level 3 - i Char1,5 Char1,Normal5 Char1,Level 3 - (i) Char1"/>
    <w:basedOn w:val="DefaultParagraphFont"/>
    <w:semiHidden/>
    <w:rsid w:val="00E1232E"/>
    <w:rPr>
      <w:rFonts w:asciiTheme="majorHAnsi" w:hAnsiTheme="majorHAnsi" w:eastAsiaTheme="majorEastAsia" w:cstheme="majorBidi"/>
      <w:color w:val="243F60" w:themeColor="accent1" w:themeShade="7F"/>
      <w:lang w:eastAsia="en-US"/>
    </w:rPr>
  </w:style>
  <w:style w:type="character" w:styleId="Heading6Char1" w:customStyle="true">
    <w:name w:val="Heading 6 Char1"/>
    <w:aliases w:val="Legal Level 1. Char1,Body Text 5 Char1,Normal6 Char1"/>
    <w:basedOn w:val="DefaultParagraphFont"/>
    <w:semiHidden/>
    <w:rsid w:val="00E1232E"/>
    <w:rPr>
      <w:rFonts w:asciiTheme="majorHAnsi" w:hAnsiTheme="majorHAnsi" w:eastAsiaTheme="majorEastAsia" w:cstheme="majorBidi"/>
      <w:i/>
      <w:iCs/>
      <w:color w:val="243F60" w:themeColor="accent1" w:themeShade="7F"/>
      <w:lang w:eastAsia="en-US"/>
    </w:rPr>
  </w:style>
  <w:style w:type="character" w:styleId="Heading7Char1" w:customStyle="true">
    <w:name w:val="Heading 7 Char1"/>
    <w:aliases w:val="Legal Level 1.1. Char1,Body Text 6 Char1,Heading 7(unused) Char1,Normal7 Char1"/>
    <w:basedOn w:val="DefaultParagraphFont"/>
    <w:semiHidden/>
    <w:rsid w:val="00E1232E"/>
    <w:rPr>
      <w:rFonts w:asciiTheme="majorHAnsi" w:hAnsiTheme="majorHAnsi" w:eastAsiaTheme="majorEastAsia" w:cstheme="majorBidi"/>
      <w:i/>
      <w:iCs/>
      <w:color w:val="404040" w:themeColor="text1" w:themeTint="BF"/>
      <w:lang w:eastAsia="en-US"/>
    </w:rPr>
  </w:style>
  <w:style w:type="character" w:styleId="Heading8Char1" w:customStyle="true">
    <w:name w:val="Heading 8 Char1"/>
    <w:aliases w:val="Legal Level 1.1.1. Char1,Body Text 7 Char1,Heading 8(unused) Char1,Heading 8 (Start Appendices) Char1,Normal8 Char1"/>
    <w:basedOn w:val="DefaultParagraphFont"/>
    <w:semiHidden/>
    <w:rsid w:val="00E1232E"/>
    <w:rPr>
      <w:rFonts w:asciiTheme="majorHAnsi" w:hAnsiTheme="majorHAnsi" w:eastAsiaTheme="majorEastAsia" w:cstheme="majorBidi"/>
      <w:color w:val="404040" w:themeColor="text1" w:themeTint="BF"/>
      <w:lang w:eastAsia="en-US"/>
    </w:rPr>
  </w:style>
  <w:style w:type="character" w:styleId="Heading9Char1" w:customStyle="true">
    <w:name w:val="Heading 9 Char1"/>
    <w:aliases w:val="Legal Level 1.1.1.1. Char1,Body Text 8 Char1,Heading 9(unused) Char1,Appendix Char1"/>
    <w:basedOn w:val="DefaultParagraphFont"/>
    <w:semiHidden/>
    <w:rsid w:val="00E1232E"/>
    <w:rPr>
      <w:rFonts w:asciiTheme="majorHAnsi" w:hAnsiTheme="majorHAnsi" w:eastAsiaTheme="majorEastAsia" w:cstheme="majorBidi"/>
      <w:i/>
      <w:iCs/>
      <w:color w:val="404040" w:themeColor="text1" w:themeTint="BF"/>
      <w:lang w:eastAsia="en-US"/>
    </w:rPr>
  </w:style>
  <w:style w:type="paragraph" w:styleId="Index1">
    <w:name w:val="index 1"/>
    <w:basedOn w:val="Normal"/>
    <w:next w:val="Normal"/>
    <w:autoRedefine/>
    <w:uiPriority w:val="99"/>
    <w:unhideWhenUsed/>
    <w:locked/>
    <w:rsid w:val="00E1232E"/>
    <w:pPr>
      <w:keepLines/>
      <w:numPr>
        <w:numId w:val="6"/>
      </w:numPr>
      <w:overflowPunct w:val="false"/>
      <w:autoSpaceDE w:val="false"/>
      <w:autoSpaceDN w:val="false"/>
      <w:adjustRightInd w:val="false"/>
      <w:spacing w:after="0" w:line="240" w:lineRule="auto"/>
      <w:jc w:val="both"/>
    </w:pPr>
    <w:rPr>
      <w:rFonts w:ascii="Times New Roman" w:hAnsi="Times New Roman" w:eastAsia="Times New Roman"/>
      <w:szCs w:val="20"/>
      <w:lang w:eastAsia="en-US"/>
    </w:rPr>
  </w:style>
  <w:style w:type="paragraph" w:styleId="Index2">
    <w:name w:val="index 2"/>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480" w:hanging="240"/>
      <w:jc w:val="both"/>
    </w:pPr>
    <w:rPr>
      <w:rFonts w:ascii="Times New Roman" w:hAnsi="Times New Roman" w:eastAsia="Times New Roman"/>
      <w:szCs w:val="20"/>
      <w:lang w:eastAsia="en-US"/>
    </w:rPr>
  </w:style>
  <w:style w:type="paragraph" w:styleId="Index3">
    <w:name w:val="index 3"/>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720" w:hanging="240"/>
      <w:jc w:val="both"/>
    </w:pPr>
    <w:rPr>
      <w:rFonts w:ascii="Times New Roman" w:hAnsi="Times New Roman" w:eastAsia="Times New Roman"/>
      <w:szCs w:val="20"/>
      <w:lang w:eastAsia="en-US"/>
    </w:rPr>
  </w:style>
  <w:style w:type="paragraph" w:styleId="Index4">
    <w:name w:val="index 4"/>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960" w:hanging="240"/>
      <w:jc w:val="both"/>
    </w:pPr>
    <w:rPr>
      <w:rFonts w:ascii="Times New Roman" w:hAnsi="Times New Roman" w:eastAsia="Times New Roman"/>
      <w:szCs w:val="20"/>
      <w:lang w:eastAsia="en-US"/>
    </w:rPr>
  </w:style>
  <w:style w:type="paragraph" w:styleId="Index5">
    <w:name w:val="index 5"/>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200" w:hanging="240"/>
      <w:jc w:val="both"/>
    </w:pPr>
    <w:rPr>
      <w:rFonts w:ascii="Times New Roman" w:hAnsi="Times New Roman" w:eastAsia="Times New Roman"/>
      <w:szCs w:val="20"/>
      <w:lang w:eastAsia="en-US"/>
    </w:rPr>
  </w:style>
  <w:style w:type="paragraph" w:styleId="Index6">
    <w:name w:val="index 6"/>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440" w:hanging="240"/>
      <w:jc w:val="both"/>
    </w:pPr>
    <w:rPr>
      <w:rFonts w:ascii="Times New Roman" w:hAnsi="Times New Roman" w:eastAsia="Times New Roman"/>
      <w:szCs w:val="20"/>
      <w:lang w:eastAsia="en-US"/>
    </w:rPr>
  </w:style>
  <w:style w:type="paragraph" w:styleId="Index7">
    <w:name w:val="index 7"/>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680" w:hanging="240"/>
      <w:jc w:val="both"/>
    </w:pPr>
    <w:rPr>
      <w:rFonts w:ascii="Times New Roman" w:hAnsi="Times New Roman" w:eastAsia="Times New Roman"/>
      <w:szCs w:val="20"/>
      <w:lang w:eastAsia="en-US"/>
    </w:rPr>
  </w:style>
  <w:style w:type="paragraph" w:styleId="Index8">
    <w:name w:val="index 8"/>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1920" w:hanging="240"/>
      <w:jc w:val="both"/>
    </w:pPr>
    <w:rPr>
      <w:rFonts w:ascii="Times New Roman" w:hAnsi="Times New Roman" w:eastAsia="Times New Roman"/>
      <w:szCs w:val="20"/>
      <w:lang w:eastAsia="en-US"/>
    </w:rPr>
  </w:style>
  <w:style w:type="paragraph" w:styleId="Index9">
    <w:name w:val="index 9"/>
    <w:basedOn w:val="Normal"/>
    <w:next w:val="Normal"/>
    <w:autoRedefine/>
    <w:uiPriority w:val="99"/>
    <w:semiHidden/>
    <w:unhideWhenUsed/>
    <w:locked/>
    <w:rsid w:val="00E1232E"/>
    <w:pPr>
      <w:keepLines/>
      <w:overflowPunct w:val="false"/>
      <w:autoSpaceDE w:val="false"/>
      <w:autoSpaceDN w:val="false"/>
      <w:adjustRightInd w:val="false"/>
      <w:spacing w:before="240" w:after="0" w:line="240" w:lineRule="auto"/>
      <w:ind w:left="2160" w:hanging="240"/>
      <w:jc w:val="both"/>
    </w:pPr>
    <w:rPr>
      <w:rFonts w:ascii="Times New Roman" w:hAnsi="Times New Roman" w:eastAsia="Times New Roman"/>
      <w:szCs w:val="20"/>
      <w:lang w:eastAsia="en-US"/>
    </w:rPr>
  </w:style>
  <w:style w:type="paragraph" w:styleId="TOC1">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type="paragraph" w:styleId="TOC2">
    <w:name w:val="toc 2"/>
    <w:basedOn w:val="TOC1"/>
    <w:next w:val="Normal"/>
    <w:autoRedefine/>
    <w:uiPriority w:val="39"/>
    <w:semiHidden/>
    <w:unhideWhenUsed/>
    <w:qFormat/>
    <w:locked/>
    <w:rsid w:val="00E1232E"/>
    <w:pPr>
      <w:ind w:left="454"/>
    </w:pPr>
    <w:rPr>
      <w:b w:val="false"/>
    </w:rPr>
  </w:style>
  <w:style w:type="paragraph" w:styleId="TOC3">
    <w:name w:val="toc 3"/>
    <w:basedOn w:val="TOC2"/>
    <w:next w:val="Normal"/>
    <w:autoRedefine/>
    <w:uiPriority w:val="39"/>
    <w:semiHidden/>
    <w:unhideWhenUsed/>
    <w:qFormat/>
    <w:locked/>
    <w:rsid w:val="00E1232E"/>
    <w:pPr>
      <w:spacing w:before="120"/>
    </w:pPr>
  </w:style>
  <w:style w:type="paragraph" w:styleId="TOC4">
    <w:name w:val="toc 4"/>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after="0" w:line="240" w:lineRule="auto"/>
      <w:ind w:left="720"/>
      <w:jc w:val="both"/>
    </w:pPr>
    <w:rPr>
      <w:rFonts w:eastAsia="Times New Roman"/>
      <w:sz w:val="20"/>
      <w:szCs w:val="20"/>
      <w:lang w:eastAsia="en-US"/>
    </w:rPr>
  </w:style>
  <w:style w:type="paragraph" w:styleId="TOC5">
    <w:name w:val="toc 5"/>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960"/>
      <w:jc w:val="both"/>
    </w:pPr>
    <w:rPr>
      <w:rFonts w:eastAsia="Times New Roman"/>
      <w:szCs w:val="20"/>
      <w:lang w:eastAsia="en-US"/>
    </w:rPr>
  </w:style>
  <w:style w:type="paragraph" w:styleId="TOC6">
    <w:name w:val="toc 6"/>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200"/>
      <w:jc w:val="both"/>
    </w:pPr>
    <w:rPr>
      <w:rFonts w:ascii="Times New Roman" w:hAnsi="Times New Roman" w:eastAsia="Times New Roman"/>
      <w:szCs w:val="20"/>
      <w:lang w:eastAsia="en-US"/>
    </w:rPr>
  </w:style>
  <w:style w:type="paragraph" w:styleId="TOC7">
    <w:name w:val="toc 7"/>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440"/>
      <w:jc w:val="both"/>
    </w:pPr>
    <w:rPr>
      <w:rFonts w:ascii="Times New Roman" w:hAnsi="Times New Roman" w:eastAsia="Times New Roman"/>
      <w:szCs w:val="20"/>
      <w:lang w:eastAsia="en-US"/>
    </w:rPr>
  </w:style>
  <w:style w:type="paragraph" w:styleId="TOC8">
    <w:name w:val="toc 8"/>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680"/>
      <w:jc w:val="both"/>
    </w:pPr>
    <w:rPr>
      <w:rFonts w:ascii="Times New Roman" w:hAnsi="Times New Roman" w:eastAsia="Times New Roman"/>
      <w:szCs w:val="20"/>
      <w:lang w:eastAsia="en-US"/>
    </w:rPr>
  </w:style>
  <w:style w:type="paragraph" w:styleId="TOC9">
    <w:name w:val="toc 9"/>
    <w:basedOn w:val="Normal"/>
    <w:next w:val="Normal"/>
    <w:autoRedefine/>
    <w:uiPriority w:val="39"/>
    <w:semiHidden/>
    <w:unhideWhenUsed/>
    <w:locked/>
    <w:rsid w:val="00E1232E"/>
    <w:pPr>
      <w:keepLines/>
      <w:tabs>
        <w:tab w:val="right" w:leader="dot" w:pos="9071"/>
      </w:tabs>
      <w:overflowPunct w:val="false"/>
      <w:autoSpaceDE w:val="false"/>
      <w:autoSpaceDN w:val="false"/>
      <w:adjustRightInd w:val="false"/>
      <w:spacing w:before="240" w:after="0" w:line="240" w:lineRule="auto"/>
      <w:ind w:left="1920"/>
      <w:jc w:val="both"/>
    </w:pPr>
    <w:rPr>
      <w:rFonts w:ascii="Times New Roman" w:hAnsi="Times New Roman" w:eastAsia="Times New Roman"/>
      <w:szCs w:val="20"/>
      <w:lang w:eastAsia="en-US"/>
    </w:rPr>
  </w:style>
  <w:style w:type="paragraph" w:styleId="FootnoteText">
    <w:name w:val="footnote text"/>
    <w:basedOn w:val="Normal"/>
    <w:link w:val="FootnoteTextChar"/>
    <w:uiPriority w:val="99"/>
    <w:unhideWhenUsed/>
    <w:locked/>
    <w:rsid w:val="00E1232E"/>
    <w:pPr>
      <w:spacing w:after="0" w:line="240" w:lineRule="auto"/>
    </w:pPr>
    <w:rPr>
      <w:rFonts w:asciiTheme="minorHAnsi" w:hAnsiTheme="minorHAnsi" w:eastAsiaTheme="minorEastAsia" w:cstheme="minorBidi"/>
      <w:sz w:val="20"/>
      <w:szCs w:val="20"/>
      <w:lang w:val="en-US" w:eastAsia="ja-JP"/>
    </w:rPr>
  </w:style>
  <w:style w:type="character" w:styleId="FootnoteTextChar" w:customStyle="true">
    <w:name w:val="Footnote Text Char"/>
    <w:basedOn w:val="DefaultParagraphFont"/>
    <w:link w:val="FootnoteText"/>
    <w:uiPriority w:val="99"/>
    <w:rsid w:val="00E1232E"/>
    <w:rPr>
      <w:rFonts w:asciiTheme="minorHAnsi" w:hAnsiTheme="minorHAnsi" w:eastAsiaTheme="minorEastAsia" w:cstheme="minorBidi"/>
      <w:sz w:val="20"/>
      <w:szCs w:val="20"/>
      <w:lang w:val="en-US" w:eastAsia="ja-JP"/>
    </w:rPr>
  </w:style>
  <w:style w:type="paragraph" w:styleId="CommentText">
    <w:name w:val="annotation text"/>
    <w:basedOn w:val="Normal"/>
    <w:link w:val="CommentTextChar"/>
    <w:uiPriority w:val="99"/>
    <w:semiHidden/>
    <w:unhideWhenUsed/>
    <w:locked/>
    <w:rsid w:val="00E1232E"/>
    <w:pPr>
      <w:spacing w:before="240" w:after="120" w:line="300" w:lineRule="auto"/>
    </w:pPr>
    <w:rPr>
      <w:rFonts w:eastAsia="Times New Roman"/>
      <w:sz w:val="20"/>
      <w:szCs w:val="20"/>
      <w:lang w:eastAsia="en-US"/>
    </w:rPr>
  </w:style>
  <w:style w:type="character" w:styleId="CommentTextChar" w:customStyle="true">
    <w:name w:val="Comment Text Char"/>
    <w:basedOn w:val="DefaultParagraphFont"/>
    <w:link w:val="CommentText"/>
    <w:uiPriority w:val="99"/>
    <w:semiHidden/>
    <w:rsid w:val="00E1232E"/>
    <w:rPr>
      <w:rFonts w:eastAsia="Times New Roman"/>
      <w:sz w:val="20"/>
      <w:szCs w:val="20"/>
      <w:lang w:eastAsia="en-US"/>
    </w:rPr>
  </w:style>
  <w:style w:type="paragraph" w:styleId="Header">
    <w:name w:val="header"/>
    <w:basedOn w:val="Normal"/>
    <w:link w:val="Head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HeaderChar" w:customStyle="true">
    <w:name w:val="Header Char"/>
    <w:basedOn w:val="DefaultParagraphFont"/>
    <w:link w:val="Header"/>
    <w:uiPriority w:val="99"/>
    <w:semiHidden/>
    <w:rsid w:val="00E1232E"/>
    <w:rPr>
      <w:rFonts w:eastAsia="Times New Roman"/>
      <w:sz w:val="20"/>
      <w:szCs w:val="20"/>
      <w:lang w:eastAsia="en-US"/>
    </w:rPr>
  </w:style>
  <w:style w:type="paragraph" w:styleId="Footer">
    <w:name w:val="footer"/>
    <w:basedOn w:val="Normal"/>
    <w:link w:val="FooterChar"/>
    <w:uiPriority w:val="99"/>
    <w:semiHidden/>
    <w:unhideWhenUsed/>
    <w:locked/>
    <w:rsid w:val="00E1232E"/>
    <w:pPr>
      <w:tabs>
        <w:tab w:val="center" w:pos="4153"/>
        <w:tab w:val="right" w:pos="8306"/>
      </w:tabs>
      <w:spacing w:before="240" w:after="120" w:line="300" w:lineRule="auto"/>
    </w:pPr>
    <w:rPr>
      <w:rFonts w:eastAsia="Times New Roman"/>
      <w:sz w:val="20"/>
      <w:szCs w:val="20"/>
      <w:lang w:eastAsia="en-US"/>
    </w:rPr>
  </w:style>
  <w:style w:type="character" w:styleId="FooterChar" w:customStyle="true">
    <w:name w:val="Footer Char"/>
    <w:basedOn w:val="DefaultParagraphFont"/>
    <w:link w:val="Footer"/>
    <w:uiPriority w:val="99"/>
    <w:semiHidden/>
    <w:rsid w:val="00E1232E"/>
    <w:rPr>
      <w:rFonts w:eastAsia="Times New Roman"/>
      <w:sz w:val="20"/>
      <w:szCs w:val="20"/>
      <w:lang w:eastAsia="en-US"/>
    </w:rPr>
  </w:style>
  <w:style w:type="paragraph" w:styleId="IndexHeading">
    <w:name w:val="index heading"/>
    <w:basedOn w:val="Normal"/>
    <w:next w:val="Index1"/>
    <w:uiPriority w:val="99"/>
    <w:unhideWhenUsed/>
    <w:locked/>
    <w:rsid w:val="00E1232E"/>
    <w:pPr>
      <w:keepLines/>
      <w:overflowPunct w:val="false"/>
      <w:autoSpaceDE w:val="false"/>
      <w:autoSpaceDN w:val="false"/>
      <w:adjustRightInd w:val="false"/>
      <w:spacing w:before="240" w:after="0" w:line="240" w:lineRule="auto"/>
      <w:jc w:val="both"/>
    </w:pPr>
    <w:rPr>
      <w:rFonts w:ascii="Times New Roman" w:hAnsi="Times New Roman" w:eastAsia="Times New Roman"/>
      <w:szCs w:val="20"/>
      <w:lang w:eastAsia="en-US"/>
    </w:rPr>
  </w:style>
  <w:style w:type="paragraph" w:styleId="Caption">
    <w:name w:val="caption"/>
    <w:basedOn w:val="Normal"/>
    <w:next w:val="Normal"/>
    <w:uiPriority w:val="99"/>
    <w:semiHidden/>
    <w:unhideWhenUsed/>
    <w:qFormat/>
    <w:locked/>
    <w:rsid w:val="00E1232E"/>
    <w:pPr>
      <w:keepLines/>
      <w:tabs>
        <w:tab w:val="left" w:pos="1134"/>
      </w:tabs>
      <w:overflowPunct w:val="false"/>
      <w:autoSpaceDE w:val="false"/>
      <w:autoSpaceDN w:val="false"/>
      <w:adjustRightInd w:val="false"/>
      <w:spacing w:before="240" w:after="0" w:line="240" w:lineRule="auto"/>
      <w:ind w:left="567"/>
      <w:jc w:val="center"/>
    </w:pPr>
    <w:rPr>
      <w:rFonts w:ascii="Times New Roman" w:hAnsi="Times New Roman" w:eastAsia="Times New Roman"/>
      <w:i/>
      <w:iCs/>
      <w:sz w:val="20"/>
      <w:szCs w:val="20"/>
      <w:lang w:eastAsia="en-US"/>
    </w:rPr>
  </w:style>
  <w:style w:type="paragraph" w:styleId="ListBullet">
    <w:name w:val="List Bullet"/>
    <w:basedOn w:val="Normal"/>
    <w:uiPriority w:val="99"/>
    <w:semiHidden/>
    <w:unhideWhenUsed/>
    <w:locked/>
    <w:rsid w:val="00E1232E"/>
    <w:pPr>
      <w:numPr>
        <w:numId w:val="7"/>
      </w:numPr>
      <w:spacing w:before="60" w:after="60" w:line="300" w:lineRule="auto"/>
    </w:pPr>
    <w:rPr>
      <w:rFonts w:ascii="Arial(W1)" w:hAnsi="Arial(W1)" w:eastAsia="Times New Roman"/>
      <w:sz w:val="20"/>
      <w:szCs w:val="22"/>
      <w:lang w:eastAsia="en-US"/>
    </w:rPr>
  </w:style>
  <w:style w:type="character" w:styleId="BodyTextChar" w:customStyle="true">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type="paragraph" w:styleId="BodyText">
    <w:name w:val="Body Text"/>
    <w:aliases w:val="bt,Heading 3 text,Heading 3 text1,Heading 3 text2,Heading 3 text3,Heading 3 text4"/>
    <w:basedOn w:val="Normal"/>
    <w:link w:val="BodyTextChar"/>
    <w:unhideWhenUsed/>
    <w:rsid w:val="00E1232E"/>
    <w:pPr>
      <w:spacing w:before="240" w:after="120" w:line="300" w:lineRule="auto"/>
    </w:pPr>
    <w:rPr>
      <w:rFonts w:cs="Arial"/>
      <w:lang w:eastAsia="en-US"/>
    </w:rPr>
  </w:style>
  <w:style w:type="character" w:styleId="BodyTextChar1" w:customStyle="true">
    <w:name w:val="Body Text Char1"/>
    <w:aliases w:val="bt Char1,Heading 3 text Char1,Heading 3 text1 Char1,Heading 3 text2 Char1,Heading 3 text3 Char1,Heading 3 text4 Char1"/>
    <w:basedOn w:val="DefaultParagraphFont"/>
    <w:semiHidden/>
    <w:rsid w:val="00E1232E"/>
  </w:style>
  <w:style w:type="paragraph" w:styleId="BodyTextIndent">
    <w:name w:val="Body Text Indent"/>
    <w:basedOn w:val="Normal"/>
    <w:link w:val="BodyTextIndentChar"/>
    <w:uiPriority w:val="99"/>
    <w:semiHidden/>
    <w:unhideWhenUsed/>
    <w:rsid w:val="00E1232E"/>
    <w:pPr>
      <w:spacing w:before="240" w:after="120" w:line="300" w:lineRule="auto"/>
      <w:ind w:left="283"/>
    </w:pPr>
    <w:rPr>
      <w:rFonts w:eastAsia="Times New Roman"/>
      <w:sz w:val="20"/>
      <w:szCs w:val="20"/>
      <w:lang w:eastAsia="en-US"/>
    </w:rPr>
  </w:style>
  <w:style w:type="character" w:styleId="BodyTextIndentChar" w:customStyle="true">
    <w:name w:val="Body Text Indent Char"/>
    <w:basedOn w:val="DefaultParagraphFont"/>
    <w:link w:val="BodyTextIndent"/>
    <w:uiPriority w:val="99"/>
    <w:semiHidden/>
    <w:rsid w:val="00E1232E"/>
    <w:rPr>
      <w:rFonts w:eastAsia="Times New Roman"/>
      <w:sz w:val="20"/>
      <w:szCs w:val="20"/>
      <w:lang w:eastAsia="en-US"/>
    </w:rPr>
  </w:style>
  <w:style w:type="paragraph" w:styleId="BodyText2">
    <w:name w:val="Body Text 2"/>
    <w:basedOn w:val="Normal"/>
    <w:link w:val="BodyText2Char"/>
    <w:uiPriority w:val="99"/>
    <w:semiHidden/>
    <w:unhideWhenUsed/>
    <w:rsid w:val="00E1232E"/>
    <w:pPr>
      <w:spacing w:before="240" w:after="120" w:line="480" w:lineRule="auto"/>
    </w:pPr>
    <w:rPr>
      <w:rFonts w:eastAsia="Times New Roman"/>
      <w:sz w:val="20"/>
      <w:szCs w:val="20"/>
      <w:lang w:eastAsia="en-US"/>
    </w:rPr>
  </w:style>
  <w:style w:type="character" w:styleId="BodyText2Char" w:customStyle="true">
    <w:name w:val="Body Text 2 Char"/>
    <w:basedOn w:val="DefaultParagraphFont"/>
    <w:link w:val="BodyText2"/>
    <w:uiPriority w:val="99"/>
    <w:semiHidden/>
    <w:rsid w:val="00E1232E"/>
    <w:rPr>
      <w:rFonts w:eastAsia="Times New Roman"/>
      <w:sz w:val="20"/>
      <w:szCs w:val="20"/>
      <w:lang w:eastAsia="en-US"/>
    </w:rPr>
  </w:style>
  <w:style w:type="paragraph" w:styleId="BodyText3">
    <w:name w:val="Body Text 3"/>
    <w:basedOn w:val="Normal"/>
    <w:link w:val="BodyText3Char"/>
    <w:uiPriority w:val="99"/>
    <w:semiHidden/>
    <w:unhideWhenUsed/>
    <w:rsid w:val="00E1232E"/>
    <w:pPr>
      <w:spacing w:before="240" w:after="120" w:line="300" w:lineRule="auto"/>
    </w:pPr>
    <w:rPr>
      <w:rFonts w:eastAsia="Times New Roman"/>
      <w:sz w:val="16"/>
      <w:szCs w:val="16"/>
      <w:lang w:eastAsia="en-US"/>
    </w:rPr>
  </w:style>
  <w:style w:type="character" w:styleId="BodyText3Char" w:customStyle="true">
    <w:name w:val="Body Text 3 Char"/>
    <w:basedOn w:val="DefaultParagraphFont"/>
    <w:link w:val="BodyText3"/>
    <w:uiPriority w:val="99"/>
    <w:semiHidden/>
    <w:rsid w:val="00E1232E"/>
    <w:rPr>
      <w:rFonts w:eastAsia="Times New Roman"/>
      <w:sz w:val="16"/>
      <w:szCs w:val="16"/>
      <w:lang w:eastAsia="en-US"/>
    </w:rPr>
  </w:style>
  <w:style w:type="paragraph" w:styleId="BodyTextIndent2">
    <w:name w:val="Body Text Indent 2"/>
    <w:basedOn w:val="Normal"/>
    <w:link w:val="BodyTextIndent2Char"/>
    <w:uiPriority w:val="99"/>
    <w:unhideWhenUsed/>
    <w:locked/>
    <w:rsid w:val="00E1232E"/>
    <w:pPr>
      <w:spacing w:before="240" w:after="120" w:line="480" w:lineRule="auto"/>
      <w:ind w:left="283"/>
    </w:pPr>
    <w:rPr>
      <w:rFonts w:eastAsia="Times New Roman"/>
      <w:sz w:val="20"/>
      <w:szCs w:val="20"/>
      <w:lang w:eastAsia="en-US"/>
    </w:rPr>
  </w:style>
  <w:style w:type="character" w:styleId="BodyTextIndent2Char" w:customStyle="true">
    <w:name w:val="Body Text Indent 2 Char"/>
    <w:basedOn w:val="DefaultParagraphFont"/>
    <w:link w:val="BodyTextIndent2"/>
    <w:uiPriority w:val="99"/>
    <w:rsid w:val="00E1232E"/>
    <w:rPr>
      <w:rFonts w:eastAsia="Times New Roman"/>
      <w:sz w:val="20"/>
      <w:szCs w:val="20"/>
      <w:lang w:eastAsia="en-US"/>
    </w:rPr>
  </w:style>
  <w:style w:type="paragraph" w:styleId="BodyTextIndent3">
    <w:name w:val="Body Text Indent 3"/>
    <w:basedOn w:val="Normal"/>
    <w:link w:val="BodyTextIndent3Char"/>
    <w:uiPriority w:val="99"/>
    <w:semiHidden/>
    <w:unhideWhenUsed/>
    <w:locked/>
    <w:rsid w:val="00E1232E"/>
    <w:pPr>
      <w:spacing w:before="240" w:after="120" w:line="300" w:lineRule="auto"/>
      <w:ind w:left="283"/>
    </w:pPr>
    <w:rPr>
      <w:rFonts w:eastAsia="Times New Roman"/>
      <w:sz w:val="16"/>
      <w:szCs w:val="16"/>
      <w:lang w:eastAsia="en-US"/>
    </w:rPr>
  </w:style>
  <w:style w:type="character" w:styleId="BodyTextIndent3Char" w:customStyle="true">
    <w:name w:val="Body Text Indent 3 Char"/>
    <w:basedOn w:val="DefaultParagraphFont"/>
    <w:link w:val="BodyTextIndent3"/>
    <w:uiPriority w:val="99"/>
    <w:semiHidden/>
    <w:rsid w:val="00E1232E"/>
    <w:rPr>
      <w:rFonts w:eastAsia="Times New Roman"/>
      <w:sz w:val="16"/>
      <w:szCs w:val="16"/>
      <w:lang w:eastAsia="en-US"/>
    </w:rPr>
  </w:style>
  <w:style w:type="paragraph" w:styleId="PlainText">
    <w:name w:val="Plain Text"/>
    <w:basedOn w:val="Normal"/>
    <w:link w:val="PlainTextChar"/>
    <w:uiPriority w:val="99"/>
    <w:semiHidden/>
    <w:unhideWhenUsed/>
    <w:locked/>
    <w:rsid w:val="00E1232E"/>
    <w:pPr>
      <w:spacing w:after="0" w:line="240" w:lineRule="auto"/>
    </w:pPr>
    <w:rPr>
      <w:rFonts w:ascii="Courier New" w:hAnsi="Courier New" w:eastAsia="Times New Roman" w:cs="Courier New"/>
      <w:sz w:val="20"/>
      <w:szCs w:val="20"/>
      <w:lang w:eastAsia="en-US"/>
    </w:rPr>
  </w:style>
  <w:style w:type="character" w:styleId="PlainTextChar" w:customStyle="true">
    <w:name w:val="Plain Text Char"/>
    <w:basedOn w:val="DefaultParagraphFont"/>
    <w:link w:val="PlainText"/>
    <w:uiPriority w:val="99"/>
    <w:semiHidden/>
    <w:rsid w:val="00E1232E"/>
    <w:rPr>
      <w:rFonts w:ascii="Courier New" w:hAnsi="Courier New" w:eastAsia="Times New Roman" w:cs="Courier New"/>
      <w:sz w:val="20"/>
      <w:szCs w:val="20"/>
      <w:lang w:eastAsia="en-US"/>
    </w:rPr>
  </w:style>
  <w:style w:type="paragraph" w:styleId="CommentSubject">
    <w:name w:val="annotation subject"/>
    <w:basedOn w:val="CommentText"/>
    <w:next w:val="CommentText"/>
    <w:link w:val="CommentSubjectChar"/>
    <w:uiPriority w:val="99"/>
    <w:semiHidden/>
    <w:unhideWhenUsed/>
    <w:locked/>
    <w:rsid w:val="00E1232E"/>
    <w:rPr>
      <w:b/>
      <w:bCs/>
    </w:rPr>
  </w:style>
  <w:style w:type="character" w:styleId="CommentSubjectChar" w:customStyle="true">
    <w:name w:val="Comment Subject Char"/>
    <w:basedOn w:val="CommentTextChar"/>
    <w:link w:val="CommentSubject"/>
    <w:uiPriority w:val="99"/>
    <w:semiHidden/>
    <w:rsid w:val="00E1232E"/>
    <w:rPr>
      <w:rFonts w:eastAsia="Times New Roman"/>
      <w:b/>
      <w:bCs/>
      <w:sz w:val="20"/>
      <w:szCs w:val="20"/>
      <w:lang w:eastAsia="en-US"/>
    </w:rPr>
  </w:style>
  <w:style w:type="paragraph" w:styleId="List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type="paragraph" w:styleId="TOCHeading">
    <w:name w:val="TOC Heading"/>
    <w:basedOn w:val="Heading1"/>
    <w:next w:val="Normal"/>
    <w:uiPriority w:val="39"/>
    <w:semiHidden/>
    <w:unhideWhenUsed/>
    <w:qFormat/>
    <w:locked/>
    <w:rsid w:val="00E1232E"/>
    <w:pPr>
      <w:keepLines/>
      <w:spacing w:before="480" w:after="0"/>
      <w:outlineLvl w:val="9"/>
    </w:pPr>
    <w:rPr>
      <w:color w:val="365F91" w:themeColor="accent1" w:themeShade="BF"/>
      <w:kern w:val="0"/>
      <w:sz w:val="28"/>
      <w:szCs w:val="28"/>
      <w:lang w:val="en-US" w:eastAsia="ja-JP"/>
    </w:rPr>
  </w:style>
  <w:style w:type="paragraph" w:styleId="HeaderFooter" w:customStyle="true">
    <w:name w:val="Header/Footer"/>
    <w:basedOn w:val="Normal"/>
    <w:uiPriority w:val="99"/>
    <w:semiHidden/>
    <w:rsid w:val="00E1232E"/>
    <w:pPr>
      <w:spacing w:after="0" w:line="240" w:lineRule="auto"/>
      <w:jc w:val="right"/>
    </w:pPr>
    <w:rPr>
      <w:rFonts w:ascii="Arial (W1)" w:hAnsi="Arial (W1)" w:eastAsia="Times New Roman"/>
      <w:b/>
      <w:sz w:val="16"/>
      <w:szCs w:val="20"/>
      <w:lang w:eastAsia="en-US"/>
    </w:rPr>
  </w:style>
  <w:style w:type="paragraph" w:styleId="ListBulletIndent" w:customStyle="true">
    <w:name w:val="List Bullet Indent"/>
    <w:basedOn w:val="ListBullet"/>
    <w:uiPriority w:val="99"/>
    <w:semiHidden/>
    <w:rsid w:val="00E1232E"/>
    <w:pPr>
      <w:numPr>
        <w:numId w:val="8"/>
      </w:numPr>
    </w:pPr>
  </w:style>
  <w:style w:type="paragraph" w:styleId="TableText" w:customStyle="true">
    <w:name w:val="Table Text"/>
    <w:basedOn w:val="Normal"/>
    <w:uiPriority w:val="99"/>
    <w:semiHidden/>
    <w:rsid w:val="00E1232E"/>
    <w:pPr>
      <w:spacing w:before="60" w:after="60" w:line="300" w:lineRule="auto"/>
    </w:pPr>
    <w:rPr>
      <w:rFonts w:eastAsia="Times New Roman" w:cs="Arial"/>
      <w:sz w:val="20"/>
      <w:szCs w:val="20"/>
      <w:lang w:eastAsia="en-US"/>
    </w:rPr>
  </w:style>
  <w:style w:type="paragraph" w:styleId="Guidance" w:customStyle="true">
    <w:name w:val="Guidance"/>
    <w:basedOn w:val="BodyText"/>
    <w:uiPriority w:val="99"/>
    <w:semiHidden/>
    <w:rsid w:val="00E1232E"/>
    <w:pPr>
      <w:pBdr>
        <w:top w:val="single" w:color="auto" w:sz="4" w:space="6"/>
        <w:left w:val="single" w:color="auto" w:sz="4" w:space="6"/>
        <w:bottom w:val="single" w:color="auto" w:sz="4" w:space="6"/>
        <w:right w:val="single" w:color="auto" w:sz="4" w:space="6"/>
      </w:pBdr>
      <w:spacing w:before="0" w:after="0" w:line="240" w:lineRule="auto"/>
      <w:ind w:left="851"/>
    </w:pPr>
    <w:rPr>
      <w:rFonts w:ascii="Times New Roman" w:hAnsi="Times New Roman"/>
      <w:i/>
    </w:rPr>
  </w:style>
  <w:style w:type="paragraph" w:styleId="Tabletext0" w:customStyle="true">
    <w:name w:val="Table text"/>
    <w:basedOn w:val="Normal"/>
    <w:uiPriority w:val="99"/>
    <w:semiHidden/>
    <w:rsid w:val="00E1232E"/>
    <w:pPr>
      <w:spacing w:before="60" w:after="60" w:line="300" w:lineRule="auto"/>
    </w:pPr>
    <w:rPr>
      <w:rFonts w:eastAsia="Times New Roman" w:cs="Arial"/>
      <w:sz w:val="18"/>
      <w:szCs w:val="20"/>
      <w:lang w:eastAsia="en-US"/>
    </w:rPr>
  </w:style>
  <w:style w:type="paragraph" w:styleId="ListwithBullet" w:customStyle="true">
    <w:name w:val="List with Bullet"/>
    <w:basedOn w:val="Normal"/>
    <w:uiPriority w:val="99"/>
    <w:semiHidden/>
    <w:rsid w:val="00E1232E"/>
    <w:pPr>
      <w:numPr>
        <w:numId w:val="9"/>
      </w:numPr>
      <w:spacing w:after="0" w:line="300" w:lineRule="auto"/>
    </w:pPr>
    <w:rPr>
      <w:rFonts w:eastAsia="Times New Roman"/>
      <w:sz w:val="20"/>
      <w:szCs w:val="20"/>
      <w:lang w:eastAsia="en-US"/>
    </w:rPr>
  </w:style>
  <w:style w:type="paragraph" w:styleId="ListwithBulletinTable" w:customStyle="true">
    <w:name w:val="List with Bullet in Table"/>
    <w:basedOn w:val="ListwithBullet"/>
    <w:uiPriority w:val="99"/>
    <w:semiHidden/>
    <w:qFormat/>
    <w:rsid w:val="00E1232E"/>
    <w:rPr>
      <w:szCs w:val="22"/>
    </w:rPr>
  </w:style>
  <w:style w:type="paragraph" w:styleId="DBRNumbering" w:customStyle="true">
    <w:name w:val="DBR Numbering"/>
    <w:basedOn w:val="TableText"/>
    <w:uiPriority w:val="99"/>
    <w:semiHidden/>
    <w:qFormat/>
    <w:rsid w:val="00E1232E"/>
    <w:pPr>
      <w:numPr>
        <w:numId w:val="10"/>
      </w:numPr>
      <w:spacing w:line="240" w:lineRule="auto"/>
    </w:pPr>
  </w:style>
  <w:style w:type="paragraph" w:styleId="NFRNumbering" w:customStyle="true">
    <w:name w:val="NFR Numbering"/>
    <w:basedOn w:val="DBRNumbering"/>
    <w:uiPriority w:val="99"/>
    <w:semiHidden/>
    <w:qFormat/>
    <w:rsid w:val="00E1232E"/>
    <w:pPr>
      <w:numPr>
        <w:numId w:val="11"/>
      </w:numPr>
    </w:pPr>
    <w:rPr>
      <w:szCs w:val="24"/>
    </w:rPr>
  </w:style>
  <w:style w:type="character" w:styleId="TableHeadingChar" w:customStyle="true">
    <w:name w:val="Table Heading Char"/>
    <w:basedOn w:val="DefaultParagraphFont"/>
    <w:link w:val="TableHeading"/>
    <w:semiHidden/>
    <w:locked/>
    <w:rsid w:val="00E1232E"/>
    <w:rPr>
      <w:rFonts w:ascii="Arial Bold" w:hAnsi="Arial Bold"/>
      <w:b/>
      <w:sz w:val="18"/>
      <w:szCs w:val="22"/>
      <w:lang w:eastAsia="ar-SA"/>
    </w:rPr>
  </w:style>
  <w:style w:type="paragraph" w:styleId="TableHeading" w:customStyle="true">
    <w:name w:val="Table Heading"/>
    <w:basedOn w:val="Normal"/>
    <w:link w:val="TableHeadingChar"/>
    <w:semiHidden/>
    <w:rsid w:val="00E1232E"/>
    <w:pPr>
      <w:keepNext/>
      <w:keepLines/>
      <w:suppressAutoHyphens/>
      <w:spacing w:before="100" w:after="60" w:line="240" w:lineRule="auto"/>
    </w:pPr>
    <w:rPr>
      <w:rFonts w:ascii="Arial Bold" w:hAnsi="Arial Bold"/>
      <w:b/>
      <w:sz w:val="18"/>
      <w:szCs w:val="22"/>
      <w:lang w:eastAsia="ar-SA"/>
    </w:rPr>
  </w:style>
  <w:style w:type="paragraph" w:styleId="TableBullet" w:customStyle="true">
    <w:name w:val="Table Bullet"/>
    <w:basedOn w:val="TableText"/>
    <w:uiPriority w:val="99"/>
    <w:semiHidden/>
    <w:rsid w:val="00E1232E"/>
    <w:pPr>
      <w:numPr>
        <w:numId w:val="12"/>
      </w:numPr>
      <w:spacing w:line="240" w:lineRule="auto"/>
    </w:pPr>
    <w:rPr>
      <w:rFonts w:ascii="Arial (W1)" w:hAnsi="Arial (W1)" w:cs="Times New Roman"/>
      <w:sz w:val="22"/>
    </w:rPr>
  </w:style>
  <w:style w:type="paragraph" w:styleId="Bulletforunderhdr12" w:customStyle="true">
    <w:name w:val="Bullet for under hdr 1 &amp; 2"/>
    <w:basedOn w:val="Normal"/>
    <w:uiPriority w:val="99"/>
    <w:semiHidden/>
    <w:rsid w:val="00E1232E"/>
    <w:pPr>
      <w:numPr>
        <w:numId w:val="13"/>
      </w:numPr>
      <w:spacing w:before="240" w:after="120" w:line="300" w:lineRule="auto"/>
    </w:pPr>
    <w:rPr>
      <w:rFonts w:ascii="Helvetica" w:hAnsi="Helvetica" w:eastAsia="Times New Roman"/>
      <w:sz w:val="20"/>
      <w:szCs w:val="20"/>
      <w:lang w:val="en-GB" w:eastAsia="en-US"/>
    </w:rPr>
  </w:style>
  <w:style w:type="paragraph" w:styleId="Bulletforblueiinfo" w:customStyle="true">
    <w:name w:val="Bullet for blueiinfo"/>
    <w:basedOn w:val="Normal"/>
    <w:uiPriority w:val="99"/>
    <w:semiHidden/>
    <w:rsid w:val="00E1232E"/>
    <w:pPr>
      <w:numPr>
        <w:numId w:val="14"/>
      </w:numPr>
      <w:tabs>
        <w:tab w:val="clear" w:pos="737"/>
        <w:tab w:val="num" w:pos="0"/>
        <w:tab w:val="left" w:pos="1191"/>
      </w:tabs>
      <w:spacing w:before="240" w:after="120" w:line="300" w:lineRule="auto"/>
      <w:ind w:left="1191" w:hanging="454"/>
      <w:jc w:val="both"/>
    </w:pPr>
    <w:rPr>
      <w:rFonts w:eastAsia="Times New Roman"/>
      <w:i/>
      <w:color w:val="0000FF"/>
      <w:sz w:val="20"/>
      <w:szCs w:val="20"/>
      <w:lang w:val="en-GB" w:eastAsia="en-US"/>
    </w:rPr>
  </w:style>
  <w:style w:type="paragraph" w:styleId="TableNormal1" w:customStyle="true">
    <w:name w:val="Table Normal1"/>
    <w:basedOn w:val="Normal"/>
    <w:uiPriority w:val="99"/>
    <w:semiHidden/>
    <w:rsid w:val="00E1232E"/>
    <w:pPr>
      <w:keepNext/>
      <w:keepLines/>
      <w:spacing w:before="60" w:after="60" w:line="240" w:lineRule="auto"/>
    </w:pPr>
    <w:rPr>
      <w:rFonts w:eastAsia="Times New Roman"/>
      <w:sz w:val="18"/>
      <w:szCs w:val="22"/>
      <w:lang w:eastAsia="en-US"/>
    </w:rPr>
  </w:style>
  <w:style w:type="paragraph" w:styleId="TableHeadingCentre" w:customStyle="true">
    <w:name w:val="Table Heading Centre"/>
    <w:basedOn w:val="TableHeading"/>
    <w:uiPriority w:val="99"/>
    <w:semiHidden/>
    <w:rsid w:val="00E1232E"/>
    <w:pPr>
      <w:suppressAutoHyphens w:val="false"/>
      <w:spacing w:before="60"/>
      <w:jc w:val="center"/>
    </w:pPr>
    <w:rPr>
      <w:rFonts w:ascii="Arial (W1)" w:hAnsi="Arial (W1)"/>
      <w:lang w:eastAsia="en-US"/>
    </w:rPr>
  </w:style>
  <w:style w:type="paragraph" w:styleId="heading2text" w:customStyle="true">
    <w:name w:val="heading 2 text"/>
    <w:basedOn w:val="Normal"/>
    <w:uiPriority w:val="99"/>
    <w:semiHidden/>
    <w:rsid w:val="00E1232E"/>
    <w:pPr>
      <w:overflowPunct w:val="false"/>
      <w:autoSpaceDE w:val="false"/>
      <w:autoSpaceDN w:val="false"/>
      <w:adjustRightInd w:val="false"/>
      <w:spacing w:after="0" w:line="240" w:lineRule="auto"/>
      <w:ind w:left="1134"/>
      <w:jc w:val="both"/>
    </w:pPr>
    <w:rPr>
      <w:rFonts w:ascii="Times New Roman" w:hAnsi="Times New Roman" w:eastAsia="Times New Roman"/>
      <w:szCs w:val="20"/>
      <w:lang w:eastAsia="en-US"/>
    </w:rPr>
  </w:style>
  <w:style w:type="paragraph" w:styleId="ReturnAddress" w:customStyle="true">
    <w:name w:val="Return Address"/>
    <w:basedOn w:val="Normal"/>
    <w:uiPriority w:val="99"/>
    <w:semiHidden/>
    <w:rsid w:val="00E1232E"/>
    <w:pPr>
      <w:keepLines/>
      <w:framePr w:w="5040" w:vSpace="187" w:hSpace="187" w:wrap="notBeside" w:hAnchor="margin" w:vAnchor="page" w:y="966"/>
      <w:widowControl w:val="false"/>
      <w:overflowPunct w:val="false"/>
      <w:autoSpaceDE w:val="false"/>
      <w:autoSpaceDN w:val="false"/>
      <w:adjustRightInd w:val="false"/>
      <w:spacing w:after="0" w:line="200" w:lineRule="atLeast"/>
    </w:pPr>
    <w:rPr>
      <w:rFonts w:eastAsia="Times New Roman"/>
      <w:spacing w:val="-2"/>
      <w:sz w:val="16"/>
      <w:szCs w:val="20"/>
      <w:lang w:val="en-US" w:eastAsia="en-US"/>
    </w:rPr>
  </w:style>
  <w:style w:type="paragraph" w:styleId="Heading1Text" w:customStyle="true">
    <w:name w:val="Heading 1 Text"/>
    <w:basedOn w:val="Normal"/>
    <w:uiPriority w:val="99"/>
    <w:semiHidden/>
    <w:rsid w:val="00E1232E"/>
    <w:pPr>
      <w:overflowPunct w:val="false"/>
      <w:autoSpaceDE w:val="false"/>
      <w:autoSpaceDN w:val="false"/>
      <w:adjustRightInd w:val="false"/>
      <w:spacing w:after="0" w:line="240" w:lineRule="auto"/>
      <w:ind w:left="567"/>
      <w:jc w:val="both"/>
    </w:pPr>
    <w:rPr>
      <w:rFonts w:ascii="Times New Roman" w:hAnsi="Times New Roman" w:eastAsia="Times New Roman"/>
      <w:szCs w:val="20"/>
      <w:lang w:eastAsia="en-US"/>
    </w:rPr>
  </w:style>
  <w:style w:type="paragraph" w:styleId="Bullet" w:customStyle="true">
    <w:name w:val="Bullet"/>
    <w:basedOn w:val="Normal"/>
    <w:uiPriority w:val="99"/>
    <w:semiHidden/>
    <w:rsid w:val="00E1232E"/>
    <w:pPr>
      <w:overflowPunct w:val="false"/>
      <w:autoSpaceDE w:val="false"/>
      <w:autoSpaceDN w:val="false"/>
      <w:adjustRightInd w:val="false"/>
      <w:spacing w:before="120" w:after="0" w:line="240" w:lineRule="auto"/>
      <w:ind w:left="1418" w:hanging="567"/>
      <w:jc w:val="both"/>
    </w:pPr>
    <w:rPr>
      <w:rFonts w:ascii="Times New Roman" w:hAnsi="Times New Roman" w:eastAsia="Times New Roman"/>
      <w:szCs w:val="20"/>
      <w:lang w:eastAsia="en-US"/>
    </w:rPr>
  </w:style>
  <w:style w:type="paragraph" w:styleId="Topic" w:customStyle="true">
    <w:name w:val="Topic"/>
    <w:basedOn w:val="Normal"/>
    <w:next w:val="BodyText"/>
    <w:uiPriority w:val="99"/>
    <w:semiHidden/>
    <w:rsid w:val="00E1232E"/>
    <w:pPr>
      <w:spacing w:before="120" w:after="120" w:line="240" w:lineRule="auto"/>
      <w:ind w:left="425"/>
    </w:pPr>
    <w:rPr>
      <w:rFonts w:eastAsia="Times New Roman"/>
      <w:b/>
      <w:smallCaps/>
      <w:szCs w:val="20"/>
      <w:lang w:val="en-US" w:eastAsia="en-US"/>
    </w:rPr>
  </w:style>
  <w:style w:type="paragraph" w:styleId="AppendixHeading1" w:customStyle="true">
    <w:name w:val="Appendix Heading 1"/>
    <w:basedOn w:val="Heading1"/>
    <w:uiPriority w:val="99"/>
    <w:semiHidden/>
    <w:rsid w:val="00E1232E"/>
    <w:pPr>
      <w:keepLines/>
      <w:pageBreakBefore/>
      <w:tabs>
        <w:tab w:val="left" w:pos="510"/>
      </w:tabs>
      <w:overflowPunct w:val="false"/>
      <w:autoSpaceDE w:val="false"/>
      <w:autoSpaceDN w:val="false"/>
      <w:adjustRightInd w:val="false"/>
      <w:spacing w:after="0" w:line="240" w:lineRule="auto"/>
    </w:pPr>
    <w:rPr>
      <w:rFonts w:ascii="Arial" w:hAnsi="Arial" w:eastAsia="Times New Roman" w:cs="Arial"/>
      <w:bCs w:val="false"/>
      <w:kern w:val="0"/>
      <w:sz w:val="36"/>
      <w:szCs w:val="20"/>
      <w:lang w:val="en-US" w:eastAsia="en-US"/>
    </w:rPr>
  </w:style>
  <w:style w:type="paragraph" w:styleId="AppendixHeading2" w:customStyle="true">
    <w:name w:val="Appendix Heading 2"/>
    <w:basedOn w:val="Heading2"/>
    <w:uiPriority w:val="99"/>
    <w:semiHidden/>
    <w:rsid w:val="00E1232E"/>
    <w:pPr>
      <w:keepNext w:val="false"/>
      <w:numPr>
        <w:ilvl w:val="1"/>
        <w:numId w:val="15"/>
      </w:numPr>
      <w:tabs>
        <w:tab w:val="left" w:pos="0"/>
        <w:tab w:val="left" w:pos="567"/>
        <w:tab w:val="left" w:pos="794"/>
        <w:tab w:val="left" w:pos="1350"/>
      </w:tabs>
      <w:overflowPunct w:val="false"/>
      <w:autoSpaceDE w:val="false"/>
      <w:autoSpaceDN w:val="false"/>
      <w:adjustRightInd w:val="false"/>
      <w:spacing w:before="360" w:after="0" w:line="240" w:lineRule="atLeast"/>
    </w:pPr>
    <w:rPr>
      <w:rFonts w:ascii="Arial" w:hAnsi="Arial" w:eastAsia="Times New Roman" w:cs="Arial"/>
      <w:bCs w:val="false"/>
      <w:i w:val="false"/>
      <w:iCs w:val="false"/>
      <w:szCs w:val="20"/>
      <w:lang w:val="en-US" w:eastAsia="en-US"/>
    </w:rPr>
  </w:style>
  <w:style w:type="paragraph" w:styleId="ruler5" w:customStyle="true">
    <w:name w:val="ruler 5"/>
    <w:basedOn w:val="Normal"/>
    <w:uiPriority w:val="99"/>
    <w:semiHidden/>
    <w:rsid w:val="00E1232E"/>
    <w:pPr>
      <w:tabs>
        <w:tab w:val="left" w:pos="882"/>
        <w:tab w:val="left" w:pos="1857"/>
        <w:tab w:val="left" w:pos="2831"/>
        <w:tab w:val="left" w:pos="6589"/>
      </w:tabs>
      <w:spacing w:after="0" w:line="240" w:lineRule="auto"/>
    </w:pPr>
    <w:rPr>
      <w:rFonts w:ascii="Times" w:hAnsi="Times" w:eastAsia="Times New Roman"/>
      <w:noProof/>
      <w:color w:val="000000"/>
      <w:sz w:val="20"/>
      <w:szCs w:val="20"/>
      <w:lang w:eastAsia="en-US"/>
    </w:rPr>
  </w:style>
  <w:style w:type="paragraph" w:styleId="Normal1" w:customStyle="true">
    <w:name w:val="Normal1"/>
    <w:basedOn w:val="Normal"/>
    <w:uiPriority w:val="99"/>
    <w:semiHidden/>
    <w:rsid w:val="00E1232E"/>
    <w:pPr>
      <w:tabs>
        <w:tab w:val="left" w:pos="-1440"/>
        <w:tab w:val="left" w:pos="-720"/>
        <w:tab w:val="left" w:pos="1"/>
        <w:tab w:val="left" w:pos="1080"/>
        <w:tab w:val="left" w:pos="1800"/>
        <w:tab w:val="left" w:pos="252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uppressAutoHyphens/>
      <w:spacing w:before="120" w:after="0" w:line="240" w:lineRule="auto"/>
      <w:jc w:val="both"/>
    </w:pPr>
    <w:rPr>
      <w:rFonts w:ascii="Times New Roman" w:hAnsi="Times New Roman" w:eastAsia="Times New Roman"/>
      <w:b/>
      <w:spacing w:val="-3"/>
      <w:szCs w:val="20"/>
      <w:lang w:val="en-GB" w:eastAsia="en-US"/>
    </w:rPr>
  </w:style>
  <w:style w:type="paragraph" w:styleId="BulletLast" w:customStyle="true">
    <w:name w:val="Bullet Last"/>
    <w:basedOn w:val="Bullet"/>
    <w:next w:val="Normal"/>
    <w:uiPriority w:val="99"/>
    <w:semiHidden/>
    <w:rsid w:val="00E1232E"/>
    <w:pPr>
      <w:tabs>
        <w:tab w:val="num" w:pos="720"/>
      </w:tabs>
      <w:overflowPunct/>
      <w:autoSpaceDE/>
      <w:autoSpaceDN/>
      <w:adjustRightInd/>
      <w:spacing w:before="0" w:after="240"/>
      <w:ind w:left="648" w:hanging="288"/>
    </w:pPr>
    <w:rPr>
      <w:lang w:val="en-GB"/>
    </w:rPr>
  </w:style>
  <w:style w:type="paragraph" w:styleId="DecimalAligned" w:customStyle="true">
    <w:name w:val="Decimal Aligned"/>
    <w:basedOn w:val="Normal"/>
    <w:uiPriority w:val="40"/>
    <w:semiHidden/>
    <w:qFormat/>
    <w:rsid w:val="00E1232E"/>
    <w:pPr>
      <w:tabs>
        <w:tab w:val="decimal" w:pos="360"/>
      </w:tabs>
    </w:pPr>
    <w:rPr>
      <w:rFonts w:asciiTheme="minorHAnsi" w:hAnsiTheme="minorHAnsi" w:eastAsiaTheme="minorHAnsi" w:cstheme="minorBidi"/>
      <w:sz w:val="20"/>
      <w:szCs w:val="22"/>
      <w:lang w:val="en-US" w:eastAsia="ja-JP"/>
    </w:rPr>
  </w:style>
  <w:style w:type="character" w:styleId="CommentReference">
    <w:name w:val="annotation reference"/>
    <w:basedOn w:val="DefaultParagraphFont"/>
    <w:semiHidden/>
    <w:unhideWhenUsed/>
    <w:locked/>
    <w:rsid w:val="00E1232E"/>
    <w:rPr>
      <w:sz w:val="16"/>
      <w:szCs w:val="16"/>
    </w:rPr>
  </w:style>
  <w:style w:type="character" w:styleId="SubtleEmphasis">
    <w:name w:val="Subtle Emphasis"/>
    <w:basedOn w:val="DefaultParagraphFont"/>
    <w:uiPriority w:val="19"/>
    <w:qFormat/>
    <w:locked/>
    <w:rsid w:val="00E1232E"/>
    <w:rPr>
      <w:i/>
      <w:iCs/>
      <w:color w:val="7F7F7F" w:themeColor="text1" w:themeTint="80"/>
    </w:rPr>
  </w:style>
  <w:style w:type="character" w:styleId="xdtextbox1" w:customStyle="true">
    <w:name w:val="xdtextbox1"/>
    <w:basedOn w:val="DefaultParagraphFont"/>
    <w:rsid w:val="00E1232E"/>
    <w:rPr>
      <w:color w:val="auto"/>
      <w:bdr w:val="single" w:color="DCDCDC" w:sz="8" w:space="1" w:frame="true"/>
      <w:shd w:val="clear" w:color="auto" w:fill="FFFFFF"/>
    </w:rPr>
  </w:style>
  <w:style w:type="table" w:styleId="MediumGrid1-Accent3">
    <w:name w:val="Medium Grid 1 Accent 3"/>
    <w:basedOn w:val="TableNormal"/>
    <w:uiPriority w:val="67"/>
    <w:locked/>
    <w:rsid w:val="00E1232E"/>
    <w:rPr>
      <w:rFonts w:ascii="Times New Roman" w:hAnsi="Times New Roman" w:eastAsia="Times New Roman"/>
      <w:sz w:val="20"/>
      <w:szCs w:val="20"/>
    </w:rPr>
    <w:tblPr>
      <w:tblStyleRowBandSize w:val="1"/>
      <w:tblStyleColBandSize w:val="1"/>
      <w:tblInd w:w="0" w:type="dxa"/>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Shading2-Accent5">
    <w:name w:val="Medium Shading 2 Accent 5"/>
    <w:basedOn w:val="TableNormal"/>
    <w:uiPriority w:val="64"/>
    <w:locked/>
    <w:rsid w:val="00E1232E"/>
    <w:rPr>
      <w:rFonts w:asciiTheme="minorHAnsi" w:hAnsiTheme="minorHAnsi" w:eastAsiaTheme="minorEastAsia" w:cstheme="minorBidi"/>
      <w:sz w:val="22"/>
      <w:szCs w:val="22"/>
      <w:lang w:val="en-US" w:eastAsia="ja-JP"/>
    </w:rPr>
    <w:tblPr>
      <w:tblStyleRowBandSize w:val="1"/>
      <w:tblStyleColBandSize w:val="1"/>
      <w:tblInd w:w="0" w:type="dxa"/>
      <w:tblBorders>
        <w:top w:val="single" w:color="auto" w:sz="18" w:space="0"/>
        <w:bottom w:val="single" w:color="auto" w:sz="1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beforeLines="0" w:beforeAutospacing="false" w:after="0" w:afterLines="0" w:afterAutospacing="false" w:line="240" w:lineRule="auto"/>
      </w:pPr>
      <w:rPr>
        <w:color w:val="000000"/>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Accent6">
    <w:name w:val="Medium List 1 Accent 6"/>
    <w:basedOn w:val="TableNormal"/>
    <w:uiPriority w:val="65"/>
    <w:locked/>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ghtList-Accent11" w:customStyle="true">
    <w:name w:val="Light List - Accent 1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4F81BD" w:themeFill="accent1"/>
      </w:tcPr>
    </w:tblStylePr>
    <w:tblStylePr w:type="lastRow">
      <w:pPr>
        <w:spacing w:before="0" w:beforeLines="0" w:beforeAutospacing="false" w:after="0" w:afterLines="0" w:afterAutospacing="false"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ColorfulGrid1" w:customStyle="true">
    <w:name w:val="Colorful Grid1"/>
    <w:basedOn w:val="TableNormal"/>
    <w:uiPriority w:val="73"/>
    <w:rsid w:val="00E1232E"/>
    <w:rPr>
      <w:rFonts w:ascii="Times New Roman" w:hAnsi="Times New Roman" w:eastAsia="Times New Roman"/>
      <w:color w:val="000000" w:themeColor="text1"/>
      <w:sz w:val="20"/>
      <w:szCs w:val="20"/>
    </w:rPr>
    <w:tblPr>
      <w:tblStyleRowBandSize w:val="1"/>
      <w:tblStyleColBandSize w:val="1"/>
      <w:tblInd w:w="0" w:type="dxa"/>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11" w:customStyle="true">
    <w:name w:val="Medium List 11"/>
    <w:basedOn w:val="TableNormal"/>
    <w:uiPriority w:val="65"/>
    <w:rsid w:val="00E1232E"/>
    <w:rPr>
      <w:rFonts w:ascii="Times New Roman" w:hAnsi="Times New Roman" w:eastAsia="Times New Roman"/>
      <w:color w:val="000000" w:themeColor="text1"/>
      <w:sz w:val="20"/>
      <w:szCs w:val="20"/>
    </w:rPr>
    <w:tblPr>
      <w:tblStyleRowBandSize w:val="1"/>
      <w:tblStyleColBandSize w:val="1"/>
      <w:tblInd w:w="0" w:type="dxa"/>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hint="default"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ghtList1" w:customStyle="true">
    <w:name w:val="Light List1"/>
    <w:basedOn w:val="TableNormal"/>
    <w:uiPriority w:val="61"/>
    <w:rsid w:val="00E1232E"/>
    <w:rPr>
      <w:rFonts w:ascii="Times New Roman" w:hAnsi="Times New Roman" w:eastAsia="Times New Roman"/>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beforeLines="0" w:beforeAutospacing="false" w:after="0" w:afterLines="0" w:afterAutospacing="false" w:line="240" w:lineRule="auto"/>
      </w:pPr>
      <w:rPr>
        <w:b/>
        <w:bCs/>
        <w:color w:val="FFFFFF" w:themeColor="background1"/>
      </w:rPr>
      <w:tblPr/>
      <w:tcPr>
        <w:shd w:val="clear" w:color="auto" w:fill="000000" w:themeFill="text1"/>
      </w:tcPr>
    </w:tblStylePr>
    <w:tblStylePr w:type="lastRow">
      <w:pPr>
        <w:spacing w:before="0" w:beforeLines="0" w:beforeAutospacing="false" w:after="0" w:afterLines="0" w:afterAutospacing="false"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MediumGrid21" w:customStyle="true">
    <w:name w:val="Medium Grid 21"/>
    <w:basedOn w:val="TableNormal"/>
    <w:uiPriority w:val="68"/>
    <w:rsid w:val="00E1232E"/>
    <w:rPr>
      <w:rFonts w:asciiTheme="majorHAnsi" w:hAnsiTheme="majorHAnsi" w:eastAsiaTheme="majorEastAsia" w:cstheme="majorBidi"/>
      <w:color w:val="000000" w:themeColor="text1"/>
      <w:sz w:val="20"/>
      <w:szCs w:val="20"/>
    </w:rPr>
    <w:tblPr>
      <w:tblStyleRowBandSize w:val="1"/>
      <w:tblStyleColBandSize w:val="1"/>
      <w:tblInd w:w="0" w:type="dxa"/>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false"/>
        <w:bCs w:val="false"/>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character" w:styleId="FootnoteReference">
    <w:name w:val="footnote reference"/>
    <w:basedOn w:val="DefaultParagraphFont"/>
    <w:uiPriority w:val="99"/>
    <w:unhideWhenUsed/>
    <w:locked/>
    <w:rsid w:val="0049645A"/>
    <w:rPr>
      <w:vertAlign w:val="superscript"/>
    </w:rPr>
  </w:style>
  <w:style w:type="paragraph" w:styleId="disclaimer" w:customStyle="true">
    <w:name w:val="disclaimer"/>
    <w:basedOn w:val="Normal"/>
    <w:rsid w:val="00575FAB"/>
    <w:pPr>
      <w:spacing w:before="100" w:beforeAutospacing="true" w:after="100" w:afterAutospacing="true" w:line="240" w:lineRule="auto"/>
    </w:pPr>
    <w:rPr>
      <w:rFonts w:ascii="Times" w:hAnsi="Times"/>
      <w:sz w:val="20"/>
      <w:szCs w:val="20"/>
      <w:lang w:eastAsia="en-US"/>
    </w:rPr>
  </w:style>
  <w:style w:type="character" w:styleId="Emphasis">
    <w:name w:val="Emphasis"/>
    <w:basedOn w:val="DefaultParagraphFont"/>
    <w:uiPriority w:val="20"/>
    <w:qFormat/>
    <w:locked/>
    <w:rsid w:val="00A2002E"/>
    <w:rPr>
      <w:i/>
      <w:iCs/>
    </w:rPr>
  </w:style>
</w:styles>
</file>

<file path=word/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Arial" w:cs="Times New Roman" w:eastAsia="Calibri" w:hAnsi="Arial"/>
        <w:sz w:val="24"/>
        <w:szCs w:val="24"/>
        <w:lang w:bidi="ar-SA" w:eastAsia="en-AU" w:val="en-AU"/>
      </w:rPr>
    </w:rPrDefault>
    <w:pPrDefault/>
  </w:docDefaults>
  <w:latentStyles w:count="267" w:defLockedState="1" w:defQFormat="0" w:defSemiHidden="1" w:defUIPriority="99" w:defUnhideWhenUsed="1">
    <w:lsdException w:locked="0" w:name="Normal" w:semiHidden="0" w:uiPriority="0" w:unhideWhenUsed="0"/>
    <w:lsdException w:locked="0" w:name="heading 1" w:qFormat="1" w:semiHidden="0" w:uiPriority="0" w:unhideWhenUsed="0"/>
    <w:lsdException w:locked="0" w:name="heading 2" w:qFormat="1" w:uiPriority="0"/>
    <w:lsdException w:locked="0" w:name="heading 3" w:qFormat="1" w:uiPriority="0"/>
    <w:lsdException w:name="heading 4" w:qFormat="1" w:uiPriority="0"/>
    <w:lsdException w:locked="0" w:name="heading 5" w:qFormat="1" w:uiPriority="0"/>
    <w:lsdException w:name="heading 6" w:qFormat="1" w:uiPriority="0"/>
    <w:lsdException w:name="heading 7" w:qFormat="1"/>
    <w:lsdException w:name="heading 8" w:qFormat="1"/>
    <w:lsdException w:name="heading 9" w:qFormat="1"/>
    <w:lsdException w:name="toc 1" w:qFormat="1" w:uiPriority="39"/>
    <w:lsdException w:name="toc 2" w:qFormat="1" w:uiPriority="39"/>
    <w:lsdException w:name="toc 3" w:qFormat="1"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lsdException w:name="annotation reference" w:uiPriority="0"/>
    <w:lsdException w:name="Title" w:qFormat="1" w:uiPriority="10" w:unhideWhenUsed="0"/>
    <w:lsdException w:locked="0" w:name="Default Paragraph Font" w:uiPriority="1"/>
    <w:lsdException w:locked="0" w:name="Body Text" w:uiPriority="0"/>
    <w:lsdException w:locked="0" w:name="Body Text Indent"/>
    <w:lsdException w:name="Subtitle" w:qFormat="1" w:uiPriority="11" w:unhideWhenUsed="0"/>
    <w:lsdException w:locked="0" w:name="Body Text First Indent"/>
    <w:lsdException w:locked="0" w:name="Body Text First Indent 2"/>
    <w:lsdException w:locked="0" w:name="Body Text 2"/>
    <w:lsdException w:locked="0" w:name="Body Text 3"/>
    <w:lsdException w:name="FollowedHyperlink" w:uiPriority="0"/>
    <w:lsdException w:locked="0" w:name="Strong" w:qFormat="1" w:uiPriority="22" w:unhideWhenUsed="0"/>
    <w:lsdException w:name="Emphasis" w:qFormat="1" w:uiPriority="20" w:unhideWhenUsed="0"/>
    <w:lsdException w:locked="0" w:name="HTML Top of Form"/>
    <w:lsdException w:locked="0" w:name="HTML Bottom of Form"/>
    <w:lsdException w:locked="0" w:name="Normal Table"/>
    <w:lsdException w:locked="0" w:name="No List"/>
    <w:lsdException w:locked="0" w:name="Balloon Text"/>
    <w:lsdException w:locked="0" w:name="Table Grid" w:semiHidden="0" w:uiPriority="59" w:unhideWhenUsed="0"/>
    <w:lsdException w:locked="0" w:name="Placeholder Text" w:unhideWhenUsed="0"/>
    <w:lsdException w:name="No Spacing" w:qFormat="1"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locked="0" w:name="Revision" w:unhideWhenUsed="0"/>
    <w:lsdException w:name="List Paragraph" w:qFormat="1" w:uiPriority="34" w:unhideWhenUsed="0"/>
    <w:lsdException w:name="Quote" w:qFormat="1" w:uiPriority="29" w:unhideWhenUsed="0"/>
    <w:lsdException w:name="Intense Quote" w:qFormat="1"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uiPriority="19" w:unhideWhenUsed="0"/>
    <w:lsdException w:name="Intense Emphasis" w:qFormat="1" w:uiPriority="21" w:unhideWhenUsed="0"/>
    <w:lsdException w:name="Subtle Reference" w:qFormat="1" w:uiPriority="31" w:unhideWhenUsed="0"/>
    <w:lsdException w:name="Intense Reference" w:qFormat="1" w:uiPriority="32" w:unhideWhenUsed="0"/>
    <w:lsdException w:name="Book Title" w:qFormat="1" w:uiPriority="33" w:unhideWhenUsed="0"/>
    <w:lsdException w:name="Bibliography" w:uiPriority="37"/>
    <w:lsdException w:name="TOC Heading" w:qFormat="1" w:uiPriority="39"/>
  </w:latentStyles>
  <w:style w:default="1" w:styleId="Normal" w:type="paragraph">
    <w:name w:val="Normal"/>
    <w:semiHidden/>
    <w:rsid w:val="009459F3"/>
    <w:pPr>
      <w:spacing w:after="200" w:line="276" w:lineRule="auto"/>
    </w:pPr>
  </w:style>
  <w:style w:styleId="Heading1" w:type="paragraph">
    <w:name w:val="heading 1"/>
    <w:aliases w:val="H1,contents,proj,proj1,proj5,proj6,proj7,proj8,proj9,proj10,proj11,proj12,proj13,proj14,proj15,proj51,proj61,proj71,proj81,proj91,proj101,proj111,proj121,proj131,proj141,proj16,proj52,proj62,proj72,proj82,proj92,proj102,proj112,proj122,proj132"/>
    <w:basedOn w:val="Normal"/>
    <w:next w:val="Normal"/>
    <w:link w:val="Heading1Char"/>
    <w:qFormat/>
    <w:locked/>
    <w:rsid w:val="00C72D08"/>
    <w:pPr>
      <w:keepNext/>
      <w:spacing w:after="60" w:before="240"/>
      <w:outlineLvl w:val="0"/>
    </w:pPr>
    <w:rPr>
      <w:rFonts w:asciiTheme="majorHAnsi" w:cstheme="majorBidi" w:eastAsiaTheme="majorEastAsia" w:hAnsiTheme="majorHAnsi"/>
      <w:b/>
      <w:bCs/>
      <w:kern w:val="32"/>
      <w:sz w:val="32"/>
      <w:szCs w:val="32"/>
    </w:rPr>
  </w:style>
  <w:style w:styleId="Heading2" w:type="paragraph">
    <w:name w:val="heading 2"/>
    <w:aliases w:val="heading 2,Intro Text Bold,proj2,proj21,proj22,proj23,proj24,proj25,proj26,proj27,proj28,proj29,proj210,proj211,proj212,proj221,proj231,proj241,proj251,proj261,proj271,proj281,proj291,proj2101,proj2111,proj213,proj222,proj232,proj242,proj252,2"/>
    <w:basedOn w:val="Normal"/>
    <w:next w:val="Normal"/>
    <w:link w:val="Heading2Char"/>
    <w:semiHidden/>
    <w:qFormat/>
    <w:locked/>
    <w:rsid w:val="00C72D08"/>
    <w:pPr>
      <w:keepNext/>
      <w:spacing w:after="60" w:before="240"/>
      <w:outlineLvl w:val="1"/>
    </w:pPr>
    <w:rPr>
      <w:rFonts w:asciiTheme="majorHAnsi" w:cstheme="majorBidi" w:eastAsiaTheme="majorEastAsia" w:hAnsiTheme="majorHAnsi"/>
      <w:b/>
      <w:bCs/>
      <w:i/>
      <w:iCs/>
      <w:sz w:val="28"/>
      <w:szCs w:val="28"/>
    </w:rPr>
  </w:style>
  <w:style w:styleId="Heading3" w:type="paragraph">
    <w:name w:val="heading 3"/>
    <w:aliases w:val="heading 3,underlined Heading,proj3,proj31,proj32,proj33,proj34,proj35,proj36,proj37,proj38,proj39,proj310,proj311,proj312,proj321,proj331,proj341,proj351,proj361,proj371,proj381,proj391,proj3101,proj3111,proj313,proj322,proj332,proj342,h3,sl3"/>
    <w:basedOn w:val="Normal"/>
    <w:next w:val="Normal"/>
    <w:link w:val="Heading3Char"/>
    <w:semiHidden/>
    <w:qFormat/>
    <w:locked/>
    <w:rsid w:val="00C72D08"/>
    <w:pPr>
      <w:keepNext/>
      <w:spacing w:after="60" w:before="240"/>
      <w:outlineLvl w:val="2"/>
    </w:pPr>
    <w:rPr>
      <w:rFonts w:asciiTheme="majorHAnsi" w:cstheme="majorBidi" w:eastAsiaTheme="majorEastAsia" w:hAnsiTheme="majorHAnsi"/>
      <w:b/>
      <w:bCs/>
      <w:sz w:val="26"/>
      <w:szCs w:val="26"/>
    </w:rPr>
  </w:style>
  <w:style w:styleId="Heading4" w:type="paragraph">
    <w:name w:val="heading 4"/>
    <w:aliases w:val="Level 2 - a,h4,a,minor header,Map Title,Subsection,sub TR,proj4,proj41,proj42,proj43,proj44,proj45,proj46,proj47,proj48,proj49,proj410,proj411,proj412,proj421,proj431,proj441,proj451,proj461,proj471,proj481,proj491,proj4101,proj4111,proj413"/>
    <w:basedOn w:val="Normal"/>
    <w:next w:val="Normal"/>
    <w:link w:val="Heading4Char"/>
    <w:semiHidden/>
    <w:unhideWhenUsed/>
    <w:qFormat/>
    <w:locked/>
    <w:rsid w:val="00E1232E"/>
    <w:pPr>
      <w:keepNext/>
      <w:keepLines/>
      <w:spacing w:after="0" w:before="200"/>
      <w:outlineLvl w:val="3"/>
    </w:pPr>
    <w:rPr>
      <w:rFonts w:asciiTheme="majorHAnsi" w:cstheme="majorBidi" w:eastAsiaTheme="majorEastAsia" w:hAnsiTheme="majorHAnsi"/>
      <w:b/>
      <w:bCs/>
      <w:i/>
      <w:iCs/>
      <w:color w:themeColor="accent1" w:val="4F81BD"/>
    </w:rPr>
  </w:style>
  <w:style w:styleId="Heading5" w:type="paragraph">
    <w:name w:val="heading 5"/>
    <w:aliases w:val="Level 3 - i,5,Normal5,Level 3 - (i)"/>
    <w:basedOn w:val="Heading4"/>
    <w:next w:val="Normal"/>
    <w:link w:val="Heading5Char"/>
    <w:semiHidden/>
    <w:unhideWhenUsed/>
    <w:qFormat/>
    <w:rsid w:val="00E1232E"/>
    <w:pPr>
      <w:keepLines w:val="0"/>
      <w:tabs>
        <w:tab w:pos="1008" w:val="num"/>
      </w:tabs>
      <w:spacing w:after="120" w:before="240" w:line="300" w:lineRule="auto"/>
      <w:ind w:hanging="1008" w:left="1008"/>
      <w:outlineLvl w:val="4"/>
    </w:pPr>
    <w:rPr>
      <w:rFonts w:ascii="Arial" w:cs="Arial" w:eastAsia="Times New Roman" w:hAnsi="Arial"/>
      <w:b w:val="0"/>
      <w:i w:val="0"/>
      <w:iCs w:val="0"/>
      <w:color w:val="auto"/>
      <w:szCs w:val="28"/>
      <w:lang w:eastAsia="en-US"/>
    </w:rPr>
  </w:style>
  <w:style w:styleId="Heading6" w:type="paragraph">
    <w:name w:val="heading 6"/>
    <w:aliases w:val="Legal Level 1.,Body Text 5,Normal6"/>
    <w:basedOn w:val="Heading5"/>
    <w:next w:val="Normal"/>
    <w:link w:val="Heading6Char"/>
    <w:semiHidden/>
    <w:unhideWhenUsed/>
    <w:qFormat/>
    <w:locked/>
    <w:rsid w:val="00E1232E"/>
    <w:pPr>
      <w:tabs>
        <w:tab w:pos="1008" w:val="clear"/>
        <w:tab w:pos="1152" w:val="num"/>
      </w:tabs>
      <w:ind w:hanging="1152" w:left="1152"/>
      <w:outlineLvl w:val="5"/>
    </w:pPr>
  </w:style>
  <w:style w:styleId="Heading7" w:type="paragraph">
    <w:name w:val="heading 7"/>
    <w:aliases w:val="Legal Level 1.1.,Body Text 6,Heading 7(unused),Normal7"/>
    <w:basedOn w:val="Heading6"/>
    <w:next w:val="Normal"/>
    <w:link w:val="Heading7Char"/>
    <w:uiPriority w:val="99"/>
    <w:semiHidden/>
    <w:unhideWhenUsed/>
    <w:qFormat/>
    <w:locked/>
    <w:rsid w:val="00E1232E"/>
    <w:pPr>
      <w:tabs>
        <w:tab w:pos="1152" w:val="clear"/>
        <w:tab w:pos="1296" w:val="num"/>
      </w:tabs>
      <w:ind w:hanging="1296" w:left="1296"/>
      <w:outlineLvl w:val="6"/>
    </w:pPr>
  </w:style>
  <w:style w:styleId="Heading8" w:type="paragraph">
    <w:name w:val="heading 8"/>
    <w:aliases w:val="Legal Level 1.1.1.,Body Text 7,Heading 8(unused),Heading 8 (Start Appendices),Normal8"/>
    <w:basedOn w:val="Heading7"/>
    <w:next w:val="Normal"/>
    <w:link w:val="Heading8Char"/>
    <w:uiPriority w:val="99"/>
    <w:semiHidden/>
    <w:unhideWhenUsed/>
    <w:qFormat/>
    <w:locked/>
    <w:rsid w:val="00E1232E"/>
    <w:pPr>
      <w:tabs>
        <w:tab w:pos="1296" w:val="clear"/>
        <w:tab w:pos="1440" w:val="num"/>
      </w:tabs>
      <w:ind w:hanging="1440" w:left="1440"/>
      <w:outlineLvl w:val="7"/>
    </w:pPr>
  </w:style>
  <w:style w:styleId="Heading9" w:type="paragraph">
    <w:name w:val="heading 9"/>
    <w:aliases w:val="Legal Level 1.1.1.1.,Body Text 8,Heading 9(unused),Appendix"/>
    <w:basedOn w:val="Heading8"/>
    <w:next w:val="Normal"/>
    <w:link w:val="Heading9Char"/>
    <w:uiPriority w:val="99"/>
    <w:semiHidden/>
    <w:unhideWhenUsed/>
    <w:qFormat/>
    <w:locked/>
    <w:rsid w:val="00E1232E"/>
    <w:pPr>
      <w:tabs>
        <w:tab w:pos="1440" w:val="clear"/>
        <w:tab w:pos="1584" w:val="num"/>
      </w:tabs>
      <w:ind w:hanging="1584" w:left="1584"/>
      <w:outlineLvl w:val="8"/>
    </w:p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CaselawCoversheet" w:type="paragraph">
    <w:name w:val="Caselaw Coversheet"/>
    <w:basedOn w:val="Normal"/>
    <w:qFormat/>
    <w:rsid w:val="009C6388"/>
    <w:pPr>
      <w:spacing w:after="0" w:line="240" w:lineRule="auto"/>
    </w:pPr>
    <w:rPr>
      <w:rFonts w:cs="Arial"/>
    </w:rPr>
  </w:style>
  <w:style w:customStyle="1" w:styleId="CaselawNormal" w:type="paragraph">
    <w:name w:val="Caselaw Normal"/>
    <w:basedOn w:val="CaselawCoversheet"/>
    <w:uiPriority w:val="6"/>
    <w:qFormat/>
    <w:locked/>
    <w:rsid w:val="007360E8"/>
    <w:pPr>
      <w:spacing w:after="240" w:line="360" w:lineRule="auto"/>
      <w:ind w:left="720"/>
    </w:pPr>
  </w:style>
  <w:style w:customStyle="1" w:styleId="CaselawNumbered10" w:type="paragraph">
    <w:name w:val="Caselaw Numbered 1"/>
    <w:basedOn w:val="CaselawNormal"/>
    <w:uiPriority w:val="5"/>
    <w:qFormat/>
    <w:rsid w:val="007360E8"/>
    <w:pPr>
      <w:numPr>
        <w:numId w:val="1"/>
      </w:numPr>
      <w:ind w:hanging="720" w:left="720"/>
    </w:pPr>
  </w:style>
  <w:style w:customStyle="1" w:styleId="CaselawNumbered1" w:type="paragraph">
    <w:name w:val="Caselaw Numbered (1)"/>
    <w:basedOn w:val="CaselawNumbered10"/>
    <w:qFormat/>
    <w:rsid w:val="000A5273"/>
    <w:pPr>
      <w:numPr>
        <w:numId w:val="2"/>
      </w:numPr>
      <w:spacing w:after="360" w:line="240" w:lineRule="auto"/>
      <w:ind w:hanging="720" w:left="1440"/>
    </w:pPr>
  </w:style>
  <w:style w:customStyle="1" w:styleId="CaselawNumbereda" w:type="paragraph">
    <w:name w:val="Caselaw Numbered (a)"/>
    <w:basedOn w:val="CaselawNumbered1"/>
    <w:qFormat/>
    <w:rsid w:val="006E7434"/>
    <w:pPr>
      <w:numPr>
        <w:numId w:val="3"/>
      </w:numPr>
      <w:ind w:hanging="720" w:left="2160"/>
    </w:pPr>
  </w:style>
  <w:style w:customStyle="1" w:styleId="CaselawNumberedi" w:type="paragraph">
    <w:name w:val="Caselaw Numbered (i)"/>
    <w:basedOn w:val="CaselawNumbereda"/>
    <w:qFormat/>
    <w:rsid w:val="006E7434"/>
    <w:pPr>
      <w:numPr>
        <w:numId w:val="4"/>
      </w:numPr>
      <w:ind w:hanging="720" w:left="2880"/>
    </w:pPr>
  </w:style>
  <w:style w:customStyle="1" w:styleId="CaselawHeading1" w:type="paragraph">
    <w:name w:val="Caselaw Heading 1"/>
    <w:basedOn w:val="CaselawCoversheet"/>
    <w:next w:val="CaselawNumbered10"/>
    <w:uiPriority w:val="1"/>
    <w:qFormat/>
    <w:rsid w:val="00770D05"/>
    <w:pPr>
      <w:spacing w:after="240"/>
      <w:outlineLvl w:val="0"/>
    </w:pPr>
    <w:rPr>
      <w:b/>
      <w:caps/>
      <w:sz w:val="28"/>
    </w:rPr>
  </w:style>
  <w:style w:customStyle="1" w:styleId="CaselawHeading2" w:type="paragraph">
    <w:name w:val="Caselaw Heading 2"/>
    <w:basedOn w:val="CaselawHeading1"/>
    <w:next w:val="CaselawNumbered10"/>
    <w:uiPriority w:val="2"/>
    <w:qFormat/>
    <w:rsid w:val="009459F3"/>
    <w:pPr>
      <w:outlineLvl w:val="1"/>
    </w:pPr>
    <w:rPr>
      <w:caps w:val="0"/>
      <w:sz w:val="24"/>
    </w:rPr>
  </w:style>
  <w:style w:customStyle="1" w:styleId="CaselawHeading3" w:type="paragraph">
    <w:name w:val="Caselaw Heading 3"/>
    <w:basedOn w:val="CaselawHeading1"/>
    <w:next w:val="CaselawNumbered10"/>
    <w:uiPriority w:val="3"/>
    <w:qFormat/>
    <w:rsid w:val="009459F3"/>
    <w:pPr>
      <w:outlineLvl w:val="2"/>
    </w:pPr>
    <w:rPr>
      <w:b w:val="0"/>
      <w:i/>
      <w:caps w:val="0"/>
      <w:sz w:val="24"/>
    </w:rPr>
  </w:style>
  <w:style w:customStyle="1" w:styleId="CaselawQuote" w:type="paragraph">
    <w:name w:val="Caselaw Quote &gt;"/>
    <w:basedOn w:val="CaselawNormal"/>
    <w:qFormat/>
    <w:rsid w:val="00DA03B8"/>
    <w:pPr>
      <w:spacing w:after="360" w:line="240" w:lineRule="auto"/>
    </w:pPr>
    <w:rPr>
      <w:sz w:val="22"/>
    </w:rPr>
  </w:style>
  <w:style w:customStyle="1" w:styleId="CaselawQuote0" w:type="paragraph">
    <w:name w:val="Caselaw Quote &gt;&gt;"/>
    <w:basedOn w:val="CaselawNormal"/>
    <w:qFormat/>
    <w:rsid w:val="000A5273"/>
    <w:pPr>
      <w:spacing w:after="360" w:line="240" w:lineRule="auto"/>
      <w:ind w:left="2160"/>
    </w:pPr>
    <w:rPr>
      <w:sz w:val="22"/>
    </w:rPr>
  </w:style>
  <w:style w:customStyle="1" w:styleId="CaselawQuote1" w:type="paragraph">
    <w:name w:val="Caselaw Quote &gt;&gt;&gt;"/>
    <w:basedOn w:val="CaselawQuote0"/>
    <w:qFormat/>
    <w:rsid w:val="000A5273"/>
    <w:pPr>
      <w:ind w:left="2880"/>
    </w:pPr>
  </w:style>
  <w:style w:customStyle="1" w:styleId="CaselawHeading4" w:type="paragraph">
    <w:name w:val="Caselaw Heading 4"/>
    <w:basedOn w:val="CaselawHeading1"/>
    <w:next w:val="CaselawNumbered10"/>
    <w:uiPriority w:val="4"/>
    <w:qFormat/>
    <w:rsid w:val="009459F3"/>
    <w:pPr>
      <w:ind w:left="720"/>
      <w:outlineLvl w:val="3"/>
    </w:pPr>
    <w:rPr>
      <w:caps w:val="0"/>
      <w:sz w:val="22"/>
    </w:rPr>
  </w:style>
  <w:style w:customStyle="1" w:styleId="Heading1Char" w:type="character">
    <w:name w:val="Heading 1 Char"/>
    <w:aliases w:val="H1 Char,contents Char,proj Char,proj1 Char,proj5 Char,proj6 Char,proj7 Char,proj8 Char,proj9 Char,proj10 Char,proj11 Char,proj12 Char,proj13 Char,proj14 Char,proj15 Char,proj51 Char,proj61 Char,proj71 Char,proj81 Char,proj91 Char"/>
    <w:basedOn w:val="DefaultParagraphFont"/>
    <w:link w:val="Heading1"/>
    <w:rsid w:val="002316E1"/>
    <w:rPr>
      <w:rFonts w:asciiTheme="majorHAnsi" w:cstheme="majorBidi" w:eastAsiaTheme="majorEastAsia" w:hAnsiTheme="majorHAnsi"/>
      <w:b/>
      <w:bCs/>
      <w:kern w:val="32"/>
      <w:sz w:val="32"/>
      <w:szCs w:val="32"/>
      <w:lang w:eastAsia="en-US"/>
    </w:rPr>
  </w:style>
  <w:style w:customStyle="1" w:styleId="Heading2Char" w:type="character">
    <w:name w:val="Heading 2 Char"/>
    <w:aliases w:val="heading 2 Char,Intro Text Bold Char,proj2 Char,proj21 Char,proj22 Char,proj23 Char,proj24 Char,proj25 Char,proj26 Char,proj27 Char,proj28 Char,proj29 Char,proj210 Char,proj211 Char,proj212 Char,proj221 Char,proj231 Char,proj241 Char"/>
    <w:basedOn w:val="DefaultParagraphFont"/>
    <w:link w:val="Heading2"/>
    <w:semiHidden/>
    <w:rsid w:val="002316E1"/>
    <w:rPr>
      <w:rFonts w:asciiTheme="majorHAnsi" w:cstheme="majorBidi" w:eastAsiaTheme="majorEastAsia" w:hAnsiTheme="majorHAnsi"/>
      <w:b/>
      <w:bCs/>
      <w:i/>
      <w:iCs/>
      <w:sz w:val="28"/>
      <w:szCs w:val="28"/>
      <w:lang w:eastAsia="en-US"/>
    </w:rPr>
  </w:style>
  <w:style w:customStyle="1" w:styleId="Heading3Char" w:type="character">
    <w:name w:val="Heading 3 Char"/>
    <w:aliases w:val="heading 3 Char,underlined Heading Char,proj3 Char,proj31 Char,proj32 Char,proj33 Char,proj34 Char,proj35 Char,proj36 Char,proj37 Char,proj38 Char,proj39 Char,proj310 Char,proj311 Char,proj312 Char,proj321 Char,proj331 Char,proj341 Char"/>
    <w:basedOn w:val="DefaultParagraphFont"/>
    <w:link w:val="Heading3"/>
    <w:semiHidden/>
    <w:rsid w:val="002316E1"/>
    <w:rPr>
      <w:rFonts w:asciiTheme="majorHAnsi" w:cstheme="majorBidi" w:eastAsiaTheme="majorEastAsia" w:hAnsiTheme="majorHAnsi"/>
      <w:b/>
      <w:bCs/>
      <w:sz w:val="26"/>
      <w:szCs w:val="26"/>
      <w:lang w:eastAsia="en-US"/>
    </w:rPr>
  </w:style>
  <w:style w:styleId="TableGrid" w:type="table">
    <w:name w:val="Table Grid"/>
    <w:basedOn w:val="TableNormal"/>
    <w:uiPriority w:val="59"/>
    <w:locked/>
    <w:rsid w:val="002D6852"/>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customStyle="1" w:styleId="CaselawBullet" w:type="paragraph">
    <w:name w:val="Caselaw Bullet"/>
    <w:basedOn w:val="CaselawNormal"/>
    <w:uiPriority w:val="1"/>
    <w:qFormat/>
    <w:locked/>
    <w:rsid w:val="00F36D30"/>
    <w:pPr>
      <w:numPr>
        <w:numId w:val="5"/>
      </w:numPr>
      <w:spacing w:after="360" w:line="240" w:lineRule="auto"/>
      <w:ind w:hanging="720"/>
    </w:pPr>
  </w:style>
  <w:style w:customStyle="1" w:styleId="CaselawHeading5" w:type="paragraph">
    <w:name w:val="Caselaw Heading 5"/>
    <w:basedOn w:val="CaselawHeading4"/>
    <w:rsid w:val="009459F3"/>
    <w:rPr>
      <w:b w:val="0"/>
      <w:u w:val="single"/>
    </w:rPr>
  </w:style>
  <w:style w:styleId="BalloonText" w:type="paragraph">
    <w:name w:val="Balloon Text"/>
    <w:basedOn w:val="Normal"/>
    <w:link w:val="BalloonTextChar"/>
    <w:uiPriority w:val="99"/>
    <w:semiHidden/>
    <w:unhideWhenUsed/>
    <w:locked/>
    <w:rsid w:val="000A5625"/>
    <w:pPr>
      <w:spacing w:after="0" w:line="240" w:lineRule="auto"/>
    </w:pPr>
    <w:rPr>
      <w:rFonts w:ascii="Tahoma" w:cs="Tahoma" w:hAnsi="Tahoma"/>
      <w:sz w:val="16"/>
      <w:szCs w:val="16"/>
    </w:rPr>
  </w:style>
  <w:style w:customStyle="1" w:styleId="BalloonTextChar" w:type="character">
    <w:name w:val="Balloon Text Char"/>
    <w:basedOn w:val="DefaultParagraphFont"/>
    <w:link w:val="BalloonText"/>
    <w:uiPriority w:val="99"/>
    <w:semiHidden/>
    <w:rsid w:val="000A5625"/>
    <w:rPr>
      <w:rFonts w:ascii="Tahoma" w:cs="Tahoma" w:hAnsi="Tahoma"/>
      <w:sz w:val="16"/>
      <w:szCs w:val="16"/>
    </w:rPr>
  </w:style>
  <w:style w:styleId="PlaceholderText" w:type="character">
    <w:name w:val="Placeholder Text"/>
    <w:basedOn w:val="DefaultParagraphFont"/>
    <w:uiPriority w:val="99"/>
    <w:semiHidden/>
    <w:locked/>
    <w:rsid w:val="00B914EB"/>
    <w:rPr>
      <w:color w:val="808080"/>
    </w:rPr>
  </w:style>
  <w:style w:customStyle="1" w:styleId="Style1" w:type="character">
    <w:name w:val="Style1"/>
    <w:basedOn w:val="Strong"/>
    <w:uiPriority w:val="1"/>
    <w:locked/>
    <w:rsid w:val="00C13AF5"/>
    <w:rPr>
      <w:rFonts w:ascii="Arial" w:hAnsi="Arial"/>
      <w:b w:val="0"/>
      <w:bCs/>
      <w:sz w:val="24"/>
    </w:rPr>
  </w:style>
  <w:style w:styleId="Strong" w:type="character">
    <w:name w:val="Strong"/>
    <w:basedOn w:val="DefaultParagraphFont"/>
    <w:uiPriority w:val="22"/>
    <w:semiHidden/>
    <w:qFormat/>
    <w:locked/>
    <w:rsid w:val="00C13AF5"/>
    <w:rPr>
      <w:b/>
      <w:bCs/>
    </w:rPr>
  </w:style>
  <w:style w:styleId="DocumentMap" w:type="paragraph">
    <w:name w:val="Document Map"/>
    <w:basedOn w:val="Normal"/>
    <w:link w:val="DocumentMapChar"/>
    <w:uiPriority w:val="99"/>
    <w:semiHidden/>
    <w:unhideWhenUsed/>
    <w:locked/>
    <w:rsid w:val="00C11B7B"/>
    <w:pPr>
      <w:spacing w:after="0" w:line="240" w:lineRule="auto"/>
    </w:pPr>
    <w:rPr>
      <w:rFonts w:ascii="Lucida Grande" w:hAnsi="Lucida Grande"/>
    </w:rPr>
  </w:style>
  <w:style w:customStyle="1" w:styleId="DocumentMapChar" w:type="character">
    <w:name w:val="Document Map Char"/>
    <w:basedOn w:val="DefaultParagraphFont"/>
    <w:link w:val="DocumentMap"/>
    <w:uiPriority w:val="99"/>
    <w:semiHidden/>
    <w:rsid w:val="00C11B7B"/>
    <w:rPr>
      <w:rFonts w:ascii="Lucida Grande" w:hAnsi="Lucida Grande"/>
    </w:rPr>
  </w:style>
  <w:style w:styleId="NormalWeb" w:type="paragraph">
    <w:name w:val="Normal (Web)"/>
    <w:basedOn w:val="Normal"/>
    <w:uiPriority w:val="99"/>
    <w:semiHidden/>
    <w:unhideWhenUsed/>
    <w:locked/>
    <w:rsid w:val="00677778"/>
    <w:pPr>
      <w:spacing w:after="100" w:afterAutospacing="1" w:before="100" w:beforeAutospacing="1" w:line="240" w:lineRule="auto"/>
    </w:pPr>
    <w:rPr>
      <w:rFonts w:ascii="Times New Roman" w:eastAsia="Times New Roman" w:hAnsi="Times New Roman"/>
    </w:rPr>
  </w:style>
  <w:style w:customStyle="1" w:styleId="judgmentpara" w:type="paragraph">
    <w:name w:val="judgment_para"/>
    <w:basedOn w:val="Normal"/>
    <w:rsid w:val="00677778"/>
    <w:pPr>
      <w:spacing w:after="100" w:afterAutospacing="1" w:before="100" w:beforeAutospacing="1" w:line="240" w:lineRule="auto"/>
    </w:pPr>
    <w:rPr>
      <w:rFonts w:ascii="Times New Roman" w:eastAsia="Times New Roman" w:hAnsi="Times New Roman"/>
    </w:rPr>
  </w:style>
  <w:style w:customStyle="1" w:styleId="listnumber" w:type="character">
    <w:name w:val="list_number_"/>
    <w:basedOn w:val="DefaultParagraphFont"/>
    <w:rsid w:val="00677778"/>
  </w:style>
  <w:style w:customStyle="1" w:styleId="judgmentnumbereda" w:type="paragraph">
    <w:name w:val="judgment_numbered_a_"/>
    <w:basedOn w:val="Normal"/>
    <w:rsid w:val="00B74D80"/>
    <w:pPr>
      <w:spacing w:after="100" w:afterAutospacing="1" w:before="100" w:beforeAutospacing="1" w:line="240" w:lineRule="auto"/>
    </w:pPr>
    <w:rPr>
      <w:rFonts w:ascii="Times New Roman" w:eastAsia="Times New Roman" w:hAnsi="Times New Roman"/>
    </w:rPr>
  </w:style>
  <w:style w:customStyle="1" w:styleId="judgmentnumberedi" w:type="paragraph">
    <w:name w:val="judgment_numbered_i_"/>
    <w:basedOn w:val="Normal"/>
    <w:rsid w:val="00B74D80"/>
    <w:pPr>
      <w:spacing w:after="100" w:afterAutospacing="1" w:before="100" w:beforeAutospacing="1" w:line="240" w:lineRule="auto"/>
    </w:pPr>
    <w:rPr>
      <w:rFonts w:ascii="Times New Roman" w:eastAsia="Times New Roman" w:hAnsi="Times New Roman"/>
    </w:rPr>
  </w:style>
  <w:style w:customStyle="1" w:styleId="Heading4Char" w:type="character">
    <w:name w:val="Heading 4 Char"/>
    <w:aliases w:val="Level 2 - a Char,h4 Char,a Char,minor header Char,Map Title Char,Subsection Char,sub TR Char,proj4 Char,proj41 Char,proj42 Char,proj43 Char,proj44 Char,proj45 Char,proj46 Char,proj47 Char,proj48 Char,proj49 Char,proj410 Char,proj411 Char"/>
    <w:basedOn w:val="DefaultParagraphFont"/>
    <w:link w:val="Heading4"/>
    <w:semiHidden/>
    <w:rsid w:val="00E1232E"/>
    <w:rPr>
      <w:rFonts w:asciiTheme="majorHAnsi" w:cstheme="majorBidi" w:eastAsiaTheme="majorEastAsia" w:hAnsiTheme="majorHAnsi"/>
      <w:b/>
      <w:bCs/>
      <w:i/>
      <w:iCs/>
      <w:color w:themeColor="accent1" w:val="4F81BD"/>
    </w:rPr>
  </w:style>
  <w:style w:customStyle="1" w:styleId="Heading5Char" w:type="character">
    <w:name w:val="Heading 5 Char"/>
    <w:aliases w:val="Level 3 - i Char,5 Char,Normal5 Char,Level 3 - (i) Char"/>
    <w:basedOn w:val="DefaultParagraphFont"/>
    <w:link w:val="Heading5"/>
    <w:semiHidden/>
    <w:rsid w:val="00E1232E"/>
    <w:rPr>
      <w:rFonts w:cs="Arial" w:eastAsia="Times New Roman"/>
      <w:bCs/>
      <w:szCs w:val="28"/>
      <w:lang w:eastAsia="en-US"/>
    </w:rPr>
  </w:style>
  <w:style w:customStyle="1" w:styleId="Heading6Char" w:type="character">
    <w:name w:val="Heading 6 Char"/>
    <w:aliases w:val="Legal Level 1. Char,Body Text 5 Char,Normal6 Char"/>
    <w:basedOn w:val="DefaultParagraphFont"/>
    <w:link w:val="Heading6"/>
    <w:semiHidden/>
    <w:rsid w:val="00E1232E"/>
    <w:rPr>
      <w:rFonts w:cs="Arial" w:eastAsia="Times New Roman"/>
      <w:bCs/>
      <w:szCs w:val="28"/>
      <w:lang w:eastAsia="en-US"/>
    </w:rPr>
  </w:style>
  <w:style w:customStyle="1" w:styleId="Heading7Char" w:type="character">
    <w:name w:val="Heading 7 Char"/>
    <w:aliases w:val="Legal Level 1.1. Char,Body Text 6 Char,Heading 7(unused) Char,Normal7 Char"/>
    <w:basedOn w:val="DefaultParagraphFont"/>
    <w:link w:val="Heading7"/>
    <w:uiPriority w:val="99"/>
    <w:semiHidden/>
    <w:rsid w:val="00E1232E"/>
    <w:rPr>
      <w:rFonts w:cs="Arial" w:eastAsia="Times New Roman"/>
      <w:bCs/>
      <w:szCs w:val="28"/>
      <w:lang w:eastAsia="en-US"/>
    </w:rPr>
  </w:style>
  <w:style w:customStyle="1" w:styleId="Heading8Char" w:type="character">
    <w:name w:val="Heading 8 Char"/>
    <w:aliases w:val="Legal Level 1.1.1. Char,Body Text 7 Char,Heading 8(unused) Char,Heading 8 (Start Appendices) Char,Normal8 Char"/>
    <w:basedOn w:val="DefaultParagraphFont"/>
    <w:link w:val="Heading8"/>
    <w:uiPriority w:val="99"/>
    <w:semiHidden/>
    <w:rsid w:val="00E1232E"/>
    <w:rPr>
      <w:rFonts w:cs="Arial" w:eastAsia="Times New Roman"/>
      <w:bCs/>
      <w:szCs w:val="28"/>
      <w:lang w:eastAsia="en-US"/>
    </w:rPr>
  </w:style>
  <w:style w:customStyle="1" w:styleId="Heading9Char" w:type="character">
    <w:name w:val="Heading 9 Char"/>
    <w:aliases w:val="Legal Level 1.1.1.1. Char,Body Text 8 Char,Heading 9(unused) Char,Appendix Char"/>
    <w:basedOn w:val="DefaultParagraphFont"/>
    <w:link w:val="Heading9"/>
    <w:uiPriority w:val="99"/>
    <w:semiHidden/>
    <w:rsid w:val="00E1232E"/>
    <w:rPr>
      <w:rFonts w:cs="Arial" w:eastAsia="Times New Roman"/>
      <w:bCs/>
      <w:szCs w:val="28"/>
      <w:lang w:eastAsia="en-US"/>
    </w:rPr>
  </w:style>
  <w:style w:styleId="Hyperlink" w:type="character">
    <w:name w:val="Hyperlink"/>
    <w:basedOn w:val="DefaultParagraphFont"/>
    <w:uiPriority w:val="99"/>
    <w:unhideWhenUsed/>
    <w:locked/>
    <w:rsid w:val="00E1232E"/>
    <w:rPr>
      <w:color w:val="0000FF"/>
      <w:u w:val="single"/>
    </w:rPr>
  </w:style>
  <w:style w:styleId="FollowedHyperlink" w:type="character">
    <w:name w:val="FollowedHyperlink"/>
    <w:basedOn w:val="DefaultParagraphFont"/>
    <w:semiHidden/>
    <w:unhideWhenUsed/>
    <w:locked/>
    <w:rsid w:val="00E1232E"/>
    <w:rPr>
      <w:color w:val="800080"/>
      <w:u w:val="single"/>
    </w:rPr>
  </w:style>
  <w:style w:customStyle="1" w:styleId="Heading1Char1" w:type="character">
    <w:name w:val="Heading 1 Char1"/>
    <w:aliases w:val="H1 Char1,contents Char1,proj Char1,proj1 Char1,proj5 Char1,proj6 Char1,proj7 Char1,proj8 Char1,proj9 Char1,proj10 Char1,proj11 Char1,proj12 Char1,proj13 Char1,proj14 Char1,proj15 Char1,proj51 Char1,proj61 Char1,proj71 Char1,proj81 Char1"/>
    <w:basedOn w:val="DefaultParagraphFont"/>
    <w:rsid w:val="00E1232E"/>
    <w:rPr>
      <w:rFonts w:asciiTheme="majorHAnsi" w:cstheme="majorBidi" w:eastAsiaTheme="majorEastAsia" w:hAnsiTheme="majorHAnsi"/>
      <w:b/>
      <w:bCs/>
      <w:color w:themeColor="accent1" w:themeShade="BF" w:val="365F91"/>
      <w:sz w:val="28"/>
      <w:szCs w:val="28"/>
      <w:lang w:eastAsia="en-US"/>
    </w:rPr>
  </w:style>
  <w:style w:customStyle="1" w:styleId="Heading2Char1" w:type="character">
    <w:name w:val="Heading 2 Char1"/>
    <w:aliases w:val="heading 2 Char1,Intro Text Bold Char1,proj2 Char1,proj21 Char1,proj22 Char1,proj23 Char1,proj24 Char1,proj25 Char1,proj26 Char1,proj27 Char1,proj28 Char1,proj29 Char1,proj210 Char1,proj211 Char1,proj212 Char1,proj221 Char1,proj231 Char1"/>
    <w:basedOn w:val="DefaultParagraphFont"/>
    <w:semiHidden/>
    <w:rsid w:val="00E1232E"/>
    <w:rPr>
      <w:rFonts w:asciiTheme="majorHAnsi" w:cstheme="majorBidi" w:eastAsiaTheme="majorEastAsia" w:hAnsiTheme="majorHAnsi"/>
      <w:b/>
      <w:bCs/>
      <w:color w:themeColor="accent1" w:val="4F81BD"/>
      <w:sz w:val="26"/>
      <w:szCs w:val="26"/>
      <w:lang w:eastAsia="en-US"/>
    </w:rPr>
  </w:style>
  <w:style w:customStyle="1" w:styleId="Heading3Char1" w:type="character">
    <w:name w:val="Heading 3 Char1"/>
    <w:aliases w:val="heading 3 Char1,underlined Heading Char1,proj3 Char1,proj31 Char1,proj32 Char1,proj33 Char1,proj34 Char1,proj35 Char1,proj36 Char1,proj37 Char1,proj38 Char1,proj39 Char1,proj310 Char1,proj311 Char1,proj312 Char1,proj321 Char1,h3 Char"/>
    <w:basedOn w:val="DefaultParagraphFont"/>
    <w:semiHidden/>
    <w:rsid w:val="00E1232E"/>
    <w:rPr>
      <w:rFonts w:asciiTheme="majorHAnsi" w:cstheme="majorBidi" w:eastAsiaTheme="majorEastAsia" w:hAnsiTheme="majorHAnsi"/>
      <w:b/>
      <w:bCs/>
      <w:color w:themeColor="accent1" w:val="4F81BD"/>
      <w:lang w:eastAsia="en-US"/>
    </w:rPr>
  </w:style>
  <w:style w:customStyle="1" w:styleId="Heading4Char1" w:type="character">
    <w:name w:val="Heading 4 Char1"/>
    <w:aliases w:val="Level 2 - a Char1,h4 Char1,a Char1,minor header Char1,Map Title Char1,Subsection Char1,sub TR Char1,proj4 Char1,proj41 Char1,proj42 Char1,proj43 Char1,proj44 Char1,proj45 Char1,proj46 Char1,proj47 Char1,proj48 Char1,proj49 Char1"/>
    <w:basedOn w:val="DefaultParagraphFont"/>
    <w:semiHidden/>
    <w:rsid w:val="00E1232E"/>
    <w:rPr>
      <w:rFonts w:asciiTheme="majorHAnsi" w:cstheme="majorBidi" w:eastAsiaTheme="majorEastAsia" w:hAnsiTheme="majorHAnsi"/>
      <w:b/>
      <w:bCs/>
      <w:i/>
      <w:iCs/>
      <w:color w:themeColor="accent1" w:val="4F81BD"/>
      <w:lang w:eastAsia="en-US"/>
    </w:rPr>
  </w:style>
  <w:style w:customStyle="1" w:styleId="Heading5Char1" w:type="character">
    <w:name w:val="Heading 5 Char1"/>
    <w:aliases w:val="Level 3 - i Char1,5 Char1,Normal5 Char1,Level 3 - (i) Char1"/>
    <w:basedOn w:val="DefaultParagraphFont"/>
    <w:semiHidden/>
    <w:rsid w:val="00E1232E"/>
    <w:rPr>
      <w:rFonts w:asciiTheme="majorHAnsi" w:cstheme="majorBidi" w:eastAsiaTheme="majorEastAsia" w:hAnsiTheme="majorHAnsi"/>
      <w:color w:themeColor="accent1" w:themeShade="7F" w:val="243F60"/>
      <w:lang w:eastAsia="en-US"/>
    </w:rPr>
  </w:style>
  <w:style w:customStyle="1" w:styleId="Heading6Char1" w:type="character">
    <w:name w:val="Heading 6 Char1"/>
    <w:aliases w:val="Legal Level 1. Char1,Body Text 5 Char1,Normal6 Char1"/>
    <w:basedOn w:val="DefaultParagraphFont"/>
    <w:semiHidden/>
    <w:rsid w:val="00E1232E"/>
    <w:rPr>
      <w:rFonts w:asciiTheme="majorHAnsi" w:cstheme="majorBidi" w:eastAsiaTheme="majorEastAsia" w:hAnsiTheme="majorHAnsi"/>
      <w:i/>
      <w:iCs/>
      <w:color w:themeColor="accent1" w:themeShade="7F" w:val="243F60"/>
      <w:lang w:eastAsia="en-US"/>
    </w:rPr>
  </w:style>
  <w:style w:customStyle="1" w:styleId="Heading7Char1" w:type="character">
    <w:name w:val="Heading 7 Char1"/>
    <w:aliases w:val="Legal Level 1.1. Char1,Body Text 6 Char1,Heading 7(unused) Char1,Normal7 Char1"/>
    <w:basedOn w:val="DefaultParagraphFont"/>
    <w:semiHidden/>
    <w:rsid w:val="00E1232E"/>
    <w:rPr>
      <w:rFonts w:asciiTheme="majorHAnsi" w:cstheme="majorBidi" w:eastAsiaTheme="majorEastAsia" w:hAnsiTheme="majorHAnsi"/>
      <w:i/>
      <w:iCs/>
      <w:color w:themeColor="text1" w:themeTint="BF" w:val="404040"/>
      <w:lang w:eastAsia="en-US"/>
    </w:rPr>
  </w:style>
  <w:style w:customStyle="1" w:styleId="Heading8Char1" w:type="character">
    <w:name w:val="Heading 8 Char1"/>
    <w:aliases w:val="Legal Level 1.1.1. Char1,Body Text 7 Char1,Heading 8(unused) Char1,Heading 8 (Start Appendices) Char1,Normal8 Char1"/>
    <w:basedOn w:val="DefaultParagraphFont"/>
    <w:semiHidden/>
    <w:rsid w:val="00E1232E"/>
    <w:rPr>
      <w:rFonts w:asciiTheme="majorHAnsi" w:cstheme="majorBidi" w:eastAsiaTheme="majorEastAsia" w:hAnsiTheme="majorHAnsi"/>
      <w:color w:themeColor="text1" w:themeTint="BF" w:val="404040"/>
      <w:lang w:eastAsia="en-US"/>
    </w:rPr>
  </w:style>
  <w:style w:customStyle="1" w:styleId="Heading9Char1" w:type="character">
    <w:name w:val="Heading 9 Char1"/>
    <w:aliases w:val="Legal Level 1.1.1.1. Char1,Body Text 8 Char1,Heading 9(unused) Char1,Appendix Char1"/>
    <w:basedOn w:val="DefaultParagraphFont"/>
    <w:semiHidden/>
    <w:rsid w:val="00E1232E"/>
    <w:rPr>
      <w:rFonts w:asciiTheme="majorHAnsi" w:cstheme="majorBidi" w:eastAsiaTheme="majorEastAsia" w:hAnsiTheme="majorHAnsi"/>
      <w:i/>
      <w:iCs/>
      <w:color w:themeColor="text1" w:themeTint="BF" w:val="404040"/>
      <w:lang w:eastAsia="en-US"/>
    </w:rPr>
  </w:style>
  <w:style w:styleId="Index1" w:type="paragraph">
    <w:name w:val="index 1"/>
    <w:basedOn w:val="Normal"/>
    <w:next w:val="Normal"/>
    <w:autoRedefine/>
    <w:uiPriority w:val="99"/>
    <w:unhideWhenUsed/>
    <w:locked/>
    <w:rsid w:val="00E1232E"/>
    <w:pPr>
      <w:keepLines/>
      <w:numPr>
        <w:numId w:val="6"/>
      </w:numPr>
      <w:overflowPunct w:val="0"/>
      <w:autoSpaceDE w:val="0"/>
      <w:autoSpaceDN w:val="0"/>
      <w:adjustRightInd w:val="0"/>
      <w:spacing w:after="0" w:line="240" w:lineRule="auto"/>
      <w:jc w:val="both"/>
    </w:pPr>
    <w:rPr>
      <w:rFonts w:ascii="Times New Roman" w:eastAsia="Times New Roman" w:hAnsi="Times New Roman"/>
      <w:szCs w:val="20"/>
      <w:lang w:eastAsia="en-US"/>
    </w:rPr>
  </w:style>
  <w:style w:styleId="Index2" w:type="paragraph">
    <w:name w:val="index 2"/>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480"/>
      <w:jc w:val="both"/>
    </w:pPr>
    <w:rPr>
      <w:rFonts w:ascii="Times New Roman" w:eastAsia="Times New Roman" w:hAnsi="Times New Roman"/>
      <w:szCs w:val="20"/>
      <w:lang w:eastAsia="en-US"/>
    </w:rPr>
  </w:style>
  <w:style w:styleId="Index3" w:type="paragraph">
    <w:name w:val="index 3"/>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720"/>
      <w:jc w:val="both"/>
    </w:pPr>
    <w:rPr>
      <w:rFonts w:ascii="Times New Roman" w:eastAsia="Times New Roman" w:hAnsi="Times New Roman"/>
      <w:szCs w:val="20"/>
      <w:lang w:eastAsia="en-US"/>
    </w:rPr>
  </w:style>
  <w:style w:styleId="Index4" w:type="paragraph">
    <w:name w:val="index 4"/>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960"/>
      <w:jc w:val="both"/>
    </w:pPr>
    <w:rPr>
      <w:rFonts w:ascii="Times New Roman" w:eastAsia="Times New Roman" w:hAnsi="Times New Roman"/>
      <w:szCs w:val="20"/>
      <w:lang w:eastAsia="en-US"/>
    </w:rPr>
  </w:style>
  <w:style w:styleId="Index5" w:type="paragraph">
    <w:name w:val="index 5"/>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200"/>
      <w:jc w:val="both"/>
    </w:pPr>
    <w:rPr>
      <w:rFonts w:ascii="Times New Roman" w:eastAsia="Times New Roman" w:hAnsi="Times New Roman"/>
      <w:szCs w:val="20"/>
      <w:lang w:eastAsia="en-US"/>
    </w:rPr>
  </w:style>
  <w:style w:styleId="Index6" w:type="paragraph">
    <w:name w:val="index 6"/>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440"/>
      <w:jc w:val="both"/>
    </w:pPr>
    <w:rPr>
      <w:rFonts w:ascii="Times New Roman" w:eastAsia="Times New Roman" w:hAnsi="Times New Roman"/>
      <w:szCs w:val="20"/>
      <w:lang w:eastAsia="en-US"/>
    </w:rPr>
  </w:style>
  <w:style w:styleId="Index7" w:type="paragraph">
    <w:name w:val="index 7"/>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680"/>
      <w:jc w:val="both"/>
    </w:pPr>
    <w:rPr>
      <w:rFonts w:ascii="Times New Roman" w:eastAsia="Times New Roman" w:hAnsi="Times New Roman"/>
      <w:szCs w:val="20"/>
      <w:lang w:eastAsia="en-US"/>
    </w:rPr>
  </w:style>
  <w:style w:styleId="Index8" w:type="paragraph">
    <w:name w:val="index 8"/>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1920"/>
      <w:jc w:val="both"/>
    </w:pPr>
    <w:rPr>
      <w:rFonts w:ascii="Times New Roman" w:eastAsia="Times New Roman" w:hAnsi="Times New Roman"/>
      <w:szCs w:val="20"/>
      <w:lang w:eastAsia="en-US"/>
    </w:rPr>
  </w:style>
  <w:style w:styleId="Index9" w:type="paragraph">
    <w:name w:val="index 9"/>
    <w:basedOn w:val="Normal"/>
    <w:next w:val="Normal"/>
    <w:autoRedefine/>
    <w:uiPriority w:val="99"/>
    <w:semiHidden/>
    <w:unhideWhenUsed/>
    <w:locked/>
    <w:rsid w:val="00E1232E"/>
    <w:pPr>
      <w:keepLines/>
      <w:overflowPunct w:val="0"/>
      <w:autoSpaceDE w:val="0"/>
      <w:autoSpaceDN w:val="0"/>
      <w:adjustRightInd w:val="0"/>
      <w:spacing w:after="0" w:before="240" w:line="240" w:lineRule="auto"/>
      <w:ind w:hanging="240" w:left="2160"/>
      <w:jc w:val="both"/>
    </w:pPr>
    <w:rPr>
      <w:rFonts w:ascii="Times New Roman" w:eastAsia="Times New Roman" w:hAnsi="Times New Roman"/>
      <w:szCs w:val="20"/>
      <w:lang w:eastAsia="en-US"/>
    </w:rPr>
  </w:style>
  <w:style w:styleId="TOC1" w:type="paragraph">
    <w:name w:val="toc 1"/>
    <w:basedOn w:val="Normal"/>
    <w:next w:val="Normal"/>
    <w:autoRedefine/>
    <w:uiPriority w:val="39"/>
    <w:semiHidden/>
    <w:unhideWhenUsed/>
    <w:qFormat/>
    <w:locked/>
    <w:rsid w:val="00E1232E"/>
    <w:pPr>
      <w:spacing w:after="120" w:line="240" w:lineRule="auto"/>
    </w:pPr>
    <w:rPr>
      <w:rFonts w:eastAsia="Times New Roman"/>
      <w:b/>
      <w:sz w:val="20"/>
      <w:szCs w:val="20"/>
      <w:lang w:eastAsia="en-US"/>
    </w:rPr>
  </w:style>
  <w:style w:styleId="TOC2" w:type="paragraph">
    <w:name w:val="toc 2"/>
    <w:basedOn w:val="TOC1"/>
    <w:next w:val="Normal"/>
    <w:autoRedefine/>
    <w:uiPriority w:val="39"/>
    <w:semiHidden/>
    <w:unhideWhenUsed/>
    <w:qFormat/>
    <w:locked/>
    <w:rsid w:val="00E1232E"/>
    <w:pPr>
      <w:ind w:left="454"/>
    </w:pPr>
    <w:rPr>
      <w:b w:val="0"/>
    </w:rPr>
  </w:style>
  <w:style w:styleId="TOC3" w:type="paragraph">
    <w:name w:val="toc 3"/>
    <w:basedOn w:val="TOC2"/>
    <w:next w:val="Normal"/>
    <w:autoRedefine/>
    <w:uiPriority w:val="39"/>
    <w:semiHidden/>
    <w:unhideWhenUsed/>
    <w:qFormat/>
    <w:locked/>
    <w:rsid w:val="00E1232E"/>
    <w:pPr>
      <w:spacing w:before="120"/>
    </w:pPr>
  </w:style>
  <w:style w:styleId="TOC4" w:type="paragraph">
    <w:name w:val="toc 4"/>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line="240" w:lineRule="auto"/>
      <w:ind w:left="720"/>
      <w:jc w:val="both"/>
    </w:pPr>
    <w:rPr>
      <w:rFonts w:eastAsia="Times New Roman"/>
      <w:sz w:val="20"/>
      <w:szCs w:val="20"/>
      <w:lang w:eastAsia="en-US"/>
    </w:rPr>
  </w:style>
  <w:style w:styleId="TOC5" w:type="paragraph">
    <w:name w:val="toc 5"/>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960"/>
      <w:jc w:val="both"/>
    </w:pPr>
    <w:rPr>
      <w:rFonts w:eastAsia="Times New Roman"/>
      <w:szCs w:val="20"/>
      <w:lang w:eastAsia="en-US"/>
    </w:rPr>
  </w:style>
  <w:style w:styleId="TOC6" w:type="paragraph">
    <w:name w:val="toc 6"/>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200"/>
      <w:jc w:val="both"/>
    </w:pPr>
    <w:rPr>
      <w:rFonts w:ascii="Times New Roman" w:eastAsia="Times New Roman" w:hAnsi="Times New Roman"/>
      <w:szCs w:val="20"/>
      <w:lang w:eastAsia="en-US"/>
    </w:rPr>
  </w:style>
  <w:style w:styleId="TOC7" w:type="paragraph">
    <w:name w:val="toc 7"/>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440"/>
      <w:jc w:val="both"/>
    </w:pPr>
    <w:rPr>
      <w:rFonts w:ascii="Times New Roman" w:eastAsia="Times New Roman" w:hAnsi="Times New Roman"/>
      <w:szCs w:val="20"/>
      <w:lang w:eastAsia="en-US"/>
    </w:rPr>
  </w:style>
  <w:style w:styleId="TOC8" w:type="paragraph">
    <w:name w:val="toc 8"/>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680"/>
      <w:jc w:val="both"/>
    </w:pPr>
    <w:rPr>
      <w:rFonts w:ascii="Times New Roman" w:eastAsia="Times New Roman" w:hAnsi="Times New Roman"/>
      <w:szCs w:val="20"/>
      <w:lang w:eastAsia="en-US"/>
    </w:rPr>
  </w:style>
  <w:style w:styleId="TOC9" w:type="paragraph">
    <w:name w:val="toc 9"/>
    <w:basedOn w:val="Normal"/>
    <w:next w:val="Normal"/>
    <w:autoRedefine/>
    <w:uiPriority w:val="39"/>
    <w:semiHidden/>
    <w:unhideWhenUsed/>
    <w:locked/>
    <w:rsid w:val="00E1232E"/>
    <w:pPr>
      <w:keepLines/>
      <w:tabs>
        <w:tab w:leader="dot" w:pos="9071" w:val="right"/>
      </w:tabs>
      <w:overflowPunct w:val="0"/>
      <w:autoSpaceDE w:val="0"/>
      <w:autoSpaceDN w:val="0"/>
      <w:adjustRightInd w:val="0"/>
      <w:spacing w:after="0" w:before="240" w:line="240" w:lineRule="auto"/>
      <w:ind w:left="1920"/>
      <w:jc w:val="both"/>
    </w:pPr>
    <w:rPr>
      <w:rFonts w:ascii="Times New Roman" w:eastAsia="Times New Roman" w:hAnsi="Times New Roman"/>
      <w:szCs w:val="20"/>
      <w:lang w:eastAsia="en-US"/>
    </w:rPr>
  </w:style>
  <w:style w:styleId="FootnoteText" w:type="paragraph">
    <w:name w:val="footnote text"/>
    <w:basedOn w:val="Normal"/>
    <w:link w:val="FootnoteTextChar"/>
    <w:uiPriority w:val="99"/>
    <w:unhideWhenUsed/>
    <w:locked/>
    <w:rsid w:val="00E1232E"/>
    <w:pPr>
      <w:spacing w:after="0" w:line="240" w:lineRule="auto"/>
    </w:pPr>
    <w:rPr>
      <w:rFonts w:asciiTheme="minorHAnsi" w:cstheme="minorBidi" w:eastAsiaTheme="minorEastAsia" w:hAnsiTheme="minorHAnsi"/>
      <w:sz w:val="20"/>
      <w:szCs w:val="20"/>
      <w:lang w:eastAsia="ja-JP" w:val="en-US"/>
    </w:rPr>
  </w:style>
  <w:style w:customStyle="1" w:styleId="FootnoteTextChar" w:type="character">
    <w:name w:val="Footnote Text Char"/>
    <w:basedOn w:val="DefaultParagraphFont"/>
    <w:link w:val="FootnoteText"/>
    <w:uiPriority w:val="99"/>
    <w:rsid w:val="00E1232E"/>
    <w:rPr>
      <w:rFonts w:asciiTheme="minorHAnsi" w:cstheme="minorBidi" w:eastAsiaTheme="minorEastAsia" w:hAnsiTheme="minorHAnsi"/>
      <w:sz w:val="20"/>
      <w:szCs w:val="20"/>
      <w:lang w:eastAsia="ja-JP" w:val="en-US"/>
    </w:rPr>
  </w:style>
  <w:style w:styleId="CommentText" w:type="paragraph">
    <w:name w:val="annotation text"/>
    <w:basedOn w:val="Normal"/>
    <w:link w:val="CommentTextChar"/>
    <w:uiPriority w:val="99"/>
    <w:semiHidden/>
    <w:unhideWhenUsed/>
    <w:locked/>
    <w:rsid w:val="00E1232E"/>
    <w:pPr>
      <w:spacing w:after="120" w:before="240" w:line="300" w:lineRule="auto"/>
    </w:pPr>
    <w:rPr>
      <w:rFonts w:eastAsia="Times New Roman"/>
      <w:sz w:val="20"/>
      <w:szCs w:val="20"/>
      <w:lang w:eastAsia="en-US"/>
    </w:rPr>
  </w:style>
  <w:style w:customStyle="1" w:styleId="CommentTextChar" w:type="character">
    <w:name w:val="Comment Text Char"/>
    <w:basedOn w:val="DefaultParagraphFont"/>
    <w:link w:val="CommentText"/>
    <w:uiPriority w:val="99"/>
    <w:semiHidden/>
    <w:rsid w:val="00E1232E"/>
    <w:rPr>
      <w:rFonts w:eastAsia="Times New Roman"/>
      <w:sz w:val="20"/>
      <w:szCs w:val="20"/>
      <w:lang w:eastAsia="en-US"/>
    </w:rPr>
  </w:style>
  <w:style w:styleId="Header" w:type="paragraph">
    <w:name w:val="header"/>
    <w:basedOn w:val="Normal"/>
    <w:link w:val="Head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HeaderChar" w:type="character">
    <w:name w:val="Header Char"/>
    <w:basedOn w:val="DefaultParagraphFont"/>
    <w:link w:val="Header"/>
    <w:uiPriority w:val="99"/>
    <w:semiHidden/>
    <w:rsid w:val="00E1232E"/>
    <w:rPr>
      <w:rFonts w:eastAsia="Times New Roman"/>
      <w:sz w:val="20"/>
      <w:szCs w:val="20"/>
      <w:lang w:eastAsia="en-US"/>
    </w:rPr>
  </w:style>
  <w:style w:styleId="Footer" w:type="paragraph">
    <w:name w:val="footer"/>
    <w:basedOn w:val="Normal"/>
    <w:link w:val="FooterChar"/>
    <w:uiPriority w:val="99"/>
    <w:semiHidden/>
    <w:unhideWhenUsed/>
    <w:locked/>
    <w:rsid w:val="00E1232E"/>
    <w:pPr>
      <w:tabs>
        <w:tab w:pos="4153" w:val="center"/>
        <w:tab w:pos="8306" w:val="right"/>
      </w:tabs>
      <w:spacing w:after="120" w:before="240" w:line="300" w:lineRule="auto"/>
    </w:pPr>
    <w:rPr>
      <w:rFonts w:eastAsia="Times New Roman"/>
      <w:sz w:val="20"/>
      <w:szCs w:val="20"/>
      <w:lang w:eastAsia="en-US"/>
    </w:rPr>
  </w:style>
  <w:style w:customStyle="1" w:styleId="FooterChar" w:type="character">
    <w:name w:val="Footer Char"/>
    <w:basedOn w:val="DefaultParagraphFont"/>
    <w:link w:val="Footer"/>
    <w:uiPriority w:val="99"/>
    <w:semiHidden/>
    <w:rsid w:val="00E1232E"/>
    <w:rPr>
      <w:rFonts w:eastAsia="Times New Roman"/>
      <w:sz w:val="20"/>
      <w:szCs w:val="20"/>
      <w:lang w:eastAsia="en-US"/>
    </w:rPr>
  </w:style>
  <w:style w:styleId="IndexHeading" w:type="paragraph">
    <w:name w:val="index heading"/>
    <w:basedOn w:val="Normal"/>
    <w:next w:val="Index1"/>
    <w:uiPriority w:val="99"/>
    <w:unhideWhenUsed/>
    <w:locked/>
    <w:rsid w:val="00E1232E"/>
    <w:pPr>
      <w:keepLines/>
      <w:overflowPunct w:val="0"/>
      <w:autoSpaceDE w:val="0"/>
      <w:autoSpaceDN w:val="0"/>
      <w:adjustRightInd w:val="0"/>
      <w:spacing w:after="0" w:before="240" w:line="240" w:lineRule="auto"/>
      <w:jc w:val="both"/>
    </w:pPr>
    <w:rPr>
      <w:rFonts w:ascii="Times New Roman" w:eastAsia="Times New Roman" w:hAnsi="Times New Roman"/>
      <w:szCs w:val="20"/>
      <w:lang w:eastAsia="en-US"/>
    </w:rPr>
  </w:style>
  <w:style w:styleId="Caption" w:type="paragraph">
    <w:name w:val="caption"/>
    <w:basedOn w:val="Normal"/>
    <w:next w:val="Normal"/>
    <w:uiPriority w:val="99"/>
    <w:semiHidden/>
    <w:unhideWhenUsed/>
    <w:qFormat/>
    <w:locked/>
    <w:rsid w:val="00E1232E"/>
    <w:pPr>
      <w:keepLines/>
      <w:tabs>
        <w:tab w:pos="1134" w:val="left"/>
      </w:tabs>
      <w:overflowPunct w:val="0"/>
      <w:autoSpaceDE w:val="0"/>
      <w:autoSpaceDN w:val="0"/>
      <w:adjustRightInd w:val="0"/>
      <w:spacing w:after="0" w:before="240" w:line="240" w:lineRule="auto"/>
      <w:ind w:left="567"/>
      <w:jc w:val="center"/>
    </w:pPr>
    <w:rPr>
      <w:rFonts w:ascii="Times New Roman" w:eastAsia="Times New Roman" w:hAnsi="Times New Roman"/>
      <w:i/>
      <w:iCs/>
      <w:sz w:val="20"/>
      <w:szCs w:val="20"/>
      <w:lang w:eastAsia="en-US"/>
    </w:rPr>
  </w:style>
  <w:style w:styleId="ListBullet" w:type="paragraph">
    <w:name w:val="List Bullet"/>
    <w:basedOn w:val="Normal"/>
    <w:uiPriority w:val="99"/>
    <w:semiHidden/>
    <w:unhideWhenUsed/>
    <w:locked/>
    <w:rsid w:val="00E1232E"/>
    <w:pPr>
      <w:numPr>
        <w:numId w:val="7"/>
      </w:numPr>
      <w:spacing w:after="60" w:before="60" w:line="300" w:lineRule="auto"/>
    </w:pPr>
    <w:rPr>
      <w:rFonts w:ascii="Arial(W1)" w:eastAsia="Times New Roman" w:hAnsi="Arial(W1)"/>
      <w:sz w:val="20"/>
      <w:szCs w:val="22"/>
      <w:lang w:eastAsia="en-US"/>
    </w:rPr>
  </w:style>
  <w:style w:customStyle="1" w:styleId="BodyTextChar" w:type="character">
    <w:name w:val="Body Text Char"/>
    <w:aliases w:val="bt Char,Heading 3 text Char,Heading 3 text1 Char,Heading 3 text2 Char,Heading 3 text3 Char,Heading 3 text4 Char"/>
    <w:basedOn w:val="DefaultParagraphFont"/>
    <w:link w:val="BodyText"/>
    <w:locked/>
    <w:rsid w:val="00E1232E"/>
    <w:rPr>
      <w:rFonts w:cs="Arial"/>
      <w:lang w:eastAsia="en-US"/>
    </w:rPr>
  </w:style>
  <w:style w:styleId="BodyText" w:type="paragraph">
    <w:name w:val="Body Text"/>
    <w:aliases w:val="bt,Heading 3 text,Heading 3 text1,Heading 3 text2,Heading 3 text3,Heading 3 text4"/>
    <w:basedOn w:val="Normal"/>
    <w:link w:val="BodyTextChar"/>
    <w:unhideWhenUsed/>
    <w:rsid w:val="00E1232E"/>
    <w:pPr>
      <w:spacing w:after="120" w:before="240" w:line="300" w:lineRule="auto"/>
    </w:pPr>
    <w:rPr>
      <w:rFonts w:cs="Arial"/>
      <w:lang w:eastAsia="en-US"/>
    </w:rPr>
  </w:style>
  <w:style w:customStyle="1" w:styleId="BodyTextChar1" w:type="character">
    <w:name w:val="Body Text Char1"/>
    <w:aliases w:val="bt Char1,Heading 3 text Char1,Heading 3 text1 Char1,Heading 3 text2 Char1,Heading 3 text3 Char1,Heading 3 text4 Char1"/>
    <w:basedOn w:val="DefaultParagraphFont"/>
    <w:semiHidden/>
    <w:rsid w:val="00E1232E"/>
  </w:style>
  <w:style w:styleId="BodyTextIndent" w:type="paragraph">
    <w:name w:val="Body Text Indent"/>
    <w:basedOn w:val="Normal"/>
    <w:link w:val="BodyTextIndentChar"/>
    <w:uiPriority w:val="99"/>
    <w:semiHidden/>
    <w:unhideWhenUsed/>
    <w:rsid w:val="00E1232E"/>
    <w:pPr>
      <w:spacing w:after="120" w:before="240" w:line="300" w:lineRule="auto"/>
      <w:ind w:left="283"/>
    </w:pPr>
    <w:rPr>
      <w:rFonts w:eastAsia="Times New Roman"/>
      <w:sz w:val="20"/>
      <w:szCs w:val="20"/>
      <w:lang w:eastAsia="en-US"/>
    </w:rPr>
  </w:style>
  <w:style w:customStyle="1" w:styleId="BodyTextIndentChar" w:type="character">
    <w:name w:val="Body Text Indent Char"/>
    <w:basedOn w:val="DefaultParagraphFont"/>
    <w:link w:val="BodyTextIndent"/>
    <w:uiPriority w:val="99"/>
    <w:semiHidden/>
    <w:rsid w:val="00E1232E"/>
    <w:rPr>
      <w:rFonts w:eastAsia="Times New Roman"/>
      <w:sz w:val="20"/>
      <w:szCs w:val="20"/>
      <w:lang w:eastAsia="en-US"/>
    </w:rPr>
  </w:style>
  <w:style w:styleId="BodyText2" w:type="paragraph">
    <w:name w:val="Body Text 2"/>
    <w:basedOn w:val="Normal"/>
    <w:link w:val="BodyText2Char"/>
    <w:uiPriority w:val="99"/>
    <w:semiHidden/>
    <w:unhideWhenUsed/>
    <w:rsid w:val="00E1232E"/>
    <w:pPr>
      <w:spacing w:after="120" w:before="240" w:line="480" w:lineRule="auto"/>
    </w:pPr>
    <w:rPr>
      <w:rFonts w:eastAsia="Times New Roman"/>
      <w:sz w:val="20"/>
      <w:szCs w:val="20"/>
      <w:lang w:eastAsia="en-US"/>
    </w:rPr>
  </w:style>
  <w:style w:customStyle="1" w:styleId="BodyText2Char" w:type="character">
    <w:name w:val="Body Text 2 Char"/>
    <w:basedOn w:val="DefaultParagraphFont"/>
    <w:link w:val="BodyText2"/>
    <w:uiPriority w:val="99"/>
    <w:semiHidden/>
    <w:rsid w:val="00E1232E"/>
    <w:rPr>
      <w:rFonts w:eastAsia="Times New Roman"/>
      <w:sz w:val="20"/>
      <w:szCs w:val="20"/>
      <w:lang w:eastAsia="en-US"/>
    </w:rPr>
  </w:style>
  <w:style w:styleId="BodyText3" w:type="paragraph">
    <w:name w:val="Body Text 3"/>
    <w:basedOn w:val="Normal"/>
    <w:link w:val="BodyText3Char"/>
    <w:uiPriority w:val="99"/>
    <w:semiHidden/>
    <w:unhideWhenUsed/>
    <w:rsid w:val="00E1232E"/>
    <w:pPr>
      <w:spacing w:after="120" w:before="240" w:line="300" w:lineRule="auto"/>
    </w:pPr>
    <w:rPr>
      <w:rFonts w:eastAsia="Times New Roman"/>
      <w:sz w:val="16"/>
      <w:szCs w:val="16"/>
      <w:lang w:eastAsia="en-US"/>
    </w:rPr>
  </w:style>
  <w:style w:customStyle="1" w:styleId="BodyText3Char" w:type="character">
    <w:name w:val="Body Text 3 Char"/>
    <w:basedOn w:val="DefaultParagraphFont"/>
    <w:link w:val="BodyText3"/>
    <w:uiPriority w:val="99"/>
    <w:semiHidden/>
    <w:rsid w:val="00E1232E"/>
    <w:rPr>
      <w:rFonts w:eastAsia="Times New Roman"/>
      <w:sz w:val="16"/>
      <w:szCs w:val="16"/>
      <w:lang w:eastAsia="en-US"/>
    </w:rPr>
  </w:style>
  <w:style w:styleId="BodyTextIndent2" w:type="paragraph">
    <w:name w:val="Body Text Indent 2"/>
    <w:basedOn w:val="Normal"/>
    <w:link w:val="BodyTextIndent2Char"/>
    <w:uiPriority w:val="99"/>
    <w:unhideWhenUsed/>
    <w:locked/>
    <w:rsid w:val="00E1232E"/>
    <w:pPr>
      <w:spacing w:after="120" w:before="240" w:line="480" w:lineRule="auto"/>
      <w:ind w:left="283"/>
    </w:pPr>
    <w:rPr>
      <w:rFonts w:eastAsia="Times New Roman"/>
      <w:sz w:val="20"/>
      <w:szCs w:val="20"/>
      <w:lang w:eastAsia="en-US"/>
    </w:rPr>
  </w:style>
  <w:style w:customStyle="1" w:styleId="BodyTextIndent2Char" w:type="character">
    <w:name w:val="Body Text Indent 2 Char"/>
    <w:basedOn w:val="DefaultParagraphFont"/>
    <w:link w:val="BodyTextIndent2"/>
    <w:uiPriority w:val="99"/>
    <w:rsid w:val="00E1232E"/>
    <w:rPr>
      <w:rFonts w:eastAsia="Times New Roman"/>
      <w:sz w:val="20"/>
      <w:szCs w:val="20"/>
      <w:lang w:eastAsia="en-US"/>
    </w:rPr>
  </w:style>
  <w:style w:styleId="BodyTextIndent3" w:type="paragraph">
    <w:name w:val="Body Text Indent 3"/>
    <w:basedOn w:val="Normal"/>
    <w:link w:val="BodyTextIndent3Char"/>
    <w:uiPriority w:val="99"/>
    <w:semiHidden/>
    <w:unhideWhenUsed/>
    <w:locked/>
    <w:rsid w:val="00E1232E"/>
    <w:pPr>
      <w:spacing w:after="120" w:before="240" w:line="300" w:lineRule="auto"/>
      <w:ind w:left="283"/>
    </w:pPr>
    <w:rPr>
      <w:rFonts w:eastAsia="Times New Roman"/>
      <w:sz w:val="16"/>
      <w:szCs w:val="16"/>
      <w:lang w:eastAsia="en-US"/>
    </w:rPr>
  </w:style>
  <w:style w:customStyle="1" w:styleId="BodyTextIndent3Char" w:type="character">
    <w:name w:val="Body Text Indent 3 Char"/>
    <w:basedOn w:val="DefaultParagraphFont"/>
    <w:link w:val="BodyTextIndent3"/>
    <w:uiPriority w:val="99"/>
    <w:semiHidden/>
    <w:rsid w:val="00E1232E"/>
    <w:rPr>
      <w:rFonts w:eastAsia="Times New Roman"/>
      <w:sz w:val="16"/>
      <w:szCs w:val="16"/>
      <w:lang w:eastAsia="en-US"/>
    </w:rPr>
  </w:style>
  <w:style w:styleId="PlainText" w:type="paragraph">
    <w:name w:val="Plain Text"/>
    <w:basedOn w:val="Normal"/>
    <w:link w:val="PlainTextChar"/>
    <w:uiPriority w:val="99"/>
    <w:semiHidden/>
    <w:unhideWhenUsed/>
    <w:locked/>
    <w:rsid w:val="00E1232E"/>
    <w:pPr>
      <w:spacing w:after="0" w:line="240" w:lineRule="auto"/>
    </w:pPr>
    <w:rPr>
      <w:rFonts w:ascii="Courier New" w:cs="Courier New" w:eastAsia="Times New Roman" w:hAnsi="Courier New"/>
      <w:sz w:val="20"/>
      <w:szCs w:val="20"/>
      <w:lang w:eastAsia="en-US"/>
    </w:rPr>
  </w:style>
  <w:style w:customStyle="1" w:styleId="PlainTextChar" w:type="character">
    <w:name w:val="Plain Text Char"/>
    <w:basedOn w:val="DefaultParagraphFont"/>
    <w:link w:val="PlainText"/>
    <w:uiPriority w:val="99"/>
    <w:semiHidden/>
    <w:rsid w:val="00E1232E"/>
    <w:rPr>
      <w:rFonts w:ascii="Courier New" w:cs="Courier New" w:eastAsia="Times New Roman" w:hAnsi="Courier New"/>
      <w:sz w:val="20"/>
      <w:szCs w:val="20"/>
      <w:lang w:eastAsia="en-US"/>
    </w:rPr>
  </w:style>
  <w:style w:styleId="CommentSubject" w:type="paragraph">
    <w:name w:val="annotation subject"/>
    <w:basedOn w:val="CommentText"/>
    <w:next w:val="CommentText"/>
    <w:link w:val="CommentSubjectChar"/>
    <w:uiPriority w:val="99"/>
    <w:semiHidden/>
    <w:unhideWhenUsed/>
    <w:locked/>
    <w:rsid w:val="00E1232E"/>
    <w:rPr>
      <w:b/>
      <w:bCs/>
    </w:rPr>
  </w:style>
  <w:style w:customStyle="1" w:styleId="CommentSubjectChar" w:type="character">
    <w:name w:val="Comment Subject Char"/>
    <w:basedOn w:val="CommentTextChar"/>
    <w:link w:val="CommentSubject"/>
    <w:uiPriority w:val="99"/>
    <w:semiHidden/>
    <w:rsid w:val="00E1232E"/>
    <w:rPr>
      <w:rFonts w:eastAsia="Times New Roman"/>
      <w:b/>
      <w:bCs/>
      <w:sz w:val="20"/>
      <w:szCs w:val="20"/>
      <w:lang w:eastAsia="en-US"/>
    </w:rPr>
  </w:style>
  <w:style w:styleId="ListParagraph" w:type="paragraph">
    <w:name w:val="List Paragraph"/>
    <w:basedOn w:val="Normal"/>
    <w:uiPriority w:val="34"/>
    <w:qFormat/>
    <w:locked/>
    <w:rsid w:val="00E1232E"/>
    <w:pPr>
      <w:spacing w:after="0" w:line="240" w:lineRule="auto"/>
      <w:ind w:left="720"/>
      <w:contextualSpacing/>
    </w:pPr>
    <w:rPr>
      <w:rFonts w:eastAsia="Times New Roman"/>
      <w:sz w:val="20"/>
      <w:lang w:eastAsia="en-US"/>
    </w:rPr>
  </w:style>
  <w:style w:styleId="TOCHeading" w:type="paragraph">
    <w:name w:val="TOC Heading"/>
    <w:basedOn w:val="Heading1"/>
    <w:next w:val="Normal"/>
    <w:uiPriority w:val="39"/>
    <w:semiHidden/>
    <w:unhideWhenUsed/>
    <w:qFormat/>
    <w:locked/>
    <w:rsid w:val="00E1232E"/>
    <w:pPr>
      <w:keepLines/>
      <w:spacing w:after="0" w:before="480"/>
      <w:outlineLvl w:val="9"/>
    </w:pPr>
    <w:rPr>
      <w:color w:themeColor="accent1" w:themeShade="BF" w:val="365F91"/>
      <w:kern w:val="0"/>
      <w:sz w:val="28"/>
      <w:szCs w:val="28"/>
      <w:lang w:eastAsia="ja-JP" w:val="en-US"/>
    </w:rPr>
  </w:style>
  <w:style w:customStyle="1" w:styleId="HeaderFooter" w:type="paragraph">
    <w:name w:val="Header/Footer"/>
    <w:basedOn w:val="Normal"/>
    <w:uiPriority w:val="99"/>
    <w:semiHidden/>
    <w:rsid w:val="00E1232E"/>
    <w:pPr>
      <w:spacing w:after="0" w:line="240" w:lineRule="auto"/>
      <w:jc w:val="right"/>
    </w:pPr>
    <w:rPr>
      <w:rFonts w:ascii="Arial (W1)" w:eastAsia="Times New Roman" w:hAnsi="Arial (W1)"/>
      <w:b/>
      <w:sz w:val="16"/>
      <w:szCs w:val="20"/>
      <w:lang w:eastAsia="en-US"/>
    </w:rPr>
  </w:style>
  <w:style w:customStyle="1" w:styleId="ListBulletIndent" w:type="paragraph">
    <w:name w:val="List Bullet Indent"/>
    <w:basedOn w:val="ListBullet"/>
    <w:uiPriority w:val="99"/>
    <w:semiHidden/>
    <w:rsid w:val="00E1232E"/>
    <w:pPr>
      <w:numPr>
        <w:numId w:val="8"/>
      </w:numPr>
    </w:pPr>
  </w:style>
  <w:style w:customStyle="1" w:styleId="TableText" w:type="paragraph">
    <w:name w:val="Table Text"/>
    <w:basedOn w:val="Normal"/>
    <w:uiPriority w:val="99"/>
    <w:semiHidden/>
    <w:rsid w:val="00E1232E"/>
    <w:pPr>
      <w:spacing w:after="60" w:before="60" w:line="300" w:lineRule="auto"/>
    </w:pPr>
    <w:rPr>
      <w:rFonts w:cs="Arial" w:eastAsia="Times New Roman"/>
      <w:sz w:val="20"/>
      <w:szCs w:val="20"/>
      <w:lang w:eastAsia="en-US"/>
    </w:rPr>
  </w:style>
  <w:style w:customStyle="1" w:styleId="Guidance" w:type="paragraph">
    <w:name w:val="Guidance"/>
    <w:basedOn w:val="BodyText"/>
    <w:uiPriority w:val="99"/>
    <w:semiHidden/>
    <w:rsid w:val="00E1232E"/>
    <w:pPr>
      <w:pBdr>
        <w:top w:color="auto" w:space="6" w:sz="4" w:val="single"/>
        <w:left w:color="auto" w:space="6" w:sz="4" w:val="single"/>
        <w:bottom w:color="auto" w:space="6" w:sz="4" w:val="single"/>
        <w:right w:color="auto" w:space="6" w:sz="4" w:val="single"/>
      </w:pBdr>
      <w:spacing w:after="0" w:before="0" w:line="240" w:lineRule="auto"/>
      <w:ind w:left="851"/>
    </w:pPr>
    <w:rPr>
      <w:rFonts w:ascii="Times New Roman" w:hAnsi="Times New Roman"/>
      <w:i/>
    </w:rPr>
  </w:style>
  <w:style w:customStyle="1" w:styleId="Tabletext0" w:type="paragraph">
    <w:name w:val="Table text"/>
    <w:basedOn w:val="Normal"/>
    <w:uiPriority w:val="99"/>
    <w:semiHidden/>
    <w:rsid w:val="00E1232E"/>
    <w:pPr>
      <w:spacing w:after="60" w:before="60" w:line="300" w:lineRule="auto"/>
    </w:pPr>
    <w:rPr>
      <w:rFonts w:cs="Arial" w:eastAsia="Times New Roman"/>
      <w:sz w:val="18"/>
      <w:szCs w:val="20"/>
      <w:lang w:eastAsia="en-US"/>
    </w:rPr>
  </w:style>
  <w:style w:customStyle="1" w:styleId="ListwithBullet" w:type="paragraph">
    <w:name w:val="List with Bullet"/>
    <w:basedOn w:val="Normal"/>
    <w:uiPriority w:val="99"/>
    <w:semiHidden/>
    <w:rsid w:val="00E1232E"/>
    <w:pPr>
      <w:numPr>
        <w:numId w:val="9"/>
      </w:numPr>
      <w:spacing w:after="0" w:line="300" w:lineRule="auto"/>
    </w:pPr>
    <w:rPr>
      <w:rFonts w:eastAsia="Times New Roman"/>
      <w:sz w:val="20"/>
      <w:szCs w:val="20"/>
      <w:lang w:eastAsia="en-US"/>
    </w:rPr>
  </w:style>
  <w:style w:customStyle="1" w:styleId="ListwithBulletinTable" w:type="paragraph">
    <w:name w:val="List with Bullet in Table"/>
    <w:basedOn w:val="ListwithBullet"/>
    <w:uiPriority w:val="99"/>
    <w:semiHidden/>
    <w:qFormat/>
    <w:rsid w:val="00E1232E"/>
    <w:rPr>
      <w:szCs w:val="22"/>
    </w:rPr>
  </w:style>
  <w:style w:customStyle="1" w:styleId="DBRNumbering" w:type="paragraph">
    <w:name w:val="DBR Numbering"/>
    <w:basedOn w:val="TableText"/>
    <w:uiPriority w:val="99"/>
    <w:semiHidden/>
    <w:qFormat/>
    <w:rsid w:val="00E1232E"/>
    <w:pPr>
      <w:numPr>
        <w:numId w:val="10"/>
      </w:numPr>
      <w:spacing w:line="240" w:lineRule="auto"/>
    </w:pPr>
  </w:style>
  <w:style w:customStyle="1" w:styleId="NFRNumbering" w:type="paragraph">
    <w:name w:val="NFR Numbering"/>
    <w:basedOn w:val="DBRNumbering"/>
    <w:uiPriority w:val="99"/>
    <w:semiHidden/>
    <w:qFormat/>
    <w:rsid w:val="00E1232E"/>
    <w:pPr>
      <w:numPr>
        <w:numId w:val="11"/>
      </w:numPr>
    </w:pPr>
    <w:rPr>
      <w:szCs w:val="24"/>
    </w:rPr>
  </w:style>
  <w:style w:customStyle="1" w:styleId="TableHeadingChar" w:type="character">
    <w:name w:val="Table Heading Char"/>
    <w:basedOn w:val="DefaultParagraphFont"/>
    <w:link w:val="TableHeading"/>
    <w:semiHidden/>
    <w:locked/>
    <w:rsid w:val="00E1232E"/>
    <w:rPr>
      <w:rFonts w:ascii="Arial Bold" w:hAnsi="Arial Bold"/>
      <w:b/>
      <w:sz w:val="18"/>
      <w:szCs w:val="22"/>
      <w:lang w:eastAsia="ar-SA"/>
    </w:rPr>
  </w:style>
  <w:style w:customStyle="1" w:styleId="TableHeading" w:type="paragraph">
    <w:name w:val="Table Heading"/>
    <w:basedOn w:val="Normal"/>
    <w:link w:val="TableHeadingChar"/>
    <w:semiHidden/>
    <w:rsid w:val="00E1232E"/>
    <w:pPr>
      <w:keepNext/>
      <w:keepLines/>
      <w:suppressAutoHyphens/>
      <w:spacing w:after="60" w:before="100" w:line="240" w:lineRule="auto"/>
    </w:pPr>
    <w:rPr>
      <w:rFonts w:ascii="Arial Bold" w:hAnsi="Arial Bold"/>
      <w:b/>
      <w:sz w:val="18"/>
      <w:szCs w:val="22"/>
      <w:lang w:eastAsia="ar-SA"/>
    </w:rPr>
  </w:style>
  <w:style w:customStyle="1" w:styleId="TableBullet" w:type="paragraph">
    <w:name w:val="Table Bullet"/>
    <w:basedOn w:val="TableText"/>
    <w:uiPriority w:val="99"/>
    <w:semiHidden/>
    <w:rsid w:val="00E1232E"/>
    <w:pPr>
      <w:numPr>
        <w:numId w:val="12"/>
      </w:numPr>
      <w:spacing w:line="240" w:lineRule="auto"/>
    </w:pPr>
    <w:rPr>
      <w:rFonts w:ascii="Arial (W1)" w:cs="Times New Roman" w:hAnsi="Arial (W1)"/>
      <w:sz w:val="22"/>
    </w:rPr>
  </w:style>
  <w:style w:customStyle="1" w:styleId="Bulletforunderhdr12" w:type="paragraph">
    <w:name w:val="Bullet for under hdr 1 &amp; 2"/>
    <w:basedOn w:val="Normal"/>
    <w:uiPriority w:val="99"/>
    <w:semiHidden/>
    <w:rsid w:val="00E1232E"/>
    <w:pPr>
      <w:numPr>
        <w:numId w:val="13"/>
      </w:numPr>
      <w:spacing w:after="120" w:before="240" w:line="300" w:lineRule="auto"/>
    </w:pPr>
    <w:rPr>
      <w:rFonts w:ascii="Helvetica" w:eastAsia="Times New Roman" w:hAnsi="Helvetica"/>
      <w:sz w:val="20"/>
      <w:szCs w:val="20"/>
      <w:lang w:eastAsia="en-US" w:val="en-GB"/>
    </w:rPr>
  </w:style>
  <w:style w:customStyle="1" w:styleId="Bulletforblueiinfo" w:type="paragraph">
    <w:name w:val="Bullet for blueiinfo"/>
    <w:basedOn w:val="Normal"/>
    <w:uiPriority w:val="99"/>
    <w:semiHidden/>
    <w:rsid w:val="00E1232E"/>
    <w:pPr>
      <w:numPr>
        <w:numId w:val="14"/>
      </w:numPr>
      <w:tabs>
        <w:tab w:pos="737" w:val="clear"/>
        <w:tab w:pos="0" w:val="num"/>
        <w:tab w:pos="1191" w:val="left"/>
      </w:tabs>
      <w:spacing w:after="120" w:before="240" w:line="300" w:lineRule="auto"/>
      <w:ind w:hanging="454" w:left="1191"/>
      <w:jc w:val="both"/>
    </w:pPr>
    <w:rPr>
      <w:rFonts w:eastAsia="Times New Roman"/>
      <w:i/>
      <w:color w:val="0000FF"/>
      <w:sz w:val="20"/>
      <w:szCs w:val="20"/>
      <w:lang w:eastAsia="en-US" w:val="en-GB"/>
    </w:rPr>
  </w:style>
  <w:style w:customStyle="1" w:styleId="TableNormal1" w:type="paragraph">
    <w:name w:val="Table Normal1"/>
    <w:basedOn w:val="Normal"/>
    <w:uiPriority w:val="99"/>
    <w:semiHidden/>
    <w:rsid w:val="00E1232E"/>
    <w:pPr>
      <w:keepNext/>
      <w:keepLines/>
      <w:spacing w:after="60" w:before="60" w:line="240" w:lineRule="auto"/>
    </w:pPr>
    <w:rPr>
      <w:rFonts w:eastAsia="Times New Roman"/>
      <w:sz w:val="18"/>
      <w:szCs w:val="22"/>
      <w:lang w:eastAsia="en-US"/>
    </w:rPr>
  </w:style>
  <w:style w:customStyle="1" w:styleId="TableHeadingCentre" w:type="paragraph">
    <w:name w:val="Table Heading Centre"/>
    <w:basedOn w:val="TableHeading"/>
    <w:uiPriority w:val="99"/>
    <w:semiHidden/>
    <w:rsid w:val="00E1232E"/>
    <w:pPr>
      <w:suppressAutoHyphens w:val="0"/>
      <w:spacing w:before="60"/>
      <w:jc w:val="center"/>
    </w:pPr>
    <w:rPr>
      <w:rFonts w:ascii="Arial (W1)" w:hAnsi="Arial (W1)"/>
      <w:lang w:eastAsia="en-US"/>
    </w:rPr>
  </w:style>
  <w:style w:customStyle="1" w:styleId="heading2text" w:type="paragraph">
    <w:name w:val="heading 2 text"/>
    <w:basedOn w:val="Normal"/>
    <w:uiPriority w:val="99"/>
    <w:semiHidden/>
    <w:rsid w:val="00E1232E"/>
    <w:pPr>
      <w:overflowPunct w:val="0"/>
      <w:autoSpaceDE w:val="0"/>
      <w:autoSpaceDN w:val="0"/>
      <w:adjustRightInd w:val="0"/>
      <w:spacing w:after="0" w:line="240" w:lineRule="auto"/>
      <w:ind w:left="1134"/>
      <w:jc w:val="both"/>
    </w:pPr>
    <w:rPr>
      <w:rFonts w:ascii="Times New Roman" w:eastAsia="Times New Roman" w:hAnsi="Times New Roman"/>
      <w:szCs w:val="20"/>
      <w:lang w:eastAsia="en-US"/>
    </w:rPr>
  </w:style>
  <w:style w:customStyle="1" w:styleId="ReturnAddress" w:type="paragraph">
    <w:name w:val="Return Address"/>
    <w:basedOn w:val="Normal"/>
    <w:uiPriority w:val="99"/>
    <w:semiHidden/>
    <w:rsid w:val="00E1232E"/>
    <w:pPr>
      <w:keepLines/>
      <w:framePr w:hAnchor="margin" w:hSpace="187" w:vAnchor="page" w:vSpace="187" w:w="5040" w:wrap="notBeside" w:y="966"/>
      <w:widowControl w:val="0"/>
      <w:overflowPunct w:val="0"/>
      <w:autoSpaceDE w:val="0"/>
      <w:autoSpaceDN w:val="0"/>
      <w:adjustRightInd w:val="0"/>
      <w:spacing w:after="0" w:line="200" w:lineRule="atLeast"/>
    </w:pPr>
    <w:rPr>
      <w:rFonts w:eastAsia="Times New Roman"/>
      <w:spacing w:val="-2"/>
      <w:sz w:val="16"/>
      <w:szCs w:val="20"/>
      <w:lang w:eastAsia="en-US" w:val="en-US"/>
    </w:rPr>
  </w:style>
  <w:style w:customStyle="1" w:styleId="Heading1Text" w:type="paragraph">
    <w:name w:val="Heading 1 Text"/>
    <w:basedOn w:val="Normal"/>
    <w:uiPriority w:val="99"/>
    <w:semiHidden/>
    <w:rsid w:val="00E1232E"/>
    <w:pPr>
      <w:overflowPunct w:val="0"/>
      <w:autoSpaceDE w:val="0"/>
      <w:autoSpaceDN w:val="0"/>
      <w:adjustRightInd w:val="0"/>
      <w:spacing w:after="0" w:line="240" w:lineRule="auto"/>
      <w:ind w:left="567"/>
      <w:jc w:val="both"/>
    </w:pPr>
    <w:rPr>
      <w:rFonts w:ascii="Times New Roman" w:eastAsia="Times New Roman" w:hAnsi="Times New Roman"/>
      <w:szCs w:val="20"/>
      <w:lang w:eastAsia="en-US"/>
    </w:rPr>
  </w:style>
  <w:style w:customStyle="1" w:styleId="Bullet" w:type="paragraph">
    <w:name w:val="Bullet"/>
    <w:basedOn w:val="Normal"/>
    <w:uiPriority w:val="99"/>
    <w:semiHidden/>
    <w:rsid w:val="00E1232E"/>
    <w:pPr>
      <w:overflowPunct w:val="0"/>
      <w:autoSpaceDE w:val="0"/>
      <w:autoSpaceDN w:val="0"/>
      <w:adjustRightInd w:val="0"/>
      <w:spacing w:after="0" w:before="120" w:line="240" w:lineRule="auto"/>
      <w:ind w:hanging="567" w:left="1418"/>
      <w:jc w:val="both"/>
    </w:pPr>
    <w:rPr>
      <w:rFonts w:ascii="Times New Roman" w:eastAsia="Times New Roman" w:hAnsi="Times New Roman"/>
      <w:szCs w:val="20"/>
      <w:lang w:eastAsia="en-US"/>
    </w:rPr>
  </w:style>
  <w:style w:customStyle="1" w:styleId="Topic" w:type="paragraph">
    <w:name w:val="Topic"/>
    <w:basedOn w:val="Normal"/>
    <w:next w:val="BodyText"/>
    <w:uiPriority w:val="99"/>
    <w:semiHidden/>
    <w:rsid w:val="00E1232E"/>
    <w:pPr>
      <w:spacing w:after="120" w:before="120" w:line="240" w:lineRule="auto"/>
      <w:ind w:left="425"/>
    </w:pPr>
    <w:rPr>
      <w:rFonts w:eastAsia="Times New Roman"/>
      <w:b/>
      <w:smallCaps/>
      <w:szCs w:val="20"/>
      <w:lang w:eastAsia="en-US" w:val="en-US"/>
    </w:rPr>
  </w:style>
  <w:style w:customStyle="1" w:styleId="AppendixHeading1" w:type="paragraph">
    <w:name w:val="Appendix Heading 1"/>
    <w:basedOn w:val="Heading1"/>
    <w:uiPriority w:val="99"/>
    <w:semiHidden/>
    <w:rsid w:val="00E1232E"/>
    <w:pPr>
      <w:keepLines/>
      <w:pageBreakBefore/>
      <w:tabs>
        <w:tab w:pos="510" w:val="left"/>
      </w:tabs>
      <w:overflowPunct w:val="0"/>
      <w:autoSpaceDE w:val="0"/>
      <w:autoSpaceDN w:val="0"/>
      <w:adjustRightInd w:val="0"/>
      <w:spacing w:after="0" w:line="240" w:lineRule="auto"/>
    </w:pPr>
    <w:rPr>
      <w:rFonts w:ascii="Arial" w:cs="Arial" w:eastAsia="Times New Roman" w:hAnsi="Arial"/>
      <w:bCs w:val="0"/>
      <w:kern w:val="0"/>
      <w:sz w:val="36"/>
      <w:szCs w:val="20"/>
      <w:lang w:eastAsia="en-US" w:val="en-US"/>
    </w:rPr>
  </w:style>
  <w:style w:customStyle="1" w:styleId="AppendixHeading2" w:type="paragraph">
    <w:name w:val="Appendix Heading 2"/>
    <w:basedOn w:val="Heading2"/>
    <w:uiPriority w:val="99"/>
    <w:semiHidden/>
    <w:rsid w:val="00E1232E"/>
    <w:pPr>
      <w:keepNext w:val="0"/>
      <w:numPr>
        <w:ilvl w:val="1"/>
        <w:numId w:val="15"/>
      </w:numPr>
      <w:tabs>
        <w:tab w:pos="0" w:val="left"/>
        <w:tab w:pos="567" w:val="left"/>
        <w:tab w:pos="794" w:val="left"/>
        <w:tab w:pos="1350" w:val="left"/>
      </w:tabs>
      <w:overflowPunct w:val="0"/>
      <w:autoSpaceDE w:val="0"/>
      <w:autoSpaceDN w:val="0"/>
      <w:adjustRightInd w:val="0"/>
      <w:spacing w:after="0" w:before="360" w:line="240" w:lineRule="atLeast"/>
    </w:pPr>
    <w:rPr>
      <w:rFonts w:ascii="Arial" w:cs="Arial" w:eastAsia="Times New Roman" w:hAnsi="Arial"/>
      <w:bCs w:val="0"/>
      <w:i w:val="0"/>
      <w:iCs w:val="0"/>
      <w:szCs w:val="20"/>
      <w:lang w:eastAsia="en-US" w:val="en-US"/>
    </w:rPr>
  </w:style>
  <w:style w:customStyle="1" w:styleId="ruler5" w:type="paragraph">
    <w:name w:val="ruler 5"/>
    <w:basedOn w:val="Normal"/>
    <w:uiPriority w:val="99"/>
    <w:semiHidden/>
    <w:rsid w:val="00E1232E"/>
    <w:pPr>
      <w:tabs>
        <w:tab w:pos="882" w:val="left"/>
        <w:tab w:pos="1857" w:val="left"/>
        <w:tab w:pos="2831" w:val="left"/>
        <w:tab w:pos="6589" w:val="left"/>
      </w:tabs>
      <w:spacing w:after="0" w:line="240" w:lineRule="auto"/>
    </w:pPr>
    <w:rPr>
      <w:rFonts w:ascii="Times" w:eastAsia="Times New Roman" w:hAnsi="Times"/>
      <w:noProof/>
      <w:color w:val="000000"/>
      <w:sz w:val="20"/>
      <w:szCs w:val="20"/>
      <w:lang w:eastAsia="en-US"/>
    </w:rPr>
  </w:style>
  <w:style w:customStyle="1" w:styleId="Normal1" w:type="paragraph">
    <w:name w:val="Normal1"/>
    <w:basedOn w:val="Normal"/>
    <w:uiPriority w:val="99"/>
    <w:semiHidden/>
    <w:rsid w:val="00E1232E"/>
    <w:pPr>
      <w:tabs>
        <w:tab w:pos="-1440" w:val="left"/>
        <w:tab w:pos="-720" w:val="left"/>
        <w:tab w:pos="1" w:val="left"/>
        <w:tab w:pos="1080" w:val="left"/>
        <w:tab w:pos="1800" w:val="left"/>
        <w:tab w:pos="2520" w:val="left"/>
        <w:tab w:pos="10080" w:val="left"/>
        <w:tab w:pos="10800" w:val="left"/>
        <w:tab w:pos="11520" w:val="left"/>
        <w:tab w:pos="12240" w:val="left"/>
        <w:tab w:pos="12960" w:val="left"/>
        <w:tab w:pos="13680" w:val="left"/>
        <w:tab w:pos="14400" w:val="left"/>
        <w:tab w:pos="15120" w:val="left"/>
        <w:tab w:pos="15840" w:val="left"/>
        <w:tab w:pos="16560" w:val="left"/>
        <w:tab w:pos="17280" w:val="left"/>
        <w:tab w:pos="18000" w:val="left"/>
        <w:tab w:pos="18720" w:val="left"/>
      </w:tabs>
      <w:suppressAutoHyphens/>
      <w:spacing w:after="0" w:before="120" w:line="240" w:lineRule="auto"/>
      <w:jc w:val="both"/>
    </w:pPr>
    <w:rPr>
      <w:rFonts w:ascii="Times New Roman" w:eastAsia="Times New Roman" w:hAnsi="Times New Roman"/>
      <w:b/>
      <w:spacing w:val="-3"/>
      <w:szCs w:val="20"/>
      <w:lang w:eastAsia="en-US" w:val="en-GB"/>
    </w:rPr>
  </w:style>
  <w:style w:customStyle="1" w:styleId="BulletLast" w:type="paragraph">
    <w:name w:val="Bullet Last"/>
    <w:basedOn w:val="Bullet"/>
    <w:next w:val="Normal"/>
    <w:uiPriority w:val="99"/>
    <w:semiHidden/>
    <w:rsid w:val="00E1232E"/>
    <w:pPr>
      <w:tabs>
        <w:tab w:pos="720" w:val="num"/>
      </w:tabs>
      <w:overflowPunct/>
      <w:autoSpaceDE/>
      <w:autoSpaceDN/>
      <w:adjustRightInd/>
      <w:spacing w:after="240" w:before="0"/>
      <w:ind w:hanging="288" w:left="648"/>
    </w:pPr>
    <w:rPr>
      <w:lang w:val="en-GB"/>
    </w:rPr>
  </w:style>
  <w:style w:customStyle="1" w:styleId="DecimalAligned" w:type="paragraph">
    <w:name w:val="Decimal Aligned"/>
    <w:basedOn w:val="Normal"/>
    <w:uiPriority w:val="40"/>
    <w:semiHidden/>
    <w:qFormat/>
    <w:rsid w:val="00E1232E"/>
    <w:pPr>
      <w:tabs>
        <w:tab w:pos="360" w:val="decimal"/>
      </w:tabs>
    </w:pPr>
    <w:rPr>
      <w:rFonts w:asciiTheme="minorHAnsi" w:cstheme="minorBidi" w:eastAsiaTheme="minorHAnsi" w:hAnsiTheme="minorHAnsi"/>
      <w:sz w:val="20"/>
      <w:szCs w:val="22"/>
      <w:lang w:eastAsia="ja-JP" w:val="en-US"/>
    </w:rPr>
  </w:style>
  <w:style w:styleId="CommentReference" w:type="character">
    <w:name w:val="annotation reference"/>
    <w:basedOn w:val="DefaultParagraphFont"/>
    <w:semiHidden/>
    <w:unhideWhenUsed/>
    <w:locked/>
    <w:rsid w:val="00E1232E"/>
    <w:rPr>
      <w:sz w:val="16"/>
      <w:szCs w:val="16"/>
    </w:rPr>
  </w:style>
  <w:style w:styleId="SubtleEmphasis" w:type="character">
    <w:name w:val="Subtle Emphasis"/>
    <w:basedOn w:val="DefaultParagraphFont"/>
    <w:uiPriority w:val="19"/>
    <w:qFormat/>
    <w:locked/>
    <w:rsid w:val="00E1232E"/>
    <w:rPr>
      <w:i/>
      <w:iCs/>
      <w:color w:themeColor="text1" w:themeTint="80" w:val="7F7F7F"/>
    </w:rPr>
  </w:style>
  <w:style w:customStyle="1" w:styleId="xdtextbox1" w:type="character">
    <w:name w:val="xdtextbox1"/>
    <w:basedOn w:val="DefaultParagraphFont"/>
    <w:rsid w:val="00E1232E"/>
    <w:rPr>
      <w:color w:val="auto"/>
      <w:bdr w:color="DCDCDC" w:frame="1" w:space="1" w:sz="8" w:val="single"/>
      <w:shd w:color="auto" w:fill="FFFFFF" w:val="clear"/>
    </w:rPr>
  </w:style>
  <w:style w:styleId="MediumGrid1-Accent3" w:type="table">
    <w:name w:val="Medium Grid 1 Accent 3"/>
    <w:basedOn w:val="TableNormal"/>
    <w:uiPriority w:val="67"/>
    <w:locked/>
    <w:rsid w:val="00E1232E"/>
    <w:rPr>
      <w:rFonts w:ascii="Times New Roman" w:eastAsia="Times New Roman" w:hAnsi="Times New Roman"/>
      <w:sz w:val="20"/>
      <w:szCs w:val="20"/>
    </w:rPr>
    <w:tblPr>
      <w:tblStyleRowBandSize w:val="1"/>
      <w:tblStyleColBandSize w:val="1"/>
      <w:tblInd w:type="dxa" w:w="0"/>
      <w:tblBorders>
        <w:top w:color="B3CC82" w:space="0" w:sz="8" w:themeColor="accent3" w:themeTint="BF" w:val="single"/>
        <w:left w:color="B3CC82" w:space="0" w:sz="8" w:themeColor="accent3" w:themeTint="BF" w:val="single"/>
        <w:bottom w:color="B3CC82" w:space="0" w:sz="8" w:themeColor="accent3" w:themeTint="BF" w:val="single"/>
        <w:right w:color="B3CC82" w:space="0" w:sz="8" w:themeColor="accent3" w:themeTint="BF" w:val="single"/>
        <w:insideH w:color="B3CC82" w:space="0" w:sz="8" w:themeColor="accent3" w:themeTint="BF" w:val="single"/>
        <w:insideV w:color="B3CC82" w:space="0" w:sz="8" w:themeColor="accent3" w:themeTint="BF" w:val="single"/>
      </w:tblBorders>
      <w:tblCellMar>
        <w:top w:type="dxa" w:w="0"/>
        <w:left w:type="dxa" w:w="108"/>
        <w:bottom w:type="dxa" w:w="0"/>
        <w:right w:type="dxa" w:w="108"/>
      </w:tblCellMar>
    </w:tblPr>
    <w:tcPr>
      <w:shd w:color="auto" w:fill="E6EED5" w:themeFill="accent3" w:themeFillTint="3F" w:val="clear"/>
    </w:tcPr>
    <w:tblStylePr w:type="firstRow">
      <w:rPr>
        <w:b/>
        <w:bCs/>
      </w:rPr>
    </w:tblStylePr>
    <w:tblStylePr w:type="lastRow">
      <w:rPr>
        <w:b/>
        <w:bCs/>
      </w:rPr>
      <w:tblPr/>
      <w:tcPr>
        <w:tcBorders>
          <w:top w:color="B3CC82" w:space="0" w:sz="18" w:themeColor="accent3" w:themeTint="BF" w:val="single"/>
        </w:tcBorders>
      </w:tcPr>
    </w:tblStylePr>
    <w:tblStylePr w:type="firstCol">
      <w:rPr>
        <w:b/>
        <w:bCs/>
      </w:rPr>
    </w:tblStylePr>
    <w:tblStylePr w:type="lastCol">
      <w:rPr>
        <w:b/>
        <w:bCs/>
      </w:rPr>
    </w:tblStylePr>
    <w:tblStylePr w:type="band1Vert">
      <w:tblPr/>
      <w:tcPr>
        <w:shd w:color="auto" w:fill="CDDDAC" w:themeFill="accent3" w:themeFillTint="7F" w:val="clear"/>
      </w:tcPr>
    </w:tblStylePr>
    <w:tblStylePr w:type="band1Horz">
      <w:tblPr/>
      <w:tcPr>
        <w:shd w:color="auto" w:fill="CDDDAC" w:themeFill="accent3" w:themeFillTint="7F" w:val="clear"/>
      </w:tcPr>
    </w:tblStylePr>
  </w:style>
  <w:style w:styleId="MediumShading2-Accent5" w:type="table">
    <w:name w:val="Medium Shading 2 Accent 5"/>
    <w:basedOn w:val="TableNormal"/>
    <w:uiPriority w:val="64"/>
    <w:locked/>
    <w:rsid w:val="00E1232E"/>
    <w:rPr>
      <w:rFonts w:asciiTheme="minorHAnsi" w:cstheme="minorBidi" w:eastAsiaTheme="minorEastAsia" w:hAnsiTheme="minorHAnsi"/>
      <w:sz w:val="22"/>
      <w:szCs w:val="22"/>
      <w:lang w:eastAsia="ja-JP" w:val="en-US"/>
    </w:rPr>
    <w:tblPr>
      <w:tblStyleRowBandSize w:val="1"/>
      <w:tblStyleColBandSize w:val="1"/>
      <w:tblInd w:type="dxa" w:w="0"/>
      <w:tblBorders>
        <w:top w:color="auto" w:space="0" w:sz="18" w:val="single"/>
        <w:bottom w:color="auto" w:space="0" w:sz="18"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tcBorders>
          <w:top w:color="auto" w:space="0" w:sz="18" w:val="single"/>
          <w:left w:val="nil"/>
          <w:bottom w:color="auto" w:space="0" w:sz="18" w:val="single"/>
          <w:right w:val="nil"/>
          <w:insideH w:val="nil"/>
          <w:insideV w:val="nil"/>
        </w:tcBorders>
        <w:shd w:color="auto" w:fill="4BACC6" w:themeFill="accent5" w:val="clear"/>
      </w:tcPr>
    </w:tblStylePr>
    <w:tblStylePr w:type="lastRow">
      <w:pPr>
        <w:spacing w:after="0" w:afterAutospacing="0" w:afterLines="0" w:before="0" w:beforeAutospacing="0" w:beforeLines="0" w:line="240" w:lineRule="auto"/>
      </w:pPr>
      <w:rPr>
        <w:color w:val="000000"/>
      </w:rPr>
      <w:tblPr/>
      <w:tcPr>
        <w:tcBorders>
          <w:top w:color="auto" w:space="0" w:sz="6" w:val="double"/>
          <w:left w:val="nil"/>
          <w:bottom w:color="auto" w:space="0" w:sz="18" w:val="single"/>
          <w:right w:val="nil"/>
          <w:insideH w:val="nil"/>
          <w:insideV w:val="nil"/>
        </w:tcBorders>
        <w:shd w:color="auto" w:fill="FFFFFF" w:themeFill="background1" w:val="clear"/>
      </w:tcPr>
    </w:tblStylePr>
    <w:tblStylePr w:type="firstCol">
      <w:rPr>
        <w:b/>
        <w:bCs/>
        <w:color w:themeColor="background1" w:val="FFFFFF"/>
      </w:rPr>
      <w:tblPr/>
      <w:tcPr>
        <w:tcBorders>
          <w:top w:val="nil"/>
          <w:left w:val="nil"/>
          <w:bottom w:color="auto" w:space="0" w:sz="18" w:val="single"/>
          <w:right w:val="nil"/>
          <w:insideH w:val="nil"/>
          <w:insideV w:val="nil"/>
        </w:tcBorders>
        <w:shd w:color="auto" w:fill="4BACC6" w:themeFill="accent5" w:val="clear"/>
      </w:tcPr>
    </w:tblStylePr>
    <w:tblStylePr w:type="lastCol">
      <w:rPr>
        <w:b/>
        <w:bCs/>
        <w:color w:themeColor="background1" w:val="FFFFFF"/>
      </w:rPr>
      <w:tblPr/>
      <w:tcPr>
        <w:tcBorders>
          <w:left w:val="nil"/>
          <w:right w:val="nil"/>
          <w:insideH w:val="nil"/>
          <w:insideV w:val="nil"/>
        </w:tcBorders>
        <w:shd w:color="auto" w:fill="4BACC6" w:themeFill="accent5" w:val="clear"/>
      </w:tcPr>
    </w:tblStylePr>
    <w:tblStylePr w:type="band1Vert">
      <w:tblPr/>
      <w:tcPr>
        <w:tcBorders>
          <w:left w:val="nil"/>
          <w:right w:val="nil"/>
          <w:insideH w:val="nil"/>
          <w:insideV w:val="nil"/>
        </w:tcBorders>
        <w:shd w:color="auto" w:fill="D8D8D8" w:themeFill="background1" w:themeFillShade="D8" w:val="clear"/>
      </w:tcPr>
    </w:tblStylePr>
    <w:tblStylePr w:type="band1Horz">
      <w:tblPr/>
      <w:tcPr>
        <w:shd w:color="auto" w:fill="D8D8D8" w:themeFill="background1" w:themeFillShade="D8" w:val="clear"/>
      </w:tcPr>
    </w:tblStylePr>
    <w:tblStylePr w:type="neCell">
      <w:tblPr/>
      <w:tcPr>
        <w:tcBorders>
          <w:top w:color="auto" w:space="0" w:sz="18" w:val="single"/>
          <w:left w:val="nil"/>
          <w:bottom w:color="auto" w:space="0" w:sz="18" w:val="single"/>
          <w:right w:val="nil"/>
          <w:insideH w:val="nil"/>
          <w:insideV w:val="nil"/>
        </w:tcBorders>
      </w:tcPr>
    </w:tblStylePr>
    <w:tblStylePr w:type="nwCell">
      <w:rPr>
        <w:color w:themeColor="background1" w:val="FFFFFF"/>
      </w:rPr>
      <w:tblPr/>
      <w:tcPr>
        <w:tcBorders>
          <w:top w:color="auto" w:space="0" w:sz="18" w:val="single"/>
          <w:left w:val="nil"/>
          <w:bottom w:color="auto" w:space="0" w:sz="18" w:val="single"/>
          <w:right w:val="nil"/>
          <w:insideH w:val="nil"/>
          <w:insideV w:val="nil"/>
        </w:tcBorders>
      </w:tcPr>
    </w:tblStylePr>
  </w:style>
  <w:style w:styleId="MediumList1-Accent6" w:type="table">
    <w:name w:val="Medium List 1 Accent 6"/>
    <w:basedOn w:val="TableNormal"/>
    <w:uiPriority w:val="65"/>
    <w:locked/>
    <w:rsid w:val="00E1232E"/>
    <w:rPr>
      <w:rFonts w:ascii="Times New Roman" w:eastAsia="Times New Roman" w:hAnsi="Times New Roman"/>
      <w:color w:themeColor="text1" w:val="000000"/>
      <w:sz w:val="20"/>
      <w:szCs w:val="20"/>
    </w:rPr>
    <w:tblPr>
      <w:tblStyleRowBandSize w:val="1"/>
      <w:tblStyleColBandSize w:val="1"/>
      <w:tblInd w:type="dxa" w:w="0"/>
      <w:tblBorders>
        <w:top w:color="F79646" w:space="0" w:sz="8" w:themeColor="accent6" w:val="single"/>
        <w:bottom w:color="F79646" w:space="0" w:sz="8" w:themeColor="accent6"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F79646" w:space="0" w:sz="8" w:themeColor="accent6" w:val="single"/>
        </w:tcBorders>
      </w:tcPr>
    </w:tblStylePr>
    <w:tblStylePr w:type="lastRow">
      <w:rPr>
        <w:b/>
        <w:bCs/>
        <w:color w:themeColor="text2" w:val="1F497D"/>
      </w:rPr>
      <w:tblPr/>
      <w:tcPr>
        <w:tcBorders>
          <w:top w:color="F79646" w:space="0" w:sz="8" w:themeColor="accent6" w:val="single"/>
          <w:bottom w:color="F79646" w:space="0" w:sz="8" w:themeColor="accent6" w:val="single"/>
        </w:tcBorders>
      </w:tcPr>
    </w:tblStylePr>
    <w:tblStylePr w:type="firstCol">
      <w:rPr>
        <w:b/>
        <w:bCs/>
      </w:rPr>
    </w:tblStylePr>
    <w:tblStylePr w:type="lastCol">
      <w:rPr>
        <w:b/>
        <w:bCs/>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3F" w:val="clear"/>
      </w:tcPr>
    </w:tblStylePr>
    <w:tblStylePr w:type="band1Horz">
      <w:tblPr/>
      <w:tcPr>
        <w:shd w:color="auto" w:fill="FDE4D0" w:themeFill="accent6" w:themeFillTint="3F" w:val="clear"/>
      </w:tcPr>
    </w:tblStylePr>
  </w:style>
  <w:style w:customStyle="1" w:styleId="LightList-Accent11" w:type="table">
    <w:name w:val="Light List - Accent 1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4F81BD" w:themeFill="accent1" w:val="clear"/>
      </w:tcPr>
    </w:tblStylePr>
    <w:tblStylePr w:type="lastRow">
      <w:pPr>
        <w:spacing w:after="0" w:afterAutospacing="0" w:afterLines="0" w:before="0" w:beforeAutospacing="0" w:beforeLines="0" w:line="240" w:lineRule="auto"/>
      </w:pPr>
      <w:rPr>
        <w:b/>
        <w:bCs/>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bCs/>
      </w:rPr>
    </w:tblStylePr>
    <w:tblStylePr w:type="lastCol">
      <w:rPr>
        <w:b/>
        <w:bCs/>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customStyle="1" w:styleId="ColorfulGrid1" w:type="table">
    <w:name w:val="Colorful Grid1"/>
    <w:basedOn w:val="TableNormal"/>
    <w:uiPriority w:val="73"/>
    <w:rsid w:val="00E1232E"/>
    <w:rPr>
      <w:rFonts w:ascii="Times New Roman" w:eastAsia="Times New Roman" w:hAnsi="Times New Roman"/>
      <w:color w:themeColor="text1" w:val="000000"/>
      <w:sz w:val="20"/>
      <w:szCs w:val="20"/>
    </w:rPr>
    <w:tblPr>
      <w:tblStyleRowBandSize w:val="1"/>
      <w:tblStyleColBandSize w:val="1"/>
      <w:tblInd w:type="dxa" w:w="0"/>
      <w:tblBorders>
        <w:insideH w:color="FFFFFF" w:space="0" w:sz="4" w:themeColor="background1" w:val="single"/>
      </w:tblBorders>
      <w:tblCellMar>
        <w:top w:type="dxa" w:w="0"/>
        <w:left w:type="dxa" w:w="108"/>
        <w:bottom w:type="dxa" w:w="0"/>
        <w:right w:type="dxa" w:w="108"/>
      </w:tblCellMar>
    </w:tblPr>
    <w:tcPr>
      <w:shd w:color="auto" w:fill="CCCCCC" w:themeFill="text1" w:themeFillTint="33" w:val="clear"/>
    </w:tcPr>
    <w:tblStylePr w:type="firstRow">
      <w:rPr>
        <w:b/>
        <w:bCs/>
      </w:rPr>
      <w:tblPr/>
      <w:tcPr>
        <w:shd w:color="auto" w:fill="999999" w:themeFill="text1" w:themeFillTint="66" w:val="clear"/>
      </w:tcPr>
    </w:tblStylePr>
    <w:tblStylePr w:type="lastRow">
      <w:rPr>
        <w:b/>
        <w:bCs/>
        <w:color w:themeColor="text1" w:val="000000"/>
      </w:rPr>
      <w:tblPr/>
      <w:tcPr>
        <w:shd w:color="auto" w:fill="999999" w:themeFill="text1" w:themeFillTint="66" w:val="clear"/>
      </w:tcPr>
    </w:tblStylePr>
    <w:tblStylePr w:type="firstCol">
      <w:rPr>
        <w:color w:themeColor="background1" w:val="FFFFFF"/>
      </w:rPr>
      <w:tblPr/>
      <w:tcPr>
        <w:shd w:color="auto" w:fill="000000" w:themeFill="text1" w:themeFillShade="BF" w:val="clear"/>
      </w:tcPr>
    </w:tblStylePr>
    <w:tblStylePr w:type="lastCol">
      <w:rPr>
        <w:color w:themeColor="background1" w:val="FFFFFF"/>
      </w:rPr>
      <w:tblPr/>
      <w:tcPr>
        <w:shd w:color="auto" w:fill="000000" w:themeFill="text1" w:themeFillShade="BF" w:val="clear"/>
      </w:tcPr>
    </w:tblStylePr>
    <w:tblStylePr w:type="band1Vert">
      <w:tblPr/>
      <w:tcPr>
        <w:shd w:color="auto" w:fill="808080" w:themeFill="text1" w:themeFillTint="7F" w:val="clear"/>
      </w:tcPr>
    </w:tblStylePr>
    <w:tblStylePr w:type="band1Horz">
      <w:tblPr/>
      <w:tcPr>
        <w:shd w:color="auto" w:fill="808080" w:themeFill="text1" w:themeFillTint="7F" w:val="clear"/>
      </w:tcPr>
    </w:tblStylePr>
  </w:style>
  <w:style w:customStyle="1" w:styleId="MediumList11" w:type="table">
    <w:name w:val="Medium List 11"/>
    <w:basedOn w:val="TableNormal"/>
    <w:uiPriority w:val="65"/>
    <w:rsid w:val="00E1232E"/>
    <w:rPr>
      <w:rFonts w:ascii="Times New Roman" w:eastAsia="Times New Roman" w:hAnsi="Times New Roman"/>
      <w:color w:themeColor="text1" w:val="000000"/>
      <w:sz w:val="20"/>
      <w:szCs w:val="20"/>
    </w:rPr>
    <w:tblPr>
      <w:tblStyleRowBandSize w:val="1"/>
      <w:tblStyleColBandSize w:val="1"/>
      <w:tblInd w:type="dxa" w:w="0"/>
      <w:tblBorders>
        <w:top w:color="000000" w:space="0" w:sz="8" w:themeColor="text1" w:val="single"/>
        <w:bottom w:color="000000" w:space="0" w:sz="8" w:themeColor="text1" w:val="single"/>
      </w:tblBorders>
      <w:tblCellMar>
        <w:top w:type="dxa" w:w="0"/>
        <w:left w:type="dxa" w:w="108"/>
        <w:bottom w:type="dxa" w:w="0"/>
        <w:right w:type="dxa" w:w="108"/>
      </w:tblCellMar>
    </w:tblPr>
    <w:tblStylePr w:type="firstRow">
      <w:rPr>
        <w:rFonts w:asciiTheme="majorHAnsi" w:cstheme="majorBidi" w:eastAsiaTheme="majorEastAsia" w:hAnsiTheme="majorHAnsi" w:hint="default"/>
      </w:rPr>
      <w:tblPr/>
      <w:tcPr>
        <w:tcBorders>
          <w:top w:val="nil"/>
          <w:bottom w:color="000000" w:space="0" w:sz="8" w:themeColor="text1" w:val="single"/>
        </w:tcBorders>
      </w:tcPr>
    </w:tblStylePr>
    <w:tblStylePr w:type="lastRow">
      <w:rPr>
        <w:b/>
        <w:bCs/>
        <w:color w:themeColor="text2" w:val="1F497D"/>
      </w:rPr>
      <w:tblPr/>
      <w:tcPr>
        <w:tcBorders>
          <w:top w:color="000000" w:space="0" w:sz="8" w:themeColor="text1" w:val="single"/>
          <w:bottom w:color="000000" w:space="0" w:sz="8" w:themeColor="text1" w:val="single"/>
        </w:tcBorders>
      </w:tcPr>
    </w:tblStylePr>
    <w:tblStylePr w:type="firstCol">
      <w:rPr>
        <w:b/>
        <w:bCs/>
      </w:rPr>
    </w:tblStylePr>
    <w:tblStylePr w:type="lastCol">
      <w:rPr>
        <w:b/>
        <w:bCs/>
      </w:rPr>
      <w:tblPr/>
      <w:tcPr>
        <w:tcBorders>
          <w:top w:color="000000" w:space="0" w:sz="8" w:themeColor="text1" w:val="single"/>
          <w:bottom w:color="000000" w:space="0" w:sz="8" w:themeColor="text1" w:val="single"/>
        </w:tcBorders>
      </w:tcPr>
    </w:tblStylePr>
    <w:tblStylePr w:type="band1Vert">
      <w:tblPr/>
      <w:tcPr>
        <w:shd w:color="auto" w:fill="C0C0C0" w:themeFill="text1" w:themeFillTint="3F" w:val="clear"/>
      </w:tcPr>
    </w:tblStylePr>
    <w:tblStylePr w:type="band1Horz">
      <w:tblPr/>
      <w:tcPr>
        <w:shd w:color="auto" w:fill="C0C0C0" w:themeFill="text1" w:themeFillTint="3F" w:val="clear"/>
      </w:tcPr>
    </w:tblStylePr>
  </w:style>
  <w:style w:customStyle="1" w:styleId="LightList1" w:type="table">
    <w:name w:val="Light List1"/>
    <w:basedOn w:val="TableNormal"/>
    <w:uiPriority w:val="61"/>
    <w:rsid w:val="00E1232E"/>
    <w:rPr>
      <w:rFonts w:ascii="Times New Roman" w:eastAsia="Times New Roman" w:hAnsi="Times New Roman"/>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type="dxa" w:w="0"/>
        <w:left w:type="dxa" w:w="108"/>
        <w:bottom w:type="dxa" w:w="0"/>
        <w:right w:type="dxa" w:w="108"/>
      </w:tblCellMar>
    </w:tblPr>
    <w:tblStylePr w:type="firstRow">
      <w:pPr>
        <w:spacing w:after="0" w:afterAutospacing="0" w:afterLines="0" w:before="0" w:beforeAutospacing="0" w:beforeLines="0" w:line="240" w:lineRule="auto"/>
      </w:pPr>
      <w:rPr>
        <w:b/>
        <w:bCs/>
        <w:color w:themeColor="background1" w:val="FFFFFF"/>
      </w:rPr>
      <w:tblPr/>
      <w:tcPr>
        <w:shd w:color="auto" w:fill="000000" w:themeFill="text1" w:val="clear"/>
      </w:tcPr>
    </w:tblStylePr>
    <w:tblStylePr w:type="lastRow">
      <w:pPr>
        <w:spacing w:after="0" w:afterAutospacing="0" w:afterLines="0" w:before="0" w:beforeAutospacing="0" w:beforeLines="0" w:line="240" w:lineRule="auto"/>
      </w:pPr>
      <w:rPr>
        <w:b/>
        <w:bCs/>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bCs/>
      </w:rPr>
    </w:tblStylePr>
    <w:tblStylePr w:type="lastCol">
      <w:rPr>
        <w:b/>
        <w:bCs/>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customStyle="1" w:styleId="MediumGrid21" w:type="table">
    <w:name w:val="Medium Grid 21"/>
    <w:basedOn w:val="TableNormal"/>
    <w:uiPriority w:val="68"/>
    <w:rsid w:val="00E1232E"/>
    <w:rPr>
      <w:rFonts w:asciiTheme="majorHAnsi" w:cstheme="majorBidi" w:eastAsiaTheme="majorEastAsia" w:hAnsiTheme="majorHAnsi"/>
      <w:color w:themeColor="text1" w:val="000000"/>
      <w:sz w:val="20"/>
      <w:szCs w:val="20"/>
    </w:rPr>
    <w:tblPr>
      <w:tblStyleRowBandSize w:val="1"/>
      <w:tblStyleColBandSize w:val="1"/>
      <w:tblInd w:type="dxa" w:w="0"/>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type="dxa" w:w="0"/>
        <w:left w:type="dxa" w:w="108"/>
        <w:bottom w:type="dxa" w:w="0"/>
        <w:right w:type="dxa" w:w="108"/>
      </w:tblCellMar>
    </w:tblPr>
    <w:tcPr>
      <w:shd w:color="auto" w:fill="C0C0C0" w:themeFill="text1" w:themeFillTint="3F" w:val="clear"/>
    </w:tcPr>
    <w:tblStylePr w:type="firstRow">
      <w:rPr>
        <w:b/>
        <w:bCs/>
        <w:color w:themeColor="text1" w:val="000000"/>
      </w:rPr>
      <w:tblPr/>
      <w:tcPr>
        <w:shd w:color="auto" w:fill="E6E6E6" w:themeFill="text1" w:themeFillTint="19" w:val="clear"/>
      </w:tcPr>
    </w:tblStylePr>
    <w:tblStylePr w:type="lastRow">
      <w:rPr>
        <w:b/>
        <w:bCs/>
        <w:color w:themeColor="text1" w:val="000000"/>
      </w:rPr>
      <w:tblPr/>
      <w:tcPr>
        <w:tcBorders>
          <w:top w:color="000000" w:space="0" w:sz="12" w:themeColor="text1" w:val="single"/>
          <w:left w:val="nil"/>
          <w:bottom w:val="nil"/>
          <w:right w:val="nil"/>
          <w:insideH w:val="nil"/>
          <w:insideV w:val="nil"/>
        </w:tcBorders>
        <w:shd w:color="auto" w:fill="FFFFFF" w:themeFill="background1" w:val="clear"/>
      </w:tcPr>
    </w:tblStylePr>
    <w:tblStylePr w:type="firstCol">
      <w:rPr>
        <w:b/>
        <w:bCs/>
        <w:color w:themeColor="text1" w:val="000000"/>
      </w:rPr>
      <w:tblPr/>
      <w:tcPr>
        <w:tcBorders>
          <w:top w:val="nil"/>
          <w:left w:val="nil"/>
          <w:bottom w:val="nil"/>
          <w:right w:val="nil"/>
          <w:insideH w:val="nil"/>
          <w:insideV w:val="nil"/>
        </w:tcBorders>
        <w:shd w:color="auto" w:fill="FFFFFF" w:themeFill="background1" w:val="clear"/>
      </w:tcPr>
    </w:tblStylePr>
    <w:tblStylePr w:type="lastCol">
      <w:rPr>
        <w:b w:val="0"/>
        <w:bCs w:val="0"/>
        <w:color w:themeColor="text1" w:val="000000"/>
      </w:rPr>
      <w:tblPr/>
      <w:tcPr>
        <w:tcBorders>
          <w:top w:val="nil"/>
          <w:left w:val="nil"/>
          <w:bottom w:val="nil"/>
          <w:right w:val="nil"/>
          <w:insideH w:val="nil"/>
          <w:insideV w:val="nil"/>
        </w:tcBorders>
        <w:shd w:color="auto" w:fill="CCCCCC" w:themeFill="text1" w:themeFillTint="33" w:val="clear"/>
      </w:tcPr>
    </w:tblStylePr>
    <w:tblStylePr w:type="band1Vert">
      <w:tblPr/>
      <w:tcPr>
        <w:shd w:color="auto" w:fill="808080" w:themeFill="text1" w:themeFillTint="7F" w:val="clear"/>
      </w:tcPr>
    </w:tblStylePr>
    <w:tblStylePr w:type="band1Horz">
      <w:tblPr/>
      <w:tcPr>
        <w:tcBorders>
          <w:insideH w:color="000000" w:space="0" w:sz="6" w:themeColor="text1" w:val="single"/>
          <w:insideV w:color="000000" w:space="0" w:sz="6" w:themeColor="text1" w:val="single"/>
        </w:tcBorders>
        <w:shd w:color="auto" w:fill="808080" w:themeFill="text1" w:themeFillTint="7F" w:val="clear"/>
      </w:tcPr>
    </w:tblStylePr>
    <w:tblStylePr w:type="nwCell">
      <w:tblPr/>
      <w:tcPr>
        <w:shd w:color="auto" w:fill="FFFFFF" w:themeFill="background1" w:val="clear"/>
      </w:tcPr>
    </w:tblStylePr>
  </w:style>
  <w:style w:styleId="FootnoteReference" w:type="character">
    <w:name w:val="footnote reference"/>
    <w:basedOn w:val="DefaultParagraphFont"/>
    <w:uiPriority w:val="99"/>
    <w:unhideWhenUsed/>
    <w:locked/>
    <w:rsid w:val="0049645A"/>
    <w:rPr>
      <w:vertAlign w:val="superscript"/>
    </w:rPr>
  </w:style>
  <w:style w:customStyle="1" w:styleId="disclaimer" w:type="paragraph">
    <w:name w:val="disclaimer"/>
    <w:basedOn w:val="Normal"/>
    <w:rsid w:val="00575FAB"/>
    <w:pPr>
      <w:spacing w:after="100" w:afterAutospacing="1" w:before="100" w:beforeAutospacing="1" w:line="240" w:lineRule="auto"/>
    </w:pPr>
    <w:rPr>
      <w:rFonts w:ascii="Times" w:hAnsi="Times"/>
      <w:sz w:val="20"/>
      <w:szCs w:val="20"/>
      <w:lang w:eastAsia="en-US"/>
    </w:rPr>
  </w:style>
  <w:style w:styleId="Emphasis" w:type="character">
    <w:name w:val="Emphasis"/>
    <w:basedOn w:val="DefaultParagraphFont"/>
    <w:uiPriority w:val="20"/>
    <w:qFormat/>
    <w:locked/>
    <w:rsid w:val="00A2002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3584556">
      <w:bodyDiv w:val="1"/>
      <w:marLeft w:val="0"/>
      <w:marRight w:val="0"/>
      <w:marTop w:val="0"/>
      <w:marBottom w:val="0"/>
      <w:divBdr>
        <w:top w:val="none" w:sz="0" w:space="0" w:color="auto"/>
        <w:left w:val="none" w:sz="0" w:space="0" w:color="auto"/>
        <w:bottom w:val="none" w:sz="0" w:space="0" w:color="auto"/>
        <w:right w:val="none" w:sz="0" w:space="0" w:color="auto"/>
      </w:divBdr>
      <w:divsChild>
        <w:div w:id="1323466538">
          <w:blockQuote w:val="1"/>
          <w:marLeft w:val="720"/>
          <w:marRight w:val="720"/>
          <w:marTop w:val="100"/>
          <w:marBottom w:val="100"/>
          <w:divBdr>
            <w:top w:val="none" w:sz="0" w:space="0" w:color="auto"/>
            <w:left w:val="none" w:sz="0" w:space="0" w:color="auto"/>
            <w:bottom w:val="none" w:sz="0" w:space="0" w:color="auto"/>
            <w:right w:val="none" w:sz="0" w:space="0" w:color="auto"/>
          </w:divBdr>
        </w:div>
        <w:div w:id="5407532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560568">
          <w:blockQuote w:val="1"/>
          <w:marLeft w:val="720"/>
          <w:marRight w:val="720"/>
          <w:marTop w:val="100"/>
          <w:marBottom w:val="100"/>
          <w:divBdr>
            <w:top w:val="none" w:sz="0" w:space="0" w:color="auto"/>
            <w:left w:val="none" w:sz="0" w:space="0" w:color="auto"/>
            <w:bottom w:val="none" w:sz="0" w:space="0" w:color="auto"/>
            <w:right w:val="none" w:sz="0" w:space="0" w:color="auto"/>
          </w:divBdr>
        </w:div>
        <w:div w:id="1162282195">
          <w:blockQuote w:val="1"/>
          <w:marLeft w:val="720"/>
          <w:marRight w:val="720"/>
          <w:marTop w:val="100"/>
          <w:marBottom w:val="100"/>
          <w:divBdr>
            <w:top w:val="none" w:sz="0" w:space="0" w:color="auto"/>
            <w:left w:val="none" w:sz="0" w:space="0" w:color="auto"/>
            <w:bottom w:val="none" w:sz="0" w:space="0" w:color="auto"/>
            <w:right w:val="none" w:sz="0" w:space="0" w:color="auto"/>
          </w:divBdr>
        </w:div>
        <w:div w:id="485322580">
          <w:blockQuote w:val="1"/>
          <w:marLeft w:val="720"/>
          <w:marRight w:val="720"/>
          <w:marTop w:val="100"/>
          <w:marBottom w:val="100"/>
          <w:divBdr>
            <w:top w:val="none" w:sz="0" w:space="0" w:color="auto"/>
            <w:left w:val="none" w:sz="0" w:space="0" w:color="auto"/>
            <w:bottom w:val="none" w:sz="0" w:space="0" w:color="auto"/>
            <w:right w:val="none" w:sz="0" w:space="0" w:color="auto"/>
          </w:divBdr>
        </w:div>
        <w:div w:id="8303659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531235">
          <w:blockQuote w:val="1"/>
          <w:marLeft w:val="720"/>
          <w:marRight w:val="720"/>
          <w:marTop w:val="100"/>
          <w:marBottom w:val="100"/>
          <w:divBdr>
            <w:top w:val="none" w:sz="0" w:space="0" w:color="auto"/>
            <w:left w:val="none" w:sz="0" w:space="0" w:color="auto"/>
            <w:bottom w:val="none" w:sz="0" w:space="0" w:color="auto"/>
            <w:right w:val="none" w:sz="0" w:space="0" w:color="auto"/>
          </w:divBdr>
        </w:div>
        <w:div w:id="752896876">
          <w:blockQuote w:val="1"/>
          <w:marLeft w:val="720"/>
          <w:marRight w:val="720"/>
          <w:marTop w:val="100"/>
          <w:marBottom w:val="100"/>
          <w:divBdr>
            <w:top w:val="none" w:sz="0" w:space="0" w:color="auto"/>
            <w:left w:val="none" w:sz="0" w:space="0" w:color="auto"/>
            <w:bottom w:val="none" w:sz="0" w:space="0" w:color="auto"/>
            <w:right w:val="none" w:sz="0" w:space="0" w:color="auto"/>
          </w:divBdr>
        </w:div>
        <w:div w:id="2098214261">
          <w:blockQuote w:val="1"/>
          <w:marLeft w:val="720"/>
          <w:marRight w:val="720"/>
          <w:marTop w:val="100"/>
          <w:marBottom w:val="100"/>
          <w:divBdr>
            <w:top w:val="none" w:sz="0" w:space="0" w:color="auto"/>
            <w:left w:val="none" w:sz="0" w:space="0" w:color="auto"/>
            <w:bottom w:val="none" w:sz="0" w:space="0" w:color="auto"/>
            <w:right w:val="none" w:sz="0" w:space="0" w:color="auto"/>
          </w:divBdr>
        </w:div>
        <w:div w:id="1349941460">
          <w:blockQuote w:val="1"/>
          <w:marLeft w:val="720"/>
          <w:marRight w:val="720"/>
          <w:marTop w:val="100"/>
          <w:marBottom w:val="100"/>
          <w:divBdr>
            <w:top w:val="none" w:sz="0" w:space="0" w:color="auto"/>
            <w:left w:val="none" w:sz="0" w:space="0" w:color="auto"/>
            <w:bottom w:val="none" w:sz="0" w:space="0" w:color="auto"/>
            <w:right w:val="none" w:sz="0" w:space="0" w:color="auto"/>
          </w:divBdr>
        </w:div>
        <w:div w:id="2009213380">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443962">
          <w:blockQuote w:val="1"/>
          <w:marLeft w:val="720"/>
          <w:marRight w:val="720"/>
          <w:marTop w:val="100"/>
          <w:marBottom w:val="100"/>
          <w:divBdr>
            <w:top w:val="none" w:sz="0" w:space="0" w:color="auto"/>
            <w:left w:val="none" w:sz="0" w:space="0" w:color="auto"/>
            <w:bottom w:val="none" w:sz="0" w:space="0" w:color="auto"/>
            <w:right w:val="none" w:sz="0" w:space="0" w:color="auto"/>
          </w:divBdr>
        </w:div>
        <w:div w:id="1383139316">
          <w:blockQuote w:val="1"/>
          <w:marLeft w:val="720"/>
          <w:marRight w:val="720"/>
          <w:marTop w:val="100"/>
          <w:marBottom w:val="100"/>
          <w:divBdr>
            <w:top w:val="none" w:sz="0" w:space="0" w:color="auto"/>
            <w:left w:val="none" w:sz="0" w:space="0" w:color="auto"/>
            <w:bottom w:val="none" w:sz="0" w:space="0" w:color="auto"/>
            <w:right w:val="none" w:sz="0" w:space="0" w:color="auto"/>
          </w:divBdr>
        </w:div>
        <w:div w:id="9430749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75424791">
          <w:blockQuote w:val="1"/>
          <w:marLeft w:val="720"/>
          <w:marRight w:val="720"/>
          <w:marTop w:val="100"/>
          <w:marBottom w:val="100"/>
          <w:divBdr>
            <w:top w:val="none" w:sz="0" w:space="0" w:color="auto"/>
            <w:left w:val="none" w:sz="0" w:space="0" w:color="auto"/>
            <w:bottom w:val="none" w:sz="0" w:space="0" w:color="auto"/>
            <w:right w:val="none" w:sz="0" w:space="0" w:color="auto"/>
          </w:divBdr>
        </w:div>
        <w:div w:id="153381271">
          <w:blockQuote w:val="1"/>
          <w:marLeft w:val="720"/>
          <w:marRight w:val="720"/>
          <w:marTop w:val="100"/>
          <w:marBottom w:val="100"/>
          <w:divBdr>
            <w:top w:val="none" w:sz="0" w:space="0" w:color="auto"/>
            <w:left w:val="none" w:sz="0" w:space="0" w:color="auto"/>
            <w:bottom w:val="none" w:sz="0" w:space="0" w:color="auto"/>
            <w:right w:val="none" w:sz="0" w:space="0" w:color="auto"/>
          </w:divBdr>
        </w:div>
        <w:div w:id="1557006020">
          <w:blockQuote w:val="1"/>
          <w:marLeft w:val="720"/>
          <w:marRight w:val="720"/>
          <w:marTop w:val="100"/>
          <w:marBottom w:val="100"/>
          <w:divBdr>
            <w:top w:val="none" w:sz="0" w:space="0" w:color="auto"/>
            <w:left w:val="none" w:sz="0" w:space="0" w:color="auto"/>
            <w:bottom w:val="none" w:sz="0" w:space="0" w:color="auto"/>
            <w:right w:val="none" w:sz="0" w:space="0" w:color="auto"/>
          </w:divBdr>
        </w:div>
        <w:div w:id="388117017">
          <w:blockQuote w:val="1"/>
          <w:marLeft w:val="720"/>
          <w:marRight w:val="720"/>
          <w:marTop w:val="100"/>
          <w:marBottom w:val="100"/>
          <w:divBdr>
            <w:top w:val="none" w:sz="0" w:space="0" w:color="auto"/>
            <w:left w:val="none" w:sz="0" w:space="0" w:color="auto"/>
            <w:bottom w:val="none" w:sz="0" w:space="0" w:color="auto"/>
            <w:right w:val="none" w:sz="0" w:space="0" w:color="auto"/>
          </w:divBdr>
        </w:div>
        <w:div w:id="17436407">
          <w:blockQuote w:val="1"/>
          <w:marLeft w:val="720"/>
          <w:marRight w:val="720"/>
          <w:marTop w:val="100"/>
          <w:marBottom w:val="100"/>
          <w:divBdr>
            <w:top w:val="none" w:sz="0" w:space="0" w:color="auto"/>
            <w:left w:val="none" w:sz="0" w:space="0" w:color="auto"/>
            <w:bottom w:val="none" w:sz="0" w:space="0" w:color="auto"/>
            <w:right w:val="none" w:sz="0" w:space="0" w:color="auto"/>
          </w:divBdr>
        </w:div>
        <w:div w:id="356974689">
          <w:blockQuote w:val="1"/>
          <w:marLeft w:val="720"/>
          <w:marRight w:val="720"/>
          <w:marTop w:val="100"/>
          <w:marBottom w:val="100"/>
          <w:divBdr>
            <w:top w:val="none" w:sz="0" w:space="0" w:color="auto"/>
            <w:left w:val="none" w:sz="0" w:space="0" w:color="auto"/>
            <w:bottom w:val="none" w:sz="0" w:space="0" w:color="auto"/>
            <w:right w:val="none" w:sz="0" w:space="0" w:color="auto"/>
          </w:divBdr>
        </w:div>
        <w:div w:id="429400356">
          <w:blockQuote w:val="1"/>
          <w:marLeft w:val="720"/>
          <w:marRight w:val="720"/>
          <w:marTop w:val="100"/>
          <w:marBottom w:val="100"/>
          <w:divBdr>
            <w:top w:val="none" w:sz="0" w:space="0" w:color="auto"/>
            <w:left w:val="none" w:sz="0" w:space="0" w:color="auto"/>
            <w:bottom w:val="none" w:sz="0" w:space="0" w:color="auto"/>
            <w:right w:val="none" w:sz="0" w:space="0" w:color="auto"/>
          </w:divBdr>
        </w:div>
        <w:div w:id="1900897446">
          <w:blockQuote w:val="1"/>
          <w:marLeft w:val="720"/>
          <w:marRight w:val="720"/>
          <w:marTop w:val="100"/>
          <w:marBottom w:val="100"/>
          <w:divBdr>
            <w:top w:val="none" w:sz="0" w:space="0" w:color="auto"/>
            <w:left w:val="none" w:sz="0" w:space="0" w:color="auto"/>
            <w:bottom w:val="none" w:sz="0" w:space="0" w:color="auto"/>
            <w:right w:val="none" w:sz="0" w:space="0" w:color="auto"/>
          </w:divBdr>
        </w:div>
        <w:div w:id="1567951967">
          <w:blockQuote w:val="1"/>
          <w:marLeft w:val="720"/>
          <w:marRight w:val="720"/>
          <w:marTop w:val="100"/>
          <w:marBottom w:val="100"/>
          <w:divBdr>
            <w:top w:val="none" w:sz="0" w:space="0" w:color="auto"/>
            <w:left w:val="none" w:sz="0" w:space="0" w:color="auto"/>
            <w:bottom w:val="none" w:sz="0" w:space="0" w:color="auto"/>
            <w:right w:val="none" w:sz="0" w:space="0" w:color="auto"/>
          </w:divBdr>
        </w:div>
        <w:div w:id="600145073">
          <w:blockQuote w:val="1"/>
          <w:marLeft w:val="720"/>
          <w:marRight w:val="720"/>
          <w:marTop w:val="100"/>
          <w:marBottom w:val="100"/>
          <w:divBdr>
            <w:top w:val="none" w:sz="0" w:space="0" w:color="auto"/>
            <w:left w:val="none" w:sz="0" w:space="0" w:color="auto"/>
            <w:bottom w:val="none" w:sz="0" w:space="0" w:color="auto"/>
            <w:right w:val="none" w:sz="0" w:space="0" w:color="auto"/>
          </w:divBdr>
        </w:div>
        <w:div w:id="853493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175072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85103040">
          <w:blockQuote w:val="1"/>
          <w:marLeft w:val="720"/>
          <w:marRight w:val="720"/>
          <w:marTop w:val="100"/>
          <w:marBottom w:val="100"/>
          <w:divBdr>
            <w:top w:val="none" w:sz="0" w:space="0" w:color="auto"/>
            <w:left w:val="none" w:sz="0" w:space="0" w:color="auto"/>
            <w:bottom w:val="none" w:sz="0" w:space="0" w:color="auto"/>
            <w:right w:val="none" w:sz="0" w:space="0" w:color="auto"/>
          </w:divBdr>
        </w:div>
        <w:div w:id="100335996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8461026">
          <w:blockQuote w:val="1"/>
          <w:marLeft w:val="720"/>
          <w:marRight w:val="720"/>
          <w:marTop w:val="100"/>
          <w:marBottom w:val="100"/>
          <w:divBdr>
            <w:top w:val="none" w:sz="0" w:space="0" w:color="auto"/>
            <w:left w:val="none" w:sz="0" w:space="0" w:color="auto"/>
            <w:bottom w:val="none" w:sz="0" w:space="0" w:color="auto"/>
            <w:right w:val="none" w:sz="0" w:space="0" w:color="auto"/>
          </w:divBdr>
        </w:div>
        <w:div w:id="1358652970">
          <w:blockQuote w:val="1"/>
          <w:marLeft w:val="720"/>
          <w:marRight w:val="720"/>
          <w:marTop w:val="100"/>
          <w:marBottom w:val="100"/>
          <w:divBdr>
            <w:top w:val="none" w:sz="0" w:space="0" w:color="auto"/>
            <w:left w:val="none" w:sz="0" w:space="0" w:color="auto"/>
            <w:bottom w:val="none" w:sz="0" w:space="0" w:color="auto"/>
            <w:right w:val="none" w:sz="0" w:space="0" w:color="auto"/>
          </w:divBdr>
        </w:div>
        <w:div w:id="292255334">
          <w:blockQuote w:val="1"/>
          <w:marLeft w:val="720"/>
          <w:marRight w:val="720"/>
          <w:marTop w:val="100"/>
          <w:marBottom w:val="100"/>
          <w:divBdr>
            <w:top w:val="none" w:sz="0" w:space="0" w:color="auto"/>
            <w:left w:val="none" w:sz="0" w:space="0" w:color="auto"/>
            <w:bottom w:val="none" w:sz="0" w:space="0" w:color="auto"/>
            <w:right w:val="none" w:sz="0" w:space="0" w:color="auto"/>
          </w:divBdr>
        </w:div>
        <w:div w:id="1549608476">
          <w:blockQuote w:val="1"/>
          <w:marLeft w:val="720"/>
          <w:marRight w:val="720"/>
          <w:marTop w:val="100"/>
          <w:marBottom w:val="100"/>
          <w:divBdr>
            <w:top w:val="none" w:sz="0" w:space="0" w:color="auto"/>
            <w:left w:val="none" w:sz="0" w:space="0" w:color="auto"/>
            <w:bottom w:val="none" w:sz="0" w:space="0" w:color="auto"/>
            <w:right w:val="none" w:sz="0" w:space="0" w:color="auto"/>
          </w:divBdr>
        </w:div>
        <w:div w:id="438070274">
          <w:blockQuote w:val="1"/>
          <w:marLeft w:val="720"/>
          <w:marRight w:val="720"/>
          <w:marTop w:val="100"/>
          <w:marBottom w:val="100"/>
          <w:divBdr>
            <w:top w:val="none" w:sz="0" w:space="0" w:color="auto"/>
            <w:left w:val="none" w:sz="0" w:space="0" w:color="auto"/>
            <w:bottom w:val="none" w:sz="0" w:space="0" w:color="auto"/>
            <w:right w:val="none" w:sz="0" w:space="0" w:color="auto"/>
          </w:divBdr>
        </w:div>
        <w:div w:id="1006638718">
          <w:blockQuote w:val="1"/>
          <w:marLeft w:val="720"/>
          <w:marRight w:val="720"/>
          <w:marTop w:val="100"/>
          <w:marBottom w:val="100"/>
          <w:divBdr>
            <w:top w:val="none" w:sz="0" w:space="0" w:color="auto"/>
            <w:left w:val="none" w:sz="0" w:space="0" w:color="auto"/>
            <w:bottom w:val="none" w:sz="0" w:space="0" w:color="auto"/>
            <w:right w:val="none" w:sz="0" w:space="0" w:color="auto"/>
          </w:divBdr>
        </w:div>
        <w:div w:id="1710837715">
          <w:blockQuote w:val="1"/>
          <w:marLeft w:val="720"/>
          <w:marRight w:val="720"/>
          <w:marTop w:val="100"/>
          <w:marBottom w:val="100"/>
          <w:divBdr>
            <w:top w:val="none" w:sz="0" w:space="0" w:color="auto"/>
            <w:left w:val="none" w:sz="0" w:space="0" w:color="auto"/>
            <w:bottom w:val="none" w:sz="0" w:space="0" w:color="auto"/>
            <w:right w:val="none" w:sz="0" w:space="0" w:color="auto"/>
          </w:divBdr>
        </w:div>
        <w:div w:id="2011638762">
          <w:blockQuote w:val="1"/>
          <w:marLeft w:val="720"/>
          <w:marRight w:val="720"/>
          <w:marTop w:val="100"/>
          <w:marBottom w:val="100"/>
          <w:divBdr>
            <w:top w:val="none" w:sz="0" w:space="0" w:color="auto"/>
            <w:left w:val="none" w:sz="0" w:space="0" w:color="auto"/>
            <w:bottom w:val="none" w:sz="0" w:space="0" w:color="auto"/>
            <w:right w:val="none" w:sz="0" w:space="0" w:color="auto"/>
          </w:divBdr>
        </w:div>
        <w:div w:id="1286428448">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171320">
          <w:blockQuote w:val="1"/>
          <w:marLeft w:val="720"/>
          <w:marRight w:val="720"/>
          <w:marTop w:val="100"/>
          <w:marBottom w:val="100"/>
          <w:divBdr>
            <w:top w:val="none" w:sz="0" w:space="0" w:color="auto"/>
            <w:left w:val="none" w:sz="0" w:space="0" w:color="auto"/>
            <w:bottom w:val="none" w:sz="0" w:space="0" w:color="auto"/>
            <w:right w:val="none" w:sz="0" w:space="0" w:color="auto"/>
          </w:divBdr>
        </w:div>
        <w:div w:id="662319618">
          <w:blockQuote w:val="1"/>
          <w:marLeft w:val="720"/>
          <w:marRight w:val="720"/>
          <w:marTop w:val="100"/>
          <w:marBottom w:val="100"/>
          <w:divBdr>
            <w:top w:val="none" w:sz="0" w:space="0" w:color="auto"/>
            <w:left w:val="none" w:sz="0" w:space="0" w:color="auto"/>
            <w:bottom w:val="none" w:sz="0" w:space="0" w:color="auto"/>
            <w:right w:val="none" w:sz="0" w:space="0" w:color="auto"/>
          </w:divBdr>
        </w:div>
        <w:div w:id="302121957">
          <w:blockQuote w:val="1"/>
          <w:marLeft w:val="720"/>
          <w:marRight w:val="720"/>
          <w:marTop w:val="100"/>
          <w:marBottom w:val="100"/>
          <w:divBdr>
            <w:top w:val="none" w:sz="0" w:space="0" w:color="auto"/>
            <w:left w:val="none" w:sz="0" w:space="0" w:color="auto"/>
            <w:bottom w:val="none" w:sz="0" w:space="0" w:color="auto"/>
            <w:right w:val="none" w:sz="0" w:space="0" w:color="auto"/>
          </w:divBdr>
        </w:div>
        <w:div w:id="1696038598">
          <w:blockQuote w:val="1"/>
          <w:marLeft w:val="720"/>
          <w:marRight w:val="720"/>
          <w:marTop w:val="100"/>
          <w:marBottom w:val="100"/>
          <w:divBdr>
            <w:top w:val="none" w:sz="0" w:space="0" w:color="auto"/>
            <w:left w:val="none" w:sz="0" w:space="0" w:color="auto"/>
            <w:bottom w:val="none" w:sz="0" w:space="0" w:color="auto"/>
            <w:right w:val="none" w:sz="0" w:space="0" w:color="auto"/>
          </w:divBdr>
        </w:div>
        <w:div w:id="651955210">
          <w:blockQuote w:val="1"/>
          <w:marLeft w:val="720"/>
          <w:marRight w:val="720"/>
          <w:marTop w:val="100"/>
          <w:marBottom w:val="100"/>
          <w:divBdr>
            <w:top w:val="none" w:sz="0" w:space="0" w:color="auto"/>
            <w:left w:val="none" w:sz="0" w:space="0" w:color="auto"/>
            <w:bottom w:val="none" w:sz="0" w:space="0" w:color="auto"/>
            <w:right w:val="none" w:sz="0" w:space="0" w:color="auto"/>
          </w:divBdr>
        </w:div>
        <w:div w:id="1802305639">
          <w:blockQuote w:val="1"/>
          <w:marLeft w:val="720"/>
          <w:marRight w:val="720"/>
          <w:marTop w:val="100"/>
          <w:marBottom w:val="100"/>
          <w:divBdr>
            <w:top w:val="none" w:sz="0" w:space="0" w:color="auto"/>
            <w:left w:val="none" w:sz="0" w:space="0" w:color="auto"/>
            <w:bottom w:val="none" w:sz="0" w:space="0" w:color="auto"/>
            <w:right w:val="none" w:sz="0" w:space="0" w:color="auto"/>
          </w:divBdr>
        </w:div>
        <w:div w:id="2073961201">
          <w:blockQuote w:val="1"/>
          <w:marLeft w:val="720"/>
          <w:marRight w:val="720"/>
          <w:marTop w:val="100"/>
          <w:marBottom w:val="100"/>
          <w:divBdr>
            <w:top w:val="none" w:sz="0" w:space="0" w:color="auto"/>
            <w:left w:val="none" w:sz="0" w:space="0" w:color="auto"/>
            <w:bottom w:val="none" w:sz="0" w:space="0" w:color="auto"/>
            <w:right w:val="none" w:sz="0" w:space="0" w:color="auto"/>
          </w:divBdr>
        </w:div>
        <w:div w:id="2067144602">
          <w:blockQuote w:val="1"/>
          <w:marLeft w:val="720"/>
          <w:marRight w:val="720"/>
          <w:marTop w:val="100"/>
          <w:marBottom w:val="100"/>
          <w:divBdr>
            <w:top w:val="none" w:sz="0" w:space="0" w:color="auto"/>
            <w:left w:val="none" w:sz="0" w:space="0" w:color="auto"/>
            <w:bottom w:val="none" w:sz="0" w:space="0" w:color="auto"/>
            <w:right w:val="none" w:sz="0" w:space="0" w:color="auto"/>
          </w:divBdr>
        </w:div>
        <w:div w:id="1485465261">
          <w:blockQuote w:val="1"/>
          <w:marLeft w:val="720"/>
          <w:marRight w:val="720"/>
          <w:marTop w:val="100"/>
          <w:marBottom w:val="100"/>
          <w:divBdr>
            <w:top w:val="none" w:sz="0" w:space="0" w:color="auto"/>
            <w:left w:val="none" w:sz="0" w:space="0" w:color="auto"/>
            <w:bottom w:val="none" w:sz="0" w:space="0" w:color="auto"/>
            <w:right w:val="none" w:sz="0" w:space="0" w:color="auto"/>
          </w:divBdr>
        </w:div>
        <w:div w:id="520242838">
          <w:blockQuote w:val="1"/>
          <w:marLeft w:val="720"/>
          <w:marRight w:val="720"/>
          <w:marTop w:val="100"/>
          <w:marBottom w:val="100"/>
          <w:divBdr>
            <w:top w:val="none" w:sz="0" w:space="0" w:color="auto"/>
            <w:left w:val="none" w:sz="0" w:space="0" w:color="auto"/>
            <w:bottom w:val="none" w:sz="0" w:space="0" w:color="auto"/>
            <w:right w:val="none" w:sz="0" w:space="0" w:color="auto"/>
          </w:divBdr>
        </w:div>
        <w:div w:id="117798893">
          <w:blockQuote w:val="1"/>
          <w:marLeft w:val="720"/>
          <w:marRight w:val="720"/>
          <w:marTop w:val="100"/>
          <w:marBottom w:val="100"/>
          <w:divBdr>
            <w:top w:val="none" w:sz="0" w:space="0" w:color="auto"/>
            <w:left w:val="none" w:sz="0" w:space="0" w:color="auto"/>
            <w:bottom w:val="none" w:sz="0" w:space="0" w:color="auto"/>
            <w:right w:val="none" w:sz="0" w:space="0" w:color="auto"/>
          </w:divBdr>
        </w:div>
        <w:div w:id="1618292922">
          <w:blockQuote w:val="1"/>
          <w:marLeft w:val="720"/>
          <w:marRight w:val="720"/>
          <w:marTop w:val="100"/>
          <w:marBottom w:val="100"/>
          <w:divBdr>
            <w:top w:val="none" w:sz="0" w:space="0" w:color="auto"/>
            <w:left w:val="none" w:sz="0" w:space="0" w:color="auto"/>
            <w:bottom w:val="none" w:sz="0" w:space="0" w:color="auto"/>
            <w:right w:val="none" w:sz="0" w:space="0" w:color="auto"/>
          </w:divBdr>
        </w:div>
        <w:div w:id="2012948248">
          <w:blockQuote w:val="1"/>
          <w:marLeft w:val="720"/>
          <w:marRight w:val="720"/>
          <w:marTop w:val="100"/>
          <w:marBottom w:val="100"/>
          <w:divBdr>
            <w:top w:val="none" w:sz="0" w:space="0" w:color="auto"/>
            <w:left w:val="none" w:sz="0" w:space="0" w:color="auto"/>
            <w:bottom w:val="none" w:sz="0" w:space="0" w:color="auto"/>
            <w:right w:val="none" w:sz="0" w:space="0" w:color="auto"/>
          </w:divBdr>
        </w:div>
        <w:div w:id="1429501468">
          <w:blockQuote w:val="1"/>
          <w:marLeft w:val="720"/>
          <w:marRight w:val="720"/>
          <w:marTop w:val="100"/>
          <w:marBottom w:val="100"/>
          <w:divBdr>
            <w:top w:val="none" w:sz="0" w:space="0" w:color="auto"/>
            <w:left w:val="none" w:sz="0" w:space="0" w:color="auto"/>
            <w:bottom w:val="none" w:sz="0" w:space="0" w:color="auto"/>
            <w:right w:val="none" w:sz="0" w:space="0" w:color="auto"/>
          </w:divBdr>
        </w:div>
        <w:div w:id="1016810012">
          <w:blockQuote w:val="1"/>
          <w:marLeft w:val="720"/>
          <w:marRight w:val="720"/>
          <w:marTop w:val="100"/>
          <w:marBottom w:val="100"/>
          <w:divBdr>
            <w:top w:val="none" w:sz="0" w:space="0" w:color="auto"/>
            <w:left w:val="none" w:sz="0" w:space="0" w:color="auto"/>
            <w:bottom w:val="none" w:sz="0" w:space="0" w:color="auto"/>
            <w:right w:val="none" w:sz="0" w:space="0" w:color="auto"/>
          </w:divBdr>
        </w:div>
        <w:div w:id="696153713">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2589">
          <w:blockQuote w:val="1"/>
          <w:marLeft w:val="720"/>
          <w:marRight w:val="720"/>
          <w:marTop w:val="100"/>
          <w:marBottom w:val="100"/>
          <w:divBdr>
            <w:top w:val="none" w:sz="0" w:space="0" w:color="auto"/>
            <w:left w:val="none" w:sz="0" w:space="0" w:color="auto"/>
            <w:bottom w:val="none" w:sz="0" w:space="0" w:color="auto"/>
            <w:right w:val="none" w:sz="0" w:space="0" w:color="auto"/>
          </w:divBdr>
        </w:div>
        <w:div w:id="953444125">
          <w:blockQuote w:val="1"/>
          <w:marLeft w:val="720"/>
          <w:marRight w:val="720"/>
          <w:marTop w:val="100"/>
          <w:marBottom w:val="100"/>
          <w:divBdr>
            <w:top w:val="none" w:sz="0" w:space="0" w:color="auto"/>
            <w:left w:val="none" w:sz="0" w:space="0" w:color="auto"/>
            <w:bottom w:val="none" w:sz="0" w:space="0" w:color="auto"/>
            <w:right w:val="none" w:sz="0" w:space="0" w:color="auto"/>
          </w:divBdr>
        </w:div>
        <w:div w:id="2043506410">
          <w:blockQuote w:val="1"/>
          <w:marLeft w:val="720"/>
          <w:marRight w:val="720"/>
          <w:marTop w:val="100"/>
          <w:marBottom w:val="100"/>
          <w:divBdr>
            <w:top w:val="none" w:sz="0" w:space="0" w:color="auto"/>
            <w:left w:val="none" w:sz="0" w:space="0" w:color="auto"/>
            <w:bottom w:val="none" w:sz="0" w:space="0" w:color="auto"/>
            <w:right w:val="none" w:sz="0" w:space="0" w:color="auto"/>
          </w:divBdr>
        </w:div>
        <w:div w:id="572202687">
          <w:blockQuote w:val="1"/>
          <w:marLeft w:val="720"/>
          <w:marRight w:val="720"/>
          <w:marTop w:val="100"/>
          <w:marBottom w:val="100"/>
          <w:divBdr>
            <w:top w:val="none" w:sz="0" w:space="0" w:color="auto"/>
            <w:left w:val="none" w:sz="0" w:space="0" w:color="auto"/>
            <w:bottom w:val="none" w:sz="0" w:space="0" w:color="auto"/>
            <w:right w:val="none" w:sz="0" w:space="0" w:color="auto"/>
          </w:divBdr>
        </w:div>
        <w:div w:id="97990185">
          <w:blockQuote w:val="1"/>
          <w:marLeft w:val="720"/>
          <w:marRight w:val="720"/>
          <w:marTop w:val="100"/>
          <w:marBottom w:val="100"/>
          <w:divBdr>
            <w:top w:val="none" w:sz="0" w:space="0" w:color="auto"/>
            <w:left w:val="none" w:sz="0" w:space="0" w:color="auto"/>
            <w:bottom w:val="none" w:sz="0" w:space="0" w:color="auto"/>
            <w:right w:val="none" w:sz="0" w:space="0" w:color="auto"/>
          </w:divBdr>
        </w:div>
        <w:div w:id="1563178732">
          <w:blockQuote w:val="1"/>
          <w:marLeft w:val="720"/>
          <w:marRight w:val="720"/>
          <w:marTop w:val="100"/>
          <w:marBottom w:val="100"/>
          <w:divBdr>
            <w:top w:val="none" w:sz="0" w:space="0" w:color="auto"/>
            <w:left w:val="none" w:sz="0" w:space="0" w:color="auto"/>
            <w:bottom w:val="none" w:sz="0" w:space="0" w:color="auto"/>
            <w:right w:val="none" w:sz="0" w:space="0" w:color="auto"/>
          </w:divBdr>
        </w:div>
        <w:div w:id="598216345">
          <w:blockQuote w:val="1"/>
          <w:marLeft w:val="720"/>
          <w:marRight w:val="720"/>
          <w:marTop w:val="100"/>
          <w:marBottom w:val="100"/>
          <w:divBdr>
            <w:top w:val="none" w:sz="0" w:space="0" w:color="auto"/>
            <w:left w:val="none" w:sz="0" w:space="0" w:color="auto"/>
            <w:bottom w:val="none" w:sz="0" w:space="0" w:color="auto"/>
            <w:right w:val="none" w:sz="0" w:space="0" w:color="auto"/>
          </w:divBdr>
        </w:div>
        <w:div w:id="2104842094">
          <w:blockQuote w:val="1"/>
          <w:marLeft w:val="720"/>
          <w:marRight w:val="720"/>
          <w:marTop w:val="100"/>
          <w:marBottom w:val="100"/>
          <w:divBdr>
            <w:top w:val="none" w:sz="0" w:space="0" w:color="auto"/>
            <w:left w:val="none" w:sz="0" w:space="0" w:color="auto"/>
            <w:bottom w:val="none" w:sz="0" w:space="0" w:color="auto"/>
            <w:right w:val="none" w:sz="0" w:space="0" w:color="auto"/>
          </w:divBdr>
        </w:div>
        <w:div w:id="998264309">
          <w:blockQuote w:val="1"/>
          <w:marLeft w:val="720"/>
          <w:marRight w:val="720"/>
          <w:marTop w:val="100"/>
          <w:marBottom w:val="100"/>
          <w:divBdr>
            <w:top w:val="none" w:sz="0" w:space="0" w:color="auto"/>
            <w:left w:val="none" w:sz="0" w:space="0" w:color="auto"/>
            <w:bottom w:val="none" w:sz="0" w:space="0" w:color="auto"/>
            <w:right w:val="none" w:sz="0" w:space="0" w:color="auto"/>
          </w:divBdr>
        </w:div>
        <w:div w:id="1231647615">
          <w:blockQuote w:val="1"/>
          <w:marLeft w:val="720"/>
          <w:marRight w:val="720"/>
          <w:marTop w:val="100"/>
          <w:marBottom w:val="100"/>
          <w:divBdr>
            <w:top w:val="none" w:sz="0" w:space="0" w:color="auto"/>
            <w:left w:val="none" w:sz="0" w:space="0" w:color="auto"/>
            <w:bottom w:val="none" w:sz="0" w:space="0" w:color="auto"/>
            <w:right w:val="none" w:sz="0" w:space="0" w:color="auto"/>
          </w:divBdr>
        </w:div>
        <w:div w:id="89981030">
          <w:blockQuote w:val="1"/>
          <w:marLeft w:val="720"/>
          <w:marRight w:val="720"/>
          <w:marTop w:val="100"/>
          <w:marBottom w:val="100"/>
          <w:divBdr>
            <w:top w:val="none" w:sz="0" w:space="0" w:color="auto"/>
            <w:left w:val="none" w:sz="0" w:space="0" w:color="auto"/>
            <w:bottom w:val="none" w:sz="0" w:space="0" w:color="auto"/>
            <w:right w:val="none" w:sz="0" w:space="0" w:color="auto"/>
          </w:divBdr>
        </w:div>
        <w:div w:id="1337610901">
          <w:blockQuote w:val="1"/>
          <w:marLeft w:val="720"/>
          <w:marRight w:val="720"/>
          <w:marTop w:val="100"/>
          <w:marBottom w:val="100"/>
          <w:divBdr>
            <w:top w:val="none" w:sz="0" w:space="0" w:color="auto"/>
            <w:left w:val="none" w:sz="0" w:space="0" w:color="auto"/>
            <w:bottom w:val="none" w:sz="0" w:space="0" w:color="auto"/>
            <w:right w:val="none" w:sz="0" w:space="0" w:color="auto"/>
          </w:divBdr>
        </w:div>
        <w:div w:id="857934319">
          <w:blockQuote w:val="1"/>
          <w:marLeft w:val="720"/>
          <w:marRight w:val="720"/>
          <w:marTop w:val="100"/>
          <w:marBottom w:val="100"/>
          <w:divBdr>
            <w:top w:val="none" w:sz="0" w:space="0" w:color="auto"/>
            <w:left w:val="none" w:sz="0" w:space="0" w:color="auto"/>
            <w:bottom w:val="none" w:sz="0" w:space="0" w:color="auto"/>
            <w:right w:val="none" w:sz="0" w:space="0" w:color="auto"/>
          </w:divBdr>
        </w:div>
        <w:div w:id="820268236">
          <w:blockQuote w:val="1"/>
          <w:marLeft w:val="720"/>
          <w:marRight w:val="720"/>
          <w:marTop w:val="100"/>
          <w:marBottom w:val="100"/>
          <w:divBdr>
            <w:top w:val="none" w:sz="0" w:space="0" w:color="auto"/>
            <w:left w:val="none" w:sz="0" w:space="0" w:color="auto"/>
            <w:bottom w:val="none" w:sz="0" w:space="0" w:color="auto"/>
            <w:right w:val="none" w:sz="0" w:space="0" w:color="auto"/>
          </w:divBdr>
        </w:div>
        <w:div w:id="1583102518">
          <w:blockQuote w:val="1"/>
          <w:marLeft w:val="720"/>
          <w:marRight w:val="720"/>
          <w:marTop w:val="100"/>
          <w:marBottom w:val="100"/>
          <w:divBdr>
            <w:top w:val="none" w:sz="0" w:space="0" w:color="auto"/>
            <w:left w:val="none" w:sz="0" w:space="0" w:color="auto"/>
            <w:bottom w:val="none" w:sz="0" w:space="0" w:color="auto"/>
            <w:right w:val="none" w:sz="0" w:space="0" w:color="auto"/>
          </w:divBdr>
        </w:div>
        <w:div w:id="1225096632">
          <w:blockQuote w:val="1"/>
          <w:marLeft w:val="720"/>
          <w:marRight w:val="720"/>
          <w:marTop w:val="100"/>
          <w:marBottom w:val="100"/>
          <w:divBdr>
            <w:top w:val="none" w:sz="0" w:space="0" w:color="auto"/>
            <w:left w:val="none" w:sz="0" w:space="0" w:color="auto"/>
            <w:bottom w:val="none" w:sz="0" w:space="0" w:color="auto"/>
            <w:right w:val="none" w:sz="0" w:space="0" w:color="auto"/>
          </w:divBdr>
        </w:div>
        <w:div w:id="954285832">
          <w:blockQuote w:val="1"/>
          <w:marLeft w:val="720"/>
          <w:marRight w:val="720"/>
          <w:marTop w:val="100"/>
          <w:marBottom w:val="100"/>
          <w:divBdr>
            <w:top w:val="none" w:sz="0" w:space="0" w:color="auto"/>
            <w:left w:val="none" w:sz="0" w:space="0" w:color="auto"/>
            <w:bottom w:val="none" w:sz="0" w:space="0" w:color="auto"/>
            <w:right w:val="none" w:sz="0" w:space="0" w:color="auto"/>
          </w:divBdr>
        </w:div>
        <w:div w:id="608009353">
          <w:blockQuote w:val="1"/>
          <w:marLeft w:val="720"/>
          <w:marRight w:val="720"/>
          <w:marTop w:val="100"/>
          <w:marBottom w:val="100"/>
          <w:divBdr>
            <w:top w:val="none" w:sz="0" w:space="0" w:color="auto"/>
            <w:left w:val="none" w:sz="0" w:space="0" w:color="auto"/>
            <w:bottom w:val="none" w:sz="0" w:space="0" w:color="auto"/>
            <w:right w:val="none" w:sz="0" w:space="0" w:color="auto"/>
          </w:divBdr>
        </w:div>
        <w:div w:id="926690797">
          <w:blockQuote w:val="1"/>
          <w:marLeft w:val="720"/>
          <w:marRight w:val="720"/>
          <w:marTop w:val="100"/>
          <w:marBottom w:val="100"/>
          <w:divBdr>
            <w:top w:val="none" w:sz="0" w:space="0" w:color="auto"/>
            <w:left w:val="none" w:sz="0" w:space="0" w:color="auto"/>
            <w:bottom w:val="none" w:sz="0" w:space="0" w:color="auto"/>
            <w:right w:val="none" w:sz="0" w:space="0" w:color="auto"/>
          </w:divBdr>
        </w:div>
        <w:div w:id="2029018459">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623315">
          <w:blockQuote w:val="1"/>
          <w:marLeft w:val="720"/>
          <w:marRight w:val="720"/>
          <w:marTop w:val="100"/>
          <w:marBottom w:val="100"/>
          <w:divBdr>
            <w:top w:val="none" w:sz="0" w:space="0" w:color="auto"/>
            <w:left w:val="none" w:sz="0" w:space="0" w:color="auto"/>
            <w:bottom w:val="none" w:sz="0" w:space="0" w:color="auto"/>
            <w:right w:val="none" w:sz="0" w:space="0" w:color="auto"/>
          </w:divBdr>
        </w:div>
        <w:div w:id="43062346">
          <w:blockQuote w:val="1"/>
          <w:marLeft w:val="720"/>
          <w:marRight w:val="720"/>
          <w:marTop w:val="100"/>
          <w:marBottom w:val="100"/>
          <w:divBdr>
            <w:top w:val="none" w:sz="0" w:space="0" w:color="auto"/>
            <w:left w:val="none" w:sz="0" w:space="0" w:color="auto"/>
            <w:bottom w:val="none" w:sz="0" w:space="0" w:color="auto"/>
            <w:right w:val="none" w:sz="0" w:space="0" w:color="auto"/>
          </w:divBdr>
        </w:div>
        <w:div w:id="1693188887">
          <w:blockQuote w:val="1"/>
          <w:marLeft w:val="720"/>
          <w:marRight w:val="720"/>
          <w:marTop w:val="100"/>
          <w:marBottom w:val="100"/>
          <w:divBdr>
            <w:top w:val="none" w:sz="0" w:space="0" w:color="auto"/>
            <w:left w:val="none" w:sz="0" w:space="0" w:color="auto"/>
            <w:bottom w:val="none" w:sz="0" w:space="0" w:color="auto"/>
            <w:right w:val="none" w:sz="0" w:space="0" w:color="auto"/>
          </w:divBdr>
        </w:div>
        <w:div w:id="349573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90622179">
          <w:blockQuote w:val="1"/>
          <w:marLeft w:val="720"/>
          <w:marRight w:val="720"/>
          <w:marTop w:val="100"/>
          <w:marBottom w:val="100"/>
          <w:divBdr>
            <w:top w:val="none" w:sz="0" w:space="0" w:color="auto"/>
            <w:left w:val="none" w:sz="0" w:space="0" w:color="auto"/>
            <w:bottom w:val="none" w:sz="0" w:space="0" w:color="auto"/>
            <w:right w:val="none" w:sz="0" w:space="0" w:color="auto"/>
          </w:divBdr>
        </w:div>
        <w:div w:id="49618709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5109282">
          <w:blockQuote w:val="1"/>
          <w:marLeft w:val="720"/>
          <w:marRight w:val="720"/>
          <w:marTop w:val="100"/>
          <w:marBottom w:val="100"/>
          <w:divBdr>
            <w:top w:val="none" w:sz="0" w:space="0" w:color="auto"/>
            <w:left w:val="none" w:sz="0" w:space="0" w:color="auto"/>
            <w:bottom w:val="none" w:sz="0" w:space="0" w:color="auto"/>
            <w:right w:val="none" w:sz="0" w:space="0" w:color="auto"/>
          </w:divBdr>
        </w:div>
        <w:div w:id="575171879">
          <w:blockQuote w:val="1"/>
          <w:marLeft w:val="720"/>
          <w:marRight w:val="720"/>
          <w:marTop w:val="100"/>
          <w:marBottom w:val="100"/>
          <w:divBdr>
            <w:top w:val="none" w:sz="0" w:space="0" w:color="auto"/>
            <w:left w:val="none" w:sz="0" w:space="0" w:color="auto"/>
            <w:bottom w:val="none" w:sz="0" w:space="0" w:color="auto"/>
            <w:right w:val="none" w:sz="0" w:space="0" w:color="auto"/>
          </w:divBdr>
        </w:div>
        <w:div w:id="552233416">
          <w:blockQuote w:val="1"/>
          <w:marLeft w:val="720"/>
          <w:marRight w:val="720"/>
          <w:marTop w:val="100"/>
          <w:marBottom w:val="100"/>
          <w:divBdr>
            <w:top w:val="none" w:sz="0" w:space="0" w:color="auto"/>
            <w:left w:val="none" w:sz="0" w:space="0" w:color="auto"/>
            <w:bottom w:val="none" w:sz="0" w:space="0" w:color="auto"/>
            <w:right w:val="none" w:sz="0" w:space="0" w:color="auto"/>
          </w:divBdr>
        </w:div>
        <w:div w:id="840314933">
          <w:blockQuote w:val="1"/>
          <w:marLeft w:val="720"/>
          <w:marRight w:val="720"/>
          <w:marTop w:val="100"/>
          <w:marBottom w:val="100"/>
          <w:divBdr>
            <w:top w:val="none" w:sz="0" w:space="0" w:color="auto"/>
            <w:left w:val="none" w:sz="0" w:space="0" w:color="auto"/>
            <w:bottom w:val="none" w:sz="0" w:space="0" w:color="auto"/>
            <w:right w:val="none" w:sz="0" w:space="0" w:color="auto"/>
          </w:divBdr>
        </w:div>
        <w:div w:id="1697926422">
          <w:blockQuote w:val="1"/>
          <w:marLeft w:val="720"/>
          <w:marRight w:val="720"/>
          <w:marTop w:val="100"/>
          <w:marBottom w:val="100"/>
          <w:divBdr>
            <w:top w:val="none" w:sz="0" w:space="0" w:color="auto"/>
            <w:left w:val="none" w:sz="0" w:space="0" w:color="auto"/>
            <w:bottom w:val="none" w:sz="0" w:space="0" w:color="auto"/>
            <w:right w:val="none" w:sz="0" w:space="0" w:color="auto"/>
          </w:divBdr>
        </w:div>
        <w:div w:id="16680482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57184412">
      <w:bodyDiv w:val="1"/>
      <w:marLeft w:val="0"/>
      <w:marRight w:val="0"/>
      <w:marTop w:val="0"/>
      <w:marBottom w:val="0"/>
      <w:divBdr>
        <w:top w:val="none" w:sz="0" w:space="0" w:color="auto"/>
        <w:left w:val="none" w:sz="0" w:space="0" w:color="auto"/>
        <w:bottom w:val="none" w:sz="0" w:space="0" w:color="auto"/>
        <w:right w:val="none" w:sz="0" w:space="0" w:color="auto"/>
      </w:divBdr>
    </w:div>
    <w:div w:id="1916814110">
      <w:bodyDiv w:val="1"/>
      <w:marLeft w:val="0"/>
      <w:marRight w:val="0"/>
      <w:marTop w:val="0"/>
      <w:marBottom w:val="0"/>
      <w:divBdr>
        <w:top w:val="none" w:sz="0" w:space="0" w:color="auto"/>
        <w:left w:val="none" w:sz="0" w:space="0" w:color="auto"/>
        <w:bottom w:val="none" w:sz="0" w:space="0" w:color="auto"/>
        <w:right w:val="none" w:sz="0" w:space="0" w:color="auto"/>
      </w:divBdr>
    </w:div>
    <w:div w:id="2138641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Relationships xmlns="http://schemas.openxmlformats.org/package/2006/relationships"><Relationship Target="endnotes.xml" Type="http://schemas.openxmlformats.org/officeDocument/2006/relationships/endnotes" Id="rId8"/><Relationship Target="styles.xml" Type="http://schemas.openxmlformats.org/officeDocument/2006/relationships/styles" Id="rId3"/><Relationship Target="footnotes.xml" Type="http://schemas.openxmlformats.org/officeDocument/2006/relationships/footnotes" Id="rId7"/><Relationship Target="theme/theme1.xml" Type="http://schemas.openxmlformats.org/officeDocument/2006/relationships/theme" Id="rId12"/><Relationship Target="numbering.xml" Type="http://schemas.openxmlformats.org/officeDocument/2006/relationships/numbering" Id="rId2"/><Relationship Target="../customXml/item1.xml" Type="http://schemas.openxmlformats.org/officeDocument/2006/relationships/customXml" Id="rId1"/><Relationship Target="webSettings.xml" Type="http://schemas.openxmlformats.org/officeDocument/2006/relationships/webSettings" Id="rId6"/><Relationship Target="glossary/document.xml" Type="http://schemas.openxmlformats.org/officeDocument/2006/relationships/glossaryDocument" Id="rId11"/><Relationship Target="settings.xml" Type="http://schemas.openxmlformats.org/officeDocument/2006/relationships/settings" Id="rId5"/><Relationship Target="fontTable.xml" Type="http://schemas.openxmlformats.org/officeDocument/2006/relationships/fontTable" Id="rId10"/><Relationship Target="stylesWithEffects.xml" Type="http://schemas.microsoft.com/office/2007/relationships/stylesWithEffects" Id="rId4"/><Relationship Target="media/image1.gif" Type="http://schemas.openxmlformats.org/officeDocument/2006/relationships/image" Id="rId9"/><Relationship TargetMode="External" Target="#_Toc181187278" Type="http://schemas.openxmlformats.org/officeDocument/2006/relationships/hyperlink" Id="rId13"/><Relationship TargetMode="External" Target="#_Toc181187278" Type="http://schemas.openxmlformats.org/officeDocument/2006/relationships/hyperlink" Id="rId14"/><Relationship TargetMode="External" Target="#_Toc181187279" Type="http://schemas.openxmlformats.org/officeDocument/2006/relationships/hyperlink" Id="rId15"/><Relationship TargetMode="External" Target="#_Toc181187279" Type="http://schemas.openxmlformats.org/officeDocument/2006/relationships/hyperlink" Id="rId16"/><Relationship TargetMode="External" Target="#_Toc181187280" Type="http://schemas.openxmlformats.org/officeDocument/2006/relationships/hyperlink" Id="rId17"/><Relationship TargetMode="External" Target="#_Toc181187280" Type="http://schemas.openxmlformats.org/officeDocument/2006/relationships/hyperlink" Id="rId18"/><Relationship TargetMode="External" Target="#_Toc181187281" Type="http://schemas.openxmlformats.org/officeDocument/2006/relationships/hyperlink" Id="rId19"/><Relationship TargetMode="External" Target="#_Toc181187281" Type="http://schemas.openxmlformats.org/officeDocument/2006/relationships/hyperlink" Id="rId20"/><Relationship TargetMode="External" Target="#_Toc181187282" Type="http://schemas.openxmlformats.org/officeDocument/2006/relationships/hyperlink" Id="rId21"/><Relationship TargetMode="External" Target="#_Toc181187282" Type="http://schemas.openxmlformats.org/officeDocument/2006/relationships/hyperlink" Id="rId22"/><Relationship TargetMode="External" Target="#_Toc181187283" Type="http://schemas.openxmlformats.org/officeDocument/2006/relationships/hyperlink" Id="rId23"/><Relationship TargetMode="External" Target="#_Toc181187283" Type="http://schemas.openxmlformats.org/officeDocument/2006/relationships/hyperlink" Id="rId24"/><Relationship TargetMode="External" Target="#_Toc181187284" Type="http://schemas.openxmlformats.org/officeDocument/2006/relationships/hyperlink" Id="rId25"/><Relationship TargetMode="External" Target="#_Toc181187284" Type="http://schemas.openxmlformats.org/officeDocument/2006/relationships/hyperlink" Id="rId26"/><Relationship TargetMode="External" Target="#_Toc181187285" Type="http://schemas.openxmlformats.org/officeDocument/2006/relationships/hyperlink" Id="rId27"/><Relationship TargetMode="External" Target="#_Toc181187285" Type="http://schemas.openxmlformats.org/officeDocument/2006/relationships/hyperlink" Id="rId28"/><Relationship TargetMode="External" Target="#_Toc181187286" Type="http://schemas.openxmlformats.org/officeDocument/2006/relationships/hyperlink" Id="rId29"/><Relationship TargetMode="External" Target="#_Toc181187286" Type="http://schemas.openxmlformats.org/officeDocument/2006/relationships/hyperlink" Id="rId30"/><Relationship TargetMode="External" Target="#_Toc181187287" Type="http://schemas.openxmlformats.org/officeDocument/2006/relationships/hyperlink" Id="rId31"/><Relationship TargetMode="External" Target="#_Toc181187287" Type="http://schemas.openxmlformats.org/officeDocument/2006/relationships/hyperlink" Id="rId32"/><Relationship TargetMode="External" Target="#_Toc181187288" Type="http://schemas.openxmlformats.org/officeDocument/2006/relationships/hyperlink" Id="rId33"/><Relationship TargetMode="External" Target="#_Toc181187288" Type="http://schemas.openxmlformats.org/officeDocument/2006/relationships/hyperlink" Id="rId34"/><Relationship TargetMode="External" Target="#_Toc181187289" Type="http://schemas.openxmlformats.org/officeDocument/2006/relationships/hyperlink" Id="rId35"/><Relationship TargetMode="External" Target="#_Toc181187289" Type="http://schemas.openxmlformats.org/officeDocument/2006/relationships/hyperlink" Id="rId36"/><Relationship TargetMode="External" Target="#_Toc181187290" Type="http://schemas.openxmlformats.org/officeDocument/2006/relationships/hyperlink" Id="rId37"/><Relationship TargetMode="External" Target="#_Toc181187290" Type="http://schemas.openxmlformats.org/officeDocument/2006/relationships/hyperlink" Id="rId38"/><Relationship TargetMode="External" Target="#_Toc181187291" Type="http://schemas.openxmlformats.org/officeDocument/2006/relationships/hyperlink" Id="rId39"/><Relationship TargetMode="External" Target="#_Toc181187291" Type="http://schemas.openxmlformats.org/officeDocument/2006/relationships/hyperlink" Id="rId40"/><Relationship TargetMode="External" Target="#_Toc181187292" Type="http://schemas.openxmlformats.org/officeDocument/2006/relationships/hyperlink" Id="rId41"/><Relationship TargetMode="External" Target="#_Toc181187292" Type="http://schemas.openxmlformats.org/officeDocument/2006/relationships/hyperlink" Id="rId42"/><Relationship TargetMode="External" Target="#_Toc181187293" Type="http://schemas.openxmlformats.org/officeDocument/2006/relationships/hyperlink" Id="rId43"/><Relationship TargetMode="External" Target="#_Toc181187293" Type="http://schemas.openxmlformats.org/officeDocument/2006/relationships/hyperlink" Id="rId44"/><Relationship TargetMode="External" Target="#_Toc181187294" Type="http://schemas.openxmlformats.org/officeDocument/2006/relationships/hyperlink" Id="rId45"/><Relationship TargetMode="External" Target="#_Toc181187294" Type="http://schemas.openxmlformats.org/officeDocument/2006/relationships/hyperlink" Id="rId46"/><Relationship TargetMode="External" Target="#_Toc181187295" Type="http://schemas.openxmlformats.org/officeDocument/2006/relationships/hyperlink" Id="rId47"/><Relationship TargetMode="External" Target="#_Toc181187295" Type="http://schemas.openxmlformats.org/officeDocument/2006/relationships/hyperlink" Id="rId48"/><Relationship TargetMode="External" Target="#_Toc181187296" Type="http://schemas.openxmlformats.org/officeDocument/2006/relationships/hyperlink" Id="rId49"/><Relationship TargetMode="External" Target="#_Toc181187296" Type="http://schemas.openxmlformats.org/officeDocument/2006/relationships/hyperlink" Id="rId50"/><Relationship TargetMode="External" Target="#_Toc181187297" Type="http://schemas.openxmlformats.org/officeDocument/2006/relationships/hyperlink" Id="rId51"/><Relationship TargetMode="External" Target="#_Toc181187297" Type="http://schemas.openxmlformats.org/officeDocument/2006/relationships/hyperlink" Id="rId52"/><Relationship TargetMode="External" Target="#_Toc181187298" Type="http://schemas.openxmlformats.org/officeDocument/2006/relationships/hyperlink" Id="rId53"/><Relationship TargetMode="External" Target="#_Toc181187298" Type="http://schemas.openxmlformats.org/officeDocument/2006/relationships/hyperlink" Id="rId54"/><Relationship TargetMode="External" Target="#_Toc181187299" Type="http://schemas.openxmlformats.org/officeDocument/2006/relationships/hyperlink" Id="rId55"/><Relationship TargetMode="External" Target="#_Toc181187299" Type="http://schemas.openxmlformats.org/officeDocument/2006/relationships/hyperlink" Id="rId56"/><Relationship TargetMode="External" Target="#_Toc181187300" Type="http://schemas.openxmlformats.org/officeDocument/2006/relationships/hyperlink" Id="rId57"/><Relationship TargetMode="External" Target="#_Toc181187300" Type="http://schemas.openxmlformats.org/officeDocument/2006/relationships/hyperlink" Id="rId58"/><Relationship TargetMode="External" Target="#_Toc181187301" Type="http://schemas.openxmlformats.org/officeDocument/2006/relationships/hyperlink" Id="rId59"/><Relationship TargetMode="External" Target="#_Toc181187301" Type="http://schemas.openxmlformats.org/officeDocument/2006/relationships/hyperlink" Id="rId60"/><Relationship TargetMode="External" Target="#_Toc181187302" Type="http://schemas.openxmlformats.org/officeDocument/2006/relationships/hyperlink" Id="rId61"/><Relationship TargetMode="External" Target="#_Toc181187302" Type="http://schemas.openxmlformats.org/officeDocument/2006/relationships/hyperlink" Id="rId62"/><Relationship TargetMode="External" Target="#_Toc181187303" Type="http://schemas.openxmlformats.org/officeDocument/2006/relationships/hyperlink" Id="rId63"/><Relationship TargetMode="External" Target="#_Toc181187303" Type="http://schemas.openxmlformats.org/officeDocument/2006/relationships/hyperlink" Id="rId64"/><Relationship TargetMode="External" Target="#_Toc181187304" Type="http://schemas.openxmlformats.org/officeDocument/2006/relationships/hyperlink" Id="rId65"/><Relationship TargetMode="External" Target="#_Toc181187304" Type="http://schemas.openxmlformats.org/officeDocument/2006/relationships/hyperlink" Id="rId66"/><Relationship TargetMode="External" Target="#_Toc181187305" Type="http://schemas.openxmlformats.org/officeDocument/2006/relationships/hyperlink" Id="rId67"/><Relationship TargetMode="External" Target="#_Toc181187305" Type="http://schemas.openxmlformats.org/officeDocument/2006/relationships/hyperlink" Id="rId68"/><Relationship TargetMode="External" Target="#_Toc181187306" Type="http://schemas.openxmlformats.org/officeDocument/2006/relationships/hyperlink" Id="rId69"/><Relationship TargetMode="External" Target="#_Toc181187306" Type="http://schemas.openxmlformats.org/officeDocument/2006/relationships/hyperlink" Id="rId70"/><Relationship TargetMode="External" Target="#_Toc181187307" Type="http://schemas.openxmlformats.org/officeDocument/2006/relationships/hyperlink" Id="rId71"/><Relationship TargetMode="External" Target="#_Toc181187307" Type="http://schemas.openxmlformats.org/officeDocument/2006/relationships/hyperlink" Id="rId72"/><Relationship TargetMode="External" Target="#_Toc181187308" Type="http://schemas.openxmlformats.org/officeDocument/2006/relationships/hyperlink" Id="rId73"/><Relationship TargetMode="External" Target="#_Toc181187308" Type="http://schemas.openxmlformats.org/officeDocument/2006/relationships/hyperlink" Id="rId74"/><Relationship TargetMode="External" Target="#_Toc181187309" Type="http://schemas.openxmlformats.org/officeDocument/2006/relationships/hyperlink" Id="rId75"/><Relationship TargetMode="External" Target="#_Toc181187309" Type="http://schemas.openxmlformats.org/officeDocument/2006/relationships/hyperlink" Id="rId76"/><Relationship TargetMode="External" Target="#_Toc181187310" Type="http://schemas.openxmlformats.org/officeDocument/2006/relationships/hyperlink" Id="rId77"/><Relationship TargetMode="External" Target="#_Toc181187310" Type="http://schemas.openxmlformats.org/officeDocument/2006/relationships/hyperlink" Id="rId78"/><Relationship TargetMode="External" Target="#_Toc181187311" Type="http://schemas.openxmlformats.org/officeDocument/2006/relationships/hyperlink" Id="rId79"/><Relationship TargetMode="External" Target="#_Toc181187311" Type="http://schemas.openxmlformats.org/officeDocument/2006/relationships/hyperlink" Id="rId80"/><Relationship TargetMode="External" Target="#_Toc181187312" Type="http://schemas.openxmlformats.org/officeDocument/2006/relationships/hyperlink" Id="rId81"/><Relationship TargetMode="External" Target="#_Toc181187312" Type="http://schemas.openxmlformats.org/officeDocument/2006/relationships/hyperlink" Id="rId82"/><Relationship TargetMode="External" Target="#_Toc181187313" Type="http://schemas.openxmlformats.org/officeDocument/2006/relationships/hyperlink" Id="rId83"/><Relationship TargetMode="External" Target="#_Toc181187313" Type="http://schemas.openxmlformats.org/officeDocument/2006/relationships/hyperlink" Id="rId84"/><Relationship TargetMode="External" Target="#_Toc181187314" Type="http://schemas.openxmlformats.org/officeDocument/2006/relationships/hyperlink" Id="rId85"/><Relationship TargetMode="External" Target="#_Toc181187314" Type="http://schemas.openxmlformats.org/officeDocument/2006/relationships/hyperlink" Id="rId86"/><Relationship TargetMode="External" Target="#_Toc181187315" Type="http://schemas.openxmlformats.org/officeDocument/2006/relationships/hyperlink" Id="rId87"/><Relationship TargetMode="External" Target="#_Toc181187315" Type="http://schemas.openxmlformats.org/officeDocument/2006/relationships/hyperlink" Id="rId88"/><Relationship TargetMode="External" Target="#_Toc181187316" Type="http://schemas.openxmlformats.org/officeDocument/2006/relationships/hyperlink" Id="rId89"/><Relationship TargetMode="External" Target="#_Toc181187316" Type="http://schemas.openxmlformats.org/officeDocument/2006/relationships/hyperlink" Id="rId90"/><Relationship TargetMode="External" Target="#_Toc181187317" Type="http://schemas.openxmlformats.org/officeDocument/2006/relationships/hyperlink" Id="rId91"/><Relationship TargetMode="External" Target="#_Toc181187317" Type="http://schemas.openxmlformats.org/officeDocument/2006/relationships/hyperlink" Id="rId92"/><Relationship TargetMode="External" Target="#_Toc181187318" Type="http://schemas.openxmlformats.org/officeDocument/2006/relationships/hyperlink" Id="rId93"/><Relationship TargetMode="External" Target="#_Toc181187318" Type="http://schemas.openxmlformats.org/officeDocument/2006/relationships/hyperlink" Id="rId94"/><Relationship TargetMode="External" Target="#_Toc181187319" Type="http://schemas.openxmlformats.org/officeDocument/2006/relationships/hyperlink" Id="rId95"/><Relationship TargetMode="External" Target="#_Toc181187319" Type="http://schemas.openxmlformats.org/officeDocument/2006/relationships/hyperlink" Id="rId96"/><Relationship TargetMode="External" Target="#_Toc181187320" Type="http://schemas.openxmlformats.org/officeDocument/2006/relationships/hyperlink" Id="rId97"/><Relationship TargetMode="External" Target="#_Toc181187320" Type="http://schemas.openxmlformats.org/officeDocument/2006/relationships/hyperlink" Id="rId98"/><Relationship TargetMode="External" Target="#_Toc181187321" Type="http://schemas.openxmlformats.org/officeDocument/2006/relationships/hyperlink" Id="rId99"/><Relationship TargetMode="External" Target="#_Toc181187321" Type="http://schemas.openxmlformats.org/officeDocument/2006/relationships/hyperlink" Id="rId100"/><Relationship TargetMode="External" Target="#_Toc181187322" Type="http://schemas.openxmlformats.org/officeDocument/2006/relationships/hyperlink" Id="rId101"/><Relationship TargetMode="External" Target="#_Toc181187322" Type="http://schemas.openxmlformats.org/officeDocument/2006/relationships/hyperlink" Id="rId102"/><Relationship TargetMode="External" Target="#_Toc181187323" Type="http://schemas.openxmlformats.org/officeDocument/2006/relationships/hyperlink" Id="rId103"/><Relationship TargetMode="External" Target="#_Toc181187323" Type="http://schemas.openxmlformats.org/officeDocument/2006/relationships/hyperlink" Id="rId104"/><Relationship TargetMode="External" Target="#_Toc181187324" Type="http://schemas.openxmlformats.org/officeDocument/2006/relationships/hyperlink" Id="rId105"/><Relationship TargetMode="External" Target="#_Toc181187324" Type="http://schemas.openxmlformats.org/officeDocument/2006/relationships/hyperlink" Id="rId106"/><Relationship TargetMode="External" Target="#_Toc181187325" Type="http://schemas.openxmlformats.org/officeDocument/2006/relationships/hyperlink" Id="rId107"/><Relationship TargetMode="External" Target="#_Toc181187325" Type="http://schemas.openxmlformats.org/officeDocument/2006/relationships/hyperlink" Id="rId108"/><Relationship TargetMode="External" Target="#_Toc181187326" Type="http://schemas.openxmlformats.org/officeDocument/2006/relationships/hyperlink" Id="rId109"/><Relationship TargetMode="External" Target="#_Toc181187326" Type="http://schemas.openxmlformats.org/officeDocument/2006/relationships/hyperlink" Id="rId110"/><Relationship TargetMode="External" Target="#_Toc181187327" Type="http://schemas.openxmlformats.org/officeDocument/2006/relationships/hyperlink" Id="rId111"/><Relationship TargetMode="External" Target="#_Toc181187327" Type="http://schemas.openxmlformats.org/officeDocument/2006/relationships/hyperlink" Id="rId112"/><Relationship TargetMode="External" Target="#_Toc181187328" Type="http://schemas.openxmlformats.org/officeDocument/2006/relationships/hyperlink" Id="rId113"/><Relationship TargetMode="External" Target="#_Toc181187328" Type="http://schemas.openxmlformats.org/officeDocument/2006/relationships/hyperlink" Id="rId114"/><Relationship TargetMode="External" Target="#_Toc181187329" Type="http://schemas.openxmlformats.org/officeDocument/2006/relationships/hyperlink" Id="rId115"/><Relationship TargetMode="External" Target="#_Toc181187329" Type="http://schemas.openxmlformats.org/officeDocument/2006/relationships/hyperlink" Id="rId116"/><Relationship Target="media/document_image_rId117.png" Type="http://schemas.openxmlformats.org/officeDocument/2006/relationships/image" Id="rId117"/><Relationship Target="media/document_image_rId118.png" Type="http://schemas.openxmlformats.org/officeDocument/2006/relationships/image" Id="rId118"/><Relationship Target="media/document_image_rId119.png" Type="http://schemas.openxmlformats.org/officeDocument/2006/relationships/image" Id="rId119"/><Relationship Target="media/document_image_rId120.png" Type="http://schemas.openxmlformats.org/officeDocument/2006/relationships/image" Id="rId120"/><Relationship Target="media/document_image_rId121.png" Type="http://schemas.openxmlformats.org/officeDocument/2006/relationships/image" Id="rId121"/><Relationship Target="media/document_image_rId122.png" Type="http://schemas.openxmlformats.org/officeDocument/2006/relationships/image" Id="rId122"/><Relationship Target="media/document_image_rId123.png" Type="http://schemas.openxmlformats.org/officeDocument/2006/relationships/image" Id="rId123"/><Relationship Target="media/document_image_rId124.png" Type="http://schemas.openxmlformats.org/officeDocument/2006/relationships/image" Id="rId124"/><Relationship Target="media/document_image_rId125.png" Type="http://schemas.openxmlformats.org/officeDocument/2006/relationships/image" Id="rId125"/><Relationship Target="media/document_image_rId126.png" Type="http://schemas.openxmlformats.org/officeDocument/2006/relationships/image" Id="rId126"/><Relationship Target="media/document_image_rId127.png" Type="http://schemas.openxmlformats.org/officeDocument/2006/relationships/image" Id="rId127"/><Relationship Target="media/document_image_rId128.png" Type="http://schemas.openxmlformats.org/officeDocument/2006/relationships/image" Id="rId128"/></Relationships>
</file>

<file path=word/glossary/_rels/document.xml.rels><?xml version="1.0" encoding="UTF-8" standalone="yes"?><Relationships xmlns="http://schemas.openxmlformats.org/package/2006/relationships"><Relationship Target="settings.xml" Type="http://schemas.openxmlformats.org/officeDocument/2006/relationships/settings" Id="rId3"/><Relationship Target="stylesWithEffects.xml" Type="http://schemas.microsoft.com/office/2007/relationships/stylesWithEffects" Id="rId2"/><Relationship Target="styles.xml" Type="http://schemas.openxmlformats.org/officeDocument/2006/relationships/styles" Id="rId1"/><Relationship Target="fontTable.xml" Type="http://schemas.openxmlformats.org/officeDocument/2006/relationships/fontTable" Id="rId5"/><Relationship Target="webSettings.xml" Type="http://schemas.openxmlformats.org/officeDocument/2006/relationships/webSettings" Id="rId4"/></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2287E3D7A5999C449F68774214E87459"/>
        <w:category>
          <w:name w:val="General"/>
          <w:gallery w:val="placeholder"/>
        </w:category>
        <w:types>
          <w:type w:val="bbPlcHdr"/>
        </w:types>
        <w:behaviors>
          <w:behavior w:val="content"/>
        </w:behaviors>
        <w:guid w:val="{0537D08B-F94C-044D-835A-2BC092447721}"/>
      </w:docPartPr>
      <w:docPartBody>
        <w:p w:rsidR="007F094C" w:rsidRDefault="007F094C">
          <w:pPr>
            <w:pStyle w:val="2287E3D7A5999C449F68774214E87459"/>
          </w:pPr>
          <w:r w:rsidRPr="007D6BF3">
            <w:rPr>
              <w:rStyle w:val="PlaceholderText"/>
            </w:rPr>
            <w:t>Click here to enter text.</w:t>
          </w:r>
        </w:p>
      </w:docPartBody>
    </w:docPart>
    <w:docPart>
      <w:docPartPr>
        <w:name w:val="23714A54DE1C5349A32215100E23C70C"/>
        <w:category>
          <w:name w:val="General"/>
          <w:gallery w:val="placeholder"/>
        </w:category>
        <w:types>
          <w:type w:val="bbPlcHdr"/>
        </w:types>
        <w:behaviors>
          <w:behavior w:val="content"/>
        </w:behaviors>
        <w:guid w:val="{E29D3CFA-BB34-C948-A790-3C397D74A74D}"/>
      </w:docPartPr>
      <w:docPartBody>
        <w:p w:rsidR="007F094C" w:rsidRDefault="00CC11D7">
          <w:pPr>
            <w:pStyle w:val="23714A54DE1C5349A32215100E23C70C"/>
          </w:pPr>
          <w:r w:rsidRPr="00B078D6">
            <w:t xml:space="preserve"> </w:t>
          </w:r>
        </w:p>
      </w:docPartBody>
    </w:docPart>
    <w:docPart>
      <w:docPartPr>
        <w:name w:val="CEA0958D29B321449DAA1A3408663E44"/>
        <w:category>
          <w:name w:val="General"/>
          <w:gallery w:val="placeholder"/>
        </w:category>
        <w:types>
          <w:type w:val="bbPlcHdr"/>
        </w:types>
        <w:behaviors>
          <w:behavior w:val="content"/>
        </w:behaviors>
        <w:guid w:val="{036767BC-DC7D-5C41-8639-44AB00F097D0}"/>
      </w:docPartPr>
      <w:docPartBody>
        <w:p w:rsidR="007F094C" w:rsidRDefault="00CC11D7">
          <w:pPr>
            <w:pStyle w:val="CEA0958D29B321449DAA1A3408663E44"/>
          </w:pPr>
          <w:r>
            <w:t xml:space="preserve"> </w:t>
          </w:r>
        </w:p>
      </w:docPartBody>
    </w:docPart>
    <w:docPart>
      <w:docPartPr>
        <w:name w:val="9CA603291F38E74C952F4F0686E7F43F"/>
        <w:category>
          <w:name w:val="General"/>
          <w:gallery w:val="placeholder"/>
        </w:category>
        <w:types>
          <w:type w:val="bbPlcHdr"/>
        </w:types>
        <w:behaviors>
          <w:behavior w:val="content"/>
        </w:behaviors>
        <w:guid w:val="{1B21091D-1056-0A40-8911-B11446567541}"/>
      </w:docPartPr>
      <w:docPartBody>
        <w:p w:rsidR="007F094C" w:rsidRDefault="00CC11D7">
          <w:pPr>
            <w:pStyle w:val="9CA603291F38E74C952F4F0686E7F43F"/>
          </w:pPr>
          <w:r w:rsidRPr="00B078D6">
            <w:t xml:space="preserve"> </w:t>
          </w:r>
        </w:p>
      </w:docPartBody>
    </w:docPart>
    <w:docPart>
      <w:docPartPr>
        <w:name w:val="6457288971B39E4CA9B911AD82732253"/>
        <w:category>
          <w:name w:val="General"/>
          <w:gallery w:val="placeholder"/>
        </w:category>
        <w:types>
          <w:type w:val="bbPlcHdr"/>
        </w:types>
        <w:behaviors>
          <w:behavior w:val="content"/>
        </w:behaviors>
        <w:guid w:val="{C03967DB-C583-6243-9BBB-914394D42E0D}"/>
      </w:docPartPr>
      <w:docPartBody>
        <w:p w:rsidR="007F094C" w:rsidRDefault="00CC11D7">
          <w:pPr>
            <w:pStyle w:val="6457288971B39E4CA9B911AD82732253"/>
          </w:pPr>
          <w:r w:rsidRPr="00B078D6">
            <w:t xml:space="preserve"> </w:t>
          </w:r>
        </w:p>
      </w:docPartBody>
    </w:docPart>
    <w:docPart>
      <w:docPartPr>
        <w:name w:val="49E1DA3C6A1E71459A736F86010B5AED"/>
        <w:category>
          <w:name w:val="General"/>
          <w:gallery w:val="placeholder"/>
        </w:category>
        <w:types>
          <w:type w:val="bbPlcHdr"/>
        </w:types>
        <w:behaviors>
          <w:behavior w:val="content"/>
        </w:behaviors>
        <w:guid w:val="{D3EB71CC-499A-254B-88E7-CFA1CC78C65F}"/>
      </w:docPartPr>
      <w:docPartBody>
        <w:p w:rsidR="007F094C" w:rsidRDefault="00CC11D7">
          <w:pPr>
            <w:pStyle w:val="49E1DA3C6A1E71459A736F86010B5AED"/>
          </w:pPr>
          <w:r w:rsidRPr="00B078D6">
            <w:t xml:space="preserve"> </w:t>
          </w:r>
        </w:p>
      </w:docPartBody>
    </w:docPart>
    <w:docPart>
      <w:docPartPr>
        <w:name w:val="5D455C8DB3370C429E683BD45AAD2263"/>
        <w:category>
          <w:name w:val="General"/>
          <w:gallery w:val="placeholder"/>
        </w:category>
        <w:types>
          <w:type w:val="bbPlcHdr"/>
        </w:types>
        <w:behaviors>
          <w:behavior w:val="content"/>
        </w:behaviors>
        <w:guid w:val="{1B0155DF-46F7-CB47-BBFC-843A778954FB}"/>
      </w:docPartPr>
      <w:docPartBody>
        <w:p w:rsidR="007F094C" w:rsidRDefault="00CC11D7">
          <w:pPr>
            <w:pStyle w:val="5D455C8DB3370C429E683BD45AAD2263"/>
          </w:pPr>
          <w:r>
            <w:t xml:space="preserve"> </w:t>
          </w:r>
        </w:p>
      </w:docPartBody>
    </w:docPart>
    <w:docPart>
      <w:docPartPr>
        <w:name w:val="8E1FCF9D9BCC7544965FEDDA8E4336E8"/>
        <w:category>
          <w:name w:val="General"/>
          <w:gallery w:val="placeholder"/>
        </w:category>
        <w:types>
          <w:type w:val="bbPlcHdr"/>
        </w:types>
        <w:behaviors>
          <w:behavior w:val="content"/>
        </w:behaviors>
        <w:guid w:val="{E0E948F2-5A4A-C845-B5B7-0280CF55CDFB}"/>
      </w:docPartPr>
      <w:docPartBody>
        <w:p w:rsidR="007F094C" w:rsidRDefault="00CC11D7">
          <w:pPr>
            <w:pStyle w:val="8E1FCF9D9BCC7544965FEDDA8E4336E8"/>
          </w:pPr>
          <w:r>
            <w:t xml:space="preserve"> </w:t>
          </w:r>
        </w:p>
      </w:docPartBody>
    </w:docPart>
    <w:docPart>
      <w:docPartPr>
        <w:name w:val="BB94B27A1B38FB49AA2427CB2341BFF9"/>
        <w:category>
          <w:name w:val="General"/>
          <w:gallery w:val="placeholder"/>
        </w:category>
        <w:types>
          <w:type w:val="bbPlcHdr"/>
        </w:types>
        <w:behaviors>
          <w:behavior w:val="content"/>
        </w:behaviors>
        <w:guid w:val="{F3C10B63-67C7-CB49-A633-14B42706E0D9}"/>
      </w:docPartPr>
      <w:docPartBody>
        <w:p w:rsidR="007F094C" w:rsidRDefault="00CC11D7">
          <w:pPr>
            <w:pStyle w:val="BB94B27A1B38FB49AA2427CB2341BFF9"/>
          </w:pPr>
          <w:r>
            <w:t xml:space="preserve"> </w:t>
          </w:r>
        </w:p>
      </w:docPartBody>
    </w:docPart>
    <w:docPart>
      <w:docPartPr>
        <w:name w:val="9628263C21A0F347B1037F8B6E2E16E6"/>
        <w:category>
          <w:name w:val="General"/>
          <w:gallery w:val="placeholder"/>
        </w:category>
        <w:types>
          <w:type w:val="bbPlcHdr"/>
        </w:types>
        <w:behaviors>
          <w:behavior w:val="content"/>
        </w:behaviors>
        <w:guid w:val="{92E82AAD-5512-8D45-AE98-4CC62B3E9470}"/>
      </w:docPartPr>
      <w:docPartBody>
        <w:p w:rsidR="007F094C" w:rsidRDefault="00CC11D7">
          <w:pPr>
            <w:pStyle w:val="9628263C21A0F347B1037F8B6E2E16E6"/>
          </w:pPr>
          <w:r>
            <w:t xml:space="preserve"> </w:t>
          </w:r>
        </w:p>
      </w:docPartBody>
    </w:docPart>
    <w:docPart>
      <w:docPartPr>
        <w:name w:val="5A00766E1BC20A46B675FA54E3371F87"/>
        <w:category>
          <w:name w:val="General"/>
          <w:gallery w:val="placeholder"/>
        </w:category>
        <w:types>
          <w:type w:val="bbPlcHdr"/>
        </w:types>
        <w:behaviors>
          <w:behavior w:val="content"/>
        </w:behaviors>
        <w:guid w:val="{6C6BB8E0-C4BF-B441-879B-A1E0E9E70456}"/>
      </w:docPartPr>
      <w:docPartBody>
        <w:p w:rsidR="007F094C" w:rsidRDefault="00CC11D7">
          <w:pPr>
            <w:pStyle w:val="5A00766E1BC20A46B675FA54E3371F87"/>
          </w:pPr>
          <w:r w:rsidRPr="00B078D6">
            <w:t xml:space="preserve"> </w:t>
          </w:r>
        </w:p>
      </w:docPartBody>
    </w:docPart>
    <w:docPart>
      <w:docPartPr>
        <w:name w:val="A23E6993E6A8F64D83520CA63B49071B"/>
        <w:category>
          <w:name w:val="General"/>
          <w:gallery w:val="placeholder"/>
        </w:category>
        <w:types>
          <w:type w:val="bbPlcHdr"/>
        </w:types>
        <w:behaviors>
          <w:behavior w:val="content"/>
        </w:behaviors>
        <w:guid w:val="{8D486C68-67A9-ED40-990D-ABF9DFAFEB43}"/>
      </w:docPartPr>
      <w:docPartBody>
        <w:p w:rsidR="007F094C" w:rsidRDefault="00CC11D7">
          <w:pPr>
            <w:pStyle w:val="A23E6993E6A8F64D83520CA63B49071B"/>
          </w:pPr>
          <w:r>
            <w:t xml:space="preserve"> </w:t>
          </w:r>
        </w:p>
      </w:docPartBody>
    </w:docPart>
    <w:docPart>
      <w:docPartPr>
        <w:name w:val="060452A863326F40B8E9CC07DB6917FD"/>
        <w:category>
          <w:name w:val="General"/>
          <w:gallery w:val="placeholder"/>
        </w:category>
        <w:types>
          <w:type w:val="bbPlcHdr"/>
        </w:types>
        <w:behaviors>
          <w:behavior w:val="content"/>
        </w:behaviors>
        <w:guid w:val="{F6206FBE-4217-7544-895C-D388963981AC}"/>
      </w:docPartPr>
      <w:docPartBody>
        <w:p w:rsidR="007F094C" w:rsidRDefault="00CC11D7">
          <w:pPr>
            <w:pStyle w:val="060452A863326F40B8E9CC07DB6917FD"/>
          </w:pPr>
          <w:r>
            <w:t xml:space="preserve"> </w:t>
          </w:r>
        </w:p>
      </w:docPartBody>
    </w:docPart>
    <w:docPart>
      <w:docPartPr>
        <w:name w:val="6628CDE8242ABE4A8E58F2768A081E0C"/>
        <w:category>
          <w:name w:val="General"/>
          <w:gallery w:val="placeholder"/>
        </w:category>
        <w:types>
          <w:type w:val="bbPlcHdr"/>
        </w:types>
        <w:behaviors>
          <w:behavior w:val="content"/>
        </w:behaviors>
        <w:guid w:val="{1FE18A0F-DB3B-FD4A-A40D-520FD74D3C25}"/>
      </w:docPartPr>
      <w:docPartBody>
        <w:p w:rsidR="007F094C" w:rsidRDefault="00CC11D7">
          <w:pPr>
            <w:pStyle w:val="6628CDE8242ABE4A8E58F2768A081E0C"/>
          </w:pPr>
          <w:r w:rsidRPr="00B078D6">
            <w:t xml:space="preserve"> </w:t>
          </w:r>
        </w:p>
      </w:docPartBody>
    </w:docPart>
    <w:docPart>
      <w:docPartPr>
        <w:name w:val="B3EE222B3A0F7C449BC3F6E77D0B866B"/>
        <w:category>
          <w:name w:val="General"/>
          <w:gallery w:val="placeholder"/>
        </w:category>
        <w:types>
          <w:type w:val="bbPlcHdr"/>
        </w:types>
        <w:behaviors>
          <w:behavior w:val="content"/>
        </w:behaviors>
        <w:guid w:val="{DEAAB4C5-9614-2A45-AF4E-33C616ADCC96}"/>
      </w:docPartPr>
      <w:docPartBody>
        <w:p w:rsidR="007F094C" w:rsidRDefault="00CC11D7">
          <w:pPr>
            <w:pStyle w:val="B3EE222B3A0F7C449BC3F6E77D0B866B"/>
          </w:pPr>
          <w:r>
            <w:t xml:space="preserve"> </w:t>
          </w:r>
        </w:p>
      </w:docPartBody>
    </w:docPart>
    <w:docPart>
      <w:docPartPr>
        <w:name w:val="1A38A171EF11A54DB21B83C7D4CB0CBA"/>
        <w:category>
          <w:name w:val="General"/>
          <w:gallery w:val="placeholder"/>
        </w:category>
        <w:types>
          <w:type w:val="bbPlcHdr"/>
        </w:types>
        <w:behaviors>
          <w:behavior w:val="content"/>
        </w:behaviors>
        <w:guid w:val="{59702FA5-1039-BC44-B78A-B01E172DC7B0}"/>
      </w:docPartPr>
      <w:docPartBody>
        <w:p w:rsidR="007F094C" w:rsidRDefault="00CC11D7">
          <w:pPr>
            <w:pStyle w:val="1A38A171EF11A54DB21B83C7D4CB0CBA"/>
          </w:pPr>
          <w:r>
            <w:t xml:space="preserve"> </w:t>
          </w:r>
        </w:p>
      </w:docPartBody>
    </w:docPart>
    <w:docPart>
      <w:docPartPr>
        <w:name w:val="C38290365A6BEE4A83D8CA3C9A53E9A8"/>
        <w:category>
          <w:name w:val="General"/>
          <w:gallery w:val="placeholder"/>
        </w:category>
        <w:types>
          <w:type w:val="bbPlcHdr"/>
        </w:types>
        <w:behaviors>
          <w:behavior w:val="content"/>
        </w:behaviors>
        <w:guid w:val="{3C535162-8843-2740-B4C8-12ABBD23F239}"/>
      </w:docPartPr>
      <w:docPartBody>
        <w:p w:rsidR="007F094C" w:rsidRDefault="00CC11D7">
          <w:pPr>
            <w:pStyle w:val="C38290365A6BEE4A83D8CA3C9A53E9A8"/>
          </w:pPr>
          <w:r>
            <w:t xml:space="preserve"> </w:t>
          </w:r>
        </w:p>
      </w:docPartBody>
    </w:docPart>
    <w:docPart>
      <w:docPartPr>
        <w:name w:val="A7B47E2D68429748B46F94DAB4579B86"/>
        <w:category>
          <w:name w:val="General"/>
          <w:gallery w:val="placeholder"/>
        </w:category>
        <w:types>
          <w:type w:val="bbPlcHdr"/>
        </w:types>
        <w:behaviors>
          <w:behavior w:val="content"/>
        </w:behaviors>
        <w:guid w:val="{4C59AF83-1241-3E48-884F-52147C7AC1DC}"/>
      </w:docPartPr>
      <w:docPartBody>
        <w:p w:rsidR="007F094C" w:rsidRDefault="00CC11D7">
          <w:pPr>
            <w:pStyle w:val="A7B47E2D68429748B46F94DAB4579B86"/>
          </w:pPr>
          <w:r>
            <w:t xml:space="preserve"> </w:t>
          </w:r>
        </w:p>
      </w:docPartBody>
    </w:docPart>
    <w:docPart>
      <w:docPartPr>
        <w:name w:val="E8B7626A71E1B64AB957DAADD4528E61"/>
        <w:category>
          <w:name w:val="General"/>
          <w:gallery w:val="placeholder"/>
        </w:category>
        <w:types>
          <w:type w:val="bbPlcHdr"/>
        </w:types>
        <w:behaviors>
          <w:behavior w:val="content"/>
        </w:behaviors>
        <w:guid w:val="{F6FF1757-727B-5F46-B297-7C222A873B84}"/>
      </w:docPartPr>
      <w:docPartBody>
        <w:p w:rsidR="007F094C" w:rsidRDefault="00CC11D7">
          <w:pPr>
            <w:pStyle w:val="E8B7626A71E1B64AB957DAADD4528E61"/>
          </w:pPr>
          <w:r>
            <w:t xml:space="preserve"> </w:t>
          </w:r>
        </w:p>
      </w:docPartBody>
    </w:docPart>
    <w:docPart>
      <w:docPartPr>
        <w:name w:val="217D38CADD01B94283F7C310F9E5BE50"/>
        <w:category>
          <w:name w:val="General"/>
          <w:gallery w:val="placeholder"/>
        </w:category>
        <w:types>
          <w:type w:val="bbPlcHdr"/>
        </w:types>
        <w:behaviors>
          <w:behavior w:val="content"/>
        </w:behaviors>
        <w:guid w:val="{1B3EF63B-9AE2-EF4F-9034-60D6F8919FC9}"/>
      </w:docPartPr>
      <w:docPartBody>
        <w:p w:rsidR="007F094C" w:rsidRDefault="00CC11D7">
          <w:pPr>
            <w:pStyle w:val="217D38CADD01B94283F7C310F9E5BE50"/>
          </w:pPr>
          <w:r>
            <w:t xml:space="preserve"> </w:t>
          </w:r>
        </w:p>
      </w:docPartBody>
    </w:docPart>
    <w:docPart>
      <w:docPartPr>
        <w:name w:val="2FBB1D739F997A4C9851874ABC8B0AC1"/>
        <w:category>
          <w:name w:val="General"/>
          <w:gallery w:val="placeholder"/>
        </w:category>
        <w:types>
          <w:type w:val="bbPlcHdr"/>
        </w:types>
        <w:behaviors>
          <w:behavior w:val="content"/>
        </w:behaviors>
        <w:guid w:val="{C758149D-25F4-9348-8BE5-D48EC9AC86CA}"/>
      </w:docPartPr>
      <w:docPartBody>
        <w:p w:rsidR="007F094C" w:rsidRDefault="00CC11D7">
          <w:pPr>
            <w:pStyle w:val="2FBB1D739F997A4C9851874ABC8B0AC1"/>
          </w:pPr>
          <w:r>
            <w:t xml:space="preserve"> </w:t>
          </w:r>
        </w:p>
      </w:docPartBody>
    </w:docPart>
    <w:docPart>
      <w:docPartPr>
        <w:name w:val="F09835F13B8F9844838CACDD8B96763F"/>
        <w:category>
          <w:name w:val="General"/>
          <w:gallery w:val="placeholder"/>
        </w:category>
        <w:types>
          <w:type w:val="bbPlcHdr"/>
        </w:types>
        <w:behaviors>
          <w:behavior w:val="content"/>
        </w:behaviors>
        <w:guid w:val="{4D3115AC-1E93-1146-AE15-23519131424C}"/>
      </w:docPartPr>
      <w:docPartBody>
        <w:p w:rsidR="007F094C" w:rsidRDefault="00CC11D7">
          <w:pPr>
            <w:pStyle w:val="F09835F13B8F9844838CACDD8B96763F"/>
          </w:pPr>
          <w:r w:rsidRPr="00F822F4">
            <w:t xml:space="preserve"> </w:t>
          </w:r>
        </w:p>
      </w:docPartBody>
    </w:docPart>
    <w:docPart>
      <w:docPartPr>
        <w:name w:val="4D4B4D2BC735494E88685FCB1B11F7E2"/>
        <w:category>
          <w:name w:val="General"/>
          <w:gallery w:val="placeholder"/>
        </w:category>
        <w:types>
          <w:type w:val="bbPlcHdr"/>
        </w:types>
        <w:behaviors>
          <w:behavior w:val="content"/>
        </w:behaviors>
        <w:guid w:val="{EB8C9ADF-3140-4244-8D17-9EA5E5BDBBB6}"/>
      </w:docPartPr>
      <w:docPartBody>
        <w:p w:rsidR="007F094C" w:rsidRDefault="00CC11D7">
          <w:pPr>
            <w:pStyle w:val="4D4B4D2BC735494E88685FCB1B11F7E2"/>
          </w:pPr>
          <w:r>
            <w:t xml:space="preserve"> </w:t>
          </w:r>
        </w:p>
      </w:docPartBody>
    </w:docPart>
    <w:docPart>
      <w:docPartPr>
        <w:name w:val="001534073BC94C468D9A6C5C3502283B"/>
        <w:category>
          <w:name w:val="General"/>
          <w:gallery w:val="placeholder"/>
        </w:category>
        <w:types>
          <w:type w:val="bbPlcHdr"/>
        </w:types>
        <w:behaviors>
          <w:behavior w:val="content"/>
        </w:behaviors>
        <w:guid w:val="{8B93A6E6-188E-4556-A8FE-9082511EB03C}"/>
      </w:docPartPr>
      <w:docPartBody>
        <w:p w:rsidR="00CC11D7" w:rsidRDefault="00CC11D7" w:rsidP="00757FAD">
          <w:pPr>
            <w:pStyle w:val="001534073BC94C468D9A6C5C3502283B"/>
          </w:pPr>
          <w:r w:rsidRPr="00B078D6">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Arial(W1)">
    <w:panose1 w:val="00000000000000000000"/>
    <w:charset w:val="00"/>
    <w:family w:val="swiss"/>
    <w:notTrueType/>
    <w:pitch w:val="variable"/>
    <w:sig w:usb0="00000003" w:usb1="00000000" w:usb2="00000000" w:usb3="00000000" w:csb0="00000001" w:csb1="00000000"/>
  </w:font>
  <w:font w:name="Arial (W1)">
    <w:altName w:val="Arial"/>
    <w:charset w:val="00"/>
    <w:family w:val="swiss"/>
    <w:pitch w:val="variable"/>
    <w:sig w:usb0="00000000" w:usb1="80000000" w:usb2="00000008" w:usb3="00000000" w:csb0="000001FF" w:csb1="00000000"/>
  </w:font>
  <w:font w:name="Arial Bold">
    <w:panose1 w:val="020B0704020202020204"/>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094C"/>
    <w:rsid w:val="00160E2F"/>
    <w:rsid w:val="00377260"/>
    <w:rsid w:val="003D17F5"/>
    <w:rsid w:val="003E00C7"/>
    <w:rsid w:val="006E4039"/>
    <w:rsid w:val="00757FAD"/>
    <w:rsid w:val="007F094C"/>
    <w:rsid w:val="00834DB5"/>
    <w:rsid w:val="00972566"/>
    <w:rsid w:val="00A032F9"/>
    <w:rsid w:val="00A8140D"/>
    <w:rsid w:val="00B5169D"/>
    <w:rsid w:val="00B62839"/>
    <w:rsid w:val="00CC11D7"/>
    <w:rsid w:val="00CF7259"/>
    <w:rsid w:val="00DF4988"/>
    <w:rsid w:val="00EA5C35"/>
    <w:rsid w:val="00ED273B"/>
    <w:rsid w:val="00F67B6D"/>
    <w:rsid w:val="00FE488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C11D7"/>
    <w:rPr>
      <w:color w:val="808080"/>
    </w:rPr>
  </w:style>
  <w:style w:type="paragraph" w:customStyle="1" w:styleId="2287E3D7A5999C449F68774214E87459">
    <w:name w:val="2287E3D7A5999C449F68774214E87459"/>
  </w:style>
  <w:style w:type="paragraph" w:customStyle="1" w:styleId="23714A54DE1C5349A32215100E23C70C">
    <w:name w:val="23714A54DE1C5349A32215100E23C70C"/>
  </w:style>
  <w:style w:type="paragraph" w:customStyle="1" w:styleId="CEA0958D29B321449DAA1A3408663E44">
    <w:name w:val="CEA0958D29B321449DAA1A3408663E44"/>
  </w:style>
  <w:style w:type="paragraph" w:customStyle="1" w:styleId="9CA603291F38E74C952F4F0686E7F43F">
    <w:name w:val="9CA603291F38E74C952F4F0686E7F43F"/>
  </w:style>
  <w:style w:type="paragraph" w:customStyle="1" w:styleId="6457288971B39E4CA9B911AD82732253">
    <w:name w:val="6457288971B39E4CA9B911AD82732253"/>
  </w:style>
  <w:style w:type="paragraph" w:customStyle="1" w:styleId="49E1DA3C6A1E71459A736F86010B5AED">
    <w:name w:val="49E1DA3C6A1E71459A736F86010B5AED"/>
  </w:style>
  <w:style w:type="paragraph" w:customStyle="1" w:styleId="5D455C8DB3370C429E683BD45AAD2263">
    <w:name w:val="5D455C8DB3370C429E683BD45AAD2263"/>
  </w:style>
  <w:style w:type="paragraph" w:customStyle="1" w:styleId="8E1FCF9D9BCC7544965FEDDA8E4336E8">
    <w:name w:val="8E1FCF9D9BCC7544965FEDDA8E4336E8"/>
  </w:style>
  <w:style w:type="paragraph" w:customStyle="1" w:styleId="BB94B27A1B38FB49AA2427CB2341BFF9">
    <w:name w:val="BB94B27A1B38FB49AA2427CB2341BFF9"/>
  </w:style>
  <w:style w:type="paragraph" w:customStyle="1" w:styleId="9628263C21A0F347B1037F8B6E2E16E6">
    <w:name w:val="9628263C21A0F347B1037F8B6E2E16E6"/>
  </w:style>
  <w:style w:type="paragraph" w:customStyle="1" w:styleId="5A00766E1BC20A46B675FA54E3371F87">
    <w:name w:val="5A00766E1BC20A46B675FA54E3371F87"/>
  </w:style>
  <w:style w:type="paragraph" w:customStyle="1" w:styleId="A23E6993E6A8F64D83520CA63B49071B">
    <w:name w:val="A23E6993E6A8F64D83520CA63B49071B"/>
  </w:style>
  <w:style w:type="paragraph" w:customStyle="1" w:styleId="060452A863326F40B8E9CC07DB6917FD">
    <w:name w:val="060452A863326F40B8E9CC07DB6917FD"/>
  </w:style>
  <w:style w:type="paragraph" w:customStyle="1" w:styleId="6628CDE8242ABE4A8E58F2768A081E0C">
    <w:name w:val="6628CDE8242ABE4A8E58F2768A081E0C"/>
  </w:style>
  <w:style w:type="paragraph" w:customStyle="1" w:styleId="B3EE222B3A0F7C449BC3F6E77D0B866B">
    <w:name w:val="B3EE222B3A0F7C449BC3F6E77D0B866B"/>
  </w:style>
  <w:style w:type="paragraph" w:customStyle="1" w:styleId="1A38A171EF11A54DB21B83C7D4CB0CBA">
    <w:name w:val="1A38A171EF11A54DB21B83C7D4CB0CBA"/>
  </w:style>
  <w:style w:type="paragraph" w:customStyle="1" w:styleId="C38290365A6BEE4A83D8CA3C9A53E9A8">
    <w:name w:val="C38290365A6BEE4A83D8CA3C9A53E9A8"/>
  </w:style>
  <w:style w:type="paragraph" w:customStyle="1" w:styleId="A7B47E2D68429748B46F94DAB4579B86">
    <w:name w:val="A7B47E2D68429748B46F94DAB4579B86"/>
  </w:style>
  <w:style w:type="paragraph" w:customStyle="1" w:styleId="E8B7626A71E1B64AB957DAADD4528E61">
    <w:name w:val="E8B7626A71E1B64AB957DAADD4528E61"/>
  </w:style>
  <w:style w:type="paragraph" w:customStyle="1" w:styleId="217D38CADD01B94283F7C310F9E5BE50">
    <w:name w:val="217D38CADD01B94283F7C310F9E5BE50"/>
  </w:style>
  <w:style w:type="paragraph" w:customStyle="1" w:styleId="2FBB1D739F997A4C9851874ABC8B0AC1">
    <w:name w:val="2FBB1D739F997A4C9851874ABC8B0AC1"/>
  </w:style>
  <w:style w:type="paragraph" w:customStyle="1" w:styleId="F09835F13B8F9844838CACDD8B96763F">
    <w:name w:val="F09835F13B8F9844838CACDD8B96763F"/>
  </w:style>
  <w:style w:type="paragraph" w:customStyle="1" w:styleId="4D4B4D2BC735494E88685FCB1B11F7E2">
    <w:name w:val="4D4B4D2BC735494E88685FCB1B11F7E2"/>
  </w:style>
  <w:style w:type="paragraph" w:customStyle="1" w:styleId="6DD604F3D83441E0ACFB8E524F030D05">
    <w:name w:val="6DD604F3D83441E0ACFB8E524F030D05"/>
    <w:rsid w:val="00CF7259"/>
    <w:pPr>
      <w:spacing w:after="200" w:line="276" w:lineRule="auto"/>
    </w:pPr>
    <w:rPr>
      <w:sz w:val="22"/>
      <w:szCs w:val="22"/>
      <w:lang w:eastAsia="en-AU"/>
    </w:rPr>
  </w:style>
  <w:style w:type="paragraph" w:customStyle="1" w:styleId="001534073BC94C468D9A6C5C3502283B">
    <w:name w:val="001534073BC94C468D9A6C5C3502283B"/>
    <w:rsid w:val="00757FAD"/>
    <w:pPr>
      <w:spacing w:after="200" w:line="276" w:lineRule="auto"/>
    </w:pPr>
    <w:rPr>
      <w:sz w:val="22"/>
      <w:szCs w:val="22"/>
      <w:lang w:eastAsia="en-AU"/>
    </w:rPr>
  </w:style>
</w:styles>
</file>

<file path=word/glossary/stylesWithEffects.xml><?xml version="1.0" encoding="utf-8"?>
<w:styles xmlns:w="http://schemas.openxmlformats.org/wordprocessingml/2006/main" xmlns:mc="http://schemas.openxmlformats.org/markup-compatibility/2006" xmlns:m="http://schemas.openxmlformats.org/officeDocument/2006/math" xmlns:o="urn:schemas-microsoft-com:office:office" xmlns:r="http://schemas.openxmlformats.org/officeDocument/2006/relationships" xmlns:v="urn:schemas-microsoft-com:vml" xmlns:w10="urn:schemas-microsoft-com:office:word" xmlns:w14="http://schemas.microsoft.com/office/word/2010/wordml"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docDefaults>
    <w:rPrDefault>
      <w:rPr>
        <w:rFonts w:asciiTheme="minorHAnsi" w:cstheme="minorBidi" w:eastAsiaTheme="minorEastAsia" w:hAnsiTheme="minorHAnsi"/>
        <w:sz w:val="24"/>
        <w:szCs w:val="24"/>
        <w:lang w:bidi="ar-SA" w:eastAsia="ja-JP" w:val="en-AU"/>
      </w:rPr>
    </w:rPrDefault>
    <w:pPrDefault/>
  </w:docDefaults>
  <w:latentStyles w:count="267"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PlaceholderText" w:type="character">
    <w:name w:val="Placeholder Text"/>
    <w:basedOn w:val="DefaultParagraphFont"/>
    <w:uiPriority w:val="99"/>
    <w:semiHidden/>
    <w:rsid w:val="00CC11D7"/>
    <w:rPr>
      <w:color w:val="808080"/>
    </w:rPr>
  </w:style>
  <w:style w:customStyle="1" w:styleId="2287E3D7A5999C449F68774214E87459" w:type="paragraph">
    <w:name w:val="2287E3D7A5999C449F68774214E87459"/>
  </w:style>
  <w:style w:customStyle="1" w:styleId="23714A54DE1C5349A32215100E23C70C" w:type="paragraph">
    <w:name w:val="23714A54DE1C5349A32215100E23C70C"/>
  </w:style>
  <w:style w:customStyle="1" w:styleId="CEA0958D29B321449DAA1A3408663E44" w:type="paragraph">
    <w:name w:val="CEA0958D29B321449DAA1A3408663E44"/>
  </w:style>
  <w:style w:customStyle="1" w:styleId="9CA603291F38E74C952F4F0686E7F43F" w:type="paragraph">
    <w:name w:val="9CA603291F38E74C952F4F0686E7F43F"/>
  </w:style>
  <w:style w:customStyle="1" w:styleId="6457288971B39E4CA9B911AD82732253" w:type="paragraph">
    <w:name w:val="6457288971B39E4CA9B911AD82732253"/>
  </w:style>
  <w:style w:customStyle="1" w:styleId="49E1DA3C6A1E71459A736F86010B5AED" w:type="paragraph">
    <w:name w:val="49E1DA3C6A1E71459A736F86010B5AED"/>
  </w:style>
  <w:style w:customStyle="1" w:styleId="5D455C8DB3370C429E683BD45AAD2263" w:type="paragraph">
    <w:name w:val="5D455C8DB3370C429E683BD45AAD2263"/>
  </w:style>
  <w:style w:customStyle="1" w:styleId="8E1FCF9D9BCC7544965FEDDA8E4336E8" w:type="paragraph">
    <w:name w:val="8E1FCF9D9BCC7544965FEDDA8E4336E8"/>
  </w:style>
  <w:style w:customStyle="1" w:styleId="BB94B27A1B38FB49AA2427CB2341BFF9" w:type="paragraph">
    <w:name w:val="BB94B27A1B38FB49AA2427CB2341BFF9"/>
  </w:style>
  <w:style w:customStyle="1" w:styleId="9628263C21A0F347B1037F8B6E2E16E6" w:type="paragraph">
    <w:name w:val="9628263C21A0F347B1037F8B6E2E16E6"/>
  </w:style>
  <w:style w:customStyle="1" w:styleId="5A00766E1BC20A46B675FA54E3371F87" w:type="paragraph">
    <w:name w:val="5A00766E1BC20A46B675FA54E3371F87"/>
  </w:style>
  <w:style w:customStyle="1" w:styleId="A23E6993E6A8F64D83520CA63B49071B" w:type="paragraph">
    <w:name w:val="A23E6993E6A8F64D83520CA63B49071B"/>
  </w:style>
  <w:style w:customStyle="1" w:styleId="060452A863326F40B8E9CC07DB6917FD" w:type="paragraph">
    <w:name w:val="060452A863326F40B8E9CC07DB6917FD"/>
  </w:style>
  <w:style w:customStyle="1" w:styleId="6628CDE8242ABE4A8E58F2768A081E0C" w:type="paragraph">
    <w:name w:val="6628CDE8242ABE4A8E58F2768A081E0C"/>
  </w:style>
  <w:style w:customStyle="1" w:styleId="B3EE222B3A0F7C449BC3F6E77D0B866B" w:type="paragraph">
    <w:name w:val="B3EE222B3A0F7C449BC3F6E77D0B866B"/>
  </w:style>
  <w:style w:customStyle="1" w:styleId="1A38A171EF11A54DB21B83C7D4CB0CBA" w:type="paragraph">
    <w:name w:val="1A38A171EF11A54DB21B83C7D4CB0CBA"/>
  </w:style>
  <w:style w:customStyle="1" w:styleId="C38290365A6BEE4A83D8CA3C9A53E9A8" w:type="paragraph">
    <w:name w:val="C38290365A6BEE4A83D8CA3C9A53E9A8"/>
  </w:style>
  <w:style w:customStyle="1" w:styleId="A7B47E2D68429748B46F94DAB4579B86" w:type="paragraph">
    <w:name w:val="A7B47E2D68429748B46F94DAB4579B86"/>
  </w:style>
  <w:style w:customStyle="1" w:styleId="E8B7626A71E1B64AB957DAADD4528E61" w:type="paragraph">
    <w:name w:val="E8B7626A71E1B64AB957DAADD4528E61"/>
  </w:style>
  <w:style w:customStyle="1" w:styleId="217D38CADD01B94283F7C310F9E5BE50" w:type="paragraph">
    <w:name w:val="217D38CADD01B94283F7C310F9E5BE50"/>
  </w:style>
  <w:style w:customStyle="1" w:styleId="2FBB1D739F997A4C9851874ABC8B0AC1" w:type="paragraph">
    <w:name w:val="2FBB1D739F997A4C9851874ABC8B0AC1"/>
  </w:style>
  <w:style w:customStyle="1" w:styleId="F09835F13B8F9844838CACDD8B96763F" w:type="paragraph">
    <w:name w:val="F09835F13B8F9844838CACDD8B96763F"/>
  </w:style>
  <w:style w:customStyle="1" w:styleId="4D4B4D2BC735494E88685FCB1B11F7E2" w:type="paragraph">
    <w:name w:val="4D4B4D2BC735494E88685FCB1B11F7E2"/>
  </w:style>
  <w:style w:customStyle="1" w:styleId="6DD604F3D83441E0ACFB8E524F030D05" w:type="paragraph">
    <w:name w:val="6DD604F3D83441E0ACFB8E524F030D05"/>
    <w:rsid w:val="00CF7259"/>
    <w:pPr>
      <w:spacing w:after="200" w:line="276" w:lineRule="auto"/>
    </w:pPr>
    <w:rPr>
      <w:sz w:val="22"/>
      <w:szCs w:val="22"/>
      <w:lang w:eastAsia="en-AU"/>
    </w:rPr>
  </w:style>
  <w:style w:customStyle="1" w:styleId="001534073BC94C468D9A6C5C3502283B" w:type="paragraph">
    <w:name w:val="001534073BC94C468D9A6C5C3502283B"/>
    <w:rsid w:val="00757FAD"/>
    <w:pPr>
      <w:spacing w:after="200" w:line="276" w:lineRule="auto"/>
    </w:pPr>
    <w:rPr>
      <w:sz w:val="22"/>
      <w:szCs w:val="22"/>
      <w:lang w:eastAsia="en-AU"/>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Target="itemProps1.xml" Type="http://schemas.openxmlformats.org/officeDocument/2006/relationships/customXmlProps" Id="rId1"/></Relationships>
</file>

<file path=customXml/item1.xml><?xml version="1.0" encoding="utf-8"?>
<b:Sourc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XSL" StyleName="APA"/>
</file>

<file path=customXml/itemProps1.xml><?xml version="1.0" encoding="utf-8"?>
<ds:datastoreItem xmlns:ds="http://schemas.openxmlformats.org/officeDocument/2006/customXml" ds:itemID="{EBD6D699-177F-43CA-B73F-02C38C2B7F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1</Pages>
  <Words>234</Words>
  <Characters>1338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Department of Attorney General &amp; Justice</Company>
  <LinksUpToDate>false</LinksUpToDate>
  <CharactersWithSpaces>1569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Xabi Errotabehere</dc:creator>
  <cp:lastModifiedBy>Thomas Bui</cp:lastModifiedBy>
  <cp:revision>29</cp:revision>
  <cp:lastPrinted>2014-09-01T05:35:00Z</cp:lastPrinted>
  <dcterms:created xsi:type="dcterms:W3CDTF">2014-10-03T02:54:00Z</dcterms:created>
  <dcterms:modified xsi:type="dcterms:W3CDTF">2015-02-25T06:52:00Z</dcterms:modified>
</cp:coreProperties>
</file>