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3.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Urch v Canterbury-Bankstown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1732</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17 July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15 November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15 November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Byrne AC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Proceedings No 2023/315393:</w:t>
                </w:r>
                <w:r>
                  <w:br/>
                </w:r>
                <w:r>
                  <w:t xml:space="preserve">The Court orders that:</w:t>
                </w:r>
                <w:r>
                  <w:br/>
                </w:r>
                <w:r>
                  <w:t xml:space="preserve">(1) The appeal is dismissed.</w:t>
                </w:r>
                <w:r>
                  <w:br/>
                </w:r>
                <w:r>
                  <w:t xml:space="preserve"> </w:t>
                </w:r>
                <w:r>
                  <w:br/>
                </w:r>
                <w:r>
                  <w:t xml:space="preserve">Proceedings No 2023/197625:</w:t>
                </w:r>
                <w:r>
                  <w:br/>
                </w:r>
                <w:r>
                  <w:t xml:space="preserve">The Court orders that:</w:t>
                </w:r>
                <w:r>
                  <w:br/>
                </w:r>
                <w:r>
                  <w:t xml:space="preserve">(1) the appeal is upheld;</w:t>
                </w:r>
                <w:r>
                  <w:br/>
                </w:r>
                <w:r>
                  <w:t xml:space="preserve">(2) Development Application No. DA-1028/2022 as amended, for alterations and additions to an approved (and partially constructed) dwelling including proposed swimming pool, lift, modified entry/stair works, use of existing structures and landscape works within the front setback of the property at 12 Riverview Street, Earlwood NSW 2206, being Lot B DP 420152, is determined by the grant of consent, subject to the conditions in Annexure A.</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DEVELOPMENT APPEAL – BUILDING INFORMATION CERTIFICATE APPEAL – residential premises - substantial non compliant excavation and building works on Site – agreement between the parties – s 34 agreement – resolution of both appeals – orders</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ss 4.16, 6.31, 8.25, 8.7</w:t>
                </w:r>
                <w:r>
                  <w:br/>
                </w:r>
                <w:r>
                  <w:t xml:space="preserve">Land and Environment Court Act 1979, ss 34, 34C</w:t>
                </w:r>
                <w:r>
                  <w:br/>
                </w:r>
                <w:r>
                  <w:t xml:space="preserve"> </w:t>
                </w:r>
                <w:r>
                  <w:br/>
                </w:r>
                <w:r>
                  <w:t xml:space="preserve">Canterbury Local Environmental Plan 2012, cll 4.3, 4.6</w:t>
                </w:r>
                <w:r>
                  <w:br/>
                </w:r>
                <w:r>
                  <w:t xml:space="preserve">Canterbury-Bankstown Local Environmental Plan 2023</w:t>
                </w:r>
                <w:r>
                  <w:br/>
                </w:r>
                <w:r>
                  <w:t xml:space="preserve">Environmental Planning and Assessment Regulation 2021, ss 37, 38</w:t>
                </w:r>
                <w:r>
                  <w:br/>
                </w:r>
                <w:r>
                  <w:t xml:space="preserve">State Environmental Planning Policy (Resilience and Hazards) 2021</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HP Subsidiary Pty Ltd v City of Parramatta Council [2020] NSWLEC 135</w:t>
                </w:r>
                <w:r>
                  <w:br/>
                </w:r>
                <w:r>
                  <w:t xml:space="preserve">McMillan v Taylor (2023) 111 NSWLR 634; [2023] NSWCA 183</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Canterbury Development Control Plan 2023</w:t>
                </w:r>
                <w:r>
                  <w:br/>
                </w:r>
                <w:r>
                  <w:t xml:space="preserve">National Construction Code of Australia</w:t>
                </w:r>
                <w:r>
                  <w:br/>
                </w:r>
                <w:r>
                  <w:t xml:space="preserve">Standards Australia, Australian Standard AS 2601 – 2001</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Stephen John Urch (Applicant)</w:t>
                </w:r>
                <w:r>
                  <w:br/>
                </w:r>
                <w:r>
                  <w:t xml:space="preserve">Canterbury-Bankstown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B Dyer (Solicitor) (Applicant)</w:t>
                </w:r>
                <w:r>
                  <w:br/>
                </w:r>
                <w:r>
                  <w:t xml:space="preserve">M Bonanno (Solicitor) (Respondent)</w:t>
                </w:r>
                <w:r>
                  <w:br/>
                </w:r>
                <w:r>
                  <w:t xml:space="preserve"/>
                </w:r>
                <w:r>
                  <w:br/>
                </w:r>
                <w:r>
                  <w:t xml:space="preserve">Solicitors:</w:t>
                </w:r>
                <w:r>
                  <w:br/>
                </w:r>
                <w:r>
                  <w:t xml:space="preserve">Maddocks (Applicant)</w:t>
                </w:r>
                <w:r>
                  <w:br/>
                </w:r>
                <w:r>
                  <w:t xml:space="preserve">Canterbury-Bankstown Council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2023/315353</w:t>
                </w:r>
                <w:r>
                  <w:br/>
                </w:r>
                <w:r>
                  <w:t xml:space="preserve">2023/197625</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b/>
          <w:color w:val="000000"/>
          <w:sz w:val="24"/>
        </w:rPr>
        <w:t>COMMISSIONER</w:t>
      </w:r>
      <w:r>
        <w:rPr>
          <w:rFonts w:ascii="Arial"/>
          <w:color w:val="000000"/>
          <w:sz w:val="24"/>
        </w:rPr>
        <w:t xml:space="preserve">: </w:t>
      </w:r>
      <w:r>
        <w:rPr>
          <w:rFonts w:ascii="Arial"/>
          <w:color w:val="000000"/>
          <w:sz w:val="24"/>
        </w:rPr>
        <w:t xml:space="preserve">This </w:t>
      </w:r>
      <w:r>
        <w:rPr>
          <w:rFonts w:ascii="Arial"/>
          <w:color w:val="000000"/>
          <w:sz w:val="24"/>
        </w:rPr>
        <w:t xml:space="preserve">judgment involves the resolution of two </w:t>
      </w:r>
      <w:r>
        <w:rPr>
          <w:rFonts w:ascii="Arial"/>
          <w:color w:val="000000"/>
          <w:sz w:val="24"/>
        </w:rPr>
        <w:t>C</w:t>
      </w:r>
      <w:r>
        <w:rPr>
          <w:rFonts w:ascii="Arial"/>
          <w:color w:val="000000"/>
          <w:sz w:val="24"/>
        </w:rPr>
        <w:t>lass 1 appeals</w:t>
      </w:r>
      <w:r>
        <w:rPr>
          <w:rFonts w:ascii="Arial"/>
          <w:color w:val="000000"/>
          <w:sz w:val="24"/>
        </w:rPr>
        <w:t xml:space="preserve"> </w:t>
      </w:r>
      <w:r>
        <w:rPr>
          <w:rFonts w:ascii="Arial"/>
          <w:color w:val="000000"/>
          <w:sz w:val="24"/>
        </w:rPr>
        <w:t xml:space="preserve">in respect of a property at </w:t>
      </w:r>
      <w:r>
        <w:rPr>
          <w:rFonts w:ascii="Arial"/>
          <w:color w:val="000000"/>
          <w:sz w:val="24"/>
        </w:rPr>
        <w:t>12 Riverview Rd, Earlwood,</w:t>
      </w:r>
      <w:r>
        <w:rPr>
          <w:rFonts w:ascii="Arial"/>
          <w:color w:val="000000"/>
          <w:sz w:val="24"/>
        </w:rPr>
        <w:t xml:space="preserve"> </w:t>
      </w:r>
      <w:r>
        <w:rPr>
          <w:rFonts w:ascii="Arial"/>
          <w:color w:val="000000"/>
          <w:sz w:val="24"/>
        </w:rPr>
        <w:t xml:space="preserve">NSW </w:t>
      </w:r>
      <w:r>
        <w:rPr>
          <w:rFonts w:ascii="Arial"/>
          <w:color w:val="000000"/>
          <w:sz w:val="24"/>
        </w:rPr>
        <w:t>2206</w:t>
      </w:r>
      <w:r>
        <w:rPr>
          <w:rFonts w:ascii="Arial"/>
          <w:color w:val="000000"/>
          <w:sz w:val="24"/>
        </w:rPr>
        <w:t xml:space="preserve"> </w:t>
      </w:r>
      <w:r>
        <w:rPr>
          <w:rFonts w:ascii="Arial"/>
          <w:color w:val="000000"/>
          <w:sz w:val="24"/>
        </w:rPr>
        <w:t xml:space="preserve">being </w:t>
      </w:r>
      <w:r>
        <w:rPr>
          <w:rFonts w:ascii="Arial"/>
          <w:color w:val="000000"/>
          <w:sz w:val="24"/>
        </w:rPr>
        <w:t xml:space="preserve">Lot </w:t>
      </w:r>
      <w:r>
        <w:rPr>
          <w:rFonts w:ascii="Arial"/>
          <w:color w:val="000000"/>
          <w:sz w:val="24"/>
        </w:rPr>
        <w:t>B</w:t>
      </w:r>
      <w:r>
        <w:rPr>
          <w:rFonts w:ascii="Arial"/>
          <w:color w:val="000000"/>
          <w:sz w:val="24"/>
        </w:rPr>
        <w:t xml:space="preserve"> </w:t>
      </w:r>
      <w:r>
        <w:rPr>
          <w:rFonts w:ascii="Arial"/>
          <w:color w:val="000000"/>
          <w:sz w:val="24"/>
        </w:rPr>
        <w:t xml:space="preserve">DP </w:t>
      </w:r>
      <w:r>
        <w:rPr>
          <w:rFonts w:ascii="Arial"/>
          <w:color w:val="000000"/>
          <w:sz w:val="24"/>
        </w:rPr>
        <w:t>420152</w:t>
      </w:r>
      <w:r>
        <w:rPr>
          <w:rFonts w:ascii="Arial"/>
          <w:color w:val="000000"/>
          <w:sz w:val="24"/>
        </w:rPr>
        <w:t xml:space="preserve"> </w:t>
      </w:r>
      <w:r>
        <w:rPr>
          <w:rFonts w:ascii="Arial"/>
          <w:color w:val="000000"/>
          <w:sz w:val="24"/>
        </w:rPr>
        <w:t>(</w:t>
      </w:r>
      <w:r>
        <w:rPr>
          <w:rFonts w:ascii="Arial"/>
          <w:color w:val="000000"/>
          <w:sz w:val="24"/>
        </w:rPr>
        <w:t>the Site</w:t>
      </w:r>
      <w:r>
        <w:rPr>
          <w:rFonts w:ascii="Arial"/>
          <w:color w:val="000000"/>
          <w:sz w:val="24"/>
        </w:rPr>
        <w: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First</w:t>
      </w:r>
      <w:r>
        <w:rPr>
          <w:rFonts w:ascii="Arial"/>
          <w:color w:val="000000"/>
          <w:sz w:val="24"/>
        </w:rPr>
        <w:t>ly</w:t>
      </w:r>
      <w:r>
        <w:rPr>
          <w:rFonts w:ascii="Arial"/>
          <w:color w:val="000000"/>
          <w:sz w:val="24"/>
        </w:rPr>
        <w:t>,</w:t>
      </w:r>
      <w:r>
        <w:rPr>
          <w:rFonts w:ascii="Arial"/>
          <w:color w:val="000000"/>
          <w:sz w:val="24"/>
        </w:rPr>
        <w:t xml:space="preserve"> </w:t>
      </w:r>
      <w:r>
        <w:rPr>
          <w:rFonts w:ascii="Arial"/>
          <w:color w:val="000000"/>
          <w:sz w:val="24"/>
        </w:rPr>
        <w:t xml:space="preserve">a Development Appeal pursuant to </w:t>
      </w:r>
      <w:r>
        <w:rPr>
          <w:rFonts w:ascii="Arial"/>
          <w:color w:val="000000"/>
          <w:sz w:val="24"/>
        </w:rPr>
        <w:t xml:space="preserve">s </w:t>
      </w:r>
      <w:r>
        <w:rPr>
          <w:rFonts w:ascii="Arial"/>
          <w:color w:val="000000"/>
          <w:sz w:val="24"/>
        </w:rPr>
        <w:t>8.7</w:t>
      </w:r>
      <w:r>
        <w:rPr>
          <w:rFonts w:ascii="Arial"/>
          <w:color w:val="000000"/>
          <w:sz w:val="24"/>
        </w:rPr>
        <w:t>(1)</w:t>
      </w:r>
      <w:r>
        <w:rPr>
          <w:rFonts w:ascii="Arial"/>
          <w:color w:val="000000"/>
          <w:sz w:val="24"/>
        </w:rPr>
        <w:t xml:space="preserve"> </w:t>
      </w:r>
      <w:r>
        <w:rPr>
          <w:rFonts w:ascii="Arial"/>
          <w:color w:val="000000"/>
          <w:sz w:val="24"/>
        </w:rPr>
        <w:t xml:space="preserve">of the </w:t>
      </w:r>
      <w:r>
        <w:rPr>
          <w:rFonts w:ascii="Arial"/>
          <w:i/>
          <w:color w:val="000000"/>
          <w:sz w:val="24"/>
        </w:rPr>
        <w:t xml:space="preserve">Environmental Planning and Assessment Act </w:t>
      </w:r>
      <w:r>
        <w:rPr>
          <w:rFonts w:ascii="Arial"/>
          <w:color w:val="000000"/>
          <w:sz w:val="24"/>
        </w:rPr>
        <w:t>1979</w:t>
      </w:r>
      <w:r>
        <w:rPr>
          <w:rFonts w:ascii="Arial"/>
          <w:color w:val="000000"/>
          <w:sz w:val="24"/>
        </w:rPr>
        <w:t xml:space="preserve"> </w:t>
      </w:r>
      <w:r>
        <w:rPr>
          <w:rFonts w:ascii="Arial"/>
          <w:color w:val="000000"/>
          <w:sz w:val="24"/>
        </w:rPr>
        <w:t xml:space="preserve">(EPA Act) </w:t>
      </w:r>
      <w:r>
        <w:rPr>
          <w:rFonts w:ascii="Arial"/>
          <w:color w:val="000000"/>
          <w:sz w:val="24"/>
        </w:rPr>
        <w:t xml:space="preserve">against </w:t>
      </w:r>
      <w:r>
        <w:rPr>
          <w:rFonts w:ascii="Arial"/>
          <w:color w:val="000000"/>
          <w:sz w:val="24"/>
        </w:rPr>
        <w:t xml:space="preserve">the </w:t>
      </w:r>
      <w:r>
        <w:rPr>
          <w:rFonts w:ascii="Arial"/>
          <w:color w:val="000000"/>
          <w:sz w:val="24"/>
        </w:rPr>
        <w:t>actual</w:t>
      </w:r>
      <w:r>
        <w:rPr>
          <w:rFonts w:ascii="Arial"/>
          <w:color w:val="000000"/>
          <w:sz w:val="24"/>
        </w:rPr>
        <w:t xml:space="preserve"> </w:t>
      </w:r>
      <w:r>
        <w:rPr>
          <w:rFonts w:ascii="Arial"/>
          <w:color w:val="000000"/>
          <w:sz w:val="24"/>
        </w:rPr>
        <w:t xml:space="preserve">refusal </w:t>
      </w:r>
      <w:r>
        <w:rPr>
          <w:rFonts w:ascii="Arial"/>
          <w:color w:val="000000"/>
          <w:sz w:val="24"/>
        </w:rPr>
        <w:t xml:space="preserve">by </w:t>
      </w:r>
      <w:r>
        <w:rPr>
          <w:rFonts w:ascii="Arial"/>
          <w:color w:val="000000"/>
          <w:sz w:val="24"/>
        </w:rPr>
        <w:t xml:space="preserve">the </w:t>
      </w:r>
      <w:r>
        <w:rPr>
          <w:rFonts w:ascii="Arial"/>
          <w:color w:val="000000"/>
          <w:sz w:val="24"/>
        </w:rPr>
        <w:t>Canterbury-Bankstown</w:t>
      </w:r>
      <w:r>
        <w:rPr>
          <w:rFonts w:ascii="Arial"/>
          <w:color w:val="000000"/>
          <w:sz w:val="24"/>
        </w:rPr>
        <w:t xml:space="preserve"> </w:t>
      </w:r>
      <w:r>
        <w:rPr>
          <w:rFonts w:ascii="Arial"/>
          <w:color w:val="000000"/>
          <w:sz w:val="24"/>
        </w:rPr>
        <w:t xml:space="preserve">Council </w:t>
      </w:r>
      <w:r>
        <w:rPr>
          <w:rFonts w:ascii="Arial"/>
          <w:color w:val="000000"/>
          <w:sz w:val="24"/>
        </w:rPr>
        <w:t>(</w:t>
      </w:r>
      <w:r>
        <w:rPr>
          <w:rFonts w:ascii="Arial"/>
          <w:color w:val="000000"/>
          <w:sz w:val="24"/>
        </w:rPr>
        <w:t>the Council</w:t>
      </w:r>
      <w:r>
        <w:rPr>
          <w:rFonts w:ascii="Arial"/>
          <w:color w:val="000000"/>
          <w:sz w:val="24"/>
        </w:rPr>
        <w:t xml:space="preserve">) </w:t>
      </w:r>
      <w:r>
        <w:rPr>
          <w:rFonts w:ascii="Arial"/>
          <w:color w:val="000000"/>
          <w:sz w:val="24"/>
        </w:rPr>
        <w:t xml:space="preserve">of </w:t>
      </w:r>
      <w:r>
        <w:rPr>
          <w:rFonts w:ascii="Arial"/>
          <w:color w:val="000000"/>
          <w:sz w:val="24"/>
        </w:rPr>
        <w:t xml:space="preserve">DA-1028/2022 </w:t>
      </w:r>
      <w:r>
        <w:rPr>
          <w:rFonts w:ascii="Arial"/>
          <w:color w:val="000000"/>
          <w:sz w:val="24"/>
        </w:rPr>
        <w:t>(</w:t>
      </w:r>
      <w:r>
        <w:rPr>
          <w:rFonts w:ascii="Arial"/>
          <w:color w:val="000000"/>
          <w:sz w:val="24"/>
        </w:rPr>
        <w:t>the D</w:t>
      </w:r>
      <w:r>
        <w:rPr>
          <w:rFonts w:ascii="Arial"/>
          <w:color w:val="000000"/>
          <w:sz w:val="24"/>
        </w:rPr>
        <w:t>A</w:t>
      </w:r>
      <w:r>
        <w:rPr>
          <w:rFonts w:ascii="Arial"/>
          <w:color w:val="000000"/>
          <w:sz w:val="24"/>
        </w:rPr>
        <w:t xml:space="preserve"> </w:t>
      </w:r>
      <w:r>
        <w:rPr>
          <w:rFonts w:ascii="Arial"/>
          <w:color w:val="000000"/>
          <w:sz w:val="24"/>
        </w:rPr>
        <w:t>appeal</w:t>
      </w:r>
      <w:r>
        <w:rPr>
          <w:rFonts w:ascii="Arial"/>
          <w:color w:val="000000"/>
          <w:sz w:val="24"/>
        </w:rPr>
        <w:t>)</w:t>
      </w:r>
      <w:r>
        <w:rPr>
          <w:rFonts w:ascii="Arial"/>
          <w:color w:val="000000"/>
          <w:sz w:val="24"/>
        </w:rPr>
        <w:t>. Secondly</w:t>
      </w:r>
      <w:r>
        <w:rPr>
          <w:rFonts w:ascii="Arial"/>
          <w:color w:val="000000"/>
          <w:sz w:val="24"/>
        </w:rPr>
        <w:t>,</w:t>
      </w:r>
      <w:r>
        <w:rPr>
          <w:rFonts w:ascii="Arial"/>
          <w:color w:val="000000"/>
          <w:sz w:val="24"/>
        </w:rPr>
        <w:t xml:space="preserve"> </w:t>
      </w:r>
      <w:r>
        <w:rPr>
          <w:rFonts w:ascii="Arial"/>
          <w:color w:val="000000"/>
          <w:sz w:val="24"/>
        </w:rPr>
        <w:t xml:space="preserve">an appeal </w:t>
      </w:r>
      <w:r>
        <w:rPr>
          <w:rFonts w:ascii="Arial"/>
          <w:color w:val="000000"/>
          <w:sz w:val="24"/>
        </w:rPr>
        <w:t xml:space="preserve">from a refusal </w:t>
      </w:r>
      <w:r>
        <w:rPr>
          <w:rFonts w:ascii="Arial"/>
          <w:color w:val="000000"/>
          <w:sz w:val="24"/>
        </w:rPr>
        <w:t xml:space="preserve">by the Council </w:t>
      </w:r>
      <w:r>
        <w:rPr>
          <w:rFonts w:ascii="Arial"/>
          <w:color w:val="000000"/>
          <w:sz w:val="24"/>
        </w:rPr>
        <w:t>of a Building Information Certificate (</w:t>
      </w:r>
      <w:r>
        <w:rPr>
          <w:rFonts w:ascii="Arial"/>
          <w:color w:val="000000"/>
          <w:sz w:val="24"/>
        </w:rPr>
        <w:t>BIC</w:t>
      </w:r>
      <w:r>
        <w:rPr>
          <w:rFonts w:ascii="Arial"/>
          <w:color w:val="000000"/>
          <w:sz w:val="24"/>
        </w:rPr>
        <w:t xml:space="preserve"> </w:t>
      </w:r>
      <w:r>
        <w:rPr>
          <w:rFonts w:ascii="Arial"/>
          <w:color w:val="000000"/>
          <w:sz w:val="24"/>
        </w:rPr>
        <w:t>appeal</w:t>
      </w:r>
      <w:r>
        <w:rPr>
          <w:rFonts w:ascii="Arial"/>
          <w:color w:val="000000"/>
          <w:sz w:val="24"/>
        </w:rPr>
        <w:t xml:space="preserve">) pursuant </w:t>
      </w:r>
      <w:r>
        <w:rPr>
          <w:rFonts w:ascii="Arial"/>
          <w:color w:val="000000"/>
          <w:sz w:val="24"/>
        </w:rPr>
        <w:t xml:space="preserve">to </w:t>
      </w:r>
      <w:r>
        <w:rPr>
          <w:rFonts w:ascii="Arial"/>
          <w:color w:val="000000"/>
          <w:sz w:val="24"/>
        </w:rPr>
        <w:t>s 8.25</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color w:val="000000"/>
          <w:sz w:val="24"/>
        </w:rPr>
        <w:t>EPA Act.</w:t>
      </w:r>
    </w:p>
    <w:p>
      <w:pPr>
        <w:pStyle w:val="CaselawNumbered10"/>
        <w:numPr>
          <w:ilvl w:val="0"/>
          <w:numId w:val="22"/>
        </w:numPr>
        <w:spacing w:before="150" w:after="0"/>
        <w:ind w:left="600" w:hanging="600"/>
      </w:pPr>
      <w:r>
        <w:rPr>
          <w:rFonts w:ascii="Arial"/>
          <w:color w:val="000000"/>
          <w:sz w:val="24"/>
        </w:rPr>
        <w:t xml:space="preserve">The </w:t>
      </w:r>
      <w:r>
        <w:rPr>
          <w:rFonts w:ascii="Arial"/>
          <w:color w:val="000000"/>
          <w:sz w:val="24"/>
        </w:rPr>
        <w:t>appeal</w:t>
      </w:r>
      <w:r>
        <w:rPr>
          <w:rFonts w:ascii="Arial"/>
          <w:color w:val="000000"/>
          <w:sz w:val="24"/>
        </w:rPr>
        <w:t>s</w:t>
      </w:r>
      <w:r>
        <w:rPr>
          <w:rFonts w:ascii="Arial"/>
          <w:color w:val="000000"/>
          <w:sz w:val="24"/>
        </w:rPr>
        <w:t xml:space="preserve"> </w:t>
      </w:r>
      <w:r>
        <w:rPr>
          <w:rFonts w:ascii="Arial"/>
          <w:color w:val="000000"/>
          <w:sz w:val="24"/>
        </w:rPr>
        <w:t>w</w:t>
      </w:r>
      <w:r>
        <w:rPr>
          <w:rFonts w:ascii="Arial"/>
          <w:color w:val="000000"/>
          <w:sz w:val="24"/>
        </w:rPr>
        <w:t>ere</w:t>
      </w:r>
      <w:r>
        <w:rPr>
          <w:rFonts w:ascii="Arial"/>
          <w:color w:val="000000"/>
          <w:sz w:val="24"/>
        </w:rPr>
        <w:t xml:space="preserve"> </w:t>
      </w:r>
      <w:r>
        <w:rPr>
          <w:rFonts w:ascii="Arial"/>
          <w:color w:val="000000"/>
          <w:sz w:val="24"/>
        </w:rPr>
        <w:t xml:space="preserve">listed </w:t>
      </w:r>
      <w:r>
        <w:rPr>
          <w:rFonts w:ascii="Arial"/>
          <w:color w:val="000000"/>
          <w:sz w:val="24"/>
        </w:rPr>
        <w:t xml:space="preserve">for </w:t>
      </w:r>
      <w:r>
        <w:rPr>
          <w:rFonts w:ascii="Arial"/>
          <w:color w:val="000000"/>
          <w:sz w:val="24"/>
        </w:rPr>
        <w:t>a hearing under</w:t>
      </w:r>
      <w:r>
        <w:rPr>
          <w:rFonts w:ascii="Arial"/>
          <w:color w:val="000000"/>
          <w:sz w:val="24"/>
        </w:rPr>
        <w:t xml:space="preserve"> </w:t>
      </w:r>
      <w:r>
        <w:rPr>
          <w:rFonts w:ascii="Arial"/>
          <w:color w:val="000000"/>
          <w:sz w:val="24"/>
        </w:rPr>
        <w:t xml:space="preserve">s </w:t>
      </w:r>
      <w:r>
        <w:rPr>
          <w:rFonts w:ascii="Arial"/>
          <w:color w:val="000000"/>
          <w:sz w:val="24"/>
        </w:rPr>
        <w:t>34C</w:t>
      </w:r>
      <w:r>
        <w:rPr>
          <w:rFonts w:ascii="Arial"/>
          <w:color w:val="000000"/>
          <w:sz w:val="24"/>
        </w:rPr>
        <w:t xml:space="preserve"> </w:t>
      </w:r>
      <w:r>
        <w:rPr>
          <w:rFonts w:ascii="Arial"/>
          <w:color w:val="000000"/>
          <w:sz w:val="24"/>
        </w:rPr>
        <w:t xml:space="preserve">of the </w:t>
      </w:r>
      <w:r>
        <w:rPr>
          <w:rFonts w:ascii="Arial"/>
          <w:i/>
          <w:color w:val="000000"/>
          <w:sz w:val="24"/>
        </w:rPr>
        <w:t>Land and Environment Court Act</w:t>
      </w:r>
      <w:r>
        <w:rPr>
          <w:rFonts w:ascii="Arial"/>
          <w:color w:val="000000"/>
          <w:sz w:val="24"/>
        </w:rPr>
        <w:t xml:space="preserve"> </w:t>
      </w:r>
      <w:r>
        <w:rPr>
          <w:rFonts w:ascii="Arial"/>
          <w:color w:val="000000"/>
          <w:sz w:val="24"/>
        </w:rPr>
        <w:t>1979</w:t>
      </w:r>
      <w:r>
        <w:rPr>
          <w:rFonts w:ascii="Arial"/>
          <w:color w:val="000000"/>
          <w:sz w:val="24"/>
        </w:rPr>
        <w:t xml:space="preserve"> </w:t>
      </w:r>
      <w:r>
        <w:rPr>
          <w:rFonts w:ascii="Arial"/>
          <w:color w:val="000000"/>
          <w:sz w:val="24"/>
        </w:rPr>
        <w:t>(LEC Act)</w:t>
      </w:r>
      <w:r>
        <w:rPr>
          <w:rFonts w:ascii="Arial"/>
          <w:color w:val="000000"/>
          <w:sz w:val="24"/>
        </w:rPr>
        <w:t xml:space="preserve"> </w:t>
      </w:r>
      <w:r>
        <w:rPr>
          <w:rFonts w:ascii="Arial"/>
          <w:color w:val="000000"/>
          <w:sz w:val="24"/>
        </w:rPr>
        <w:t xml:space="preserve">commencing with an </w:t>
      </w:r>
      <w:r>
        <w:rPr>
          <w:rFonts w:ascii="Arial"/>
          <w:color w:val="000000"/>
          <w:sz w:val="24"/>
        </w:rPr>
        <w:t>on site</w:t>
      </w:r>
      <w:r>
        <w:rPr>
          <w:rFonts w:ascii="Arial"/>
          <w:color w:val="000000"/>
          <w:sz w:val="24"/>
        </w:rPr>
        <w:t xml:space="preserve"> </w:t>
      </w:r>
      <w:r>
        <w:rPr>
          <w:rFonts w:ascii="Arial"/>
          <w:color w:val="000000"/>
          <w:sz w:val="24"/>
        </w:rPr>
        <w:t>view</w:t>
      </w:r>
      <w:r>
        <w:rPr>
          <w:rFonts w:ascii="Arial"/>
          <w:color w:val="000000"/>
          <w:sz w:val="24"/>
        </w:rPr>
        <w:t>.</w:t>
      </w:r>
      <w:r>
        <w:rPr>
          <w:rFonts w:ascii="Arial"/>
          <w:color w:val="000000"/>
          <w:sz w:val="24"/>
        </w:rPr>
        <w:t xml:space="preserve"> </w:t>
      </w:r>
      <w:r>
        <w:rPr>
          <w:rFonts w:ascii="Arial"/>
          <w:color w:val="000000"/>
          <w:sz w:val="24"/>
        </w:rPr>
        <w:t>However</w:t>
      </w:r>
      <w:r>
        <w:rPr>
          <w:rFonts w:ascii="Arial"/>
          <w:color w:val="000000"/>
          <w:sz w:val="24"/>
        </w:rPr>
        <w:t>,</w:t>
      </w:r>
      <w:r>
        <w:rPr>
          <w:rFonts w:ascii="Arial"/>
          <w:color w:val="000000"/>
          <w:sz w:val="24"/>
        </w:rPr>
        <w:t xml:space="preserve"> </w:t>
      </w:r>
      <w:r>
        <w:rPr>
          <w:rFonts w:ascii="Arial"/>
          <w:color w:val="000000"/>
          <w:sz w:val="24"/>
        </w:rPr>
        <w:t xml:space="preserve">the parties </w:t>
      </w:r>
      <w:r>
        <w:rPr>
          <w:rFonts w:ascii="Arial"/>
          <w:color w:val="000000"/>
          <w:sz w:val="24"/>
        </w:rPr>
        <w:t xml:space="preserve">reached agreement prior to the commencement of the </w:t>
      </w:r>
      <w:r>
        <w:rPr>
          <w:rFonts w:ascii="Arial"/>
          <w:color w:val="000000"/>
          <w:sz w:val="24"/>
        </w:rPr>
        <w:t>on site</w:t>
      </w:r>
      <w:r>
        <w:rPr>
          <w:rFonts w:ascii="Arial"/>
          <w:color w:val="000000"/>
          <w:sz w:val="24"/>
        </w:rPr>
        <w:t xml:space="preserve"> </w:t>
      </w:r>
      <w:r>
        <w:rPr>
          <w:rFonts w:ascii="Arial"/>
          <w:color w:val="000000"/>
          <w:sz w:val="24"/>
        </w:rPr>
        <w:t>view</w:t>
      </w:r>
      <w:r>
        <w:rPr>
          <w:rFonts w:ascii="Arial"/>
          <w:color w:val="000000"/>
          <w:sz w:val="24"/>
        </w:rPr>
        <w:t xml:space="preserve"> </w:t>
      </w:r>
      <w:r>
        <w:rPr>
          <w:rFonts w:ascii="Arial"/>
          <w:color w:val="000000"/>
          <w:sz w:val="24"/>
        </w:rPr>
        <w:t xml:space="preserve">and </w:t>
      </w:r>
      <w:r>
        <w:rPr>
          <w:rFonts w:ascii="Arial"/>
          <w:color w:val="000000"/>
          <w:sz w:val="24"/>
        </w:rPr>
        <w:t xml:space="preserve">requested </w:t>
      </w:r>
      <w:r>
        <w:rPr>
          <w:rFonts w:ascii="Arial"/>
          <w:color w:val="000000"/>
          <w:sz w:val="24"/>
        </w:rPr>
        <w:t xml:space="preserve">that the </w:t>
      </w:r>
      <w:r>
        <w:rPr>
          <w:rFonts w:ascii="Arial"/>
          <w:color w:val="000000"/>
          <w:sz w:val="24"/>
        </w:rPr>
        <w:t>Court determine the</w:t>
      </w:r>
      <w:r>
        <w:rPr>
          <w:rFonts w:ascii="Arial"/>
          <w:color w:val="000000"/>
          <w:sz w:val="24"/>
        </w:rPr>
        <w:t xml:space="preserve"> </w:t>
      </w:r>
      <w:r>
        <w:rPr>
          <w:rFonts w:ascii="Arial"/>
          <w:color w:val="000000"/>
          <w:sz w:val="24"/>
        </w:rPr>
        <w:t>appeal</w:t>
      </w:r>
      <w:r>
        <w:rPr>
          <w:rFonts w:ascii="Arial"/>
          <w:color w:val="000000"/>
          <w:sz w:val="24"/>
        </w:rPr>
        <w:t>s</w:t>
      </w:r>
      <w:r>
        <w:rPr>
          <w:rFonts w:ascii="Arial"/>
          <w:color w:val="000000"/>
          <w:sz w:val="24"/>
        </w:rPr>
        <w:t xml:space="preserve"> </w:t>
      </w:r>
      <w:r>
        <w:rPr>
          <w:rFonts w:ascii="Arial"/>
          <w:color w:val="000000"/>
          <w:sz w:val="24"/>
        </w:rPr>
        <w:t>by way o</w:t>
      </w:r>
      <w:r>
        <w:rPr>
          <w:rFonts w:ascii="Arial"/>
          <w:color w:val="000000"/>
          <w:sz w:val="24"/>
        </w:rPr>
        <w:t xml:space="preserve">f a dismissal of </w:t>
      </w:r>
      <w:r>
        <w:rPr>
          <w:rFonts w:ascii="Arial"/>
          <w:color w:val="000000"/>
          <w:sz w:val="24"/>
        </w:rPr>
        <w:t>the BIC</w:t>
      </w:r>
      <w:r>
        <w:rPr>
          <w:rFonts w:ascii="Arial"/>
          <w:color w:val="000000"/>
          <w:sz w:val="24"/>
        </w:rPr>
        <w:t xml:space="preserve"> </w:t>
      </w:r>
      <w:r>
        <w:rPr>
          <w:rFonts w:ascii="Arial"/>
          <w:color w:val="000000"/>
          <w:sz w:val="24"/>
        </w:rPr>
        <w:t>appeal and</w:t>
      </w:r>
      <w:r>
        <w:rPr>
          <w:rFonts w:ascii="Arial"/>
          <w:color w:val="000000"/>
          <w:sz w:val="24"/>
        </w:rPr>
        <w:t xml:space="preserve"> </w:t>
      </w:r>
      <w:r>
        <w:rPr>
          <w:rFonts w:ascii="Arial"/>
          <w:color w:val="000000"/>
          <w:sz w:val="24"/>
        </w:rPr>
        <w:t>agreement under s 34</w:t>
      </w:r>
      <w:r>
        <w:rPr>
          <w:rFonts w:ascii="Arial"/>
          <w:color w:val="000000"/>
          <w:sz w:val="24"/>
        </w:rPr>
        <w:t>(3)</w:t>
      </w:r>
      <w:r>
        <w:rPr>
          <w:rFonts w:ascii="Arial"/>
          <w:color w:val="000000"/>
          <w:sz w:val="24"/>
        </w:rPr>
        <w:t xml:space="preserve"> </w:t>
      </w:r>
      <w:r>
        <w:rPr>
          <w:rFonts w:ascii="Arial"/>
          <w:color w:val="000000"/>
          <w:sz w:val="24"/>
        </w:rPr>
        <w:t>of the LEC Act</w:t>
      </w:r>
      <w:r>
        <w:rPr>
          <w:rFonts w:ascii="Arial"/>
          <w:color w:val="000000"/>
          <w:sz w:val="24"/>
        </w:rPr>
        <w:t xml:space="preserve"> </w:t>
      </w:r>
      <w:r>
        <w:rPr>
          <w:rFonts w:ascii="Arial"/>
          <w:color w:val="000000"/>
          <w:sz w:val="24"/>
        </w:rPr>
        <w:t xml:space="preserve">of the </w:t>
      </w:r>
      <w:r>
        <w:rPr>
          <w:rFonts w:ascii="Arial"/>
          <w:color w:val="000000"/>
          <w:sz w:val="24"/>
        </w:rPr>
        <w:t>DA</w:t>
      </w:r>
      <w:r>
        <w:rPr>
          <w:rFonts w:ascii="Arial"/>
          <w:color w:val="000000"/>
          <w:sz w:val="24"/>
        </w:rPr>
        <w:t xml:space="preserve"> </w:t>
      </w:r>
      <w:r>
        <w:rPr>
          <w:rFonts w:ascii="Arial"/>
          <w:color w:val="000000"/>
          <w:sz w:val="24"/>
        </w:rPr>
        <w:t>appeal</w:t>
      </w:r>
      <w:r>
        <w:rPr>
          <w:rFonts w:ascii="Arial"/>
          <w:color w:val="000000"/>
          <w:sz w:val="24"/>
        </w:rPr>
        <w:t>.</w:t>
      </w:r>
      <w:r>
        <w:rPr>
          <w:rFonts w:ascii="Arial"/>
          <w:color w:val="000000"/>
          <w:sz w:val="24"/>
        </w:rPr>
        <w:t xml:space="preserve"> </w:t>
      </w:r>
      <w:r>
        <w:rPr>
          <w:rFonts w:ascii="Arial"/>
          <w:color w:val="000000"/>
          <w:sz w:val="24"/>
        </w:rPr>
        <w:t>The Court was satisfied that this was appropriate in the circumstances an</w:t>
      </w:r>
      <w:r>
        <w:rPr>
          <w:rFonts w:ascii="Arial"/>
          <w:color w:val="000000"/>
          <w:sz w:val="24"/>
        </w:rPr>
        <w:t xml:space="preserve">d </w:t>
      </w:r>
      <w:r>
        <w:rPr>
          <w:rFonts w:ascii="Arial"/>
          <w:color w:val="000000"/>
          <w:sz w:val="24"/>
        </w:rPr>
        <w:t>the hearing proceed</w:t>
      </w:r>
      <w:r>
        <w:rPr>
          <w:rFonts w:ascii="Arial"/>
          <w:color w:val="000000"/>
          <w:sz w:val="24"/>
        </w:rPr>
        <w:t>ed</w:t>
      </w:r>
      <w:r>
        <w:rPr>
          <w:rFonts w:ascii="Arial"/>
          <w:color w:val="000000"/>
          <w:sz w:val="24"/>
        </w:rPr>
        <w:t xml:space="preserve"> </w:t>
      </w:r>
      <w:r>
        <w:rPr>
          <w:rFonts w:ascii="Arial"/>
          <w:color w:val="000000"/>
          <w:sz w:val="24"/>
        </w:rPr>
        <w:t>based on the s 34 agreement</w:t>
      </w:r>
      <w:r>
        <w:rPr>
          <w:rFonts w:ascii="Arial"/>
          <w:color w:val="000000"/>
          <w:sz w:val="24"/>
        </w:rPr>
        <w:t>,</w:t>
      </w:r>
      <w:r>
        <w:rPr>
          <w:rFonts w:ascii="Arial"/>
          <w:color w:val="000000"/>
          <w:sz w:val="24"/>
        </w:rPr>
        <w:t xml:space="preserve"> </w:t>
      </w:r>
      <w:r>
        <w:rPr>
          <w:rFonts w:ascii="Arial"/>
          <w:color w:val="000000"/>
          <w:sz w:val="24"/>
        </w:rPr>
        <w:t xml:space="preserve">agreed </w:t>
      </w:r>
      <w:r>
        <w:rPr>
          <w:rFonts w:ascii="Arial"/>
          <w:color w:val="000000"/>
          <w:sz w:val="24"/>
        </w:rPr>
        <w:t>orders</w:t>
      </w:r>
      <w:r>
        <w:rPr>
          <w:rFonts w:ascii="Arial"/>
          <w:color w:val="000000"/>
          <w:sz w:val="24"/>
        </w:rPr>
        <w:t xml:space="preserve">, </w:t>
      </w:r>
      <w:r>
        <w:rPr>
          <w:rFonts w:ascii="Arial"/>
          <w:color w:val="000000"/>
          <w:sz w:val="24"/>
        </w:rPr>
        <w:t>J</w:t>
      </w:r>
      <w:r>
        <w:rPr>
          <w:rFonts w:ascii="Arial"/>
          <w:color w:val="000000"/>
          <w:sz w:val="24"/>
        </w:rPr>
        <w:t>urisdictional</w:t>
      </w:r>
      <w:r>
        <w:rPr>
          <w:rFonts w:ascii="Arial"/>
          <w:color w:val="000000"/>
          <w:sz w:val="24"/>
        </w:rPr>
        <w:t xml:space="preserve"> </w:t>
      </w:r>
      <w:r>
        <w:rPr>
          <w:rFonts w:ascii="Arial"/>
          <w:color w:val="000000"/>
          <w:sz w:val="24"/>
        </w:rPr>
        <w:t>Statement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agreed </w:t>
      </w:r>
      <w:r>
        <w:rPr>
          <w:rFonts w:ascii="Arial"/>
          <w:color w:val="000000"/>
          <w:sz w:val="24"/>
        </w:rPr>
        <w:t>c</w:t>
      </w:r>
      <w:r>
        <w:rPr>
          <w:rFonts w:ascii="Arial"/>
          <w:color w:val="000000"/>
          <w:sz w:val="24"/>
        </w:rPr>
        <w:t xml:space="preserve">onditions of consent </w:t>
      </w:r>
      <w:r>
        <w:rPr>
          <w:rFonts w:ascii="Arial"/>
          <w:color w:val="000000"/>
          <w:sz w:val="24"/>
        </w:rPr>
        <w:t xml:space="preserve">(Agreed Conditions) </w:t>
      </w:r>
      <w:r>
        <w:rPr>
          <w:rFonts w:ascii="Arial"/>
          <w:color w:val="000000"/>
          <w:sz w:val="24"/>
        </w:rPr>
        <w:t>as follows.</w:t>
      </w:r>
    </w:p>
    <w:p>
      <w:pPr>
        <w:pStyle w:val="CaselawNumbered10"/>
        <w:numPr>
          <w:ilvl w:val="0"/>
          <w:numId w:val="22"/>
        </w:numPr>
        <w:spacing w:before="150" w:after="0"/>
        <w:ind w:left="600" w:hanging="600"/>
      </w:pPr>
      <w:r>
        <w:rPr>
          <w:rFonts w:ascii="Arial"/>
          <w:color w:val="000000"/>
          <w:sz w:val="24"/>
        </w:rPr>
        <w:t xml:space="preserve">The agreed position is for the Court to </w:t>
      </w:r>
      <w:r>
        <w:rPr>
          <w:rFonts w:ascii="Arial"/>
          <w:color w:val="000000"/>
          <w:sz w:val="24"/>
        </w:rPr>
        <w:t>dismiss the BIC appeal</w:t>
      </w:r>
      <w:r>
        <w:rPr>
          <w:rFonts w:ascii="Arial"/>
          <w:color w:val="000000"/>
          <w:sz w:val="24"/>
        </w:rPr>
        <w:t xml:space="preserve">, </w:t>
      </w:r>
      <w:r>
        <w:rPr>
          <w:rFonts w:ascii="Arial"/>
          <w:color w:val="000000"/>
          <w:sz w:val="24"/>
        </w:rPr>
        <w:t xml:space="preserve">uphold the </w:t>
      </w:r>
      <w:r>
        <w:rPr>
          <w:rFonts w:ascii="Arial"/>
          <w:color w:val="000000"/>
          <w:sz w:val="24"/>
        </w:rPr>
        <w:t>C</w:t>
      </w:r>
      <w:r>
        <w:rPr>
          <w:rFonts w:ascii="Arial"/>
          <w:color w:val="000000"/>
          <w:sz w:val="24"/>
        </w:rPr>
        <w:t xml:space="preserve">lass 1 </w:t>
      </w:r>
      <w:r>
        <w:rPr>
          <w:rFonts w:ascii="Arial"/>
          <w:color w:val="000000"/>
          <w:sz w:val="24"/>
        </w:rPr>
        <w:t xml:space="preserve">DA </w:t>
      </w:r>
      <w:r>
        <w:rPr>
          <w:rFonts w:ascii="Arial"/>
          <w:color w:val="000000"/>
          <w:sz w:val="24"/>
        </w:rPr>
        <w:t>appeal</w:t>
      </w:r>
      <w:r>
        <w:rPr>
          <w:rFonts w:ascii="Arial"/>
          <w:color w:val="000000"/>
          <w:sz w:val="24"/>
        </w:rPr>
        <w:t xml:space="preserve"> </w:t>
      </w:r>
      <w:r>
        <w:rPr>
          <w:rFonts w:ascii="Arial"/>
          <w:color w:val="000000"/>
          <w:sz w:val="24"/>
        </w:rPr>
        <w:t xml:space="preserve">and grant development consent to </w:t>
      </w:r>
      <w:r>
        <w:rPr>
          <w:rFonts w:ascii="Arial"/>
          <w:color w:val="000000"/>
          <w:sz w:val="24"/>
        </w:rPr>
        <w:t xml:space="preserve">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 xml:space="preserve">evelopment </w:t>
      </w:r>
      <w:r>
        <w:rPr>
          <w:rFonts w:ascii="Arial"/>
          <w:color w:val="000000"/>
          <w:sz w:val="24"/>
        </w:rPr>
        <w:t>with conditions</w:t>
      </w:r>
      <w:r>
        <w:rPr>
          <w:rFonts w:ascii="Arial"/>
          <w:color w:val="000000"/>
          <w:sz w:val="24"/>
        </w:rPr>
        <w:t xml:space="preserve"> </w:t>
      </w:r>
      <w:r>
        <w:rPr>
          <w:rFonts w:ascii="Arial"/>
          <w:color w:val="000000"/>
          <w:sz w:val="24"/>
        </w:rPr>
        <w:t xml:space="preserve">at </w:t>
      </w:r>
      <w:r>
        <w:rPr>
          <w:rFonts w:ascii="Arial"/>
          <w:color w:val="000000"/>
          <w:sz w:val="24"/>
        </w:rPr>
        <w:t>Annexure A.</w:t>
      </w:r>
    </w:p>
    <w:p>
      <w:pPr>
        <w:pStyle w:val="CaselawNumbered10"/>
        <w:numPr>
          <w:ilvl w:val="0"/>
          <w:numId w:val="22"/>
        </w:numPr>
        <w:spacing w:before="150" w:after="0"/>
        <w:ind w:left="600" w:hanging="600"/>
      </w:pPr>
      <w:r>
        <w:rPr>
          <w:rFonts w:ascii="Arial"/>
          <w:color w:val="000000"/>
          <w:sz w:val="24"/>
        </w:rPr>
        <w:t xml:space="preserve">The </w:t>
      </w:r>
      <w:r>
        <w:rPr>
          <w:rFonts w:ascii="Arial"/>
          <w:color w:val="000000"/>
          <w:sz w:val="24"/>
        </w:rPr>
        <w:t>Development Application DA-1028/2022 (</w:t>
      </w:r>
      <w:r>
        <w:rPr>
          <w:rFonts w:ascii="Arial"/>
          <w:color w:val="000000"/>
          <w:sz w:val="24"/>
        </w:rPr>
        <w:t>DA</w:t>
      </w:r>
      <w:r>
        <w:rPr>
          <w:rFonts w:ascii="Arial"/>
          <w:color w:val="000000"/>
          <w:sz w:val="24"/>
        </w:rPr>
        <w:t>)</w:t>
      </w:r>
      <w:r>
        <w:rPr>
          <w:rFonts w:ascii="Arial"/>
          <w:color w:val="000000"/>
          <w:sz w:val="24"/>
        </w:rPr>
        <w:t xml:space="preserve"> </w:t>
      </w:r>
      <w:r>
        <w:rPr>
          <w:rFonts w:ascii="Arial"/>
          <w:color w:val="000000"/>
          <w:sz w:val="24"/>
        </w:rPr>
        <w:t xml:space="preserve">seeks development consent for alterations and additions to the approved (and partially constructed) dwelling including proposed swimming pool, lift and modified entry/stair, use of existing structures and landscape works within the front setback of the </w:t>
      </w:r>
      <w:r>
        <w:rPr>
          <w:rFonts w:ascii="Arial"/>
          <w:color w:val="000000"/>
          <w:sz w:val="24"/>
        </w:rPr>
        <w:t>Site</w:t>
      </w:r>
      <w:r>
        <w:rPr>
          <w:rFonts w:ascii="Arial"/>
          <w:color w:val="000000"/>
          <w:sz w:val="24"/>
        </w:rPr>
        <w:t xml:space="preserve"> </w:t>
      </w:r>
      <w:r>
        <w:rPr>
          <w:rFonts w:ascii="Arial"/>
          <w:color w:val="000000"/>
          <w:sz w:val="24"/>
        </w:rPr>
        <w:t xml:space="preserve">(Proposed Development) </w:t>
      </w:r>
      <w:r>
        <w:rPr>
          <w:rFonts w:ascii="Arial"/>
          <w:color w:val="000000"/>
          <w:sz w:val="24"/>
        </w:rPr>
        <w:t>at 12 Riverview Street, Earlwood</w:t>
      </w:r>
      <w:r>
        <w:rPr>
          <w:rFonts w:ascii="Arial"/>
          <w:color w:val="000000"/>
          <w:sz w:val="24"/>
        </w:rPr>
        <w:t>.</w:t>
      </w:r>
    </w:p>
    <w:p>
      <w:pPr>
        <w:pStyle w:val="CaselawHeading2"/>
        <w:keepNext/>
        <w:spacing w:before="150" w:after="150" w:line="264"/>
        <w:ind w:left="0"/>
        <w:jc w:val="left"/>
      </w:pPr>
      <w:r>
        <w:rPr>
          <w:rFonts w:ascii="Arial"/>
        </w:rPr>
        <w:t>BIC Proceedings</w:t>
      </w:r>
    </w:p>
    <w:p>
      <w:pPr>
        <w:pStyle w:val="CaselawNumbered10"/>
        <w:numPr>
          <w:ilvl w:val="0"/>
          <w:numId w:val="23"/>
        </w:numPr>
        <w:spacing w:before="150" w:after="0"/>
        <w:ind w:left="600" w:hanging="600"/>
      </w:pPr>
      <w:r>
        <w:rPr>
          <w:rFonts w:ascii="Arial"/>
          <w:color w:val="000000"/>
          <w:sz w:val="24"/>
        </w:rPr>
        <w:t xml:space="preserve">The </w:t>
      </w:r>
      <w:r>
        <w:rPr>
          <w:rFonts w:ascii="Arial"/>
          <w:color w:val="000000"/>
          <w:sz w:val="24"/>
        </w:rPr>
        <w:t>p</w:t>
      </w:r>
      <w:r>
        <w:rPr>
          <w:rFonts w:ascii="Arial"/>
          <w:color w:val="000000"/>
          <w:sz w:val="24"/>
        </w:rPr>
        <w:t xml:space="preserve">arties have agreed that the BIC Proceedings are to be dismissed, with conditions of consent in the </w:t>
      </w:r>
      <w:r>
        <w:rPr>
          <w:rFonts w:ascii="Arial"/>
          <w:color w:val="000000"/>
          <w:sz w:val="24"/>
        </w:rPr>
        <w:t>DA Proceedings that</w:t>
      </w:r>
      <w:r>
        <w:rPr>
          <w:rFonts w:ascii="Arial"/>
          <w:color w:val="000000"/>
          <w:sz w:val="24"/>
        </w:rPr>
        <w:t xml:space="preserve"> </w:t>
      </w:r>
      <w:r>
        <w:rPr>
          <w:rFonts w:ascii="Arial"/>
          <w:color w:val="000000"/>
          <w:sz w:val="24"/>
        </w:rPr>
        <w:t xml:space="preserve">require a new BIC to be lodged with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once the demolitions shown on the approved plans have been carried out (see condition 19 of the </w:t>
      </w:r>
      <w:r>
        <w:rPr>
          <w:rFonts w:ascii="Arial"/>
          <w:color w:val="000000"/>
          <w:sz w:val="24"/>
        </w:rPr>
        <w:t>Agreed Conditions).</w:t>
      </w:r>
    </w:p>
    <w:p>
      <w:pPr>
        <w:pStyle w:val="CaselawNumbered10"/>
        <w:numPr>
          <w:ilvl w:val="0"/>
          <w:numId w:val="23"/>
        </w:numPr>
        <w:spacing w:before="150" w:after="0"/>
        <w:ind w:left="600" w:hanging="600"/>
      </w:pPr>
      <w:r>
        <w:rPr>
          <w:rFonts w:ascii="Arial"/>
          <w:color w:val="000000"/>
          <w:sz w:val="24"/>
        </w:rPr>
        <w:t>The approval of the</w:t>
      </w:r>
      <w:r>
        <w:rPr>
          <w:rFonts w:ascii="Arial"/>
          <w:color w:val="000000"/>
          <w:sz w:val="24"/>
        </w:rPr>
        <w:t xml:space="preserve"> </w:t>
      </w:r>
      <w:r>
        <w:rPr>
          <w:rFonts w:ascii="Arial"/>
          <w:color w:val="000000"/>
          <w:sz w:val="24"/>
        </w:rPr>
        <w:t>new</w:t>
      </w:r>
      <w:r>
        <w:rPr>
          <w:rFonts w:ascii="Arial"/>
          <w:color w:val="000000"/>
          <w:sz w:val="24"/>
        </w:rPr>
        <w:t xml:space="preserve"> </w:t>
      </w:r>
      <w:r>
        <w:rPr>
          <w:rFonts w:ascii="Arial"/>
          <w:color w:val="000000"/>
          <w:sz w:val="24"/>
        </w:rPr>
        <w:t xml:space="preserve">BIC will be required before any construction certificate is issued for the construction of the development subject of the </w:t>
      </w:r>
      <w:r>
        <w:rPr>
          <w:rFonts w:ascii="Arial"/>
          <w:color w:val="000000"/>
          <w:sz w:val="24"/>
        </w:rPr>
        <w:t>DA Proceedings</w:t>
      </w:r>
      <w:r>
        <w:rPr>
          <w:rFonts w:ascii="Arial"/>
          <w:color w:val="000000"/>
          <w:sz w:val="24"/>
        </w:rPr>
        <w:t xml:space="preserve"> </w:t>
      </w:r>
      <w:r>
        <w:rPr>
          <w:rFonts w:ascii="Arial"/>
          <w:color w:val="000000"/>
          <w:sz w:val="24"/>
        </w:rPr>
        <w:t xml:space="preserve">(see condition 19 of the </w:t>
      </w:r>
      <w:r>
        <w:rPr>
          <w:rFonts w:ascii="Arial"/>
          <w:color w:val="000000"/>
          <w:sz w:val="24"/>
        </w:rPr>
        <w:t>Agreed Conditions</w:t>
      </w:r>
      <w:r>
        <w:rPr>
          <w:rFonts w:ascii="Arial"/>
          <w:color w:val="000000"/>
          <w:sz w:val="24"/>
        </w:rPr>
        <w:t>).</w:t>
      </w:r>
    </w:p>
    <w:p>
      <w:pPr>
        <w:pStyle w:val="CaselawHeading2"/>
        <w:keepNext/>
        <w:spacing w:before="150" w:after="150" w:line="264"/>
        <w:ind w:left="0"/>
        <w:jc w:val="left"/>
      </w:pPr>
      <w:r>
        <w:rPr>
          <w:rFonts w:ascii="Arial"/>
        </w:rPr>
        <w:t>The Site</w:t>
      </w:r>
    </w:p>
    <w:p>
      <w:pPr>
        <w:pStyle w:val="CaselawNumbered10"/>
        <w:numPr>
          <w:ilvl w:val="0"/>
          <w:numId w:val="24"/>
        </w:numPr>
        <w:spacing w:before="150" w:after="0"/>
        <w:ind w:left="600" w:hanging="600"/>
      </w:pPr>
      <w:r>
        <w:rPr>
          <w:rFonts w:ascii="Arial"/>
          <w:color w:val="000000"/>
          <w:sz w:val="24"/>
        </w:rPr>
        <w:t xml:space="preserve">The Site is identified as </w:t>
      </w:r>
      <w:r>
        <w:rPr>
          <w:rFonts w:ascii="Arial"/>
          <w:color w:val="000000"/>
          <w:sz w:val="24"/>
        </w:rPr>
        <w:t xml:space="preserve">12 Riverwood Road, Earlwood (Lot B DP 420152) </w:t>
      </w:r>
      <w:r>
        <w:rPr>
          <w:rFonts w:ascii="Arial"/>
          <w:color w:val="000000"/>
          <w:sz w:val="24"/>
        </w:rPr>
        <w:t xml:space="preserve">and is zoned R2 </w:t>
      </w:r>
      <w:r>
        <w:rPr>
          <w:rFonts w:ascii="Arial"/>
          <w:color w:val="000000"/>
          <w:sz w:val="24"/>
        </w:rPr>
        <w:t xml:space="preserve">– </w:t>
      </w:r>
      <w:r>
        <w:rPr>
          <w:rFonts w:ascii="Arial"/>
          <w:color w:val="000000"/>
          <w:sz w:val="24"/>
        </w:rPr>
        <w:t xml:space="preserve">Low Density Residential. </w:t>
      </w:r>
      <w:r>
        <w:rPr>
          <w:rFonts w:ascii="Arial"/>
          <w:color w:val="000000"/>
          <w:sz w:val="24"/>
        </w:rPr>
        <w:t>The Site is on the sou</w:t>
      </w:r>
      <w:r>
        <w:rPr>
          <w:rFonts w:ascii="Arial"/>
          <w:color w:val="000000"/>
          <w:sz w:val="24"/>
        </w:rPr>
        <w:t>thern side of Riverview Road, is of a regular shape and has a</w:t>
      </w:r>
      <w:r>
        <w:rPr>
          <w:rFonts w:ascii="Arial"/>
          <w:color w:val="000000"/>
          <w:sz w:val="24"/>
        </w:rPr>
        <w:t>n</w:t>
      </w:r>
      <w:r>
        <w:rPr>
          <w:rFonts w:ascii="Arial"/>
          <w:color w:val="000000"/>
          <w:sz w:val="24"/>
        </w:rPr>
        <w:t xml:space="preserve"> </w:t>
      </w:r>
      <w:r>
        <w:rPr>
          <w:rFonts w:ascii="Arial"/>
          <w:color w:val="000000"/>
          <w:sz w:val="24"/>
        </w:rPr>
        <w:t>overall site area of 531.3 sq</w:t>
      </w:r>
      <w:r>
        <w:rPr>
          <w:rFonts w:ascii="Arial"/>
          <w:color w:val="000000"/>
          <w:sz w:val="24"/>
        </w:rPr>
        <w:t>uare</w:t>
      </w:r>
      <w:r>
        <w:rPr>
          <w:rFonts w:ascii="Arial"/>
          <w:color w:val="000000"/>
          <w:sz w:val="24"/>
        </w:rPr>
        <w:t xml:space="preserve"> </w:t>
      </w:r>
      <w:r>
        <w:rPr>
          <w:rFonts w:ascii="Arial"/>
          <w:color w:val="000000"/>
          <w:sz w:val="24"/>
        </w:rPr>
        <w:t>m</w:t>
      </w:r>
      <w:r>
        <w:rPr>
          <w:rFonts w:ascii="Arial"/>
          <w:color w:val="000000"/>
          <w:sz w:val="24"/>
        </w:rPr>
        <w:t>etres.</w:t>
      </w:r>
    </w:p>
    <w:p>
      <w:pPr>
        <w:pStyle w:val="CaselawNumbered10"/>
        <w:numPr>
          <w:ilvl w:val="0"/>
          <w:numId w:val="24"/>
        </w:numPr>
        <w:spacing w:before="150" w:after="0"/>
        <w:ind w:left="600" w:hanging="600"/>
      </w:pPr>
      <w:r>
        <w:rPr>
          <w:rFonts w:ascii="Arial"/>
          <w:color w:val="000000"/>
          <w:sz w:val="24"/>
        </w:rPr>
        <w:t xml:space="preserve">Of significance is </w:t>
      </w:r>
      <w:r>
        <w:rPr>
          <w:rFonts w:ascii="Arial"/>
          <w:color w:val="000000"/>
          <w:sz w:val="24"/>
        </w:rPr>
        <w:t xml:space="preserve">that the Site occupies a rock embankment and slopes </w:t>
      </w:r>
      <w:r>
        <w:rPr>
          <w:rFonts w:ascii="Arial"/>
          <w:color w:val="000000"/>
          <w:sz w:val="24"/>
        </w:rPr>
        <w:t>significantly</w:t>
      </w:r>
      <w:r>
        <w:rPr>
          <w:rFonts w:ascii="Arial"/>
          <w:color w:val="000000"/>
          <w:sz w:val="24"/>
        </w:rPr>
        <w:t xml:space="preserve"> </w:t>
      </w:r>
      <w:r>
        <w:rPr>
          <w:rFonts w:ascii="Arial"/>
          <w:color w:val="000000"/>
          <w:sz w:val="24"/>
        </w:rPr>
        <w:t xml:space="preserve">from south to north towards the Cooks River with a total fall </w:t>
      </w:r>
      <w:r>
        <w:rPr>
          <w:rFonts w:ascii="Arial"/>
          <w:color w:val="000000"/>
          <w:sz w:val="24"/>
        </w:rPr>
        <w:t>of 15</w:t>
      </w:r>
      <w:r>
        <w:rPr>
          <w:rFonts w:ascii="Arial"/>
          <w:color w:val="000000"/>
          <w:sz w:val="24"/>
        </w:rPr>
        <w:t xml:space="preserve"> </w:t>
      </w:r>
      <w:r>
        <w:rPr>
          <w:rFonts w:ascii="Arial"/>
          <w:color w:val="000000"/>
          <w:sz w:val="24"/>
        </w:rPr>
        <w:t>m</w:t>
      </w:r>
      <w:r>
        <w:rPr>
          <w:rFonts w:ascii="Arial"/>
          <w:color w:val="000000"/>
          <w:sz w:val="24"/>
        </w:rPr>
        <w:t>etres</w:t>
      </w:r>
      <w:r>
        <w:rPr>
          <w:rFonts w:ascii="Arial"/>
          <w:color w:val="000000"/>
          <w:sz w:val="24"/>
        </w:rPr>
        <w:t xml:space="preserve"> </w:t>
      </w:r>
      <w:r>
        <w:rPr>
          <w:rFonts w:ascii="Arial"/>
          <w:color w:val="000000"/>
          <w:sz w:val="24"/>
        </w:rPr>
        <w:t xml:space="preserve">from the rear boundary (RL24.0) </w:t>
      </w:r>
      <w:r>
        <w:rPr>
          <w:rFonts w:ascii="Arial"/>
          <w:color w:val="000000"/>
          <w:sz w:val="24"/>
        </w:rPr>
        <w:t>to Riverview Road (RL9.0).</w:t>
      </w:r>
      <w:r>
        <w:rPr>
          <w:rFonts w:ascii="Arial"/>
          <w:color w:val="000000"/>
          <w:sz w:val="24"/>
        </w:rPr>
        <w:t xml:space="preserve"> </w:t>
      </w:r>
      <w:r>
        <w:rPr>
          <w:rFonts w:ascii="Arial"/>
          <w:color w:val="000000"/>
          <w:sz w:val="24"/>
        </w:rPr>
        <w:t>See Figure 3 from the Council</w:t>
      </w:r>
      <w:r>
        <w:rPr>
          <w:rFonts w:ascii="Arial"/>
          <w:color w:val="000000"/>
          <w:sz w:val="24"/>
        </w:rPr>
        <w:t>’</w:t>
      </w:r>
      <w:r>
        <w:rPr>
          <w:rFonts w:ascii="Arial"/>
          <w:color w:val="000000"/>
          <w:sz w:val="24"/>
        </w:rPr>
        <w:t xml:space="preserve">s SOFAC below. </w:t>
      </w:r>
      <w:r>
        <w:rPr>
          <w:rFonts w:ascii="Arial"/>
          <w:color w:val="000000"/>
          <w:sz w:val="24"/>
        </w:rPr>
        <w:t xml:space="preserve">There is currently no </w:t>
      </w:r>
      <w:r>
        <w:rPr>
          <w:rFonts w:ascii="Arial"/>
          <w:color w:val="000000"/>
          <w:sz w:val="24"/>
        </w:rPr>
        <w:t xml:space="preserve">formal </w:t>
      </w:r>
      <w:r>
        <w:rPr>
          <w:rFonts w:ascii="Arial"/>
          <w:color w:val="000000"/>
          <w:sz w:val="24"/>
        </w:rPr>
        <w:t>access to what remains of the existing premises</w:t>
      </w:r>
      <w:r>
        <w:rPr>
          <w:rFonts w:ascii="Arial"/>
          <w:color w:val="000000"/>
          <w:sz w:val="24"/>
        </w:rPr>
        <w:t>.</w:t>
      </w:r>
    </w:p>
    <w:p>
      <w:pPr>
        <w:pStyle w:val="CaselawNormal"/>
        <w:spacing w:before="150" w:after="150"/>
        <w:ind w:left="600"/>
        <w:jc w:val="left"/>
      </w:pPr>
      <w:r>
        <w:drawing>
          <wp:inline distT="0" distB="0" distL="0" distR="0">
            <wp:extent cx="5638800" cy="3568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638800" cy="3568700"/>
                    </a:xfrm>
                    <a:prstGeom prst="rect">
                      <a:avLst/>
                    </a:prstGeom>
                  </pic:spPr>
                </pic:pic>
              </a:graphicData>
            </a:graphic>
          </wp:inline>
        </w:drawing>
      </w:r>
      <w:r>
        <w:rPr>
          <w:rFonts w:ascii="Arial"/>
          <w:color w:val="000000"/>
          <w:sz w:val="24"/>
        </w:rPr>
        <w:t xml:space="preserve"> </w:t>
      </w:r>
    </w:p>
    <w:p>
      <w:pPr>
        <w:pStyle w:val="CaselawHeading3"/>
        <w:keepNext/>
        <w:spacing w:before="150" w:after="150" w:line="264"/>
        <w:ind w:left="0"/>
        <w:jc w:val="left"/>
      </w:pPr>
      <w:r>
        <w:rPr>
          <w:rFonts w:ascii="Arial"/>
        </w:rPr>
        <w:t xml:space="preserve">History </w:t>
      </w:r>
      <w:r>
        <w:rPr>
          <w:rFonts w:ascii="Arial"/>
        </w:rPr>
        <w:t>of the development</w:t>
      </w:r>
    </w:p>
    <w:p>
      <w:pPr>
        <w:pStyle w:val="CaselawNumbered10"/>
        <w:numPr>
          <w:ilvl w:val="0"/>
          <w:numId w:val="25"/>
        </w:numPr>
        <w:spacing w:before="150" w:after="0"/>
        <w:ind w:left="600" w:hanging="600"/>
      </w:pPr>
      <w:r>
        <w:rPr>
          <w:rFonts w:ascii="Arial"/>
          <w:color w:val="000000"/>
          <w:sz w:val="24"/>
        </w:rPr>
        <w:t xml:space="preserve">Development </w:t>
      </w:r>
      <w:r>
        <w:rPr>
          <w:rFonts w:ascii="Arial"/>
          <w:color w:val="000000"/>
          <w:sz w:val="24"/>
        </w:rPr>
        <w:t xml:space="preserve">and works </w:t>
      </w:r>
      <w:r>
        <w:rPr>
          <w:rFonts w:ascii="Arial"/>
          <w:color w:val="000000"/>
          <w:sz w:val="24"/>
        </w:rPr>
        <w:t>on the Site ha</w:t>
      </w:r>
      <w:r>
        <w:rPr>
          <w:rFonts w:ascii="Arial"/>
          <w:color w:val="000000"/>
          <w:sz w:val="24"/>
        </w:rPr>
        <w:t>ve</w:t>
      </w:r>
      <w:r>
        <w:rPr>
          <w:rFonts w:ascii="Arial"/>
          <w:color w:val="000000"/>
          <w:sz w:val="24"/>
        </w:rPr>
        <w:t xml:space="preserve"> </w:t>
      </w:r>
      <w:r>
        <w:rPr>
          <w:rFonts w:ascii="Arial"/>
          <w:color w:val="000000"/>
          <w:sz w:val="24"/>
        </w:rPr>
        <w:t xml:space="preserve">a long history </w:t>
      </w:r>
      <w:r>
        <w:rPr>
          <w:rFonts w:ascii="Arial"/>
          <w:color w:val="000000"/>
          <w:sz w:val="24"/>
        </w:rPr>
        <w:t>dating back to 200</w:t>
      </w:r>
      <w:r>
        <w:rPr>
          <w:rFonts w:ascii="Arial"/>
          <w:color w:val="000000"/>
          <w:sz w:val="24"/>
        </w:rPr>
        <w:t xml:space="preserve">3. It is not necessary for me to repeat </w:t>
      </w:r>
      <w:r>
        <w:rPr>
          <w:rFonts w:ascii="Arial"/>
          <w:color w:val="000000"/>
          <w:sz w:val="24"/>
        </w:rPr>
        <w:t>th</w:t>
      </w:r>
      <w:r>
        <w:rPr>
          <w:rFonts w:ascii="Arial"/>
          <w:color w:val="000000"/>
          <w:sz w:val="24"/>
        </w:rPr>
        <w:t>e entire</w:t>
      </w:r>
      <w:r>
        <w:rPr>
          <w:rFonts w:ascii="Arial"/>
          <w:color w:val="000000"/>
          <w:sz w:val="24"/>
        </w:rPr>
        <w:t xml:space="preserve"> </w:t>
      </w:r>
      <w:r>
        <w:rPr>
          <w:rFonts w:ascii="Arial"/>
          <w:color w:val="000000"/>
          <w:sz w:val="24"/>
        </w:rPr>
        <w:t>history which is set out in the parties</w:t>
      </w:r>
      <w:r>
        <w:rPr>
          <w:rFonts w:ascii="Arial"/>
          <w:color w:val="000000"/>
          <w:sz w:val="24"/>
        </w:rPr>
        <w:t>’</w:t>
      </w:r>
      <w:r>
        <w:rPr>
          <w:rFonts w:ascii="Arial"/>
          <w:color w:val="000000"/>
          <w:sz w:val="24"/>
        </w:rPr>
        <w:t xml:space="preserve"> </w:t>
      </w:r>
      <w:r>
        <w:rPr>
          <w:rFonts w:ascii="Arial"/>
          <w:color w:val="000000"/>
          <w:sz w:val="24"/>
        </w:rPr>
        <w:t>Statement</w:t>
      </w:r>
      <w:r>
        <w:rPr>
          <w:rFonts w:ascii="Arial"/>
          <w:color w:val="000000"/>
          <w:sz w:val="24"/>
        </w:rPr>
        <w:t xml:space="preserve"> </w:t>
      </w:r>
      <w:r>
        <w:rPr>
          <w:rFonts w:ascii="Arial"/>
          <w:color w:val="000000"/>
          <w:sz w:val="24"/>
        </w:rPr>
        <w:t xml:space="preserve">and the </w:t>
      </w:r>
      <w:r>
        <w:rPr>
          <w:rFonts w:ascii="Arial"/>
          <w:color w:val="000000"/>
          <w:sz w:val="24"/>
        </w:rPr>
        <w:t>Council</w:t>
      </w:r>
      <w:r>
        <w:rPr>
          <w:rFonts w:ascii="Arial"/>
          <w:color w:val="000000"/>
          <w:sz w:val="24"/>
        </w:rPr>
        <w:t>’</w:t>
      </w:r>
      <w:r>
        <w:rPr>
          <w:rFonts w:ascii="Arial"/>
          <w:color w:val="000000"/>
          <w:sz w:val="24"/>
        </w:rPr>
        <w:t>s Statement of Facts and Contentions</w:t>
      </w:r>
      <w:r>
        <w:rPr>
          <w:rFonts w:ascii="Arial"/>
          <w:color w:val="000000"/>
          <w:sz w:val="24"/>
        </w:rPr>
        <w:t xml:space="preserve"> </w:t>
      </w:r>
      <w:r>
        <w:rPr>
          <w:rFonts w:ascii="Arial"/>
          <w:color w:val="000000"/>
          <w:sz w:val="24"/>
        </w:rPr>
        <w:t>(</w:t>
      </w:r>
      <w:r>
        <w:rPr>
          <w:rFonts w:ascii="Arial"/>
          <w:color w:val="000000"/>
          <w:sz w:val="24"/>
        </w:rPr>
        <w:t>SOFAC</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 briefly state the history of the </w:t>
      </w:r>
      <w:r>
        <w:rPr>
          <w:rFonts w:ascii="Arial"/>
          <w:color w:val="000000"/>
          <w:sz w:val="24"/>
        </w:rPr>
        <w:t>development application</w:t>
      </w:r>
      <w:r>
        <w:rPr>
          <w:rFonts w:ascii="Arial"/>
          <w:color w:val="000000"/>
          <w:sz w:val="24"/>
        </w:rPr>
        <w:t xml:space="preserve"> </w:t>
      </w:r>
      <w:r>
        <w:rPr>
          <w:rFonts w:ascii="Arial"/>
          <w:color w:val="000000"/>
          <w:sz w:val="24"/>
        </w:rPr>
        <w:t>before the Court as follows:</w:t>
      </w:r>
    </w:p>
    <w:p>
      <w:pPr>
        <w:pStyle w:val="CaselawNumbered1"/>
        <w:numPr>
          <w:ilvl w:val="0"/>
          <w:numId w:val="26"/>
        </w:numPr>
        <w:spacing w:before="150" w:after="0"/>
        <w:ind w:left="1350" w:hanging="750"/>
      </w:pPr>
      <w:r>
        <w:rPr>
          <w:rFonts w:ascii="Arial"/>
          <w:color w:val="000000"/>
          <w:sz w:val="24"/>
        </w:rPr>
        <w:t xml:space="preserve">On 18 November 2022, the Applicant filed </w:t>
      </w:r>
      <w:r>
        <w:rPr>
          <w:rFonts w:ascii="Arial"/>
          <w:color w:val="000000"/>
          <w:sz w:val="24"/>
        </w:rPr>
        <w:t>DA-</w:t>
      </w:r>
      <w:r>
        <w:rPr>
          <w:rFonts w:ascii="Arial"/>
          <w:color w:val="000000"/>
          <w:sz w:val="24"/>
        </w:rPr>
        <w:t xml:space="preserve">1028/2022 </w:t>
      </w:r>
      <w:r>
        <w:rPr>
          <w:rFonts w:ascii="Arial"/>
          <w:color w:val="000000"/>
          <w:sz w:val="24"/>
        </w:rPr>
        <w:t>for alterations and additions to the existing dwelling including proposed pool and plant room (</w:t>
      </w:r>
      <w:r>
        <w:rPr>
          <w:rFonts w:ascii="Arial"/>
          <w:color w:val="000000"/>
          <w:sz w:val="24"/>
        </w:rPr>
        <w:t xml:space="preserve">the </w:t>
      </w:r>
      <w:r>
        <w:rPr>
          <w:rFonts w:ascii="Arial"/>
          <w:color w:val="000000"/>
          <w:sz w:val="24"/>
        </w:rPr>
        <w:t>DA</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 xml:space="preserve">On 13 December 2022, the Applicant filed </w:t>
      </w:r>
      <w:r>
        <w:rPr>
          <w:rFonts w:ascii="Arial"/>
          <w:color w:val="000000"/>
          <w:sz w:val="24"/>
        </w:rPr>
        <w:t xml:space="preserve">DA-93/2019/A </w:t>
      </w:r>
      <w:r>
        <w:rPr>
          <w:rFonts w:ascii="Arial"/>
          <w:color w:val="000000"/>
          <w:sz w:val="24"/>
        </w:rPr>
        <w:t xml:space="preserve">which was a modification application to modify the development approval in DA-93/2019 including revised internal stair access, installation of a lift, and revised street </w:t>
      </w:r>
      <w:r>
        <w:rPr>
          <w:rFonts w:ascii="Arial"/>
          <w:color w:val="000000"/>
          <w:sz w:val="24"/>
        </w:rPr>
        <w:t>entry</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 xml:space="preserve">On 23 December 2022, the </w:t>
      </w:r>
      <w:r>
        <w:rPr>
          <w:rFonts w:ascii="Arial"/>
          <w:color w:val="000000"/>
          <w:sz w:val="24"/>
        </w:rPr>
        <w:t>Council</w:t>
      </w:r>
      <w:r>
        <w:rPr>
          <w:rFonts w:ascii="Arial"/>
          <w:color w:val="000000"/>
          <w:sz w:val="24"/>
        </w:rPr>
        <w:t xml:space="preserve"> </w:t>
      </w:r>
      <w:r>
        <w:rPr>
          <w:rFonts w:ascii="Arial"/>
          <w:color w:val="000000"/>
          <w:sz w:val="24"/>
        </w:rPr>
        <w:t>refused the DA</w:t>
      </w:r>
      <w:r>
        <w:rPr>
          <w:rFonts w:ascii="Arial"/>
          <w:color w:val="000000"/>
          <w:sz w:val="24"/>
        </w:rPr>
        <w:t xml:space="preserve"> </w:t>
      </w:r>
      <w:r>
        <w:rPr>
          <w:rFonts w:ascii="Arial"/>
          <w:color w:val="000000"/>
          <w:sz w:val="24"/>
        </w:rPr>
        <w:t>-</w:t>
      </w:r>
      <w:r>
        <w:rPr>
          <w:rFonts w:ascii="Arial"/>
          <w:color w:val="000000"/>
          <w:sz w:val="24"/>
        </w:rPr>
        <w:t>1028/</w:t>
      </w:r>
      <w:r>
        <w:rPr>
          <w:rFonts w:ascii="Arial"/>
          <w:color w:val="000000"/>
          <w:sz w:val="24"/>
        </w:rPr>
        <w:t>2022</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 xml:space="preserve">On 3 May 2023, the </w:t>
      </w:r>
      <w:r>
        <w:rPr>
          <w:rFonts w:ascii="Arial"/>
          <w:color w:val="000000"/>
          <w:sz w:val="24"/>
        </w:rPr>
        <w:t>Council</w:t>
      </w:r>
      <w:r>
        <w:rPr>
          <w:rFonts w:ascii="Arial"/>
          <w:color w:val="000000"/>
          <w:sz w:val="24"/>
        </w:rPr>
        <w:t xml:space="preserve"> </w:t>
      </w:r>
      <w:r>
        <w:rPr>
          <w:rFonts w:ascii="Arial"/>
          <w:color w:val="000000"/>
          <w:sz w:val="24"/>
        </w:rPr>
        <w:t>refused the Modification Application</w:t>
      </w:r>
      <w:r>
        <w:rPr>
          <w:rFonts w:ascii="Arial"/>
          <w:color w:val="000000"/>
          <w:sz w:val="24"/>
        </w:rPr>
        <w:t xml:space="preserve"> </w:t>
      </w:r>
      <w:r>
        <w:rPr>
          <w:rFonts w:ascii="Arial"/>
          <w:color w:val="000000"/>
          <w:sz w:val="24"/>
        </w:rPr>
        <w:t>DA-93/2019/</w:t>
      </w:r>
      <w:r>
        <w:rPr>
          <w:rFonts w:ascii="Arial"/>
          <w:color w:val="000000"/>
          <w:sz w:val="24"/>
        </w:rPr>
        <w:t>A</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 xml:space="preserve">On 5 May 2023, the principal certifier issued a Part 1 </w:t>
      </w:r>
      <w:r>
        <w:rPr>
          <w:rFonts w:ascii="Arial"/>
          <w:color w:val="000000"/>
          <w:sz w:val="24"/>
        </w:rPr>
        <w:t xml:space="preserve">– </w:t>
      </w:r>
      <w:r>
        <w:rPr>
          <w:rFonts w:ascii="Arial"/>
          <w:color w:val="000000"/>
          <w:sz w:val="24"/>
        </w:rPr>
        <w:t xml:space="preserve">Written direction pursuant to </w:t>
      </w:r>
      <w:r>
        <w:rPr>
          <w:rFonts w:ascii="Arial"/>
          <w:color w:val="000000"/>
          <w:sz w:val="24"/>
        </w:rPr>
        <w:t>s 6.31 of the EPA Act</w:t>
      </w:r>
      <w:r>
        <w:rPr>
          <w:rFonts w:ascii="Arial"/>
          <w:color w:val="000000"/>
          <w:sz w:val="24"/>
        </w:rPr>
        <w:t xml:space="preserve"> </w:t>
      </w:r>
      <w:r>
        <w:rPr>
          <w:rFonts w:ascii="Arial"/>
          <w:color w:val="000000"/>
          <w:sz w:val="24"/>
        </w:rPr>
        <w:t xml:space="preserve">on the Applicant regarding non-compliant works undertaken on the </w:t>
      </w:r>
      <w:r>
        <w:rPr>
          <w:rFonts w:ascii="Arial"/>
          <w:color w:val="000000"/>
          <w:sz w:val="24"/>
        </w:rPr>
        <w:t>Site</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 xml:space="preserve">On 20 June 2023, a </w:t>
      </w:r>
      <w:r>
        <w:rPr>
          <w:rFonts w:ascii="Arial"/>
          <w:color w:val="000000"/>
          <w:sz w:val="24"/>
        </w:rPr>
        <w:t>C</w:t>
      </w:r>
      <w:r>
        <w:rPr>
          <w:rFonts w:ascii="Arial"/>
          <w:color w:val="000000"/>
          <w:sz w:val="24"/>
        </w:rPr>
        <w:t xml:space="preserve">lass 1 application was filed in the Court appealing against the </w:t>
      </w:r>
      <w:r>
        <w:rPr>
          <w:rFonts w:ascii="Arial"/>
          <w:color w:val="000000"/>
          <w:sz w:val="24"/>
        </w:rPr>
        <w:t>Council</w:t>
      </w:r>
      <w:r>
        <w:rPr>
          <w:rFonts w:ascii="Arial"/>
          <w:color w:val="000000"/>
          <w:sz w:val="24"/>
        </w:rPr>
        <w:t>’</w:t>
      </w:r>
      <w:r>
        <w:rPr>
          <w:rFonts w:ascii="Arial"/>
          <w:color w:val="000000"/>
          <w:sz w:val="24"/>
        </w:rPr>
        <w:t>s actual refusal of the DA</w:t>
      </w:r>
      <w:r>
        <w:rPr>
          <w:rFonts w:ascii="Arial"/>
          <w:color w:val="000000"/>
          <w:sz w:val="24"/>
        </w:rPr>
        <w:t>-</w:t>
      </w:r>
      <w:r>
        <w:rPr>
          <w:rFonts w:ascii="Arial"/>
          <w:color w:val="000000"/>
          <w:sz w:val="24"/>
        </w:rPr>
        <w:t>1028/2022</w:t>
      </w:r>
      <w:r>
        <w:rPr>
          <w:rFonts w:ascii="Arial"/>
          <w:color w:val="000000"/>
          <w:sz w:val="24"/>
        </w:rPr>
        <w:t xml:space="preserve">, </w:t>
      </w:r>
      <w:r>
        <w:rPr>
          <w:rFonts w:ascii="Arial"/>
          <w:color w:val="000000"/>
          <w:sz w:val="24"/>
        </w:rPr>
        <w:t xml:space="preserve">which is </w:t>
      </w:r>
      <w:r>
        <w:rPr>
          <w:rFonts w:ascii="Arial"/>
          <w:color w:val="000000"/>
          <w:sz w:val="24"/>
        </w:rPr>
        <w:t xml:space="preserve">proceedings </w:t>
      </w:r>
      <w:r>
        <w:rPr>
          <w:rFonts w:ascii="Arial"/>
          <w:color w:val="000000"/>
          <w:sz w:val="24"/>
        </w:rPr>
        <w:t>No</w:t>
      </w:r>
      <w:r>
        <w:rPr>
          <w:rFonts w:ascii="Arial"/>
          <w:color w:val="000000"/>
          <w:sz w:val="24"/>
        </w:rPr>
        <w:t xml:space="preserve"> </w:t>
      </w:r>
      <w:r>
        <w:rPr>
          <w:rFonts w:ascii="Arial"/>
          <w:color w:val="000000"/>
          <w:sz w:val="24"/>
        </w:rPr>
        <w:t xml:space="preserve">2023/00197625 </w:t>
      </w:r>
      <w:r>
        <w:rPr>
          <w:rFonts w:ascii="Arial"/>
          <w:color w:val="000000"/>
          <w:sz w:val="24"/>
        </w:rPr>
        <w:t xml:space="preserve">now before the Court </w:t>
      </w:r>
      <w:r>
        <w:rPr>
          <w:rFonts w:ascii="Arial"/>
          <w:color w:val="000000"/>
          <w:sz w:val="24"/>
        </w:rPr>
        <w:t>(the DA Proceedings).</w:t>
      </w:r>
    </w:p>
    <w:p>
      <w:pPr>
        <w:pStyle w:val="CaselawNumbered10"/>
        <w:numPr>
          <w:ilvl w:val="0"/>
          <w:numId w:val="27"/>
        </w:numPr>
        <w:spacing w:before="150" w:after="0"/>
        <w:ind w:left="600" w:hanging="600"/>
      </w:pPr>
      <w:r>
        <w:rPr>
          <w:rFonts w:ascii="Arial"/>
          <w:color w:val="000000"/>
          <w:sz w:val="24"/>
        </w:rPr>
        <w:t xml:space="preserve">The appeals </w:t>
      </w:r>
      <w:r>
        <w:rPr>
          <w:rFonts w:ascii="Arial"/>
          <w:color w:val="000000"/>
          <w:sz w:val="24"/>
        </w:rPr>
        <w:t xml:space="preserve">were subject to </w:t>
      </w:r>
      <w:r>
        <w:rPr>
          <w:rFonts w:ascii="Arial"/>
          <w:color w:val="000000"/>
          <w:sz w:val="24"/>
        </w:rPr>
        <w:t>a number of</w:t>
      </w:r>
      <w:r>
        <w:rPr>
          <w:rFonts w:ascii="Arial"/>
          <w:color w:val="000000"/>
          <w:sz w:val="24"/>
        </w:rPr>
        <w:t xml:space="preserve"> </w:t>
      </w:r>
      <w:r>
        <w:rPr>
          <w:rFonts w:ascii="Arial"/>
          <w:color w:val="000000"/>
          <w:sz w:val="24"/>
        </w:rPr>
        <w:t>procedural steps</w:t>
      </w:r>
      <w:r>
        <w:rPr>
          <w:rFonts w:ascii="Arial"/>
          <w:color w:val="000000"/>
          <w:sz w:val="24"/>
        </w:rPr>
        <w:t xml:space="preserve"> </w:t>
      </w:r>
      <w:r>
        <w:rPr>
          <w:rFonts w:ascii="Arial"/>
          <w:color w:val="000000"/>
          <w:sz w:val="24"/>
        </w:rPr>
        <w:t>following which w</w:t>
      </w:r>
      <w:r>
        <w:rPr>
          <w:rFonts w:ascii="Arial"/>
          <w:color w:val="000000"/>
          <w:sz w:val="24"/>
        </w:rPr>
        <w:t>ithout prejudice discussi</w:t>
      </w:r>
      <w:r>
        <w:rPr>
          <w:rFonts w:ascii="Arial"/>
          <w:color w:val="000000"/>
          <w:sz w:val="24"/>
        </w:rPr>
        <w:t xml:space="preserve">ons resulted in the Applicant amending the plans and documents. </w:t>
      </w:r>
      <w:r>
        <w:rPr>
          <w:rFonts w:ascii="Arial"/>
          <w:color w:val="000000"/>
          <w:sz w:val="24"/>
        </w:rPr>
        <w:t xml:space="preserve">The parties have agreed that the additional material provided under the </w:t>
      </w:r>
      <w:r>
        <w:rPr>
          <w:rFonts w:ascii="Arial"/>
          <w:color w:val="000000"/>
          <w:sz w:val="24"/>
        </w:rPr>
        <w:t>Amended Application</w:t>
      </w:r>
      <w:r>
        <w:rPr>
          <w:rFonts w:ascii="Arial"/>
          <w:color w:val="000000"/>
          <w:sz w:val="24"/>
        </w:rPr>
        <w:t xml:space="preserve"> </w:t>
      </w:r>
      <w:r>
        <w:rPr>
          <w:rFonts w:ascii="Arial"/>
          <w:color w:val="000000"/>
          <w:sz w:val="24"/>
        </w:rPr>
        <w:t xml:space="preserve">has resolved the contentions raised in the SOFAC such that </w:t>
      </w:r>
      <w:r>
        <w:rPr>
          <w:rFonts w:ascii="Arial"/>
          <w:color w:val="000000"/>
          <w:sz w:val="24"/>
        </w:rPr>
        <w:t>the parties seek to enter into a section 34 agreement</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has approved the amended plans and documents that support and amend the application, pursuant to ss 37 and 38 of the </w:t>
      </w:r>
      <w:r>
        <w:rPr>
          <w:rFonts w:ascii="Arial"/>
          <w:color w:val="000000"/>
          <w:sz w:val="24"/>
        </w:rPr>
        <w:t>Environmental Planning and Assessment Regulation 2021.</w:t>
      </w:r>
    </w:p>
    <w:p>
      <w:pPr>
        <w:pStyle w:val="CaselawHeading2"/>
        <w:keepNext/>
        <w:spacing w:before="150" w:after="150" w:line="264"/>
        <w:ind w:left="0"/>
        <w:jc w:val="left"/>
      </w:pPr>
      <w:r>
        <w:rPr>
          <w:rFonts w:ascii="Arial"/>
        </w:rPr>
        <w:t xml:space="preserve">Satisfaction as to </w:t>
      </w:r>
      <w:r>
        <w:rPr>
          <w:rFonts w:ascii="Arial"/>
        </w:rPr>
        <w:t>Jurisdiction</w:t>
      </w:r>
    </w:p>
    <w:p>
      <w:pPr>
        <w:pStyle w:val="CaselawNumbered10"/>
        <w:numPr>
          <w:ilvl w:val="0"/>
          <w:numId w:val="28"/>
        </w:numPr>
        <w:spacing w:before="150" w:after="0"/>
        <w:ind w:left="600" w:hanging="600"/>
      </w:pPr>
      <w:r>
        <w:rPr>
          <w:rFonts w:ascii="Arial"/>
          <w:color w:val="000000"/>
          <w:sz w:val="24"/>
        </w:rPr>
        <w:t>As the Commissioner assigned to hear this matter, I am required to be satisfied that the agreed position reached is within the Court</w:t>
      </w:r>
      <w:r>
        <w:rPr>
          <w:rFonts w:ascii="Arial"/>
          <w:color w:val="000000"/>
          <w:sz w:val="24"/>
        </w:rPr>
        <w:t>’</w:t>
      </w:r>
      <w:r>
        <w:rPr>
          <w:rFonts w:ascii="Arial"/>
          <w:color w:val="000000"/>
          <w:sz w:val="24"/>
        </w:rPr>
        <w:t>s jurisdiction to make</w:t>
      </w:r>
      <w:r>
        <w:rPr>
          <w:rFonts w:ascii="Arial"/>
          <w:color w:val="000000"/>
          <w:sz w:val="24"/>
        </w:rPr>
        <w:t xml:space="preserve"> </w:t>
      </w:r>
      <w:r>
        <w:rPr>
          <w:rFonts w:ascii="Arial"/>
          <w:color w:val="000000"/>
          <w:sz w:val="24"/>
        </w:rPr>
        <w:t>an</w:t>
      </w:r>
      <w:r>
        <w:rPr>
          <w:rFonts w:ascii="Arial"/>
          <w:color w:val="000000"/>
          <w:sz w:val="24"/>
        </w:rPr>
        <w:t>d</w:t>
      </w:r>
      <w:r>
        <w:rPr>
          <w:rFonts w:ascii="Arial"/>
          <w:color w:val="000000"/>
          <w:sz w:val="24"/>
        </w:rPr>
        <w:t xml:space="preserve"> </w:t>
      </w:r>
      <w:r>
        <w:rPr>
          <w:rFonts w:ascii="Arial"/>
          <w:color w:val="000000"/>
          <w:sz w:val="24"/>
        </w:rPr>
        <w:t xml:space="preserve">grant consent </w:t>
      </w:r>
      <w:r>
        <w:rPr>
          <w:rFonts w:ascii="Arial"/>
          <w:color w:val="000000"/>
          <w:sz w:val="24"/>
        </w:rPr>
        <w:t xml:space="preserve">under </w:t>
      </w:r>
      <w:r>
        <w:rPr>
          <w:rFonts w:ascii="Arial"/>
          <w:color w:val="000000"/>
          <w:sz w:val="24"/>
        </w:rPr>
        <w:t>s</w:t>
      </w:r>
      <w:r>
        <w:rPr>
          <w:rFonts w:ascii="Arial"/>
          <w:color w:val="000000"/>
          <w:sz w:val="24"/>
        </w:rPr>
        <w:t xml:space="preserve"> </w:t>
      </w:r>
      <w:r>
        <w:rPr>
          <w:rFonts w:ascii="Arial"/>
          <w:color w:val="000000"/>
          <w:sz w:val="24"/>
        </w:rPr>
        <w:t>4.16(1)(a) of the EPA Act</w:t>
      </w:r>
      <w:r>
        <w:rPr>
          <w:rFonts w:ascii="Arial"/>
          <w:color w:val="000000"/>
          <w:sz w:val="24"/>
        </w:rPr>
        <w:t>:</w:t>
      </w:r>
      <w:r>
        <w:rPr>
          <w:rFonts w:ascii="Arial"/>
          <w:color w:val="000000"/>
          <w:sz w:val="24"/>
        </w:rPr>
        <w:t xml:space="preserve"> </w:t>
      </w:r>
      <w:r>
        <w:rPr>
          <w:rFonts w:ascii="Arial"/>
          <w:i/>
          <w:color w:val="000000"/>
          <w:sz w:val="24"/>
        </w:rPr>
        <w:t xml:space="preserve">HP Subsidiary Pty Ltd v City of Parramatta Council </w:t>
      </w:r>
      <w:r>
        <w:rPr>
          <w:rFonts w:ascii="Arial"/>
          <w:color w:val="000000"/>
          <w:sz w:val="24"/>
        </w:rPr>
        <w:t>[2020] NSWLEC 135,</w:t>
      </w:r>
      <w:r>
        <w:rPr>
          <w:rFonts w:ascii="Arial"/>
          <w:color w:val="000000"/>
          <w:sz w:val="24"/>
        </w:rPr>
        <w:t xml:space="preserve"> </w:t>
      </w:r>
      <w:r>
        <w:rPr>
          <w:rFonts w:ascii="Arial"/>
          <w:color w:val="000000"/>
          <w:sz w:val="24"/>
        </w:rPr>
        <w:t xml:space="preserve">per Preston CJ at [16]; </w:t>
      </w:r>
      <w:r>
        <w:rPr>
          <w:rFonts w:ascii="Arial"/>
          <w:i/>
          <w:color w:val="000000"/>
          <w:sz w:val="24"/>
        </w:rPr>
        <w:t>McMillan v Taylor</w:t>
      </w:r>
      <w:r>
        <w:rPr>
          <w:rFonts w:ascii="Arial"/>
          <w:color w:val="000000"/>
          <w:sz w:val="24"/>
        </w:rPr>
        <w:t xml:space="preserve"> </w:t>
      </w:r>
      <w:r>
        <w:rPr>
          <w:rFonts w:ascii="Arial"/>
          <w:color w:val="000000"/>
          <w:sz w:val="24"/>
        </w:rPr>
        <w:t xml:space="preserve">(2023) 111 NSWLR 634; </w:t>
      </w:r>
      <w:r>
        <w:rPr>
          <w:rFonts w:ascii="Arial"/>
          <w:color w:val="000000"/>
          <w:sz w:val="24"/>
        </w:rPr>
        <w:t>[2023] NSWCA 183,</w:t>
      </w:r>
      <w:r>
        <w:rPr>
          <w:rFonts w:ascii="Arial"/>
          <w:color w:val="000000"/>
          <w:sz w:val="24"/>
        </w:rPr>
        <w:t xml:space="preserve"> </w:t>
      </w:r>
      <w:r>
        <w:rPr>
          <w:rFonts w:ascii="Arial"/>
          <w:color w:val="000000"/>
          <w:sz w:val="24"/>
        </w:rPr>
        <w:t xml:space="preserve">per </w:t>
      </w:r>
      <w:r>
        <w:rPr>
          <w:rFonts w:ascii="Arial"/>
          <w:color w:val="000000"/>
          <w:sz w:val="24"/>
        </w:rPr>
        <w:t>Basten</w:t>
      </w:r>
      <w:r>
        <w:rPr>
          <w:rFonts w:ascii="Arial"/>
          <w:color w:val="000000"/>
          <w:sz w:val="24"/>
        </w:rPr>
        <w:t xml:space="preserve"> </w:t>
      </w:r>
      <w:r>
        <w:rPr>
          <w:rFonts w:ascii="Arial"/>
          <w:color w:val="000000"/>
          <w:sz w:val="24"/>
        </w:rPr>
        <w:t xml:space="preserve">AJA at [58]. </w:t>
      </w:r>
    </w:p>
    <w:p>
      <w:pPr>
        <w:pStyle w:val="CaselawNumbered10"/>
        <w:numPr>
          <w:ilvl w:val="0"/>
          <w:numId w:val="28"/>
        </w:numPr>
        <w:spacing w:before="150" w:after="0"/>
        <w:ind w:left="600" w:hanging="600"/>
      </w:pPr>
      <w:r>
        <w:rPr>
          <w:rFonts w:ascii="Arial"/>
          <w:color w:val="000000"/>
          <w:sz w:val="24"/>
        </w:rPr>
        <w:t xml:space="preserve">The parties outlined jurisdictional matters of relevance in these proceedings in </w:t>
      </w:r>
      <w:r>
        <w:rPr>
          <w:rFonts w:ascii="Arial"/>
          <w:color w:val="000000"/>
          <w:sz w:val="24"/>
        </w:rPr>
        <w:t xml:space="preserve">an agreed </w:t>
      </w:r>
      <w:r>
        <w:rPr>
          <w:rFonts w:ascii="Arial"/>
          <w:color w:val="000000"/>
          <w:sz w:val="24"/>
        </w:rPr>
        <w:t xml:space="preserve">Jurisdictional </w:t>
      </w:r>
      <w:r>
        <w:rPr>
          <w:rFonts w:ascii="Arial"/>
          <w:color w:val="000000"/>
          <w:sz w:val="24"/>
        </w:rPr>
        <w:t xml:space="preserve">Statement </w:t>
      </w:r>
      <w:r>
        <w:rPr>
          <w:rFonts w:ascii="Arial"/>
          <w:color w:val="000000"/>
          <w:sz w:val="24"/>
        </w:rPr>
        <w:t>(</w:t>
      </w:r>
      <w:r>
        <w:rPr>
          <w:rFonts w:ascii="Arial"/>
          <w:color w:val="000000"/>
          <w:sz w:val="24"/>
        </w:rPr>
        <w:t>the Statement</w:t>
      </w:r>
      <w:r>
        <w:rPr>
          <w:rFonts w:ascii="Arial"/>
          <w:color w:val="000000"/>
          <w:sz w:val="24"/>
        </w:rPr>
        <w:t xml:space="preserve">) </w:t>
      </w:r>
      <w:r>
        <w:rPr>
          <w:rFonts w:ascii="Arial"/>
          <w:color w:val="000000"/>
          <w:sz w:val="24"/>
        </w:rPr>
        <w:t xml:space="preserve">tendered </w:t>
      </w:r>
      <w:r>
        <w:rPr>
          <w:rFonts w:ascii="Arial"/>
          <w:color w:val="000000"/>
          <w:sz w:val="24"/>
        </w:rPr>
        <w:t>in</w:t>
      </w:r>
      <w:r>
        <w:rPr>
          <w:rFonts w:ascii="Arial"/>
          <w:color w:val="000000"/>
          <w:sz w:val="24"/>
        </w:rPr>
        <w:t xml:space="preserve"> </w:t>
      </w:r>
      <w:r>
        <w:rPr>
          <w:rFonts w:ascii="Arial"/>
          <w:color w:val="000000"/>
          <w:sz w:val="24"/>
        </w:rPr>
        <w:t>Court</w:t>
      </w:r>
      <w:r>
        <w:rPr>
          <w:rFonts w:ascii="Arial"/>
          <w:color w:val="000000"/>
          <w:sz w:val="24"/>
        </w:rPr>
        <w:t xml:space="preserve"> </w:t>
      </w:r>
      <w:r>
        <w:rPr>
          <w:rFonts w:ascii="Arial"/>
          <w:color w:val="000000"/>
          <w:sz w:val="24"/>
        </w:rPr>
        <w:t>in a bundle marked Ex A</w:t>
      </w:r>
      <w:r>
        <w:rPr>
          <w:rFonts w:ascii="Arial"/>
          <w:color w:val="000000"/>
          <w:sz w:val="24"/>
        </w:rPr>
        <w:t xml:space="preserve">. The statutory planning controls relevant to the </w:t>
      </w:r>
      <w:r>
        <w:rPr>
          <w:rFonts w:ascii="Arial"/>
          <w:color w:val="000000"/>
          <w:sz w:val="24"/>
        </w:rPr>
        <w:t>S</w:t>
      </w:r>
      <w:r>
        <w:rPr>
          <w:rFonts w:ascii="Arial"/>
          <w:color w:val="000000"/>
          <w:sz w:val="24"/>
        </w:rPr>
        <w:t xml:space="preserve">ite and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evelopment</w:t>
      </w:r>
      <w:r>
        <w:rPr>
          <w:rFonts w:ascii="Arial"/>
          <w:color w:val="000000"/>
          <w:sz w:val="24"/>
        </w:rPr>
        <w:t xml:space="preserve"> </w:t>
      </w:r>
      <w:r>
        <w:rPr>
          <w:rFonts w:ascii="Arial"/>
          <w:color w:val="000000"/>
          <w:sz w:val="24"/>
        </w:rPr>
        <w:t>are listed in the Council</w:t>
      </w:r>
      <w:r>
        <w:rPr>
          <w:rFonts w:ascii="Arial"/>
          <w:color w:val="000000"/>
          <w:sz w:val="24"/>
        </w:rPr>
        <w:t>’</w:t>
      </w:r>
      <w:r>
        <w:rPr>
          <w:rFonts w:ascii="Arial"/>
          <w:color w:val="000000"/>
          <w:sz w:val="24"/>
        </w:rPr>
        <w:t xml:space="preserve">s </w:t>
      </w:r>
      <w:r>
        <w:rPr>
          <w:rFonts w:ascii="Arial"/>
          <w:color w:val="000000"/>
          <w:sz w:val="24"/>
        </w:rPr>
        <w:t xml:space="preserve">SOFAC </w:t>
      </w:r>
      <w:r>
        <w:rPr>
          <w:rFonts w:ascii="Arial"/>
          <w:color w:val="000000"/>
          <w:sz w:val="24"/>
        </w:rPr>
        <w:t>(</w:t>
      </w:r>
      <w:r>
        <w:rPr>
          <w:rFonts w:ascii="Arial"/>
          <w:color w:val="000000"/>
          <w:sz w:val="24"/>
        </w:rPr>
        <w:t xml:space="preserve">Ex </w:t>
      </w:r>
      <w:r>
        <w:rPr>
          <w:rFonts w:ascii="Arial"/>
          <w:color w:val="000000"/>
          <w:sz w:val="24"/>
        </w:rPr>
        <w:t>3</w:t>
      </w:r>
      <w:r>
        <w:rPr>
          <w:rFonts w:ascii="Arial"/>
          <w:color w:val="000000"/>
          <w:sz w:val="24"/>
        </w:rPr>
        <w: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Regarding jurisdiction and </w:t>
      </w:r>
      <w:r>
        <w:rPr>
          <w:rFonts w:ascii="Arial"/>
          <w:color w:val="000000"/>
          <w:sz w:val="24"/>
        </w:rPr>
        <w:t>taking into account</w:t>
      </w:r>
      <w:r>
        <w:rPr>
          <w:rFonts w:ascii="Arial"/>
          <w:color w:val="000000"/>
          <w:sz w:val="24"/>
        </w:rPr>
        <w:t xml:space="preserve"> </w:t>
      </w:r>
      <w:r>
        <w:rPr>
          <w:rFonts w:ascii="Arial"/>
          <w:color w:val="000000"/>
          <w:sz w:val="24"/>
        </w:rPr>
        <w:t>the parties</w:t>
      </w:r>
      <w:r>
        <w:rPr>
          <w:rFonts w:ascii="Arial"/>
          <w:color w:val="000000"/>
          <w:sz w:val="24"/>
        </w:rPr>
        <w:t>’</w:t>
      </w:r>
      <w:r>
        <w:rPr>
          <w:rFonts w:ascii="Arial"/>
          <w:color w:val="000000"/>
          <w:sz w:val="24"/>
        </w:rPr>
        <w:t xml:space="preserve"> </w:t>
      </w:r>
      <w:r>
        <w:rPr>
          <w:rFonts w:ascii="Arial"/>
          <w:color w:val="000000"/>
          <w:sz w:val="24"/>
        </w:rPr>
        <w:t xml:space="preserve">advice in the </w:t>
      </w:r>
      <w:r>
        <w:rPr>
          <w:rFonts w:ascii="Arial"/>
          <w:color w:val="000000"/>
          <w:sz w:val="24"/>
        </w:rPr>
        <w:t>Statemen</w:t>
      </w:r>
      <w:r>
        <w:rPr>
          <w:rFonts w:ascii="Arial"/>
          <w:color w:val="000000"/>
          <w:sz w:val="24"/>
        </w:rPr>
        <w:t xml:space="preserve">t, I am satisfied in regard to the </w:t>
      </w:r>
      <w:r>
        <w:rPr>
          <w:rFonts w:ascii="Arial"/>
          <w:color w:val="000000"/>
          <w:sz w:val="24"/>
        </w:rPr>
        <w:t xml:space="preserve">following </w:t>
      </w:r>
      <w:r>
        <w:rPr>
          <w:rFonts w:ascii="Arial"/>
          <w:color w:val="000000"/>
          <w:sz w:val="24"/>
        </w:rPr>
        <w:t xml:space="preserve">relevant </w:t>
      </w:r>
      <w:r>
        <w:rPr>
          <w:rFonts w:ascii="Arial"/>
          <w:color w:val="000000"/>
          <w:sz w:val="24"/>
        </w:rPr>
        <w:t>matters</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I have considered the jurisdictional provisions applicable to </w:t>
      </w:r>
      <w:r>
        <w:rPr>
          <w:rFonts w:ascii="Arial"/>
          <w:color w:val="000000"/>
          <w:sz w:val="24"/>
        </w:rPr>
        <w:t>the Proposed Development t</w:t>
      </w:r>
      <w:r>
        <w:rPr>
          <w:rFonts w:ascii="Arial"/>
          <w:color w:val="000000"/>
          <w:sz w:val="24"/>
        </w:rPr>
        <w:t xml:space="preserve">hat are raised by the </w:t>
      </w:r>
      <w:r>
        <w:rPr>
          <w:rFonts w:ascii="Arial"/>
          <w:color w:val="000000"/>
          <w:sz w:val="24"/>
        </w:rPr>
        <w:t xml:space="preserve">State Environmental Planning Policy (Resilience and Hazards) </w:t>
      </w:r>
      <w:r>
        <w:rPr>
          <w:rFonts w:ascii="Arial"/>
          <w:color w:val="000000"/>
          <w:sz w:val="24"/>
        </w:rPr>
        <w:t>2021</w:t>
      </w:r>
      <w:r>
        <w:rPr>
          <w:rFonts w:ascii="Arial"/>
          <w:color w:val="000000"/>
          <w:sz w:val="24"/>
        </w:rPr>
        <w:t>, and</w:t>
      </w:r>
      <w:r>
        <w:rPr>
          <w:rFonts w:ascii="Arial"/>
          <w:color w:val="000000"/>
          <w:sz w:val="24"/>
        </w:rPr>
        <w:t xml:space="preserve"> </w:t>
      </w:r>
      <w:r>
        <w:rPr>
          <w:rFonts w:ascii="Arial"/>
          <w:color w:val="000000"/>
          <w:sz w:val="24"/>
        </w:rPr>
        <w:t>accept</w:t>
      </w:r>
      <w:r>
        <w:rPr>
          <w:rFonts w:ascii="Arial"/>
          <w:color w:val="000000"/>
          <w:sz w:val="24"/>
        </w:rPr>
        <w:t xml:space="preserve"> </w:t>
      </w:r>
      <w:r>
        <w:rPr>
          <w:rFonts w:ascii="Arial"/>
          <w:color w:val="000000"/>
          <w:sz w:val="24"/>
        </w:rPr>
        <w:t>the parties</w:t>
      </w:r>
      <w:r>
        <w:rPr>
          <w:rFonts w:ascii="Arial"/>
          <w:color w:val="000000"/>
          <w:sz w:val="24"/>
        </w:rPr>
        <w:t>’</w:t>
      </w:r>
      <w:r>
        <w:rPr>
          <w:rFonts w:ascii="Arial"/>
          <w:color w:val="000000"/>
          <w:sz w:val="24"/>
        </w:rPr>
        <w:t xml:space="preserve"> </w:t>
      </w:r>
      <w:r>
        <w:rPr>
          <w:rFonts w:ascii="Arial"/>
          <w:color w:val="000000"/>
          <w:sz w:val="24"/>
        </w:rPr>
        <w:t>conclusion that no jurisdictional impediments</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A BASIX certificate </w:t>
      </w:r>
      <w:r>
        <w:rPr>
          <w:rFonts w:ascii="Arial"/>
          <w:color w:val="000000"/>
          <w:sz w:val="24"/>
        </w:rPr>
        <w:t xml:space="preserve">No A479471 </w:t>
      </w:r>
      <w:r>
        <w:rPr>
          <w:rFonts w:ascii="Arial"/>
          <w:color w:val="000000"/>
          <w:sz w:val="24"/>
        </w:rPr>
        <w:t>has been obtained.</w:t>
      </w:r>
    </w:p>
    <w:p>
      <w:pPr>
        <w:pStyle w:val="CaselawNumbered10"/>
        <w:numPr>
          <w:ilvl w:val="0"/>
          <w:numId w:val="28"/>
        </w:numPr>
        <w:spacing w:before="150" w:after="0"/>
        <w:ind w:left="600" w:hanging="600"/>
      </w:pPr>
      <w:r>
        <w:rPr>
          <w:rFonts w:ascii="Arial"/>
          <w:color w:val="000000"/>
          <w:sz w:val="24"/>
        </w:rPr>
        <w:t xml:space="preserve">Agreed conditions of consent deal with requirements </w:t>
      </w:r>
      <w:r>
        <w:rPr>
          <w:rFonts w:ascii="Arial"/>
          <w:color w:val="000000"/>
          <w:sz w:val="24"/>
        </w:rPr>
        <w:t xml:space="preserve">for the demolition of a building under </w:t>
      </w:r>
      <w:r>
        <w:rPr>
          <w:rFonts w:ascii="Arial"/>
          <w:color w:val="000000"/>
          <w:sz w:val="24"/>
        </w:rPr>
        <w:t xml:space="preserve">the </w:t>
      </w:r>
      <w:r>
        <w:rPr>
          <w:rFonts w:ascii="Arial"/>
          <w:color w:val="000000"/>
          <w:sz w:val="24"/>
        </w:rPr>
        <w:t xml:space="preserve">Australian Standard AS 2601 </w:t>
      </w:r>
      <w:r>
        <w:rPr>
          <w:rFonts w:ascii="Arial"/>
          <w:color w:val="000000"/>
          <w:sz w:val="24"/>
        </w:rPr>
        <w:t>–</w:t>
      </w:r>
      <w:r>
        <w:rPr>
          <w:rFonts w:ascii="Arial"/>
          <w:color w:val="000000"/>
          <w:sz w:val="24"/>
        </w:rPr>
        <w:t xml:space="preserve"> </w:t>
      </w:r>
      <w:r>
        <w:rPr>
          <w:rFonts w:ascii="Arial"/>
          <w:color w:val="000000"/>
          <w:sz w:val="24"/>
        </w:rPr>
        <w:t>2001</w:t>
      </w:r>
      <w:r>
        <w:rPr>
          <w:rFonts w:ascii="Arial"/>
          <w:color w:val="000000"/>
          <w:sz w:val="24"/>
        </w:rPr>
        <w:t xml:space="preserve"> </w:t>
      </w:r>
      <w:r>
        <w:rPr>
          <w:rFonts w:ascii="Arial"/>
          <w:color w:val="000000"/>
          <w:sz w:val="24"/>
        </w:rPr>
        <w:t xml:space="preserve">and compliance with the </w:t>
      </w:r>
      <w:r>
        <w:rPr>
          <w:rFonts w:ascii="Arial"/>
          <w:color w:val="000000"/>
          <w:sz w:val="24"/>
        </w:rPr>
        <w:t xml:space="preserve">National </w:t>
      </w:r>
      <w:r>
        <w:rPr>
          <w:rFonts w:ascii="Arial"/>
          <w:color w:val="000000"/>
          <w:sz w:val="24"/>
        </w:rPr>
        <w:t>Construction</w:t>
      </w:r>
      <w:r>
        <w:rPr>
          <w:rFonts w:ascii="Arial"/>
          <w:color w:val="000000"/>
          <w:sz w:val="24"/>
        </w:rPr>
        <w:t xml:space="preserve"> </w:t>
      </w:r>
      <w:r>
        <w:rPr>
          <w:rFonts w:ascii="Arial"/>
          <w:color w:val="000000"/>
          <w:sz w:val="24"/>
        </w:rPr>
        <w:t>Code of Australia.</w:t>
      </w:r>
    </w:p>
    <w:p>
      <w:pPr>
        <w:pStyle w:val="CaselawHeading3"/>
        <w:keepNext/>
        <w:spacing w:before="150" w:after="150" w:line="264"/>
        <w:ind w:left="0"/>
        <w:jc w:val="left"/>
      </w:pPr>
      <w:r>
        <w:rPr>
          <w:rFonts w:ascii="Arial"/>
        </w:rPr>
        <w:t>Canterbury Local Environmental Plan 2012</w:t>
      </w:r>
    </w:p>
    <w:p>
      <w:pPr>
        <w:pStyle w:val="CaselawNumbered10"/>
        <w:numPr>
          <w:ilvl w:val="0"/>
          <w:numId w:val="29"/>
        </w:numPr>
        <w:spacing w:before="150" w:after="0"/>
        <w:ind w:left="600" w:hanging="600"/>
      </w:pPr>
      <w:r>
        <w:rPr>
          <w:rFonts w:ascii="Arial"/>
          <w:color w:val="000000"/>
          <w:sz w:val="24"/>
        </w:rPr>
        <w:t xml:space="preserve">The parties advise that the provisions of the </w:t>
      </w:r>
      <w:r>
        <w:rPr>
          <w:rFonts w:ascii="Arial"/>
          <w:color w:val="000000"/>
          <w:sz w:val="24"/>
        </w:rPr>
        <w:t>Canterbury Local Environmental Plan 2012 (</w:t>
      </w:r>
      <w:r>
        <w:rPr>
          <w:rFonts w:ascii="Arial"/>
          <w:color w:val="000000"/>
          <w:sz w:val="24"/>
        </w:rPr>
        <w:t>CLEP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that are of relevance to </w:t>
      </w:r>
      <w:r>
        <w:rPr>
          <w:rFonts w:ascii="Arial"/>
          <w:color w:val="000000"/>
          <w:sz w:val="24"/>
        </w:rPr>
        <w:t>the DA</w:t>
      </w:r>
      <w:r>
        <w:rPr>
          <w:rFonts w:ascii="Arial"/>
          <w:color w:val="000000"/>
          <w:sz w:val="24"/>
        </w:rPr>
        <w:t xml:space="preserve"> </w:t>
      </w:r>
      <w:r>
        <w:rPr>
          <w:rFonts w:ascii="Arial"/>
          <w:color w:val="000000"/>
          <w:sz w:val="24"/>
        </w:rPr>
        <w:t xml:space="preserve">and the Site have been </w:t>
      </w:r>
      <w:r>
        <w:rPr>
          <w:rFonts w:ascii="Arial"/>
          <w:color w:val="000000"/>
          <w:sz w:val="24"/>
        </w:rPr>
        <w:t>taken into account</w:t>
      </w:r>
      <w:r>
        <w:rPr>
          <w:rFonts w:ascii="Arial"/>
          <w:color w:val="000000"/>
          <w:sz w:val="24"/>
        </w:rPr>
        <w:t xml:space="preserve"> </w:t>
      </w:r>
      <w:r>
        <w:rPr>
          <w:rFonts w:ascii="Arial"/>
          <w:color w:val="000000"/>
          <w:sz w:val="24"/>
        </w:rPr>
        <w:t xml:space="preserve">in assessing the </w:t>
      </w:r>
      <w:r>
        <w:rPr>
          <w:rFonts w:ascii="Arial"/>
          <w:color w:val="000000"/>
          <w:sz w:val="24"/>
        </w:rPr>
        <w:t>DA</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The Council</w:t>
      </w:r>
      <w:r>
        <w:rPr>
          <w:rFonts w:ascii="Arial"/>
          <w:color w:val="000000"/>
          <w:sz w:val="24"/>
        </w:rPr>
        <w:t xml:space="preserve"> </w:t>
      </w:r>
      <w:r>
        <w:rPr>
          <w:rFonts w:ascii="Arial"/>
          <w:color w:val="000000"/>
          <w:sz w:val="24"/>
        </w:rPr>
        <w:t xml:space="preserve">agrees that the contentions that relate to </w:t>
      </w:r>
      <w:r>
        <w:rPr>
          <w:rFonts w:ascii="Arial"/>
          <w:color w:val="000000"/>
          <w:sz w:val="24"/>
        </w:rPr>
        <w:t xml:space="preserve">the </w:t>
      </w:r>
      <w:r>
        <w:rPr>
          <w:rFonts w:ascii="Arial"/>
          <w:color w:val="000000"/>
          <w:sz w:val="24"/>
        </w:rPr>
        <w:t xml:space="preserve">CLEP are resolved by amendments to the </w:t>
      </w:r>
      <w:r>
        <w:rPr>
          <w:rFonts w:ascii="Arial"/>
          <w:color w:val="000000"/>
          <w:sz w:val="24"/>
        </w:rPr>
        <w:t>DA</w:t>
      </w:r>
      <w:r>
        <w:rPr>
          <w:rFonts w:ascii="Arial"/>
          <w:color w:val="000000"/>
          <w:sz w:val="24"/>
        </w:rPr>
        <w:t xml:space="preserve"> </w:t>
      </w:r>
      <w:r>
        <w:rPr>
          <w:rFonts w:ascii="Arial"/>
          <w:color w:val="000000"/>
          <w:sz w:val="24"/>
        </w:rPr>
        <w:t xml:space="preserve">and the provision of documents that support </w:t>
      </w:r>
      <w:r>
        <w:rPr>
          <w:rFonts w:ascii="Arial"/>
          <w:color w:val="000000"/>
          <w:sz w:val="24"/>
        </w:rPr>
        <w:t>the DA</w:t>
      </w:r>
      <w:r>
        <w:rPr>
          <w:rFonts w:ascii="Arial"/>
          <w:color w:val="000000"/>
          <w:sz w:val="24"/>
        </w:rPr>
        <w:t xml:space="preserve">.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evelopment</w:t>
      </w:r>
      <w:r>
        <w:rPr>
          <w:rFonts w:ascii="Arial"/>
          <w:color w:val="000000"/>
          <w:sz w:val="24"/>
        </w:rPr>
        <w:t xml:space="preserve"> </w:t>
      </w:r>
      <w:r>
        <w:rPr>
          <w:rFonts w:ascii="Arial"/>
          <w:color w:val="000000"/>
          <w:sz w:val="24"/>
        </w:rPr>
        <w:t>is assessed as not causing additional unsatisfactory amenity impacts to adjoining properties or the streetscape.</w:t>
      </w:r>
    </w:p>
    <w:p>
      <w:pPr>
        <w:pStyle w:val="CaselawNumbered10"/>
        <w:numPr>
          <w:ilvl w:val="0"/>
          <w:numId w:val="29"/>
        </w:numPr>
        <w:spacing w:before="150" w:after="0"/>
        <w:ind w:left="600" w:hanging="600"/>
      </w:pPr>
      <w:r>
        <w:rPr>
          <w:rFonts w:ascii="Arial"/>
          <w:color w:val="000000"/>
          <w:sz w:val="24"/>
        </w:rPr>
        <w:t xml:space="preserve">The Site is zoned R2 </w:t>
      </w:r>
      <w:r>
        <w:rPr>
          <w:rFonts w:ascii="Arial"/>
          <w:color w:val="000000"/>
          <w:sz w:val="24"/>
        </w:rPr>
        <w:t xml:space="preserve">– </w:t>
      </w:r>
      <w:r>
        <w:rPr>
          <w:rFonts w:ascii="Arial"/>
          <w:color w:val="000000"/>
          <w:sz w:val="24"/>
        </w:rPr>
        <w:t>Low Density Residential under the CLEP and the proposed development is permissible with consent</w:t>
      </w:r>
      <w:r>
        <w:rPr>
          <w:rFonts w:ascii="Arial"/>
          <w:color w:val="000000"/>
          <w:sz w:val="24"/>
        </w:rPr>
        <w:t xml:space="preserve">. </w:t>
      </w:r>
      <w:r>
        <w:rPr>
          <w:rFonts w:ascii="Arial"/>
          <w:color w:val="000000"/>
          <w:sz w:val="24"/>
        </w:rPr>
        <w:t xml:space="preserve">The objectives of </w:t>
      </w:r>
      <w:r>
        <w:rPr>
          <w:rFonts w:ascii="Arial"/>
          <w:color w:val="000000"/>
          <w:sz w:val="24"/>
        </w:rPr>
        <w:t xml:space="preserve">the </w:t>
      </w:r>
      <w:r>
        <w:rPr>
          <w:rFonts w:ascii="Arial"/>
          <w:color w:val="000000"/>
          <w:sz w:val="24"/>
        </w:rPr>
        <w:t xml:space="preserve">R2 </w:t>
      </w:r>
      <w:r>
        <w:rPr>
          <w:rFonts w:ascii="Arial"/>
          <w:color w:val="000000"/>
          <w:sz w:val="24"/>
        </w:rPr>
        <w:t xml:space="preserve">– </w:t>
      </w:r>
      <w:r>
        <w:rPr>
          <w:rFonts w:ascii="Arial"/>
          <w:color w:val="000000"/>
          <w:sz w:val="24"/>
        </w:rPr>
        <w:t>Low Density Residential zone</w:t>
      </w:r>
      <w:r>
        <w:rPr>
          <w:rFonts w:ascii="Arial"/>
          <w:color w:val="000000"/>
          <w:sz w:val="24"/>
        </w:rPr>
        <w:t xml:space="preserve"> </w:t>
      </w:r>
      <w:r>
        <w:rPr>
          <w:rFonts w:ascii="Arial"/>
          <w:color w:val="000000"/>
          <w:sz w:val="24"/>
        </w:rPr>
        <w:t>are</w:t>
      </w:r>
      <w:r>
        <w:rPr>
          <w:rFonts w:ascii="Arial"/>
          <w:color w:val="000000"/>
          <w:sz w:val="24"/>
        </w:rPr>
        <w:t xml:space="preserve"> </w:t>
      </w:r>
      <w:r>
        <w:rPr>
          <w:rFonts w:ascii="Arial"/>
          <w:color w:val="000000"/>
          <w:sz w:val="24"/>
        </w:rPr>
        <w:t>met</w:t>
      </w:r>
      <w:r>
        <w:rPr>
          <w:rFonts w:ascii="Arial"/>
          <w:color w:val="000000"/>
          <w:sz w:val="24"/>
        </w:rPr>
        <w:t xml:space="preserve"> </w:t>
      </w:r>
      <w:r>
        <w:rPr>
          <w:rFonts w:ascii="Arial"/>
          <w:color w:val="000000"/>
          <w:sz w:val="24"/>
        </w:rPr>
        <w:t>by the proposed development</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 xml:space="preserve">I note the </w:t>
      </w:r>
      <w:r>
        <w:rPr>
          <w:rFonts w:ascii="Arial"/>
          <w:color w:val="000000"/>
          <w:sz w:val="24"/>
        </w:rPr>
        <w:t>Proposed Development</w:t>
      </w:r>
      <w:r>
        <w:rPr>
          <w:rFonts w:ascii="Arial"/>
          <w:color w:val="000000"/>
          <w:sz w:val="24"/>
        </w:rPr>
        <w:t xml:space="preserve"> </w:t>
      </w:r>
      <w:r>
        <w:rPr>
          <w:rFonts w:ascii="Arial"/>
          <w:color w:val="000000"/>
          <w:sz w:val="24"/>
        </w:rPr>
        <w:t xml:space="preserve">requires </w:t>
      </w:r>
      <w:r>
        <w:rPr>
          <w:rFonts w:ascii="Arial"/>
          <w:color w:val="000000"/>
          <w:sz w:val="24"/>
        </w:rPr>
        <w:t>a clause 4.6 request to</w:t>
      </w:r>
      <w:r>
        <w:rPr>
          <w:rFonts w:ascii="Arial"/>
          <w:color w:val="000000"/>
          <w:sz w:val="24"/>
        </w:rPr>
        <w:t xml:space="preserve"> </w:t>
      </w:r>
      <w:r>
        <w:rPr>
          <w:rFonts w:ascii="Arial"/>
          <w:color w:val="000000"/>
          <w:sz w:val="24"/>
        </w:rPr>
        <w:t xml:space="preserve">justify a contravention of the </w:t>
      </w:r>
      <w:r>
        <w:rPr>
          <w:rFonts w:ascii="Arial"/>
          <w:color w:val="000000"/>
          <w:sz w:val="24"/>
        </w:rPr>
        <w:t>height of buildings</w:t>
      </w:r>
      <w:r>
        <w:rPr>
          <w:rFonts w:ascii="Arial"/>
          <w:color w:val="000000"/>
          <w:sz w:val="24"/>
        </w:rPr>
        <w:t xml:space="preserve"> </w:t>
      </w:r>
      <w:r>
        <w:rPr>
          <w:rFonts w:ascii="Arial"/>
          <w:color w:val="000000"/>
          <w:sz w:val="24"/>
        </w:rPr>
        <w:t xml:space="preserve">development standard </w:t>
      </w:r>
      <w:r>
        <w:rPr>
          <w:rFonts w:ascii="Arial"/>
          <w:color w:val="000000"/>
          <w:sz w:val="24"/>
        </w:rPr>
        <w:t xml:space="preserve">of </w:t>
      </w:r>
      <w:r>
        <w:rPr>
          <w:rFonts w:ascii="Arial"/>
          <w:color w:val="000000"/>
          <w:sz w:val="24"/>
        </w:rPr>
        <w:t xml:space="preserve">9.5m </w:t>
      </w:r>
      <w:r>
        <w:rPr>
          <w:rFonts w:ascii="Arial"/>
          <w:color w:val="000000"/>
          <w:sz w:val="24"/>
        </w:rPr>
        <w:t xml:space="preserve">in </w:t>
      </w:r>
      <w:r>
        <w:rPr>
          <w:rFonts w:ascii="Arial"/>
          <w:color w:val="000000"/>
          <w:sz w:val="24"/>
        </w:rPr>
        <w:t>cl</w:t>
      </w:r>
      <w:r>
        <w:rPr>
          <w:rFonts w:ascii="Arial"/>
          <w:color w:val="000000"/>
          <w:sz w:val="24"/>
        </w:rPr>
        <w:t xml:space="preserve"> </w:t>
      </w:r>
      <w:r>
        <w:rPr>
          <w:rFonts w:ascii="Arial"/>
          <w:color w:val="000000"/>
          <w:sz w:val="24"/>
        </w:rPr>
        <w:t>4.</w:t>
      </w:r>
      <w:r>
        <w:rPr>
          <w:rFonts w:ascii="Arial"/>
          <w:color w:val="000000"/>
          <w:sz w:val="24"/>
        </w:rPr>
        <w:t>3</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color w:val="000000"/>
          <w:sz w:val="24"/>
        </w:rPr>
        <w:t>C</w:t>
      </w:r>
      <w:r>
        <w:rPr>
          <w:rFonts w:ascii="Arial"/>
          <w:color w:val="000000"/>
          <w:sz w:val="24"/>
        </w:rPr>
        <w:t>LEP.</w:t>
      </w:r>
    </w:p>
    <w:p>
      <w:pPr>
        <w:pStyle w:val="CaselawNumbered10"/>
        <w:numPr>
          <w:ilvl w:val="0"/>
          <w:numId w:val="29"/>
        </w:numPr>
        <w:spacing w:before="150" w:after="0"/>
        <w:ind w:left="600" w:hanging="600"/>
      </w:pPr>
      <w:r>
        <w:rPr>
          <w:rFonts w:ascii="Arial"/>
          <w:color w:val="000000"/>
          <w:sz w:val="24"/>
        </w:rPr>
        <w:t xml:space="preserve">The maximum height of the proposed dwelling in the </w:t>
      </w:r>
      <w:r>
        <w:rPr>
          <w:rFonts w:ascii="Arial"/>
          <w:color w:val="000000"/>
          <w:sz w:val="24"/>
        </w:rPr>
        <w:t xml:space="preserve">amended </w:t>
      </w:r>
      <w:r>
        <w:rPr>
          <w:rFonts w:ascii="Arial"/>
          <w:color w:val="000000"/>
          <w:sz w:val="24"/>
        </w:rPr>
        <w:t>DA</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15.4 metres, representing a 62.1% breach of the height control.</w:t>
      </w:r>
      <w:r>
        <w:rPr>
          <w:rFonts w:ascii="Arial"/>
          <w:color w:val="000000"/>
          <w:sz w:val="24"/>
        </w:rPr>
        <w:t xml:space="preserve"> </w:t>
      </w:r>
      <w:r>
        <w:rPr>
          <w:rFonts w:ascii="Arial"/>
          <w:color w:val="000000"/>
          <w:sz w:val="24"/>
        </w:rPr>
        <w:t xml:space="preserve">I note the building Site </w:t>
      </w:r>
      <w:r>
        <w:rPr>
          <w:rFonts w:ascii="Arial"/>
          <w:color w:val="000000"/>
          <w:sz w:val="24"/>
        </w:rPr>
        <w:t xml:space="preserve">is on very steep land </w:t>
      </w:r>
      <w:r>
        <w:rPr>
          <w:rFonts w:ascii="Arial"/>
          <w:color w:val="000000"/>
          <w:sz w:val="24"/>
        </w:rPr>
        <w:t>rising up</w:t>
      </w:r>
      <w:r>
        <w:rPr>
          <w:rFonts w:ascii="Arial"/>
          <w:color w:val="000000"/>
          <w:sz w:val="24"/>
        </w:rPr>
        <w:t xml:space="preserve"> </w:t>
      </w:r>
      <w:r>
        <w:rPr>
          <w:rFonts w:ascii="Arial"/>
          <w:color w:val="000000"/>
          <w:sz w:val="24"/>
        </w:rPr>
        <w:t>from Riverview Street</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 xml:space="preserve">The </w:t>
      </w:r>
      <w:r>
        <w:rPr>
          <w:rFonts w:ascii="Arial"/>
          <w:color w:val="000000"/>
          <w:sz w:val="24"/>
        </w:rPr>
        <w:t>Applicant relied on</w:t>
      </w:r>
      <w:r>
        <w:rPr>
          <w:rFonts w:ascii="Arial"/>
          <w:color w:val="000000"/>
          <w:sz w:val="24"/>
        </w:rPr>
        <w:t xml:space="preserve"> </w:t>
      </w:r>
      <w:r>
        <w:rPr>
          <w:rFonts w:ascii="Arial"/>
          <w:color w:val="000000"/>
          <w:sz w:val="24"/>
        </w:rPr>
        <w:t xml:space="preserve">a clause 4.6 request to vary the building height control </w:t>
      </w:r>
      <w:r>
        <w:rPr>
          <w:rFonts w:ascii="Arial"/>
          <w:color w:val="000000"/>
          <w:sz w:val="24"/>
        </w:rPr>
        <w:t xml:space="preserve">prepared by </w:t>
      </w:r>
      <w:r>
        <w:rPr>
          <w:rFonts w:ascii="Arial"/>
          <w:color w:val="000000"/>
          <w:sz w:val="24"/>
        </w:rPr>
        <w:t xml:space="preserve">Tony Moody </w:t>
      </w:r>
      <w:r>
        <w:rPr>
          <w:rFonts w:ascii="Arial"/>
          <w:color w:val="000000"/>
          <w:sz w:val="24"/>
        </w:rPr>
        <w:t>dated 31 May 202</w:t>
      </w:r>
      <w:r>
        <w:rPr>
          <w:rFonts w:ascii="Arial"/>
          <w:color w:val="000000"/>
          <w:sz w:val="24"/>
        </w:rPr>
        <w:t>4</w:t>
      </w:r>
      <w:r>
        <w:rPr>
          <w:rFonts w:ascii="Arial"/>
          <w:color w:val="000000"/>
          <w:sz w:val="24"/>
        </w:rPr>
        <w:t xml:space="preserve"> </w:t>
      </w:r>
      <w:r>
        <w:rPr>
          <w:rFonts w:ascii="Arial"/>
          <w:color w:val="000000"/>
          <w:sz w:val="24"/>
        </w:rPr>
        <w:t>(</w:t>
      </w:r>
      <w:r>
        <w:rPr>
          <w:rFonts w:ascii="Arial"/>
          <w:color w:val="000000"/>
          <w:sz w:val="24"/>
        </w:rPr>
        <w:t>Ex A tab 5</w:t>
      </w:r>
      <w:r>
        <w:rPr>
          <w:rFonts w:ascii="Arial"/>
          <w:color w:val="000000"/>
          <w:sz w:val="24"/>
        </w:rPr>
        <w:t>)</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The clause 4.6 request sufficiently addresses the relevant objectives, aims, standards and provisions of the CLEP, despite the proposed development not complying with clause 4.3.</w:t>
      </w:r>
    </w:p>
    <w:p>
      <w:pPr>
        <w:pStyle w:val="CaselawNumbered10"/>
        <w:numPr>
          <w:ilvl w:val="0"/>
          <w:numId w:val="29"/>
        </w:numPr>
        <w:spacing w:before="150" w:after="0"/>
        <w:ind w:left="600" w:hanging="600"/>
      </w:pPr>
      <w:r>
        <w:rPr>
          <w:rFonts w:ascii="Arial"/>
          <w:color w:val="000000"/>
          <w:sz w:val="24"/>
        </w:rPr>
        <w:t>The DA</w:t>
      </w:r>
      <w:r>
        <w:rPr>
          <w:rFonts w:ascii="Arial"/>
          <w:color w:val="000000"/>
          <w:sz w:val="24"/>
        </w:rPr>
        <w:t xml:space="preserve"> </w:t>
      </w:r>
      <w:r>
        <w:rPr>
          <w:rFonts w:ascii="Arial"/>
          <w:color w:val="000000"/>
          <w:sz w:val="24"/>
        </w:rPr>
        <w:t xml:space="preserve">was lodged prior to the commencement of the </w:t>
      </w:r>
      <w:r>
        <w:rPr>
          <w:rFonts w:ascii="Arial"/>
          <w:color w:val="000000"/>
          <w:sz w:val="24"/>
        </w:rPr>
        <w:t>Canterbury-Bankstown Local Environmental Plan 2023</w:t>
      </w:r>
      <w:r>
        <w:rPr>
          <w:rFonts w:ascii="Arial"/>
          <w:i/>
          <w:color w:val="000000"/>
          <w:sz w:val="24"/>
        </w:rPr>
        <w:t xml:space="preserve"> </w:t>
      </w:r>
      <w:r>
        <w:rPr>
          <w:rFonts w:ascii="Arial"/>
          <w:color w:val="000000"/>
          <w:sz w:val="24"/>
        </w:rPr>
        <w:t>(</w:t>
      </w:r>
      <w:r>
        <w:rPr>
          <w:rFonts w:ascii="Arial"/>
          <w:color w:val="000000"/>
          <w:sz w:val="24"/>
        </w:rPr>
        <w:t>CBLEP 2023</w:t>
      </w:r>
      <w:r>
        <w:rPr>
          <w:rFonts w:ascii="Arial"/>
          <w:color w:val="000000"/>
          <w:sz w:val="24"/>
        </w:rPr>
        <w:t>)</w:t>
      </w:r>
      <w:r>
        <w:rPr>
          <w:rFonts w:ascii="Arial"/>
          <w:color w:val="000000"/>
          <w:sz w:val="24"/>
        </w:rPr>
        <w:t xml:space="preserve"> </w:t>
      </w:r>
      <w:r>
        <w:rPr>
          <w:rFonts w:ascii="Arial"/>
          <w:color w:val="000000"/>
          <w:sz w:val="24"/>
        </w:rPr>
        <w:t xml:space="preserve">and must therefore be assessed pursuant to CLEP as if the CBLEP 2023 had not commenced. </w:t>
      </w:r>
    </w:p>
    <w:p>
      <w:pPr>
        <w:pStyle w:val="CaselawNumbered10"/>
        <w:numPr>
          <w:ilvl w:val="0"/>
          <w:numId w:val="29"/>
        </w:numPr>
        <w:spacing w:before="150" w:after="0"/>
        <w:ind w:left="600" w:hanging="600"/>
      </w:pPr>
      <w:r>
        <w:rPr>
          <w:rFonts w:ascii="Arial"/>
          <w:color w:val="000000"/>
          <w:sz w:val="24"/>
        </w:rPr>
        <w:t xml:space="preserve">The parties agree that the clause 4.6 request </w:t>
      </w:r>
      <w:r>
        <w:rPr>
          <w:rFonts w:ascii="Arial"/>
          <w:color w:val="000000"/>
          <w:sz w:val="24"/>
        </w:rPr>
        <w:t xml:space="preserve">is </w:t>
      </w:r>
      <w:r>
        <w:rPr>
          <w:rFonts w:ascii="Arial"/>
          <w:color w:val="000000"/>
          <w:sz w:val="24"/>
        </w:rPr>
        <w:t>prepared with the relevant requirements under cl 4.6</w:t>
      </w:r>
      <w:r>
        <w:rPr>
          <w:rFonts w:ascii="Arial"/>
          <w:color w:val="000000"/>
          <w:sz w:val="24"/>
        </w:rPr>
        <w:t>(3)</w:t>
      </w:r>
      <w:r>
        <w:rPr>
          <w:rFonts w:ascii="Arial"/>
          <w:color w:val="000000"/>
          <w:sz w:val="24"/>
        </w:rPr>
        <w:t xml:space="preserve"> </w:t>
      </w:r>
      <w:r>
        <w:rPr>
          <w:rFonts w:ascii="Arial"/>
          <w:color w:val="000000"/>
          <w:sz w:val="24"/>
        </w:rPr>
        <w:t>of the CLEP</w:t>
      </w:r>
      <w:r>
        <w:rPr>
          <w:rFonts w:ascii="Arial"/>
          <w:color w:val="000000"/>
          <w:sz w:val="24"/>
        </w:rPr>
        <w:t xml:space="preserve">, </w:t>
      </w:r>
      <w:r>
        <w:rPr>
          <w:rFonts w:ascii="Arial"/>
          <w:color w:val="000000"/>
          <w:sz w:val="24"/>
        </w:rPr>
        <w:t xml:space="preserve">the development will be in the public interest because it is consistent with the objectives of the development standard and the objectives </w:t>
      </w:r>
      <w:r>
        <w:rPr>
          <w:rFonts w:ascii="Arial"/>
          <w:color w:val="000000"/>
          <w:sz w:val="24"/>
        </w:rPr>
        <w:t>of</w:t>
      </w:r>
      <w:r>
        <w:rPr>
          <w:rFonts w:ascii="Arial"/>
          <w:color w:val="000000"/>
          <w:sz w:val="24"/>
        </w:rPr>
        <w:t xml:space="preserve"> </w:t>
      </w:r>
      <w:r>
        <w:rPr>
          <w:rFonts w:ascii="Arial"/>
          <w:color w:val="000000"/>
          <w:sz w:val="24"/>
        </w:rPr>
        <w:t xml:space="preserve">the </w:t>
      </w:r>
      <w:r>
        <w:rPr>
          <w:rFonts w:ascii="Arial"/>
          <w:color w:val="000000"/>
          <w:sz w:val="24"/>
        </w:rPr>
        <w:t>R2</w:t>
      </w:r>
      <w:r>
        <w:rPr>
          <w:rFonts w:ascii="Arial"/>
          <w:color w:val="000000"/>
          <w:sz w:val="24"/>
        </w:rPr>
        <w:t xml:space="preserve"> </w:t>
      </w:r>
      <w:r>
        <w:rPr>
          <w:rFonts w:ascii="Arial"/>
          <w:color w:val="000000"/>
          <w:sz w:val="24"/>
        </w:rPr>
        <w:t>zone</w:t>
      </w:r>
      <w:r>
        <w:rPr>
          <w:rFonts w:ascii="Arial"/>
          <w:color w:val="000000"/>
          <w:sz w:val="24"/>
        </w:rPr>
        <w:t>, and there are</w:t>
      </w:r>
      <w:r>
        <w:rPr>
          <w:rFonts w:ascii="Arial"/>
          <w:color w:val="000000"/>
          <w:sz w:val="24"/>
        </w:rPr>
        <w:t xml:space="preserve"> </w:t>
      </w:r>
      <w:r>
        <w:rPr>
          <w:rFonts w:ascii="Arial"/>
          <w:color w:val="000000"/>
          <w:sz w:val="24"/>
        </w:rPr>
        <w:t>adequate environmental planning grounds to support the proposition that compliance with the development standard is unreasonable and unnecessary.</w:t>
      </w:r>
    </w:p>
    <w:p>
      <w:pPr>
        <w:pStyle w:val="CaselawNumbered10"/>
        <w:numPr>
          <w:ilvl w:val="0"/>
          <w:numId w:val="29"/>
        </w:numPr>
        <w:spacing w:before="150" w:after="0"/>
        <w:ind w:left="600" w:hanging="600"/>
      </w:pPr>
      <w:r>
        <w:rPr>
          <w:rFonts w:ascii="Arial"/>
          <w:color w:val="000000"/>
          <w:sz w:val="24"/>
        </w:rPr>
        <w:t xml:space="preserve">The Court accepts </w:t>
      </w:r>
      <w:r>
        <w:rPr>
          <w:rFonts w:ascii="Arial"/>
          <w:color w:val="000000"/>
          <w:sz w:val="24"/>
        </w:rPr>
        <w:t xml:space="preserve">and agrees with </w:t>
      </w:r>
      <w:r>
        <w:rPr>
          <w:rFonts w:ascii="Arial"/>
          <w:color w:val="000000"/>
          <w:sz w:val="24"/>
        </w:rPr>
        <w:t>the parties</w:t>
      </w:r>
      <w:r>
        <w:rPr>
          <w:rFonts w:ascii="Arial"/>
          <w:color w:val="000000"/>
          <w:sz w:val="24"/>
        </w:rPr>
        <w:t>’</w:t>
      </w:r>
      <w:r>
        <w:rPr>
          <w:rFonts w:ascii="Arial"/>
          <w:color w:val="000000"/>
          <w:sz w:val="24"/>
        </w:rPr>
        <w:t xml:space="preserve"> </w:t>
      </w:r>
      <w:r>
        <w:rPr>
          <w:rFonts w:ascii="Arial"/>
          <w:color w:val="000000"/>
          <w:sz w:val="24"/>
        </w:rPr>
        <w:t>position</w:t>
      </w:r>
      <w:r>
        <w:rPr>
          <w:rFonts w:ascii="Arial"/>
          <w:color w:val="000000"/>
          <w:sz w:val="24"/>
        </w:rPr>
        <w:t xml:space="preserve"> </w:t>
      </w:r>
      <w:r>
        <w:rPr>
          <w:rFonts w:ascii="Arial"/>
          <w:color w:val="000000"/>
          <w:sz w:val="24"/>
        </w:rPr>
        <w:t xml:space="preserve">and </w:t>
      </w:r>
      <w:r>
        <w:rPr>
          <w:rFonts w:ascii="Arial"/>
          <w:color w:val="000000"/>
          <w:sz w:val="24"/>
        </w:rPr>
        <w:t>I am</w:t>
      </w:r>
      <w:r>
        <w:rPr>
          <w:rFonts w:ascii="Arial"/>
          <w:color w:val="000000"/>
          <w:sz w:val="24"/>
        </w:rPr>
        <w:t xml:space="preserve"> </w:t>
      </w:r>
      <w:r>
        <w:rPr>
          <w:rFonts w:ascii="Arial"/>
          <w:color w:val="000000"/>
          <w:sz w:val="24"/>
        </w:rPr>
        <w:t xml:space="preserve">satisfied </w:t>
      </w:r>
      <w:r>
        <w:rPr>
          <w:rFonts w:ascii="Arial"/>
          <w:color w:val="000000"/>
          <w:sz w:val="24"/>
        </w:rPr>
        <w:t xml:space="preserve">to make the finding </w:t>
      </w:r>
      <w:r>
        <w:rPr>
          <w:rFonts w:ascii="Arial"/>
          <w:color w:val="000000"/>
          <w:sz w:val="24"/>
        </w:rPr>
        <w:t>that the Applicant</w:t>
      </w:r>
      <w:r>
        <w:rPr>
          <w:rFonts w:ascii="Arial"/>
          <w:color w:val="000000"/>
          <w:sz w:val="24"/>
        </w:rPr>
        <w:t>’</w:t>
      </w:r>
      <w:r>
        <w:rPr>
          <w:rFonts w:ascii="Arial"/>
          <w:color w:val="000000"/>
          <w:sz w:val="24"/>
        </w:rPr>
        <w:t xml:space="preserve">s written request under cl 4.6 of the </w:t>
      </w:r>
      <w:r>
        <w:rPr>
          <w:rFonts w:ascii="Arial"/>
          <w:color w:val="000000"/>
          <w:sz w:val="24"/>
        </w:rPr>
        <w:t>C</w:t>
      </w:r>
      <w:r>
        <w:rPr>
          <w:rFonts w:ascii="Arial"/>
          <w:color w:val="000000"/>
          <w:sz w:val="24"/>
        </w:rPr>
        <w:t xml:space="preserve">LEP to vary the </w:t>
      </w:r>
      <w:r>
        <w:rPr>
          <w:rFonts w:ascii="Arial"/>
          <w:color w:val="000000"/>
          <w:sz w:val="24"/>
        </w:rPr>
        <w:t>height of buildings</w:t>
      </w:r>
      <w:r>
        <w:rPr>
          <w:rFonts w:ascii="Arial"/>
          <w:color w:val="000000"/>
          <w:sz w:val="24"/>
        </w:rPr>
        <w:t xml:space="preserve"> </w:t>
      </w:r>
      <w:r>
        <w:rPr>
          <w:rFonts w:ascii="Arial"/>
          <w:color w:val="000000"/>
          <w:sz w:val="24"/>
        </w:rPr>
        <w:t>development standard under cl 4.</w:t>
      </w:r>
      <w:r>
        <w:rPr>
          <w:rFonts w:ascii="Arial"/>
          <w:color w:val="000000"/>
          <w:sz w:val="24"/>
        </w:rPr>
        <w:t>3</w:t>
      </w:r>
      <w:r>
        <w:rPr>
          <w:rFonts w:ascii="Arial"/>
          <w:color w:val="000000"/>
          <w:sz w:val="24"/>
        </w:rPr>
        <w:t xml:space="preserve"> </w:t>
      </w:r>
      <w:r>
        <w:rPr>
          <w:rFonts w:ascii="Arial"/>
          <w:color w:val="000000"/>
          <w:sz w:val="24"/>
        </w:rPr>
        <w:t xml:space="preserve">of the </w:t>
      </w:r>
      <w:r>
        <w:rPr>
          <w:rFonts w:ascii="Arial"/>
          <w:color w:val="000000"/>
          <w:sz w:val="24"/>
        </w:rPr>
        <w:t>C</w:t>
      </w:r>
      <w:r>
        <w:rPr>
          <w:rFonts w:ascii="Arial"/>
          <w:color w:val="000000"/>
          <w:sz w:val="24"/>
        </w:rPr>
        <w:t xml:space="preserve">LEP </w:t>
      </w:r>
      <w:r>
        <w:rPr>
          <w:rFonts w:ascii="Arial"/>
          <w:color w:val="000000"/>
          <w:sz w:val="24"/>
        </w:rPr>
        <w:t xml:space="preserve">for the </w:t>
      </w:r>
      <w:r>
        <w:rPr>
          <w:rFonts w:ascii="Arial"/>
          <w:color w:val="000000"/>
          <w:sz w:val="24"/>
        </w:rPr>
        <w:t>Proposed Development</w:t>
      </w:r>
      <w:r>
        <w:rPr>
          <w:rFonts w:ascii="Arial"/>
          <w:color w:val="000000"/>
          <w:sz w:val="24"/>
        </w:rPr>
        <w:t xml:space="preserve"> </w:t>
      </w:r>
      <w:r>
        <w:rPr>
          <w:rFonts w:ascii="Arial"/>
          <w:color w:val="000000"/>
          <w:sz w:val="24"/>
        </w:rPr>
        <w:t>is upheld.</w:t>
      </w:r>
    </w:p>
    <w:p>
      <w:pPr>
        <w:pStyle w:val="CaselawHeading3"/>
        <w:keepNext/>
        <w:spacing w:before="150" w:after="150" w:line="264"/>
        <w:ind w:left="0"/>
        <w:jc w:val="left"/>
      </w:pPr>
      <w:r>
        <w:rPr>
          <w:rFonts w:ascii="Arial"/>
        </w:rPr>
        <w:t>Canterbury Development Control Plan 2023 (DCP)</w:t>
      </w:r>
    </w:p>
    <w:p>
      <w:pPr>
        <w:pStyle w:val="CaselawNumbered10"/>
        <w:numPr>
          <w:ilvl w:val="0"/>
          <w:numId w:val="30"/>
        </w:numPr>
        <w:spacing w:before="150" w:after="0"/>
        <w:ind w:left="600" w:hanging="600"/>
      </w:pPr>
      <w:r>
        <w:rPr>
          <w:rFonts w:ascii="Arial"/>
          <w:color w:val="000000"/>
          <w:sz w:val="24"/>
        </w:rPr>
        <w:t xml:space="preserve">The parties agree that all the related provisions of the DCP have been considered and are addressed in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 xml:space="preserve">evelopment. </w:t>
      </w:r>
      <w:r>
        <w:rPr>
          <w:rFonts w:ascii="Arial"/>
          <w:color w:val="000000"/>
          <w:sz w:val="24"/>
        </w:rPr>
        <w:t>W</w:t>
      </w:r>
      <w:r>
        <w:rPr>
          <w:rFonts w:ascii="Arial"/>
          <w:color w:val="000000"/>
          <w:sz w:val="24"/>
        </w:rPr>
        <w:t>here there is non-compliance with the numerical provisions of the DCP, the non-compliances do not go against the underlying objectives of the relevant section so the DCP.</w:t>
      </w:r>
    </w:p>
    <w:p>
      <w:pPr>
        <w:pStyle w:val="CaselawHeading2"/>
        <w:keepNext/>
        <w:spacing w:before="150" w:after="150" w:line="264"/>
        <w:ind w:left="0"/>
        <w:jc w:val="left"/>
      </w:pPr>
      <w:r>
        <w:rPr>
          <w:rFonts w:ascii="Arial"/>
        </w:rPr>
        <w:t>Public Consultation</w:t>
      </w:r>
    </w:p>
    <w:p>
      <w:pPr>
        <w:pStyle w:val="CaselawNumbered10"/>
        <w:numPr>
          <w:ilvl w:val="0"/>
          <w:numId w:val="31"/>
        </w:numPr>
        <w:spacing w:before="150" w:after="0"/>
        <w:ind w:left="600" w:hanging="600"/>
      </w:pPr>
      <w:r>
        <w:rPr>
          <w:rFonts w:ascii="Arial"/>
          <w:color w:val="000000"/>
          <w:sz w:val="24"/>
        </w:rPr>
        <w:t xml:space="preserve">The </w:t>
      </w:r>
      <w:r>
        <w:rPr>
          <w:rFonts w:ascii="Arial"/>
          <w:color w:val="000000"/>
          <w:sz w:val="24"/>
        </w:rPr>
        <w:t>DA</w:t>
      </w:r>
      <w:r>
        <w:rPr>
          <w:rFonts w:ascii="Arial"/>
          <w:color w:val="000000"/>
          <w:sz w:val="24"/>
        </w:rPr>
        <w:t xml:space="preserve"> </w:t>
      </w:r>
      <w:r>
        <w:rPr>
          <w:rFonts w:ascii="Arial"/>
          <w:color w:val="000000"/>
          <w:sz w:val="24"/>
        </w:rPr>
        <w:t xml:space="preserve">was notified by the </w:t>
      </w:r>
      <w:r>
        <w:rPr>
          <w:rFonts w:ascii="Arial"/>
          <w:color w:val="000000"/>
          <w:sz w:val="24"/>
        </w:rPr>
        <w:t>Council f</w:t>
      </w:r>
      <w:r>
        <w:rPr>
          <w:rFonts w:ascii="Arial"/>
          <w:color w:val="000000"/>
          <w:sz w:val="24"/>
        </w:rPr>
        <w:t xml:space="preserve">rom </w:t>
      </w:r>
      <w:r>
        <w:rPr>
          <w:rFonts w:ascii="Arial"/>
          <w:color w:val="000000"/>
          <w:sz w:val="24"/>
        </w:rPr>
        <w:t>25 November</w:t>
      </w:r>
      <w:r>
        <w:rPr>
          <w:rFonts w:ascii="Arial"/>
          <w:color w:val="000000"/>
          <w:sz w:val="24"/>
        </w:rPr>
        <w:t xml:space="preserve"> </w:t>
      </w:r>
      <w:r>
        <w:rPr>
          <w:rFonts w:ascii="Arial"/>
          <w:color w:val="000000"/>
          <w:sz w:val="24"/>
        </w:rPr>
        <w:t>202</w:t>
      </w:r>
      <w:r>
        <w:rPr>
          <w:rFonts w:ascii="Arial"/>
          <w:color w:val="000000"/>
          <w:sz w:val="24"/>
        </w:rPr>
        <w:t>2</w:t>
      </w:r>
      <w:r>
        <w:rPr>
          <w:rFonts w:ascii="Arial"/>
          <w:color w:val="000000"/>
          <w:sz w:val="24"/>
        </w:rPr>
        <w:t xml:space="preserve"> </w:t>
      </w:r>
      <w:r>
        <w:rPr>
          <w:rFonts w:ascii="Arial"/>
          <w:color w:val="000000"/>
          <w:sz w:val="24"/>
        </w:rPr>
        <w:t xml:space="preserve">to </w:t>
      </w:r>
      <w:r>
        <w:rPr>
          <w:rFonts w:ascii="Arial"/>
          <w:color w:val="000000"/>
          <w:sz w:val="24"/>
        </w:rPr>
        <w:t>9 November</w:t>
      </w:r>
      <w:r>
        <w:rPr>
          <w:rFonts w:ascii="Arial"/>
          <w:color w:val="000000"/>
          <w:sz w:val="24"/>
        </w:rPr>
        <w:t xml:space="preserve"> </w:t>
      </w:r>
      <w:r>
        <w:rPr>
          <w:rFonts w:ascii="Arial"/>
          <w:color w:val="000000"/>
          <w:sz w:val="24"/>
        </w:rPr>
        <w:t>202</w:t>
      </w:r>
      <w:r>
        <w:rPr>
          <w:rFonts w:ascii="Arial"/>
          <w:color w:val="000000"/>
          <w:sz w:val="24"/>
        </w:rPr>
        <w:t>2</w:t>
      </w:r>
      <w:r>
        <w:rPr>
          <w:rFonts w:ascii="Arial"/>
          <w:color w:val="000000"/>
          <w:sz w:val="24"/>
        </w:rPr>
        <w:t xml:space="preserve">. </w:t>
      </w:r>
      <w:r>
        <w:rPr>
          <w:rFonts w:ascii="Arial"/>
          <w:color w:val="000000"/>
          <w:sz w:val="24"/>
        </w:rPr>
        <w:t>In response</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Council</w:t>
      </w:r>
      <w:r>
        <w:rPr>
          <w:rFonts w:ascii="Arial"/>
          <w:color w:val="000000"/>
          <w:sz w:val="24"/>
        </w:rPr>
        <w:t xml:space="preserve"> </w:t>
      </w:r>
      <w:r>
        <w:rPr>
          <w:rFonts w:ascii="Arial"/>
          <w:color w:val="000000"/>
          <w:sz w:val="24"/>
        </w:rPr>
        <w:t xml:space="preserve">received </w:t>
      </w:r>
      <w:r>
        <w:rPr>
          <w:rFonts w:ascii="Arial"/>
          <w:color w:val="000000"/>
          <w:sz w:val="24"/>
        </w:rPr>
        <w:t>one</w:t>
      </w:r>
      <w:r>
        <w:rPr>
          <w:rFonts w:ascii="Arial"/>
          <w:color w:val="000000"/>
          <w:sz w:val="24"/>
        </w:rPr>
        <w:t xml:space="preserve"> </w:t>
      </w:r>
      <w:r>
        <w:rPr>
          <w:rFonts w:ascii="Arial"/>
          <w:color w:val="000000"/>
          <w:sz w:val="24"/>
        </w:rPr>
        <w:t xml:space="preserve">submission which </w:t>
      </w:r>
      <w:r>
        <w:rPr>
          <w:rFonts w:ascii="Arial"/>
          <w:color w:val="000000"/>
          <w:sz w:val="24"/>
        </w:rPr>
        <w:t xml:space="preserve">dealt </w:t>
      </w:r>
      <w:r>
        <w:rPr>
          <w:rFonts w:ascii="Arial"/>
          <w:color w:val="000000"/>
          <w:sz w:val="24"/>
        </w:rPr>
        <w:t>with the adverse impacts upon amenity of the locality including noise and privacy from the proposed pool.</w:t>
      </w:r>
      <w:r>
        <w:rPr>
          <w:rFonts w:ascii="Arial"/>
          <w:color w:val="000000"/>
          <w:sz w:val="24"/>
        </w:rPr>
        <w:t xml:space="preserve"> </w:t>
      </w:r>
      <w:r>
        <w:rPr>
          <w:rFonts w:ascii="Arial"/>
          <w:color w:val="000000"/>
          <w:sz w:val="24"/>
        </w:rPr>
        <w:t xml:space="preserve">One person attended the </w:t>
      </w:r>
      <w:r>
        <w:rPr>
          <w:rFonts w:ascii="Arial"/>
          <w:color w:val="000000"/>
          <w:sz w:val="24"/>
        </w:rPr>
        <w:t>on-site</w:t>
      </w:r>
      <w:r>
        <w:rPr>
          <w:rFonts w:ascii="Arial"/>
          <w:color w:val="000000"/>
          <w:sz w:val="24"/>
        </w:rPr>
        <w:t xml:space="preserve"> </w:t>
      </w:r>
      <w:r>
        <w:rPr>
          <w:rFonts w:ascii="Arial"/>
          <w:color w:val="000000"/>
          <w:sz w:val="24"/>
        </w:rPr>
        <w:t xml:space="preserve">view. </w:t>
      </w:r>
      <w:r>
        <w:rPr>
          <w:rFonts w:ascii="Arial"/>
          <w:color w:val="000000"/>
          <w:sz w:val="24"/>
        </w:rPr>
        <w:t xml:space="preserve">I was informed </w:t>
      </w:r>
      <w:r>
        <w:rPr>
          <w:rFonts w:ascii="Arial"/>
          <w:color w:val="000000"/>
          <w:sz w:val="24"/>
        </w:rPr>
        <w:t>c</w:t>
      </w:r>
      <w:r>
        <w:rPr>
          <w:rFonts w:ascii="Arial"/>
          <w:color w:val="000000"/>
          <w:sz w:val="24"/>
        </w:rPr>
        <w:t>o</w:t>
      </w:r>
      <w:r>
        <w:rPr>
          <w:rFonts w:ascii="Arial"/>
          <w:color w:val="000000"/>
          <w:sz w:val="24"/>
        </w:rPr>
        <w:t xml:space="preserve">mplaints have been received by </w:t>
      </w:r>
      <w:r>
        <w:rPr>
          <w:rFonts w:ascii="Arial"/>
          <w:color w:val="000000"/>
          <w:sz w:val="24"/>
        </w:rPr>
        <w:t xml:space="preserve">the </w:t>
      </w:r>
      <w:r>
        <w:rPr>
          <w:rFonts w:ascii="Arial"/>
          <w:color w:val="000000"/>
          <w:sz w:val="24"/>
        </w:rPr>
        <w:t xml:space="preserve">Council </w:t>
      </w:r>
      <w:r>
        <w:rPr>
          <w:rFonts w:ascii="Arial"/>
          <w:color w:val="000000"/>
          <w:sz w:val="24"/>
        </w:rPr>
        <w:t>over</w:t>
      </w:r>
      <w:r>
        <w:rPr>
          <w:rFonts w:ascii="Arial"/>
          <w:color w:val="000000"/>
          <w:sz w:val="24"/>
        </w:rPr>
        <w:t xml:space="preserve"> </w:t>
      </w:r>
      <w:r>
        <w:rPr>
          <w:rFonts w:ascii="Arial"/>
          <w:color w:val="000000"/>
          <w:sz w:val="24"/>
        </w:rPr>
        <w:t>the last few yea</w:t>
      </w:r>
      <w:r>
        <w:rPr>
          <w:rFonts w:ascii="Arial"/>
          <w:color w:val="000000"/>
          <w:sz w:val="24"/>
        </w:rPr>
        <w:t>rs</w:t>
      </w:r>
      <w:r>
        <w:rPr>
          <w:rFonts w:ascii="Arial"/>
          <w:color w:val="000000"/>
          <w:sz w:val="24"/>
        </w:rPr>
        <w:t xml:space="preserve"> </w:t>
      </w:r>
      <w:r>
        <w:rPr>
          <w:rFonts w:ascii="Arial"/>
          <w:color w:val="000000"/>
          <w:sz w:val="24"/>
        </w:rPr>
        <w:t xml:space="preserve">with respect to </w:t>
      </w:r>
      <w:r>
        <w:rPr>
          <w:rFonts w:ascii="Arial"/>
          <w:color w:val="000000"/>
          <w:sz w:val="24"/>
        </w:rPr>
        <w:t xml:space="preserve">the </w:t>
      </w:r>
      <w:r>
        <w:rPr>
          <w:rFonts w:ascii="Arial"/>
          <w:color w:val="000000"/>
          <w:sz w:val="24"/>
        </w:rPr>
        <w:t xml:space="preserve">current </w:t>
      </w:r>
      <w:r>
        <w:rPr>
          <w:rFonts w:ascii="Arial"/>
          <w:color w:val="000000"/>
          <w:sz w:val="24"/>
        </w:rPr>
        <w:t xml:space="preserve">state of the Site as depicted in </w:t>
      </w:r>
      <w:r>
        <w:rPr>
          <w:rFonts w:ascii="Arial"/>
          <w:color w:val="000000"/>
          <w:sz w:val="24"/>
        </w:rPr>
        <w:t xml:space="preserve">Figure </w:t>
      </w:r>
      <w:r>
        <w:rPr>
          <w:rFonts w:ascii="Arial"/>
          <w:color w:val="000000"/>
          <w:sz w:val="24"/>
        </w:rPr>
        <w:t>3</w:t>
      </w:r>
      <w:r>
        <w:rPr>
          <w:rFonts w:ascii="Arial"/>
          <w:color w:val="000000"/>
          <w:sz w:val="24"/>
        </w:rPr>
        <w:t xml:space="preserve"> </w:t>
      </w:r>
      <w:r>
        <w:rPr>
          <w:rFonts w:ascii="Arial"/>
          <w:color w:val="000000"/>
          <w:sz w:val="24"/>
        </w:rPr>
        <w:t>above</w:t>
      </w:r>
      <w:r>
        <w:rPr>
          <w:rFonts w:ascii="Arial"/>
          <w:color w:val="000000"/>
          <w:sz w:val="24"/>
        </w:rPr>
        <w:t>.</w:t>
      </w:r>
      <w:r>
        <w:rPr>
          <w:rFonts w:ascii="Arial"/>
          <w:color w:val="000000"/>
          <w:sz w:val="24"/>
        </w:rPr>
        <w:t xml:space="preserve"> </w:t>
      </w:r>
      <w:r>
        <w:rPr>
          <w:rFonts w:ascii="Arial"/>
          <w:color w:val="000000"/>
          <w:sz w:val="24"/>
        </w:rPr>
        <w:t>R</w:t>
      </w:r>
      <w:r>
        <w:rPr>
          <w:rFonts w:ascii="Arial"/>
          <w:color w:val="000000"/>
          <w:sz w:val="24"/>
        </w:rPr>
        <w:t xml:space="preserve">egularisation of the </w:t>
      </w:r>
      <w:r>
        <w:rPr>
          <w:rFonts w:ascii="Arial"/>
          <w:color w:val="000000"/>
          <w:sz w:val="24"/>
        </w:rPr>
        <w:t>work</w:t>
      </w:r>
      <w:r>
        <w:rPr>
          <w:rFonts w:ascii="Arial"/>
          <w:color w:val="000000"/>
          <w:sz w:val="24"/>
        </w:rPr>
        <w:t xml:space="preserve"> </w:t>
      </w:r>
      <w:r>
        <w:rPr>
          <w:rFonts w:ascii="Arial"/>
          <w:color w:val="000000"/>
          <w:sz w:val="24"/>
        </w:rPr>
        <w:t>Site and progress with completion</w:t>
      </w:r>
      <w:r>
        <w:rPr>
          <w:rFonts w:ascii="Arial"/>
          <w:color w:val="000000"/>
          <w:sz w:val="24"/>
        </w:rPr>
        <w:t xml:space="preserve"> </w:t>
      </w:r>
      <w:r>
        <w:rPr>
          <w:rFonts w:ascii="Arial"/>
          <w:color w:val="000000"/>
          <w:sz w:val="24"/>
        </w:rPr>
        <w:t xml:space="preserve">of </w:t>
      </w:r>
      <w:r>
        <w:rPr>
          <w:rFonts w:ascii="Arial"/>
          <w:color w:val="000000"/>
          <w:sz w:val="24"/>
        </w:rPr>
        <w:t xml:space="preserve">the </w:t>
      </w:r>
      <w:r>
        <w:rPr>
          <w:rFonts w:ascii="Arial"/>
          <w:color w:val="000000"/>
          <w:sz w:val="24"/>
        </w:rPr>
        <w:t>DA</w:t>
      </w:r>
      <w:r>
        <w:rPr>
          <w:rFonts w:ascii="Arial"/>
          <w:color w:val="000000"/>
          <w:sz w:val="24"/>
        </w:rPr>
        <w:t xml:space="preserve"> </w:t>
      </w:r>
      <w:r>
        <w:rPr>
          <w:rFonts w:ascii="Arial"/>
          <w:color w:val="000000"/>
          <w:sz w:val="24"/>
        </w:rPr>
        <w:t xml:space="preserve">is </w:t>
      </w:r>
      <w:r>
        <w:rPr>
          <w:rFonts w:ascii="Arial"/>
          <w:color w:val="000000"/>
          <w:sz w:val="24"/>
        </w:rPr>
        <w:t xml:space="preserve">obviously desirable for the local </w:t>
      </w:r>
      <w:r>
        <w:rPr>
          <w:rFonts w:ascii="Arial"/>
          <w:color w:val="000000"/>
          <w:sz w:val="24"/>
        </w:rPr>
        <w:t>community and the Applicant</w:t>
      </w:r>
      <w:r>
        <w:rPr>
          <w:rFonts w:ascii="Arial"/>
          <w:color w:val="000000"/>
          <w:sz w:val="24"/>
        </w:rPr>
        <w:t>.</w:t>
      </w:r>
    </w:p>
    <w:p>
      <w:pPr>
        <w:pStyle w:val="CaselawNumbered10"/>
        <w:numPr>
          <w:ilvl w:val="0"/>
          <w:numId w:val="31"/>
        </w:numPr>
        <w:spacing w:before="150" w:after="0"/>
        <w:ind w:left="600" w:hanging="600"/>
      </w:pPr>
      <w:r>
        <w:rPr>
          <w:rFonts w:ascii="Arial"/>
          <w:color w:val="000000"/>
          <w:sz w:val="24"/>
        </w:rPr>
        <w:t xml:space="preserve">I am satisfied that the </w:t>
      </w:r>
      <w:r>
        <w:rPr>
          <w:rFonts w:ascii="Arial"/>
          <w:color w:val="000000"/>
          <w:sz w:val="24"/>
        </w:rPr>
        <w:t>residents</w:t>
      </w:r>
      <w:r>
        <w:rPr>
          <w:rFonts w:ascii="Arial"/>
          <w:color w:val="000000"/>
          <w:sz w:val="24"/>
        </w:rPr>
        <w:t xml:space="preserve"> </w:t>
      </w:r>
      <w:r>
        <w:rPr>
          <w:rFonts w:ascii="Arial"/>
          <w:color w:val="000000"/>
          <w:sz w:val="24"/>
        </w:rPr>
        <w:t xml:space="preserve">reasonable concerns were considered by the </w:t>
      </w:r>
      <w:r>
        <w:rPr>
          <w:rFonts w:ascii="Arial"/>
          <w:color w:val="000000"/>
          <w:sz w:val="24"/>
        </w:rPr>
        <w:t>parties</w:t>
      </w:r>
      <w:r>
        <w:rPr>
          <w:rFonts w:ascii="Arial"/>
          <w:color w:val="000000"/>
          <w:sz w:val="24"/>
        </w:rPr>
        <w:t xml:space="preserve"> </w:t>
      </w:r>
      <w:r>
        <w:rPr>
          <w:rFonts w:ascii="Arial"/>
          <w:color w:val="000000"/>
          <w:sz w:val="24"/>
        </w:rPr>
        <w:t>and the</w:t>
      </w:r>
      <w:r>
        <w:rPr>
          <w:rFonts w:ascii="Arial"/>
          <w:color w:val="000000"/>
          <w:sz w:val="24"/>
        </w:rPr>
        <w:t xml:space="preserve">y </w:t>
      </w:r>
      <w:r>
        <w:rPr>
          <w:rFonts w:ascii="Arial"/>
          <w:color w:val="000000"/>
          <w:sz w:val="24"/>
        </w:rPr>
        <w:t>were accorded procedural fairness.</w:t>
      </w:r>
    </w:p>
    <w:p>
      <w:pPr>
        <w:pStyle w:val="CaselawHeading2"/>
        <w:keepNext/>
        <w:spacing w:before="150" w:after="150" w:line="264"/>
        <w:ind w:left="0"/>
        <w:jc w:val="left"/>
      </w:pPr>
      <w:r>
        <w:rPr>
          <w:rFonts w:ascii="Arial"/>
        </w:rPr>
        <w:t>Conclusion</w:t>
      </w:r>
    </w:p>
    <w:p>
      <w:pPr>
        <w:pStyle w:val="CaselawNumbered10"/>
        <w:numPr>
          <w:ilvl w:val="0"/>
          <w:numId w:val="32"/>
        </w:numPr>
        <w:spacing w:before="150" w:after="0"/>
        <w:ind w:left="600" w:hanging="600"/>
      </w:pPr>
      <w:r>
        <w:rPr>
          <w:rFonts w:ascii="Arial"/>
          <w:color w:val="000000"/>
          <w:sz w:val="24"/>
        </w:rPr>
        <w:t>For these reasons</w:t>
      </w:r>
      <w:r>
        <w:rPr>
          <w:rFonts w:ascii="Arial"/>
          <w:color w:val="000000"/>
          <w:sz w:val="24"/>
        </w:rPr>
        <w:t xml:space="preserve">, </w:t>
      </w:r>
      <w:r>
        <w:rPr>
          <w:rFonts w:ascii="Arial"/>
          <w:color w:val="000000"/>
          <w:sz w:val="24"/>
        </w:rPr>
        <w:t xml:space="preserve">based on the evidence before me, </w:t>
      </w:r>
      <w:r>
        <w:rPr>
          <w:rFonts w:ascii="Arial"/>
          <w:color w:val="000000"/>
          <w:sz w:val="24"/>
        </w:rPr>
        <w:t xml:space="preserve">and my observations on </w:t>
      </w:r>
      <w:r>
        <w:rPr>
          <w:rFonts w:ascii="Arial"/>
          <w:color w:val="000000"/>
          <w:sz w:val="24"/>
        </w:rPr>
        <w:t>S</w:t>
      </w:r>
      <w:r>
        <w:rPr>
          <w:rFonts w:ascii="Arial"/>
          <w:color w:val="000000"/>
          <w:sz w:val="24"/>
        </w:rPr>
        <w:t xml:space="preserve">ite, </w:t>
      </w:r>
      <w:r>
        <w:rPr>
          <w:rFonts w:ascii="Arial"/>
          <w:color w:val="000000"/>
          <w:sz w:val="24"/>
        </w:rPr>
        <w:t xml:space="preserve">I am satisfied that there is no jurisdictional impediment to the making of the proposed </w:t>
      </w:r>
      <w:r>
        <w:rPr>
          <w:rFonts w:ascii="Arial"/>
          <w:color w:val="000000"/>
          <w:sz w:val="24"/>
        </w:rPr>
        <w:t xml:space="preserve">consent </w:t>
      </w:r>
      <w:r>
        <w:rPr>
          <w:rFonts w:ascii="Arial"/>
          <w:color w:val="000000"/>
          <w:sz w:val="24"/>
        </w:rPr>
        <w:t>orders, and the decision is one that the Court could have made in the proper exercise of its functions.</w:t>
      </w:r>
    </w:p>
    <w:p>
      <w:pPr>
        <w:pStyle w:val="CaselawHeading2"/>
        <w:keepNext/>
        <w:spacing w:before="150" w:after="150" w:line="264"/>
        <w:ind w:left="0"/>
        <w:jc w:val="left"/>
      </w:pPr>
      <w:r>
        <w:rPr>
          <w:rFonts w:ascii="Arial"/>
        </w:rPr>
        <w:t>Notations</w:t>
      </w:r>
    </w:p>
    <w:p>
      <w:pPr>
        <w:pStyle w:val="CaselawNumbered10"/>
        <w:numPr>
          <w:ilvl w:val="0"/>
          <w:numId w:val="33"/>
        </w:numPr>
        <w:spacing w:before="150" w:after="0"/>
        <w:ind w:left="600" w:hanging="600"/>
      </w:pPr>
      <w:r>
        <w:rPr>
          <w:rFonts w:ascii="Arial"/>
          <w:color w:val="000000"/>
          <w:sz w:val="24"/>
        </w:rPr>
        <w:t>The Court notes:</w:t>
      </w:r>
    </w:p>
    <w:p>
      <w:pPr>
        <w:pStyle w:val="CaselawNumbered1"/>
        <w:numPr>
          <w:ilvl w:val="0"/>
          <w:numId w:val="34"/>
        </w:numPr>
        <w:spacing w:before="150" w:after="0"/>
        <w:ind w:left="1350" w:hanging="750"/>
      </w:pPr>
      <w:r>
        <w:rPr>
          <w:rFonts w:ascii="Arial"/>
          <w:color w:val="000000"/>
          <w:sz w:val="24"/>
        </w:rPr>
        <w:t xml:space="preserve">Canterbury-Bankstown Council </w:t>
      </w:r>
      <w:r>
        <w:rPr>
          <w:rFonts w:ascii="Arial"/>
          <w:color w:val="000000"/>
          <w:sz w:val="24"/>
        </w:rPr>
        <w:t xml:space="preserve">as the relevant consent authority, has agreed under section 38(1) of the </w:t>
      </w:r>
      <w:r>
        <w:rPr>
          <w:rFonts w:ascii="Arial"/>
          <w:color w:val="000000"/>
          <w:sz w:val="24"/>
        </w:rPr>
        <w:t>Environmental</w:t>
      </w:r>
      <w:r>
        <w:rPr>
          <w:rFonts w:ascii="Arial"/>
          <w:color w:val="000000"/>
          <w:sz w:val="24"/>
        </w:rPr>
        <w:t xml:space="preserve"> </w:t>
      </w:r>
      <w:r>
        <w:rPr>
          <w:rFonts w:ascii="Arial"/>
          <w:color w:val="000000"/>
          <w:sz w:val="24"/>
        </w:rPr>
        <w:t xml:space="preserve">Planning and Assessment </w:t>
      </w:r>
      <w:r>
        <w:rPr>
          <w:rFonts w:ascii="Arial"/>
          <w:color w:val="000000"/>
          <w:sz w:val="24"/>
        </w:rPr>
        <w:t xml:space="preserve">Regulation </w:t>
      </w:r>
      <w:r>
        <w:rPr>
          <w:rFonts w:ascii="Arial"/>
          <w:color w:val="000000"/>
          <w:sz w:val="24"/>
        </w:rPr>
        <w:t>2021</w:t>
      </w:r>
      <w:r>
        <w:rPr>
          <w:rFonts w:ascii="Arial"/>
          <w:i/>
          <w:color w:val="000000"/>
          <w:sz w:val="24"/>
        </w:rPr>
        <w:t xml:space="preserve"> </w:t>
      </w:r>
      <w:r>
        <w:rPr>
          <w:rFonts w:ascii="Arial"/>
          <w:color w:val="000000"/>
          <w:sz w:val="24"/>
        </w:rPr>
        <w:t>to the Applicant amending Development Application No. DA-1028/2022</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accordance</w:t>
      </w:r>
      <w:r>
        <w:rPr>
          <w:rFonts w:ascii="Arial"/>
          <w:color w:val="000000"/>
          <w:sz w:val="24"/>
        </w:rPr>
        <w:t xml:space="preserve"> </w:t>
      </w:r>
      <w:r>
        <w:rPr>
          <w:rFonts w:ascii="Arial"/>
          <w:color w:val="000000"/>
          <w:sz w:val="24"/>
        </w:rPr>
        <w:t>with</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following</w:t>
      </w:r>
      <w:r>
        <w:rPr>
          <w:rFonts w:ascii="Arial"/>
          <w:color w:val="000000"/>
          <w:sz w:val="24"/>
        </w:rPr>
        <w:t xml:space="preserve"> </w:t>
      </w:r>
      <w:r>
        <w:rPr>
          <w:rFonts w:ascii="Arial"/>
          <w:color w:val="000000"/>
          <w:sz w:val="24"/>
        </w:rPr>
        <w:t>documents</w:t>
      </w:r>
      <w:r>
        <w:rPr>
          <w:rFonts w:ascii="Arial"/>
          <w:color w:val="000000"/>
          <w:sz w:val="24"/>
        </w:rPr>
        <w:t xml:space="preserve"> </w:t>
      </w:r>
      <w:r>
        <w:rPr>
          <w:rFonts w:ascii="Arial"/>
          <w:color w:val="000000"/>
          <w:sz w:val="24"/>
        </w:rPr>
        <w:t>which</w:t>
      </w:r>
      <w:r>
        <w:rPr>
          <w:rFonts w:ascii="Arial"/>
          <w:color w:val="000000"/>
          <w:sz w:val="24"/>
        </w:rPr>
        <w:t xml:space="preserve"> </w:t>
      </w:r>
      <w:r>
        <w:rPr>
          <w:rFonts w:ascii="Arial"/>
          <w:color w:val="000000"/>
          <w:sz w:val="24"/>
        </w:rPr>
        <w:t>were</w:t>
      </w:r>
      <w:r>
        <w:rPr>
          <w:rFonts w:ascii="Arial"/>
          <w:color w:val="000000"/>
          <w:sz w:val="24"/>
        </w:rPr>
        <w:t xml:space="preserve"> </w:t>
      </w:r>
      <w:r>
        <w:rPr>
          <w:rFonts w:ascii="Arial"/>
          <w:color w:val="000000"/>
          <w:sz w:val="24"/>
        </w:rPr>
        <w:t xml:space="preserve">filed with the Court on 8 July 2024. </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6224"/>
        <w:gridCol w:w="1441"/>
        <w:gridCol w:w="1334"/>
        <w:gridCol w:w="1776"/>
        <w:gridCol w:w="3225"/>
      </w:tblGrid>
      <w:tr>
        <w:trPr/>
        <w:tc>
          <w:tcPr>
            <w:tcW w:w="6224" w:type="dxa"/>
            <w:vAlign w:val="center"/>
          </w:tcPr>
          <w:p>
            <w:pPr>
              <w:pStyle w:val="CaselawNormal"/>
              <w:spacing w:before="150" w:after="150"/>
              <w:ind w:left="600"/>
              <w:jc w:val="left"/>
            </w:pPr>
            <w:r>
              <w:rPr>
                <w:rFonts w:ascii="Arial"/>
                <w:b/>
                <w:color w:val="000000"/>
                <w:sz w:val="24"/>
              </w:rPr>
              <w:t>Type</w:t>
            </w:r>
          </w:p>
        </w:tc>
        <w:tc>
          <w:tcPr>
            <w:tcW w:w="1441" w:type="dxa"/>
            <w:vAlign w:val="center"/>
          </w:tcPr>
          <w:p>
            <w:pPr>
              <w:pStyle w:val="CaselawNormal"/>
              <w:spacing w:before="150" w:after="150"/>
              <w:ind w:left="600"/>
              <w:jc w:val="left"/>
            </w:pPr>
            <w:r>
              <w:rPr>
                <w:rFonts w:ascii="Arial"/>
                <w:b/>
                <w:color w:val="000000"/>
                <w:sz w:val="24"/>
              </w:rPr>
              <w:t>Plan</w:t>
            </w:r>
            <w:r>
              <w:rPr>
                <w:rFonts w:ascii="Arial"/>
                <w:b/>
                <w:color w:val="000000"/>
                <w:sz w:val="24"/>
              </w:rPr>
              <w:t xml:space="preserve"> </w:t>
            </w:r>
            <w:r>
              <w:rPr>
                <w:rFonts w:ascii="Arial"/>
                <w:b/>
                <w:color w:val="000000"/>
                <w:sz w:val="24"/>
              </w:rPr>
              <w:t>No.</w:t>
            </w:r>
          </w:p>
        </w:tc>
        <w:tc>
          <w:tcPr>
            <w:tcW w:w="1334" w:type="dxa"/>
            <w:vAlign w:val="center"/>
          </w:tcPr>
          <w:p>
            <w:pPr>
              <w:pStyle w:val="CaselawNormal"/>
              <w:spacing w:before="150" w:after="150"/>
              <w:ind w:left="600"/>
              <w:jc w:val="left"/>
            </w:pPr>
            <w:r>
              <w:rPr>
                <w:rFonts w:ascii="Arial"/>
                <w:b/>
                <w:color w:val="000000"/>
                <w:sz w:val="24"/>
              </w:rPr>
              <w:t>Revision</w:t>
            </w:r>
          </w:p>
          <w:p>
            <w:pPr>
              <w:pStyle w:val="CaselawNormal"/>
              <w:spacing w:before="150" w:after="150"/>
              <w:ind w:left="600"/>
              <w:jc w:val="left"/>
            </w:pPr>
            <w:r>
              <w:rPr>
                <w:rFonts w:ascii="Arial"/>
                <w:b/>
                <w:color w:val="000000"/>
                <w:sz w:val="24"/>
              </w:rPr>
              <w:t>/</w:t>
            </w:r>
            <w:r>
              <w:rPr>
                <w:rFonts w:ascii="Arial"/>
                <w:b/>
                <w:color w:val="000000"/>
                <w:sz w:val="24"/>
              </w:rPr>
              <w:t xml:space="preserve"> Issue </w:t>
            </w:r>
            <w:r>
              <w:rPr>
                <w:rFonts w:ascii="Arial"/>
                <w:b/>
                <w:color w:val="000000"/>
                <w:sz w:val="24"/>
              </w:rPr>
              <w:t>No</w:t>
            </w:r>
          </w:p>
        </w:tc>
        <w:tc>
          <w:tcPr>
            <w:tcW w:w="1776" w:type="dxa"/>
            <w:vAlign w:val="center"/>
          </w:tcPr>
          <w:p>
            <w:pPr>
              <w:pStyle w:val="CaselawNormal"/>
              <w:spacing w:before="150" w:after="150"/>
              <w:ind w:left="600"/>
              <w:jc w:val="left"/>
            </w:pPr>
            <w:r>
              <w:rPr>
                <w:rFonts w:ascii="Arial"/>
                <w:b/>
                <w:color w:val="000000"/>
                <w:sz w:val="24"/>
              </w:rPr>
              <w:t>Plan</w:t>
            </w:r>
            <w:r>
              <w:rPr>
                <w:rFonts w:ascii="Arial"/>
                <w:b/>
                <w:color w:val="000000"/>
                <w:sz w:val="24"/>
              </w:rPr>
              <w:t xml:space="preserve"> </w:t>
            </w:r>
            <w:r>
              <w:rPr>
                <w:rFonts w:ascii="Arial"/>
                <w:b/>
                <w:color w:val="000000"/>
                <w:sz w:val="24"/>
              </w:rPr>
              <w:t>Date</w:t>
            </w:r>
          </w:p>
          <w:p>
            <w:pPr>
              <w:pStyle w:val="CaselawNormal"/>
              <w:spacing w:before="150" w:after="150"/>
              <w:ind w:left="600"/>
              <w:jc w:val="left"/>
            </w:pPr>
            <w:r>
              <w:rPr>
                <w:rFonts w:ascii="Arial"/>
                <w:b/>
                <w:color w:val="000000"/>
                <w:sz w:val="24"/>
              </w:rPr>
              <w:t xml:space="preserve">(as </w:t>
            </w:r>
            <w:r>
              <w:rPr>
                <w:rFonts w:ascii="Arial"/>
                <w:b/>
                <w:color w:val="000000"/>
                <w:sz w:val="24"/>
              </w:rPr>
              <w:t>Amended)</w:t>
            </w:r>
          </w:p>
        </w:tc>
        <w:tc>
          <w:tcPr>
            <w:tcW w:w="3225" w:type="dxa"/>
            <w:vAlign w:val="center"/>
          </w:tcPr>
          <w:p>
            <w:pPr>
              <w:pStyle w:val="CaselawNormal"/>
              <w:spacing w:before="150" w:after="150"/>
              <w:ind w:left="600"/>
              <w:jc w:val="left"/>
            </w:pPr>
            <w:r>
              <w:rPr>
                <w:rFonts w:ascii="Arial"/>
                <w:b/>
                <w:color w:val="000000"/>
                <w:sz w:val="24"/>
              </w:rPr>
              <w:t>Prepared</w:t>
            </w:r>
            <w:r>
              <w:rPr>
                <w:rFonts w:ascii="Arial"/>
                <w:b/>
                <w:color w:val="000000"/>
                <w:sz w:val="24"/>
              </w:rPr>
              <w:t xml:space="preserve"> by</w:t>
            </w:r>
          </w:p>
        </w:tc>
      </w:tr>
      <w:tr>
        <w:trPr/>
        <w:tc>
          <w:tcPr>
            <w:tcW w:w="0" w:type="auto"/>
            <w:gridSpan w:val="5"/>
            <w:vAlign w:val="center"/>
          </w:tcPr>
          <w:p>
            <w:pPr>
              <w:pStyle w:val="CaselawNormal"/>
              <w:spacing w:before="150" w:after="150"/>
              <w:ind w:left="600"/>
              <w:jc w:val="left"/>
            </w:pPr>
            <w:r>
              <w:rPr>
                <w:rFonts w:ascii="Arial"/>
                <w:b/>
                <w:color w:val="000000"/>
                <w:sz w:val="24"/>
              </w:rPr>
              <w:t>AMENDED</w:t>
            </w:r>
            <w:r>
              <w:rPr>
                <w:rFonts w:ascii="Arial"/>
                <w:b/>
                <w:color w:val="000000"/>
                <w:sz w:val="24"/>
              </w:rPr>
              <w:t xml:space="preserve"> </w:t>
            </w:r>
            <w:r>
              <w:rPr>
                <w:rFonts w:ascii="Arial"/>
                <w:b/>
                <w:color w:val="000000"/>
                <w:sz w:val="24"/>
              </w:rPr>
              <w:t>ARCHITECTURAL</w:t>
            </w:r>
            <w:r>
              <w:rPr>
                <w:rFonts w:ascii="Arial"/>
                <w:b/>
                <w:color w:val="000000"/>
                <w:sz w:val="24"/>
              </w:rPr>
              <w:t xml:space="preserve"> </w:t>
            </w:r>
            <w:r>
              <w:rPr>
                <w:rFonts w:ascii="Arial"/>
                <w:b/>
                <w:color w:val="000000"/>
                <w:sz w:val="24"/>
              </w:rPr>
              <w:t>PLANS</w:t>
            </w:r>
          </w:p>
        </w:tc>
      </w:tr>
      <w:tr>
        <w:trPr/>
        <w:tc>
          <w:tcPr>
            <w:tcW w:w="6224" w:type="dxa"/>
            <w:vAlign w:val="center"/>
          </w:tcPr>
          <w:p>
            <w:pPr>
              <w:pStyle w:val="CaselawNormal"/>
              <w:spacing w:before="150" w:after="150"/>
              <w:ind w:left="600"/>
              <w:jc w:val="left"/>
            </w:pPr>
            <w:r>
              <w:rPr>
                <w:rFonts w:ascii="Arial"/>
                <w:color w:val="000000"/>
                <w:sz w:val="24"/>
              </w:rPr>
              <w:t>Cover</w:t>
            </w:r>
            <w:r>
              <w:rPr>
                <w:rFonts w:ascii="Arial"/>
                <w:color w:val="000000"/>
                <w:sz w:val="24"/>
              </w:rPr>
              <w:t xml:space="preserve"> Sheet</w:t>
            </w:r>
          </w:p>
        </w:tc>
        <w:tc>
          <w:tcPr>
            <w:tcW w:w="1441" w:type="dxa"/>
            <w:vAlign w:val="center"/>
          </w:tcPr>
          <w:p>
            <w:pPr>
              <w:pStyle w:val="CaselawNormal"/>
              <w:spacing w:before="150" w:after="150"/>
              <w:ind w:left="600"/>
              <w:jc w:val="left"/>
            </w:pPr>
            <w:r>
              <w:rPr>
                <w:rFonts w:ascii="Arial"/>
                <w:color w:val="000000"/>
                <w:sz w:val="24"/>
              </w:rPr>
              <w:t>A100</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 xml:space="preserve">21 </w:t>
            </w:r>
            <w:r>
              <w:rPr>
                <w:rFonts w:ascii="Arial"/>
                <w:color w:val="000000"/>
                <w:sz w:val="24"/>
              </w:rPr>
              <w:t>May</w:t>
            </w:r>
          </w:p>
          <w:p>
            <w:pPr>
              <w:pStyle w:val="CaselawNormal"/>
              <w:spacing w:before="150" w:after="150"/>
              <w:ind w:left="600"/>
              <w:jc w:val="left"/>
            </w:pPr>
            <w:r>
              <w:rPr>
                <w:rFonts w:ascii="Arial"/>
                <w:color w:val="000000"/>
                <w:sz w:val="24"/>
              </w:rPr>
              <w:t>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Residence</w:t>
            </w:r>
            <w:r>
              <w:rPr>
                <w:rFonts w:ascii="Arial"/>
                <w:color w:val="000000"/>
                <w:sz w:val="24"/>
              </w:rPr>
              <w:t xml:space="preserve"> </w:t>
            </w:r>
            <w:r>
              <w:rPr>
                <w:rFonts w:ascii="Arial"/>
                <w:color w:val="000000"/>
                <w:sz w:val="24"/>
              </w:rPr>
              <w:t>Basix</w:t>
            </w:r>
          </w:p>
        </w:tc>
        <w:tc>
          <w:tcPr>
            <w:tcW w:w="1441" w:type="dxa"/>
            <w:vAlign w:val="center"/>
          </w:tcPr>
          <w:p>
            <w:pPr>
              <w:pStyle w:val="CaselawNormal"/>
              <w:spacing w:before="150" w:after="150"/>
              <w:ind w:left="600"/>
              <w:jc w:val="left"/>
            </w:pPr>
            <w:r>
              <w:rPr>
                <w:rFonts w:ascii="Arial"/>
                <w:color w:val="000000"/>
                <w:sz w:val="24"/>
              </w:rPr>
              <w:t>A101</w:t>
            </w:r>
          </w:p>
        </w:tc>
        <w:tc>
          <w:tcPr>
            <w:tcW w:w="1334" w:type="dxa"/>
            <w:vAlign w:val="center"/>
          </w:tcPr>
          <w:p>
            <w:pPr>
              <w:spacing w:before="150" w:after="0"/>
              <w:ind w:left="0"/>
              <w:jc w:val="left"/>
            </w:pPr>
            <w:r>
              <w:rPr>
                <w:rFonts w:ascii="Arial"/>
                <w:b w:val="false"/>
                <w:i w:val="false"/>
                <w:color w:val="000000"/>
              </w:rPr>
              <w:t> </w:t>
            </w:r>
          </w:p>
        </w:tc>
        <w:tc>
          <w:tcPr>
            <w:tcW w:w="1776" w:type="dxa"/>
            <w:vAlign w:val="center"/>
          </w:tcPr>
          <w:p>
            <w:pPr>
              <w:pStyle w:val="CaselawNormal"/>
              <w:spacing w:before="150" w:after="150"/>
              <w:ind w:left="600"/>
              <w:jc w:val="left"/>
            </w:pPr>
            <w:r>
              <w:rPr>
                <w:rFonts w:ascii="Arial"/>
                <w:color w:val="000000"/>
                <w:sz w:val="24"/>
              </w:rPr>
              <w:t>07/06/2023</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Site</w:t>
            </w:r>
            <w:r>
              <w:rPr>
                <w:rFonts w:ascii="Arial"/>
                <w:color w:val="000000"/>
                <w:sz w:val="24"/>
              </w:rPr>
              <w:t xml:space="preserve"> </w:t>
            </w:r>
            <w:r>
              <w:rPr>
                <w:rFonts w:ascii="Arial"/>
                <w:color w:val="000000"/>
                <w:sz w:val="24"/>
              </w:rPr>
              <w:t>Analysis</w:t>
            </w:r>
            <w:r>
              <w:rPr>
                <w:rFonts w:ascii="Arial"/>
                <w:color w:val="000000"/>
                <w:sz w:val="24"/>
              </w:rPr>
              <w:t xml:space="preserve"> </w:t>
            </w:r>
            <w:r>
              <w:rPr>
                <w:rFonts w:ascii="Arial"/>
                <w:color w:val="000000"/>
                <w:sz w:val="24"/>
              </w:rPr>
              <w:t>Plan</w:t>
            </w:r>
          </w:p>
        </w:tc>
        <w:tc>
          <w:tcPr>
            <w:tcW w:w="1441" w:type="dxa"/>
            <w:vAlign w:val="center"/>
          </w:tcPr>
          <w:p>
            <w:pPr>
              <w:pStyle w:val="CaselawNormal"/>
              <w:spacing w:before="150" w:after="150"/>
              <w:ind w:left="600"/>
              <w:jc w:val="left"/>
            </w:pPr>
            <w:r>
              <w:rPr>
                <w:rFonts w:ascii="Arial"/>
                <w:color w:val="000000"/>
                <w:sz w:val="24"/>
              </w:rPr>
              <w:t>A102</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Site</w:t>
            </w:r>
            <w:r>
              <w:rPr>
                <w:rFonts w:ascii="Arial"/>
                <w:color w:val="000000"/>
                <w:sz w:val="24"/>
              </w:rPr>
              <w:t xml:space="preserve"> </w:t>
            </w:r>
            <w:r>
              <w:rPr>
                <w:rFonts w:ascii="Arial"/>
                <w:color w:val="000000"/>
                <w:sz w:val="24"/>
              </w:rPr>
              <w:t>Roof</w:t>
            </w:r>
            <w:r>
              <w:rPr>
                <w:rFonts w:ascii="Arial"/>
                <w:color w:val="000000"/>
                <w:sz w:val="24"/>
              </w:rPr>
              <w:t xml:space="preserve"> </w:t>
            </w:r>
            <w:r>
              <w:rPr>
                <w:rFonts w:ascii="Arial"/>
                <w:color w:val="000000"/>
                <w:sz w:val="24"/>
              </w:rPr>
              <w:t>Plan</w:t>
            </w:r>
          </w:p>
        </w:tc>
        <w:tc>
          <w:tcPr>
            <w:tcW w:w="1441" w:type="dxa"/>
            <w:vAlign w:val="center"/>
          </w:tcPr>
          <w:p>
            <w:pPr>
              <w:pStyle w:val="CaselawNormal"/>
              <w:spacing w:before="150" w:after="150"/>
              <w:ind w:left="600"/>
              <w:jc w:val="left"/>
            </w:pPr>
            <w:r>
              <w:rPr>
                <w:rFonts w:ascii="Arial"/>
                <w:color w:val="000000"/>
                <w:sz w:val="24"/>
              </w:rPr>
              <w:t>A103</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Works</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Executed</w:t>
            </w:r>
            <w:r>
              <w:rPr>
                <w:rFonts w:ascii="Arial"/>
                <w:color w:val="000000"/>
                <w:sz w:val="24"/>
              </w:rPr>
              <w:t xml:space="preserve"> </w:t>
            </w:r>
            <w:r>
              <w:rPr>
                <w:rFonts w:ascii="Arial"/>
                <w:color w:val="000000"/>
                <w:sz w:val="24"/>
              </w:rPr>
              <w:t>and Demolition Plan – Garage</w:t>
            </w:r>
          </w:p>
        </w:tc>
        <w:tc>
          <w:tcPr>
            <w:tcW w:w="1441" w:type="dxa"/>
            <w:vAlign w:val="center"/>
          </w:tcPr>
          <w:p>
            <w:pPr>
              <w:pStyle w:val="CaselawNormal"/>
              <w:spacing w:before="150" w:after="150"/>
              <w:ind w:left="600"/>
              <w:jc w:val="left"/>
            </w:pPr>
            <w:r>
              <w:rPr>
                <w:rFonts w:ascii="Arial"/>
                <w:color w:val="000000"/>
                <w:sz w:val="24"/>
              </w:rPr>
              <w:t>A104</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Proposed</w:t>
            </w:r>
            <w:r>
              <w:rPr>
                <w:rFonts w:ascii="Arial"/>
                <w:color w:val="000000"/>
                <w:sz w:val="24"/>
              </w:rPr>
              <w:t xml:space="preserve"> </w:t>
            </w:r>
            <w:r>
              <w:rPr>
                <w:rFonts w:ascii="Arial"/>
                <w:color w:val="000000"/>
                <w:sz w:val="24"/>
              </w:rPr>
              <w:t>Garage</w:t>
            </w:r>
            <w:r>
              <w:rPr>
                <w:rFonts w:ascii="Arial"/>
                <w:color w:val="000000"/>
                <w:sz w:val="24"/>
              </w:rPr>
              <w:t xml:space="preserve"> </w:t>
            </w:r>
            <w:r>
              <w:rPr>
                <w:rFonts w:ascii="Arial"/>
                <w:color w:val="000000"/>
                <w:sz w:val="24"/>
              </w:rPr>
              <w:t>&amp;</w:t>
            </w:r>
            <w:r>
              <w:rPr>
                <w:rFonts w:ascii="Arial"/>
                <w:color w:val="000000"/>
                <w:sz w:val="24"/>
              </w:rPr>
              <w:t xml:space="preserve"> Plan </w:t>
            </w:r>
            <w:r>
              <w:rPr>
                <w:rFonts w:ascii="Arial"/>
                <w:color w:val="000000"/>
                <w:sz w:val="24"/>
              </w:rPr>
              <w:t>Room</w:t>
            </w:r>
          </w:p>
        </w:tc>
        <w:tc>
          <w:tcPr>
            <w:tcW w:w="1441" w:type="dxa"/>
            <w:vAlign w:val="center"/>
          </w:tcPr>
          <w:p>
            <w:pPr>
              <w:pStyle w:val="CaselawNormal"/>
              <w:spacing w:before="150" w:after="150"/>
              <w:ind w:left="600"/>
              <w:jc w:val="left"/>
            </w:pPr>
            <w:r>
              <w:rPr>
                <w:rFonts w:ascii="Arial"/>
                <w:color w:val="000000"/>
                <w:sz w:val="24"/>
              </w:rPr>
              <w:t>A105</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Entertainment</w:t>
            </w:r>
            <w:r>
              <w:rPr>
                <w:rFonts w:ascii="Arial"/>
                <w:color w:val="000000"/>
                <w:sz w:val="24"/>
              </w:rPr>
              <w:t>   </w:t>
            </w:r>
            <w:r>
              <w:rPr>
                <w:rFonts w:ascii="Arial"/>
                <w:color w:val="000000"/>
                <w:sz w:val="24"/>
              </w:rPr>
              <w:t>Level</w:t>
            </w:r>
            <w:r>
              <w:rPr>
                <w:rFonts w:ascii="Arial"/>
                <w:color w:val="000000"/>
                <w:sz w:val="24"/>
              </w:rPr>
              <w:t>   </w:t>
            </w:r>
            <w:r>
              <w:rPr>
                <w:rFonts w:ascii="Arial"/>
                <w:color w:val="000000"/>
                <w:sz w:val="24"/>
              </w:rPr>
              <w:t xml:space="preserve">&amp; </w:t>
            </w:r>
            <w:r>
              <w:rPr>
                <w:rFonts w:ascii="Arial"/>
                <w:color w:val="000000"/>
                <w:sz w:val="24"/>
              </w:rPr>
              <w:t>Approved</w:t>
            </w:r>
            <w:r>
              <w:rPr>
                <w:rFonts w:ascii="Arial"/>
                <w:color w:val="000000"/>
                <w:sz w:val="24"/>
              </w:rPr>
              <w:t>   </w:t>
            </w:r>
            <w:r>
              <w:rPr>
                <w:rFonts w:ascii="Arial"/>
                <w:color w:val="000000"/>
                <w:sz w:val="24"/>
              </w:rPr>
              <w:t>Level</w:t>
            </w:r>
            <w:r>
              <w:rPr>
                <w:rFonts w:ascii="Arial"/>
                <w:color w:val="000000"/>
                <w:sz w:val="24"/>
              </w:rPr>
              <w:t>   </w:t>
            </w:r>
            <w:r>
              <w:rPr>
                <w:rFonts w:ascii="Arial"/>
                <w:color w:val="000000"/>
                <w:sz w:val="24"/>
              </w:rPr>
              <w:t>2</w:t>
            </w:r>
            <w:r>
              <w:rPr>
                <w:rFonts w:ascii="Arial"/>
                <w:color w:val="000000"/>
                <w:sz w:val="24"/>
              </w:rPr>
              <w:t>   </w:t>
            </w:r>
            <w:r>
              <w:rPr>
                <w:rFonts w:ascii="Arial"/>
                <w:color w:val="000000"/>
                <w:sz w:val="24"/>
              </w:rPr>
              <w:t xml:space="preserve"> </w:t>
            </w:r>
            <w:r>
              <w:rPr>
                <w:rFonts w:ascii="Arial"/>
                <w:color w:val="000000"/>
                <w:sz w:val="24"/>
              </w:rPr>
              <w:t>–</w:t>
            </w:r>
          </w:p>
          <w:p>
            <w:pPr>
              <w:pStyle w:val="CaselawNormal"/>
              <w:spacing w:before="150" w:after="150"/>
              <w:ind w:left="600"/>
              <w:jc w:val="left"/>
            </w:pPr>
            <w:r>
              <w:rPr>
                <w:rFonts w:ascii="Arial"/>
                <w:color w:val="000000"/>
                <w:sz w:val="24"/>
              </w:rPr>
              <w:t>Ground</w:t>
            </w:r>
            <w:r>
              <w:rPr>
                <w:rFonts w:ascii="Arial"/>
                <w:color w:val="000000"/>
                <w:sz w:val="24"/>
              </w:rPr>
              <w:t xml:space="preserve"> </w:t>
            </w:r>
            <w:r>
              <w:rPr>
                <w:rFonts w:ascii="Arial"/>
                <w:color w:val="000000"/>
                <w:sz w:val="24"/>
              </w:rPr>
              <w:t>Floor</w:t>
            </w:r>
          </w:p>
        </w:tc>
        <w:tc>
          <w:tcPr>
            <w:tcW w:w="1441" w:type="dxa"/>
            <w:vAlign w:val="center"/>
          </w:tcPr>
          <w:p>
            <w:pPr>
              <w:pStyle w:val="CaselawNormal"/>
              <w:spacing w:before="150" w:after="150"/>
              <w:ind w:left="600"/>
              <w:jc w:val="left"/>
            </w:pPr>
            <w:r>
              <w:rPr>
                <w:rFonts w:ascii="Arial"/>
                <w:color w:val="000000"/>
                <w:sz w:val="24"/>
              </w:rPr>
              <w:t>A106</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Approved</w:t>
            </w:r>
            <w:r>
              <w:rPr>
                <w:rFonts w:ascii="Arial"/>
                <w:color w:val="000000"/>
                <w:sz w:val="24"/>
              </w:rPr>
              <w:t xml:space="preserve"> </w:t>
            </w:r>
            <w:r>
              <w:rPr>
                <w:rFonts w:ascii="Arial"/>
                <w:color w:val="000000"/>
                <w:sz w:val="24"/>
              </w:rPr>
              <w:t>Level</w:t>
            </w:r>
            <w:r>
              <w:rPr>
                <w:rFonts w:ascii="Arial"/>
                <w:color w:val="000000"/>
                <w:sz w:val="24"/>
              </w:rPr>
              <w:t xml:space="preserve"> </w:t>
            </w:r>
            <w:r>
              <w:rPr>
                <w:rFonts w:ascii="Arial"/>
                <w:color w:val="000000"/>
                <w:sz w:val="24"/>
              </w:rPr>
              <w:t>3</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First</w:t>
            </w:r>
          </w:p>
          <w:p>
            <w:pPr>
              <w:pStyle w:val="CaselawNormal"/>
              <w:spacing w:before="150" w:after="150"/>
              <w:ind w:left="600"/>
              <w:jc w:val="left"/>
            </w:pPr>
            <w:r>
              <w:rPr>
                <w:rFonts w:ascii="Arial"/>
                <w:color w:val="000000"/>
                <w:sz w:val="24"/>
              </w:rPr>
              <w:t xml:space="preserve">Floor &amp; Level 4 – Second </w:t>
            </w:r>
            <w:r>
              <w:rPr>
                <w:rFonts w:ascii="Arial"/>
                <w:color w:val="000000"/>
                <w:sz w:val="24"/>
              </w:rPr>
              <w:t>Floor</w:t>
            </w:r>
          </w:p>
        </w:tc>
        <w:tc>
          <w:tcPr>
            <w:tcW w:w="1441" w:type="dxa"/>
            <w:vAlign w:val="center"/>
          </w:tcPr>
          <w:p>
            <w:pPr>
              <w:pStyle w:val="CaselawNormal"/>
              <w:spacing w:before="150" w:after="150"/>
              <w:ind w:left="600"/>
              <w:jc w:val="left"/>
            </w:pPr>
            <w:r>
              <w:rPr>
                <w:rFonts w:ascii="Arial"/>
                <w:color w:val="000000"/>
                <w:sz w:val="24"/>
              </w:rPr>
              <w:t>A107</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Eastern</w:t>
            </w:r>
            <w:r>
              <w:rPr>
                <w:rFonts w:ascii="Arial"/>
                <w:color w:val="000000"/>
                <w:sz w:val="24"/>
              </w:rPr>
              <w:t>   </w:t>
            </w:r>
            <w:r>
              <w:rPr>
                <w:rFonts w:ascii="Arial"/>
                <w:color w:val="000000"/>
                <w:sz w:val="24"/>
              </w:rPr>
              <w:t>+</w:t>
            </w:r>
            <w:r>
              <w:rPr>
                <w:rFonts w:ascii="Arial"/>
                <w:color w:val="000000"/>
                <w:sz w:val="24"/>
              </w:rPr>
              <w:t>   </w:t>
            </w:r>
            <w:r>
              <w:rPr>
                <w:rFonts w:ascii="Arial"/>
                <w:color w:val="000000"/>
                <w:sz w:val="24"/>
              </w:rPr>
              <w:t>Western Elevations</w:t>
            </w:r>
          </w:p>
        </w:tc>
        <w:tc>
          <w:tcPr>
            <w:tcW w:w="1441" w:type="dxa"/>
            <w:vAlign w:val="center"/>
          </w:tcPr>
          <w:p>
            <w:pPr>
              <w:pStyle w:val="CaselawNormal"/>
              <w:spacing w:before="150" w:after="150"/>
              <w:ind w:left="600"/>
              <w:jc w:val="left"/>
            </w:pPr>
            <w:r>
              <w:rPr>
                <w:rFonts w:ascii="Arial"/>
                <w:color w:val="000000"/>
                <w:sz w:val="24"/>
              </w:rPr>
              <w:t>A108</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Elevations</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Sections</w:t>
            </w:r>
          </w:p>
        </w:tc>
        <w:tc>
          <w:tcPr>
            <w:tcW w:w="1441" w:type="dxa"/>
            <w:vAlign w:val="center"/>
          </w:tcPr>
          <w:p>
            <w:pPr>
              <w:pStyle w:val="CaselawNormal"/>
              <w:spacing w:before="150" w:after="150"/>
              <w:ind w:left="600"/>
              <w:jc w:val="left"/>
            </w:pPr>
            <w:r>
              <w:rPr>
                <w:rFonts w:ascii="Arial"/>
                <w:color w:val="000000"/>
                <w:sz w:val="24"/>
              </w:rPr>
              <w:t>A109</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Sections</w:t>
            </w:r>
            <w:r>
              <w:rPr>
                <w:rFonts w:ascii="Arial"/>
                <w:color w:val="000000"/>
                <w:sz w:val="24"/>
              </w:rPr>
              <w:t xml:space="preserve"> </w:t>
            </w:r>
            <w:r>
              <w:rPr>
                <w:rFonts w:ascii="Arial"/>
                <w:color w:val="000000"/>
                <w:sz w:val="24"/>
              </w:rPr>
              <w:t>2</w:t>
            </w:r>
            <w:r>
              <w:rPr>
                <w:rFonts w:ascii="Arial"/>
                <w:color w:val="000000"/>
                <w:sz w:val="24"/>
              </w:rPr>
              <w:t xml:space="preserve"> </w:t>
            </w:r>
            <w:r>
              <w:rPr>
                <w:rFonts w:ascii="Arial"/>
                <w:color w:val="000000"/>
                <w:sz w:val="24"/>
              </w:rPr>
              <w:t>+ 3</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4</w:t>
            </w:r>
          </w:p>
        </w:tc>
        <w:tc>
          <w:tcPr>
            <w:tcW w:w="1441" w:type="dxa"/>
            <w:vAlign w:val="center"/>
          </w:tcPr>
          <w:p>
            <w:pPr>
              <w:pStyle w:val="CaselawNormal"/>
              <w:spacing w:before="150" w:after="150"/>
              <w:ind w:left="600"/>
              <w:jc w:val="left"/>
            </w:pPr>
            <w:r>
              <w:rPr>
                <w:rFonts w:ascii="Arial"/>
                <w:color w:val="000000"/>
                <w:sz w:val="24"/>
              </w:rPr>
              <w:t>A110</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spacing w:before="150" w:after="0"/>
              <w:ind w:left="0"/>
              <w:jc w:val="left"/>
            </w:pPr>
            <w:r>
              <w:rPr>
                <w:rFonts w:ascii="Arial"/>
                <w:b w:val="false"/>
                <w:i w:val="false"/>
                <w:color w:val="000000"/>
              </w:rPr>
              <w:t> </w:t>
            </w:r>
          </w:p>
        </w:tc>
        <w:tc>
          <w:tcPr>
            <w:tcW w:w="1441" w:type="dxa"/>
            <w:vAlign w:val="center"/>
          </w:tcPr>
          <w:p>
            <w:pPr>
              <w:spacing w:before="150" w:after="0"/>
              <w:ind w:left="0"/>
              <w:jc w:val="left"/>
            </w:pPr>
            <w:r>
              <w:rPr>
                <w:rFonts w:ascii="Arial"/>
                <w:b w:val="false"/>
                <w:i w:val="false"/>
                <w:color w:val="000000"/>
              </w:rPr>
              <w:t> </w:t>
            </w:r>
          </w:p>
        </w:tc>
        <w:tc>
          <w:tcPr>
            <w:tcW w:w="1334" w:type="dxa"/>
            <w:vAlign w:val="center"/>
          </w:tcPr>
          <w:p>
            <w:pPr>
              <w:spacing w:before="150" w:after="0"/>
              <w:ind w:left="0"/>
              <w:jc w:val="left"/>
            </w:pPr>
            <w:r>
              <w:rPr>
                <w:rFonts w:ascii="Arial"/>
                <w:b w:val="false"/>
                <w:i w:val="false"/>
                <w:color w:val="000000"/>
              </w:rPr>
              <w:t> </w:t>
            </w:r>
          </w:p>
        </w:tc>
        <w:tc>
          <w:tcPr>
            <w:tcW w:w="1776" w:type="dxa"/>
            <w:vAlign w:val="center"/>
          </w:tcPr>
          <w:p>
            <w:pPr>
              <w:spacing w:before="150" w:after="0"/>
              <w:ind w:left="0"/>
              <w:jc w:val="left"/>
            </w:pPr>
            <w:r>
              <w:rPr>
                <w:rFonts w:ascii="Arial"/>
                <w:b w:val="false"/>
                <w:i w:val="false"/>
                <w:color w:val="000000"/>
              </w:rPr>
              <w:t> </w:t>
            </w:r>
          </w:p>
        </w:tc>
        <w:tc>
          <w:tcPr>
            <w:tcW w:w="3225" w:type="dxa"/>
            <w:vAlign w:val="center"/>
          </w:tcPr>
          <w:p>
            <w:pPr>
              <w:spacing w:before="150" w:after="0"/>
              <w:ind w:left="0"/>
              <w:jc w:val="left"/>
            </w:pPr>
            <w:r>
              <w:rPr>
                <w:rFonts w:ascii="Arial"/>
                <w:b w:val="false"/>
                <w:i w:val="false"/>
                <w:color w:val="000000"/>
              </w:rPr>
              <w:t> </w:t>
            </w:r>
          </w:p>
        </w:tc>
      </w:tr>
      <w:tr>
        <w:trPr/>
        <w:tc>
          <w:tcPr>
            <w:tcW w:w="6224" w:type="dxa"/>
            <w:vAlign w:val="center"/>
          </w:tcPr>
          <w:p>
            <w:pPr>
              <w:pStyle w:val="CaselawNormal"/>
              <w:spacing w:before="150" w:after="150"/>
              <w:ind w:left="600"/>
              <w:jc w:val="left"/>
            </w:pPr>
            <w:r>
              <w:rPr>
                <w:rFonts w:ascii="Arial"/>
                <w:color w:val="000000"/>
                <w:sz w:val="24"/>
              </w:rPr>
              <w:t>FSR</w:t>
            </w:r>
            <w:r>
              <w:rPr>
                <w:rFonts w:ascii="Arial"/>
                <w:color w:val="000000"/>
                <w:sz w:val="24"/>
              </w:rPr>
              <w:t>   </w:t>
            </w:r>
            <w:r>
              <w:rPr>
                <w:rFonts w:ascii="Arial"/>
                <w:color w:val="000000"/>
                <w:sz w:val="24"/>
              </w:rPr>
              <w:t>+</w:t>
            </w:r>
            <w:r>
              <w:rPr>
                <w:rFonts w:ascii="Arial"/>
                <w:color w:val="000000"/>
                <w:sz w:val="24"/>
              </w:rPr>
              <w:t>   </w:t>
            </w:r>
            <w:r>
              <w:rPr>
                <w:rFonts w:ascii="Arial"/>
                <w:color w:val="000000"/>
                <w:sz w:val="24"/>
              </w:rPr>
              <w:t>Site</w:t>
            </w:r>
            <w:r>
              <w:rPr>
                <w:rFonts w:ascii="Arial"/>
                <w:color w:val="000000"/>
                <w:sz w:val="24"/>
              </w:rPr>
              <w:t>   </w:t>
            </w:r>
            <w:r>
              <w:rPr>
                <w:rFonts w:ascii="Arial"/>
                <w:color w:val="000000"/>
                <w:sz w:val="24"/>
              </w:rPr>
              <w:t xml:space="preserve">Areas </w:t>
            </w:r>
            <w:r>
              <w:rPr>
                <w:rFonts w:ascii="Arial"/>
                <w:color w:val="000000"/>
                <w:sz w:val="24"/>
              </w:rPr>
              <w:t>Calculations</w:t>
            </w:r>
          </w:p>
        </w:tc>
        <w:tc>
          <w:tcPr>
            <w:tcW w:w="1441" w:type="dxa"/>
            <w:vAlign w:val="center"/>
          </w:tcPr>
          <w:p>
            <w:pPr>
              <w:pStyle w:val="CaselawNormal"/>
              <w:spacing w:before="150" w:after="150"/>
              <w:ind w:left="600"/>
              <w:jc w:val="left"/>
            </w:pPr>
            <w:r>
              <w:rPr>
                <w:rFonts w:ascii="Arial"/>
                <w:color w:val="000000"/>
                <w:sz w:val="24"/>
              </w:rPr>
              <w:t>A112</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6224" w:type="dxa"/>
            <w:vAlign w:val="center"/>
          </w:tcPr>
          <w:p>
            <w:pPr>
              <w:pStyle w:val="CaselawNormal"/>
              <w:spacing w:before="150" w:after="150"/>
              <w:ind w:left="600"/>
              <w:jc w:val="left"/>
            </w:pPr>
            <w:r>
              <w:rPr>
                <w:rFonts w:ascii="Arial"/>
                <w:color w:val="000000"/>
                <w:sz w:val="24"/>
              </w:rPr>
              <w:t>Glass</w:t>
            </w:r>
            <w:r>
              <w:rPr>
                <w:rFonts w:ascii="Arial"/>
                <w:color w:val="000000"/>
                <w:sz w:val="24"/>
              </w:rPr>
              <w:t>   </w:t>
            </w:r>
            <w:r>
              <w:rPr>
                <w:rFonts w:ascii="Arial"/>
                <w:color w:val="000000"/>
                <w:sz w:val="24"/>
              </w:rPr>
              <w:t>Window</w:t>
            </w:r>
            <w:r>
              <w:rPr>
                <w:rFonts w:ascii="Arial"/>
                <w:color w:val="000000"/>
                <w:sz w:val="24"/>
              </w:rPr>
              <w:t>   </w:t>
            </w:r>
            <w:r>
              <w:rPr>
                <w:rFonts w:ascii="Arial"/>
                <w:color w:val="000000"/>
                <w:sz w:val="24"/>
              </w:rPr>
              <w:t>&amp;</w:t>
            </w:r>
            <w:r>
              <w:rPr>
                <w:rFonts w:ascii="Arial"/>
                <w:color w:val="000000"/>
                <w:sz w:val="24"/>
              </w:rPr>
              <w:t>   </w:t>
            </w:r>
            <w:r>
              <w:rPr>
                <w:rFonts w:ascii="Arial"/>
                <w:color w:val="000000"/>
                <w:sz w:val="24"/>
              </w:rPr>
              <w:t xml:space="preserve">Door </w:t>
            </w:r>
            <w:r>
              <w:rPr>
                <w:rFonts w:ascii="Arial"/>
                <w:color w:val="000000"/>
                <w:sz w:val="24"/>
              </w:rPr>
              <w:t>Schedule</w:t>
            </w:r>
          </w:p>
        </w:tc>
        <w:tc>
          <w:tcPr>
            <w:tcW w:w="1441" w:type="dxa"/>
            <w:vAlign w:val="center"/>
          </w:tcPr>
          <w:p>
            <w:pPr>
              <w:pStyle w:val="CaselawNormal"/>
              <w:spacing w:before="150" w:after="150"/>
              <w:ind w:left="600"/>
              <w:jc w:val="left"/>
            </w:pPr>
            <w:r>
              <w:rPr>
                <w:rFonts w:ascii="Arial"/>
                <w:color w:val="000000"/>
                <w:sz w:val="24"/>
              </w:rPr>
              <w:t>A113</w:t>
            </w:r>
          </w:p>
        </w:tc>
        <w:tc>
          <w:tcPr>
            <w:tcW w:w="1334" w:type="dxa"/>
            <w:vAlign w:val="center"/>
          </w:tcPr>
          <w:p>
            <w:pPr>
              <w:pStyle w:val="CaselawNormal"/>
              <w:spacing w:before="150" w:after="150"/>
              <w:ind w:left="600"/>
              <w:jc w:val="left"/>
            </w:pPr>
            <w:r>
              <w:rPr>
                <w:rFonts w:ascii="Arial"/>
                <w:color w:val="000000"/>
                <w:sz w:val="24"/>
              </w:rPr>
              <w:t>J</w:t>
            </w:r>
          </w:p>
        </w:tc>
        <w:tc>
          <w:tcPr>
            <w:tcW w:w="1776" w:type="dxa"/>
            <w:vAlign w:val="center"/>
          </w:tcPr>
          <w:p>
            <w:pPr>
              <w:pStyle w:val="CaselawNormal"/>
              <w:spacing w:before="150" w:after="150"/>
              <w:ind w:left="600"/>
              <w:jc w:val="left"/>
            </w:pPr>
            <w:r>
              <w:rPr>
                <w:rFonts w:ascii="Arial"/>
                <w:color w:val="000000"/>
                <w:sz w:val="24"/>
              </w:rPr>
              <w:t>21/05/2024</w:t>
            </w:r>
          </w:p>
        </w:tc>
        <w:tc>
          <w:tcPr>
            <w:tcW w:w="3225" w:type="dxa"/>
            <w:vAlign w:val="center"/>
          </w:tcPr>
          <w:p>
            <w:pPr>
              <w:pStyle w:val="CaselawNormal"/>
              <w:spacing w:before="150" w:after="150"/>
              <w:ind w:left="600"/>
              <w:jc w:val="left"/>
            </w:pPr>
            <w:r>
              <w:rPr>
                <w:rFonts w:ascii="Arial"/>
                <w:color w:val="000000"/>
                <w:sz w:val="24"/>
              </w:rPr>
              <w:t>CAD</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P/L</w:t>
            </w:r>
          </w:p>
        </w:tc>
      </w:tr>
      <w:tr>
        <w:trPr/>
        <w:tc>
          <w:tcPr>
            <w:tcW w:w="0" w:type="auto"/>
            <w:gridSpan w:val="5"/>
            <w:vAlign w:val="center"/>
          </w:tcPr>
          <w:p>
            <w:pPr>
              <w:pStyle w:val="CaselawNormal"/>
              <w:spacing w:before="150" w:after="150"/>
              <w:ind w:left="600"/>
              <w:jc w:val="left"/>
            </w:pPr>
            <w:r>
              <w:rPr>
                <w:rFonts w:ascii="Arial"/>
                <w:b/>
                <w:color w:val="000000"/>
                <w:sz w:val="24"/>
              </w:rPr>
              <w:t>AMENDED</w:t>
            </w:r>
            <w:r>
              <w:rPr>
                <w:rFonts w:ascii="Arial"/>
                <w:b/>
                <w:color w:val="000000"/>
                <w:sz w:val="24"/>
              </w:rPr>
              <w:t xml:space="preserve"> </w:t>
            </w:r>
            <w:r>
              <w:rPr>
                <w:rFonts w:ascii="Arial"/>
                <w:b/>
                <w:color w:val="000000"/>
                <w:sz w:val="24"/>
              </w:rPr>
              <w:t>LANDSCAPE</w:t>
            </w:r>
            <w:r>
              <w:rPr>
                <w:rFonts w:ascii="Arial"/>
                <w:b/>
                <w:color w:val="000000"/>
                <w:sz w:val="24"/>
              </w:rPr>
              <w:t xml:space="preserve"> </w:t>
            </w:r>
            <w:r>
              <w:rPr>
                <w:rFonts w:ascii="Arial"/>
                <w:b/>
                <w:color w:val="000000"/>
                <w:sz w:val="24"/>
              </w:rPr>
              <w:t>PLANS</w:t>
            </w:r>
          </w:p>
        </w:tc>
      </w:tr>
      <w:tr>
        <w:trPr/>
        <w:tc>
          <w:tcPr>
            <w:tcW w:w="6224" w:type="dxa"/>
            <w:vAlign w:val="center"/>
          </w:tcPr>
          <w:p>
            <w:pPr>
              <w:pStyle w:val="CaselawNormal"/>
              <w:spacing w:before="150" w:after="150"/>
              <w:ind w:left="600"/>
              <w:jc w:val="left"/>
            </w:pPr>
            <w:r>
              <w:rPr>
                <w:rFonts w:ascii="Arial"/>
                <w:color w:val="000000"/>
                <w:sz w:val="24"/>
              </w:rPr>
              <w:t>Cover</w:t>
            </w:r>
            <w:r>
              <w:rPr>
                <w:rFonts w:ascii="Arial"/>
                <w:color w:val="000000"/>
                <w:sz w:val="24"/>
              </w:rPr>
              <w:t>   </w:t>
            </w:r>
            <w:r>
              <w:rPr>
                <w:rFonts w:ascii="Arial"/>
                <w:color w:val="000000"/>
                <w:sz w:val="24"/>
              </w:rPr>
              <w:t>Sheet</w:t>
            </w:r>
            <w:r>
              <w:rPr>
                <w:rFonts w:ascii="Arial"/>
                <w:color w:val="000000"/>
                <w:sz w:val="24"/>
              </w:rPr>
              <w:t>   </w:t>
            </w:r>
            <w:r>
              <w:rPr>
                <w:rFonts w:ascii="Arial"/>
                <w:color w:val="000000"/>
                <w:sz w:val="24"/>
              </w:rPr>
              <w:t>&amp;</w:t>
            </w:r>
            <w:r>
              <w:rPr>
                <w:rFonts w:ascii="Arial"/>
                <w:color w:val="000000"/>
                <w:sz w:val="24"/>
              </w:rPr>
              <w:t>   </w:t>
            </w:r>
            <w:r>
              <w:rPr>
                <w:rFonts w:ascii="Arial"/>
                <w:color w:val="000000"/>
                <w:sz w:val="24"/>
              </w:rPr>
              <w:t>Design Statement</w:t>
            </w:r>
          </w:p>
        </w:tc>
        <w:tc>
          <w:tcPr>
            <w:tcW w:w="1441" w:type="dxa"/>
            <w:vAlign w:val="center"/>
          </w:tcPr>
          <w:p>
            <w:pPr>
              <w:pStyle w:val="CaselawNormal"/>
              <w:spacing w:before="150" w:after="150"/>
              <w:ind w:left="600"/>
              <w:jc w:val="left"/>
            </w:pPr>
            <w:r>
              <w:rPr>
                <w:rFonts w:ascii="Arial"/>
                <w:color w:val="000000"/>
                <w:sz w:val="24"/>
              </w:rPr>
              <w:t>LDA2-000</w:t>
            </w:r>
          </w:p>
        </w:tc>
        <w:tc>
          <w:tcPr>
            <w:tcW w:w="1334" w:type="dxa"/>
            <w:vAlign w:val="center"/>
          </w:tcPr>
          <w:p>
            <w:pPr>
              <w:pStyle w:val="CaselawNormal"/>
              <w:spacing w:before="150" w:after="150"/>
              <w:ind w:left="600"/>
              <w:jc w:val="left"/>
            </w:pPr>
            <w:r>
              <w:rPr>
                <w:rFonts w:ascii="Arial"/>
                <w:color w:val="000000"/>
                <w:sz w:val="24"/>
              </w:rPr>
              <w:t>C</w:t>
            </w:r>
          </w:p>
        </w:tc>
        <w:tc>
          <w:tcPr>
            <w:tcW w:w="1776" w:type="dxa"/>
            <w:vAlign w:val="center"/>
          </w:tcPr>
          <w:p>
            <w:pPr>
              <w:pStyle w:val="CaselawNormal"/>
              <w:spacing w:before="150" w:after="150"/>
              <w:ind w:left="600"/>
              <w:jc w:val="left"/>
            </w:pPr>
            <w:r>
              <w:rPr>
                <w:rFonts w:ascii="Arial"/>
                <w:color w:val="000000"/>
                <w:sz w:val="24"/>
              </w:rPr>
              <w:t>25/06/2024</w:t>
            </w:r>
          </w:p>
        </w:tc>
        <w:tc>
          <w:tcPr>
            <w:tcW w:w="3225" w:type="dxa"/>
            <w:vAlign w:val="center"/>
          </w:tcPr>
          <w:p>
            <w:pPr>
              <w:pStyle w:val="CaselawNormal"/>
              <w:spacing w:before="150" w:after="150"/>
              <w:ind w:left="600"/>
              <w:jc w:val="left"/>
            </w:pPr>
            <w:r>
              <w:rPr>
                <w:rFonts w:ascii="Arial"/>
                <w:color w:val="000000"/>
                <w:sz w:val="24"/>
              </w:rPr>
              <w:t>Geoscapes</w:t>
            </w:r>
          </w:p>
        </w:tc>
      </w:tr>
      <w:tr>
        <w:trPr/>
        <w:tc>
          <w:tcPr>
            <w:tcW w:w="6224" w:type="dxa"/>
            <w:vAlign w:val="center"/>
          </w:tcPr>
          <w:p>
            <w:pPr>
              <w:pStyle w:val="CaselawNormal"/>
              <w:spacing w:before="150" w:after="150"/>
              <w:ind w:left="600"/>
              <w:jc w:val="left"/>
            </w:pPr>
            <w:r>
              <w:rPr>
                <w:rFonts w:ascii="Arial"/>
                <w:color w:val="000000"/>
                <w:sz w:val="24"/>
              </w:rPr>
              <w:t>Landscape</w:t>
            </w:r>
            <w:r>
              <w:rPr>
                <w:rFonts w:ascii="Arial"/>
                <w:color w:val="000000"/>
                <w:sz w:val="24"/>
              </w:rPr>
              <w:t xml:space="preserve"> </w:t>
            </w:r>
            <w:r>
              <w:rPr>
                <w:rFonts w:ascii="Arial"/>
                <w:color w:val="000000"/>
                <w:sz w:val="24"/>
              </w:rPr>
              <w:t>Site</w:t>
            </w:r>
            <w:r>
              <w:rPr>
                <w:rFonts w:ascii="Arial"/>
                <w:color w:val="000000"/>
                <w:sz w:val="24"/>
              </w:rPr>
              <w:t xml:space="preserve"> </w:t>
            </w:r>
            <w:r>
              <w:rPr>
                <w:rFonts w:ascii="Arial"/>
                <w:color w:val="000000"/>
                <w:sz w:val="24"/>
              </w:rPr>
              <w:t>Plan</w:t>
            </w:r>
          </w:p>
        </w:tc>
        <w:tc>
          <w:tcPr>
            <w:tcW w:w="1441" w:type="dxa"/>
            <w:vAlign w:val="center"/>
          </w:tcPr>
          <w:p>
            <w:pPr>
              <w:pStyle w:val="CaselawNormal"/>
              <w:spacing w:before="150" w:after="150"/>
              <w:ind w:left="600"/>
              <w:jc w:val="left"/>
            </w:pPr>
            <w:r>
              <w:rPr>
                <w:rFonts w:ascii="Arial"/>
                <w:color w:val="000000"/>
                <w:sz w:val="24"/>
              </w:rPr>
              <w:t>LDA2-101</w:t>
            </w:r>
          </w:p>
        </w:tc>
        <w:tc>
          <w:tcPr>
            <w:tcW w:w="1334" w:type="dxa"/>
            <w:vAlign w:val="center"/>
          </w:tcPr>
          <w:p>
            <w:pPr>
              <w:pStyle w:val="CaselawNormal"/>
              <w:spacing w:before="150" w:after="150"/>
              <w:ind w:left="600"/>
              <w:jc w:val="left"/>
            </w:pPr>
            <w:r>
              <w:rPr>
                <w:rFonts w:ascii="Arial"/>
                <w:color w:val="000000"/>
                <w:sz w:val="24"/>
              </w:rPr>
              <w:t>C</w:t>
            </w:r>
          </w:p>
        </w:tc>
        <w:tc>
          <w:tcPr>
            <w:tcW w:w="1776" w:type="dxa"/>
            <w:vAlign w:val="center"/>
          </w:tcPr>
          <w:p>
            <w:pPr>
              <w:pStyle w:val="CaselawNormal"/>
              <w:spacing w:before="150" w:after="150"/>
              <w:ind w:left="600"/>
              <w:jc w:val="left"/>
            </w:pPr>
            <w:r>
              <w:rPr>
                <w:rFonts w:ascii="Arial"/>
                <w:color w:val="000000"/>
                <w:sz w:val="24"/>
              </w:rPr>
              <w:t>25/06/2024</w:t>
            </w:r>
          </w:p>
        </w:tc>
        <w:tc>
          <w:tcPr>
            <w:tcW w:w="3225" w:type="dxa"/>
            <w:vAlign w:val="center"/>
          </w:tcPr>
          <w:p>
            <w:pPr>
              <w:pStyle w:val="CaselawNormal"/>
              <w:spacing w:before="150" w:after="150"/>
              <w:ind w:left="600"/>
              <w:jc w:val="left"/>
            </w:pPr>
            <w:r>
              <w:rPr>
                <w:rFonts w:ascii="Arial"/>
                <w:color w:val="000000"/>
                <w:sz w:val="24"/>
              </w:rPr>
              <w:t>Geoscapes</w:t>
            </w:r>
          </w:p>
        </w:tc>
      </w:tr>
      <w:tr>
        <w:trPr/>
        <w:tc>
          <w:tcPr>
            <w:tcW w:w="6224" w:type="dxa"/>
            <w:vAlign w:val="center"/>
          </w:tcPr>
          <w:p>
            <w:pPr>
              <w:pStyle w:val="CaselawNormal"/>
              <w:spacing w:before="150" w:after="150"/>
              <w:ind w:left="600"/>
              <w:jc w:val="left"/>
            </w:pPr>
            <w:r>
              <w:rPr>
                <w:rFonts w:ascii="Arial"/>
                <w:color w:val="000000"/>
                <w:sz w:val="24"/>
              </w:rPr>
              <w:t>Landscape</w:t>
            </w:r>
            <w:r>
              <w:rPr>
                <w:rFonts w:ascii="Arial"/>
                <w:color w:val="000000"/>
                <w:sz w:val="24"/>
              </w:rPr>
              <w:t xml:space="preserve"> </w:t>
            </w:r>
            <w:r>
              <w:rPr>
                <w:rFonts w:ascii="Arial"/>
                <w:color w:val="000000"/>
                <w:sz w:val="24"/>
              </w:rPr>
              <w:t>Level</w:t>
            </w:r>
            <w:r>
              <w:rPr>
                <w:rFonts w:ascii="Arial"/>
                <w:color w:val="000000"/>
                <w:sz w:val="24"/>
              </w:rPr>
              <w:t xml:space="preserve"> </w:t>
            </w:r>
            <w:r>
              <w:rPr>
                <w:rFonts w:ascii="Arial"/>
                <w:color w:val="000000"/>
                <w:sz w:val="24"/>
              </w:rPr>
              <w:t>1</w:t>
            </w:r>
          </w:p>
        </w:tc>
        <w:tc>
          <w:tcPr>
            <w:tcW w:w="1441" w:type="dxa"/>
            <w:vAlign w:val="center"/>
          </w:tcPr>
          <w:p>
            <w:pPr>
              <w:pStyle w:val="CaselawNormal"/>
              <w:spacing w:before="150" w:after="150"/>
              <w:ind w:left="600"/>
              <w:jc w:val="left"/>
            </w:pPr>
            <w:r>
              <w:rPr>
                <w:rFonts w:ascii="Arial"/>
                <w:color w:val="000000"/>
                <w:sz w:val="24"/>
              </w:rPr>
              <w:t>LDA2-102</w:t>
            </w:r>
          </w:p>
        </w:tc>
        <w:tc>
          <w:tcPr>
            <w:tcW w:w="1334" w:type="dxa"/>
            <w:vAlign w:val="center"/>
          </w:tcPr>
          <w:p>
            <w:pPr>
              <w:pStyle w:val="CaselawNormal"/>
              <w:spacing w:before="150" w:after="150"/>
              <w:ind w:left="600"/>
              <w:jc w:val="left"/>
            </w:pPr>
            <w:r>
              <w:rPr>
                <w:rFonts w:ascii="Arial"/>
                <w:color w:val="000000"/>
                <w:sz w:val="24"/>
              </w:rPr>
              <w:t>C</w:t>
            </w:r>
          </w:p>
        </w:tc>
        <w:tc>
          <w:tcPr>
            <w:tcW w:w="1776" w:type="dxa"/>
            <w:vAlign w:val="center"/>
          </w:tcPr>
          <w:p>
            <w:pPr>
              <w:pStyle w:val="CaselawNormal"/>
              <w:spacing w:before="150" w:after="150"/>
              <w:ind w:left="600"/>
              <w:jc w:val="left"/>
            </w:pPr>
            <w:r>
              <w:rPr>
                <w:rFonts w:ascii="Arial"/>
                <w:color w:val="000000"/>
                <w:sz w:val="24"/>
              </w:rPr>
              <w:t>25/06/2024</w:t>
            </w:r>
          </w:p>
        </w:tc>
        <w:tc>
          <w:tcPr>
            <w:tcW w:w="3225" w:type="dxa"/>
            <w:vAlign w:val="center"/>
          </w:tcPr>
          <w:p>
            <w:pPr>
              <w:pStyle w:val="CaselawNormal"/>
              <w:spacing w:before="150" w:after="150"/>
              <w:ind w:left="600"/>
              <w:jc w:val="left"/>
            </w:pPr>
            <w:r>
              <w:rPr>
                <w:rFonts w:ascii="Arial"/>
                <w:color w:val="000000"/>
                <w:sz w:val="24"/>
              </w:rPr>
              <w:t>Geoscapes</w:t>
            </w:r>
          </w:p>
        </w:tc>
      </w:tr>
      <w:tr>
        <w:trPr/>
        <w:tc>
          <w:tcPr>
            <w:tcW w:w="6224" w:type="dxa"/>
            <w:vAlign w:val="center"/>
          </w:tcPr>
          <w:p>
            <w:pPr>
              <w:pStyle w:val="CaselawNormal"/>
              <w:spacing w:before="150" w:after="150"/>
              <w:ind w:left="600"/>
              <w:jc w:val="left"/>
            </w:pPr>
            <w:r>
              <w:rPr>
                <w:rFonts w:ascii="Arial"/>
                <w:color w:val="000000"/>
                <w:sz w:val="24"/>
              </w:rPr>
              <w:t>Landscape</w:t>
            </w:r>
            <w:r>
              <w:rPr>
                <w:rFonts w:ascii="Arial"/>
                <w:color w:val="000000"/>
                <w:sz w:val="24"/>
              </w:rPr>
              <w:t xml:space="preserve"> </w:t>
            </w:r>
            <w:r>
              <w:rPr>
                <w:rFonts w:ascii="Arial"/>
                <w:color w:val="000000"/>
                <w:sz w:val="24"/>
              </w:rPr>
              <w:t>Elevation</w:t>
            </w:r>
          </w:p>
        </w:tc>
        <w:tc>
          <w:tcPr>
            <w:tcW w:w="1441" w:type="dxa"/>
            <w:vAlign w:val="center"/>
          </w:tcPr>
          <w:p>
            <w:pPr>
              <w:pStyle w:val="CaselawNormal"/>
              <w:spacing w:before="150" w:after="150"/>
              <w:ind w:left="600"/>
              <w:jc w:val="left"/>
            </w:pPr>
            <w:r>
              <w:rPr>
                <w:rFonts w:ascii="Arial"/>
                <w:color w:val="000000"/>
                <w:sz w:val="24"/>
              </w:rPr>
              <w:t>LDA2-201</w:t>
            </w:r>
          </w:p>
        </w:tc>
        <w:tc>
          <w:tcPr>
            <w:tcW w:w="1334" w:type="dxa"/>
            <w:vAlign w:val="center"/>
          </w:tcPr>
          <w:p>
            <w:pPr>
              <w:pStyle w:val="CaselawNormal"/>
              <w:spacing w:before="150" w:after="150"/>
              <w:ind w:left="600"/>
              <w:jc w:val="left"/>
            </w:pPr>
            <w:r>
              <w:rPr>
                <w:rFonts w:ascii="Arial"/>
                <w:color w:val="000000"/>
                <w:sz w:val="24"/>
              </w:rPr>
              <w:t>C</w:t>
            </w:r>
          </w:p>
        </w:tc>
        <w:tc>
          <w:tcPr>
            <w:tcW w:w="1776" w:type="dxa"/>
            <w:vAlign w:val="center"/>
          </w:tcPr>
          <w:p>
            <w:pPr>
              <w:pStyle w:val="CaselawNormal"/>
              <w:spacing w:before="150" w:after="150"/>
              <w:ind w:left="600"/>
              <w:jc w:val="left"/>
            </w:pPr>
            <w:r>
              <w:rPr>
                <w:rFonts w:ascii="Arial"/>
                <w:color w:val="000000"/>
                <w:sz w:val="24"/>
              </w:rPr>
              <w:t>25/06/2024</w:t>
            </w:r>
          </w:p>
        </w:tc>
        <w:tc>
          <w:tcPr>
            <w:tcW w:w="3225" w:type="dxa"/>
            <w:vAlign w:val="center"/>
          </w:tcPr>
          <w:p>
            <w:pPr>
              <w:pStyle w:val="CaselawNormal"/>
              <w:spacing w:before="150" w:after="150"/>
              <w:ind w:left="600"/>
              <w:jc w:val="left"/>
            </w:pPr>
            <w:r>
              <w:rPr>
                <w:rFonts w:ascii="Arial"/>
                <w:color w:val="000000"/>
                <w:sz w:val="24"/>
              </w:rPr>
              <w:t>Geoscapes</w:t>
            </w:r>
          </w:p>
        </w:tc>
      </w:tr>
      <w:tr>
        <w:trPr/>
        <w:tc>
          <w:tcPr>
            <w:tcW w:w="6224" w:type="dxa"/>
            <w:vAlign w:val="center"/>
          </w:tcPr>
          <w:p>
            <w:pPr>
              <w:pStyle w:val="CaselawNormal"/>
              <w:spacing w:before="150" w:after="150"/>
              <w:ind w:left="600"/>
              <w:jc w:val="left"/>
            </w:pPr>
            <w:r>
              <w:rPr>
                <w:rFonts w:ascii="Arial"/>
                <w:color w:val="000000"/>
                <w:sz w:val="24"/>
              </w:rPr>
              <w:t>Typical</w:t>
            </w:r>
            <w:r>
              <w:rPr>
                <w:rFonts w:ascii="Arial"/>
                <w:color w:val="000000"/>
                <w:sz w:val="24"/>
              </w:rPr>
              <w:t>   </w:t>
            </w:r>
            <w:r>
              <w:rPr>
                <w:rFonts w:ascii="Arial"/>
                <w:color w:val="000000"/>
                <w:sz w:val="24"/>
              </w:rPr>
              <w:t>Specification</w:t>
            </w:r>
            <w:r>
              <w:rPr>
                <w:rFonts w:ascii="Arial"/>
                <w:color w:val="000000"/>
                <w:sz w:val="24"/>
              </w:rPr>
              <w:t>   </w:t>
            </w:r>
            <w:r>
              <w:rPr>
                <w:rFonts w:ascii="Arial"/>
                <w:color w:val="000000"/>
                <w:sz w:val="24"/>
              </w:rPr>
              <w:t xml:space="preserve">&amp; </w:t>
            </w:r>
            <w:r>
              <w:rPr>
                <w:rFonts w:ascii="Arial"/>
                <w:color w:val="000000"/>
                <w:sz w:val="24"/>
              </w:rPr>
              <w:t>Details</w:t>
            </w:r>
          </w:p>
        </w:tc>
        <w:tc>
          <w:tcPr>
            <w:tcW w:w="1441" w:type="dxa"/>
            <w:vAlign w:val="center"/>
          </w:tcPr>
          <w:p>
            <w:pPr>
              <w:pStyle w:val="CaselawNormal"/>
              <w:spacing w:before="150" w:after="150"/>
              <w:ind w:left="600"/>
              <w:jc w:val="left"/>
            </w:pPr>
            <w:r>
              <w:rPr>
                <w:rFonts w:ascii="Arial"/>
                <w:color w:val="000000"/>
                <w:sz w:val="24"/>
              </w:rPr>
              <w:t>LDA2-601</w:t>
            </w:r>
          </w:p>
        </w:tc>
        <w:tc>
          <w:tcPr>
            <w:tcW w:w="1334" w:type="dxa"/>
            <w:vAlign w:val="center"/>
          </w:tcPr>
          <w:p>
            <w:pPr>
              <w:pStyle w:val="CaselawNormal"/>
              <w:spacing w:before="150" w:after="150"/>
              <w:ind w:left="600"/>
              <w:jc w:val="left"/>
            </w:pPr>
            <w:r>
              <w:rPr>
                <w:rFonts w:ascii="Arial"/>
                <w:color w:val="000000"/>
                <w:sz w:val="24"/>
              </w:rPr>
              <w:t>C</w:t>
            </w:r>
          </w:p>
        </w:tc>
        <w:tc>
          <w:tcPr>
            <w:tcW w:w="1776" w:type="dxa"/>
            <w:vAlign w:val="center"/>
          </w:tcPr>
          <w:p>
            <w:pPr>
              <w:pStyle w:val="CaselawNormal"/>
              <w:spacing w:before="150" w:after="150"/>
              <w:ind w:left="600"/>
              <w:jc w:val="left"/>
            </w:pPr>
            <w:r>
              <w:rPr>
                <w:rFonts w:ascii="Arial"/>
                <w:color w:val="000000"/>
                <w:sz w:val="24"/>
              </w:rPr>
              <w:t>25/06/2024</w:t>
            </w:r>
          </w:p>
        </w:tc>
        <w:tc>
          <w:tcPr>
            <w:tcW w:w="3225" w:type="dxa"/>
            <w:vAlign w:val="center"/>
          </w:tcPr>
          <w:p>
            <w:pPr>
              <w:pStyle w:val="CaselawNormal"/>
              <w:spacing w:before="150" w:after="150"/>
              <w:ind w:left="600"/>
              <w:jc w:val="left"/>
            </w:pPr>
            <w:r>
              <w:rPr>
                <w:rFonts w:ascii="Arial"/>
                <w:color w:val="000000"/>
                <w:sz w:val="24"/>
              </w:rPr>
              <w:t>Geoscapes</w:t>
            </w:r>
          </w:p>
        </w:tc>
      </w:tr>
      <w:tr>
        <w:trPr/>
        <w:tc>
          <w:tcPr>
            <w:tcW w:w="6224" w:type="dxa"/>
            <w:vAlign w:val="center"/>
          </w:tcPr>
          <w:p>
            <w:pPr>
              <w:pStyle w:val="CaselawNormal"/>
              <w:spacing w:before="150" w:after="150"/>
              <w:ind w:left="600"/>
              <w:jc w:val="left"/>
            </w:pPr>
            <w:r>
              <w:rPr>
                <w:rFonts w:ascii="Arial"/>
                <w:color w:val="000000"/>
                <w:sz w:val="24"/>
              </w:rPr>
              <w:t>Plant</w:t>
            </w:r>
            <w:r>
              <w:rPr>
                <w:rFonts w:ascii="Arial"/>
                <w:color w:val="000000"/>
                <w:sz w:val="24"/>
              </w:rPr>
              <w:t xml:space="preserve"> </w:t>
            </w:r>
            <w:r>
              <w:rPr>
                <w:rFonts w:ascii="Arial"/>
                <w:color w:val="000000"/>
                <w:sz w:val="24"/>
              </w:rPr>
              <w:t>Schedule</w:t>
            </w:r>
            <w:r>
              <w:rPr>
                <w:rFonts w:ascii="Arial"/>
                <w:color w:val="000000"/>
                <w:sz w:val="24"/>
              </w:rPr>
              <w:t xml:space="preserve"> </w:t>
            </w:r>
            <w:r>
              <w:rPr>
                <w:rFonts w:ascii="Arial"/>
                <w:color w:val="000000"/>
                <w:sz w:val="24"/>
              </w:rPr>
              <w:t>&amp;</w:t>
            </w:r>
            <w:r>
              <w:rPr>
                <w:rFonts w:ascii="Arial"/>
                <w:color w:val="000000"/>
                <w:sz w:val="24"/>
              </w:rPr>
              <w:t xml:space="preserve"> </w:t>
            </w:r>
            <w:r>
              <w:rPr>
                <w:rFonts w:ascii="Arial"/>
                <w:color w:val="000000"/>
                <w:sz w:val="24"/>
              </w:rPr>
              <w:t>Images</w:t>
            </w:r>
          </w:p>
        </w:tc>
        <w:tc>
          <w:tcPr>
            <w:tcW w:w="1441" w:type="dxa"/>
            <w:vAlign w:val="center"/>
          </w:tcPr>
          <w:p>
            <w:pPr>
              <w:pStyle w:val="CaselawNormal"/>
              <w:spacing w:before="150" w:after="150"/>
              <w:ind w:left="600"/>
              <w:jc w:val="left"/>
            </w:pPr>
            <w:r>
              <w:rPr>
                <w:rFonts w:ascii="Arial"/>
                <w:color w:val="000000"/>
                <w:sz w:val="24"/>
              </w:rPr>
              <w:t>LDA2-602</w:t>
            </w:r>
          </w:p>
        </w:tc>
        <w:tc>
          <w:tcPr>
            <w:tcW w:w="1334" w:type="dxa"/>
            <w:vAlign w:val="center"/>
          </w:tcPr>
          <w:p>
            <w:pPr>
              <w:pStyle w:val="CaselawNormal"/>
              <w:spacing w:before="150" w:after="150"/>
              <w:ind w:left="600"/>
              <w:jc w:val="left"/>
            </w:pPr>
            <w:r>
              <w:rPr>
                <w:rFonts w:ascii="Arial"/>
                <w:color w:val="000000"/>
                <w:sz w:val="24"/>
              </w:rPr>
              <w:t>C</w:t>
            </w:r>
          </w:p>
        </w:tc>
        <w:tc>
          <w:tcPr>
            <w:tcW w:w="1776" w:type="dxa"/>
            <w:vAlign w:val="center"/>
          </w:tcPr>
          <w:p>
            <w:pPr>
              <w:pStyle w:val="CaselawNormal"/>
              <w:spacing w:before="150" w:after="150"/>
              <w:ind w:left="600"/>
              <w:jc w:val="left"/>
            </w:pPr>
            <w:r>
              <w:rPr>
                <w:rFonts w:ascii="Arial"/>
                <w:color w:val="000000"/>
                <w:sz w:val="24"/>
              </w:rPr>
              <w:t>25/06/2024</w:t>
            </w:r>
          </w:p>
        </w:tc>
        <w:tc>
          <w:tcPr>
            <w:tcW w:w="3225" w:type="dxa"/>
            <w:vAlign w:val="center"/>
          </w:tcPr>
          <w:p>
            <w:pPr>
              <w:pStyle w:val="CaselawNormal"/>
              <w:spacing w:before="150" w:after="150"/>
              <w:ind w:left="600"/>
              <w:jc w:val="left"/>
            </w:pPr>
            <w:r>
              <w:rPr>
                <w:rFonts w:ascii="Arial"/>
                <w:color w:val="000000"/>
                <w:sz w:val="24"/>
              </w:rPr>
              <w:t>Geoscapes</w:t>
            </w:r>
          </w:p>
        </w:tc>
      </w:tr>
      <w:tr>
        <w:trPr/>
        <w:tc>
          <w:tcPr>
            <w:tcW w:w="0" w:type="auto"/>
            <w:gridSpan w:val="5"/>
            <w:vAlign w:val="center"/>
          </w:tcPr>
          <w:p>
            <w:pPr>
              <w:pStyle w:val="CaselawNormal"/>
              <w:spacing w:before="150" w:after="150"/>
              <w:ind w:left="600"/>
              <w:jc w:val="left"/>
            </w:pPr>
            <w:r>
              <w:rPr>
                <w:rFonts w:ascii="Arial"/>
                <w:b/>
                <w:color w:val="000000"/>
                <w:sz w:val="24"/>
              </w:rPr>
              <w:t>FURTHER</w:t>
            </w:r>
            <w:r>
              <w:rPr>
                <w:rFonts w:ascii="Arial"/>
                <w:b/>
                <w:color w:val="000000"/>
                <w:sz w:val="24"/>
              </w:rPr>
              <w:t xml:space="preserve"> </w:t>
            </w:r>
            <w:r>
              <w:rPr>
                <w:rFonts w:ascii="Arial"/>
                <w:b/>
                <w:color w:val="000000"/>
                <w:sz w:val="24"/>
              </w:rPr>
              <w:t>DOCUMENTATION</w:t>
            </w:r>
          </w:p>
        </w:tc>
      </w:tr>
      <w:tr>
        <w:trPr/>
        <w:tc>
          <w:tcPr>
            <w:tcW w:w="6224" w:type="dxa"/>
            <w:vAlign w:val="center"/>
          </w:tcPr>
          <w:p>
            <w:pPr>
              <w:pStyle w:val="CaselawNormal"/>
              <w:spacing w:before="150" w:after="150"/>
              <w:ind w:left="600"/>
              <w:jc w:val="left"/>
            </w:pPr>
            <w:r>
              <w:rPr>
                <w:rFonts w:ascii="Arial"/>
                <w:color w:val="000000"/>
                <w:sz w:val="24"/>
              </w:rPr>
              <w:t>Clause</w:t>
            </w:r>
            <w:r>
              <w:rPr>
                <w:rFonts w:ascii="Arial"/>
                <w:color w:val="000000"/>
                <w:sz w:val="24"/>
              </w:rPr>
              <w:t>   </w:t>
            </w:r>
            <w:r>
              <w:rPr>
                <w:rFonts w:ascii="Arial"/>
                <w:color w:val="000000"/>
                <w:sz w:val="24"/>
              </w:rPr>
              <w:t>4.6</w:t>
            </w:r>
            <w:r>
              <w:rPr>
                <w:rFonts w:ascii="Arial"/>
                <w:color w:val="000000"/>
                <w:sz w:val="24"/>
              </w:rPr>
              <w:t>   </w:t>
            </w:r>
            <w:r>
              <w:rPr>
                <w:rFonts w:ascii="Arial"/>
                <w:color w:val="000000"/>
                <w:sz w:val="24"/>
              </w:rPr>
              <w:t>Written</w:t>
            </w:r>
          </w:p>
          <w:p>
            <w:pPr>
              <w:pStyle w:val="CaselawNormal"/>
              <w:spacing w:before="150" w:after="150"/>
              <w:ind w:left="600"/>
              <w:jc w:val="left"/>
            </w:pPr>
            <w:r>
              <w:rPr>
                <w:rFonts w:ascii="Arial"/>
                <w:color w:val="000000"/>
                <w:sz w:val="24"/>
              </w:rPr>
              <w:t>Request</w:t>
            </w:r>
            <w:r>
              <w:rPr>
                <w:rFonts w:ascii="Arial"/>
                <w:color w:val="000000"/>
                <w:sz w:val="24"/>
              </w:rPr>
              <w:t>   </w:t>
            </w:r>
            <w:r>
              <w:rPr>
                <w:rFonts w:ascii="Arial"/>
                <w:color w:val="000000"/>
                <w:sz w:val="24"/>
              </w:rPr>
              <w:t>–</w:t>
            </w:r>
            <w:r>
              <w:rPr>
                <w:rFonts w:ascii="Arial"/>
                <w:color w:val="000000"/>
                <w:sz w:val="24"/>
              </w:rPr>
              <w:t>   </w:t>
            </w:r>
            <w:r>
              <w:rPr>
                <w:rFonts w:ascii="Arial"/>
                <w:color w:val="000000"/>
                <w:sz w:val="24"/>
              </w:rPr>
              <w:t>Height</w:t>
            </w:r>
            <w:r>
              <w:rPr>
                <w:rFonts w:ascii="Arial"/>
                <w:color w:val="000000"/>
                <w:sz w:val="24"/>
              </w:rPr>
              <w:t>   </w:t>
            </w:r>
            <w:r>
              <w:rPr>
                <w:rFonts w:ascii="Arial"/>
                <w:color w:val="000000"/>
                <w:sz w:val="24"/>
              </w:rPr>
              <w:t xml:space="preserve">of </w:t>
            </w:r>
            <w:r>
              <w:rPr>
                <w:rFonts w:ascii="Arial"/>
                <w:color w:val="000000"/>
                <w:sz w:val="24"/>
              </w:rPr>
              <w:t>Buildings</w:t>
            </w:r>
          </w:p>
        </w:tc>
        <w:tc>
          <w:tcPr>
            <w:tcW w:w="1441" w:type="dxa"/>
            <w:vAlign w:val="center"/>
          </w:tcPr>
          <w:p>
            <w:pPr>
              <w:pStyle w:val="CaselawNormal"/>
              <w:spacing w:before="150" w:after="150"/>
              <w:ind w:left="600"/>
              <w:jc w:val="left"/>
            </w:pPr>
            <w:r>
              <w:rPr>
                <w:rFonts w:ascii="Arial"/>
                <w:color w:val="000000"/>
                <w:sz w:val="24"/>
              </w:rPr>
              <w:t>-</w:t>
            </w:r>
          </w:p>
        </w:tc>
        <w:tc>
          <w:tcPr>
            <w:tcW w:w="1334" w:type="dxa"/>
            <w:vAlign w:val="center"/>
          </w:tcPr>
          <w:p>
            <w:pPr>
              <w:pStyle w:val="CaselawNormal"/>
              <w:spacing w:before="150" w:after="150"/>
              <w:ind w:left="600"/>
              <w:jc w:val="left"/>
            </w:pPr>
            <w:r>
              <w:rPr>
                <w:rFonts w:ascii="Arial"/>
                <w:color w:val="000000"/>
                <w:sz w:val="24"/>
              </w:rPr>
              <w:t>-</w:t>
            </w:r>
          </w:p>
        </w:tc>
        <w:tc>
          <w:tcPr>
            <w:tcW w:w="1776" w:type="dxa"/>
            <w:vAlign w:val="center"/>
          </w:tcPr>
          <w:p>
            <w:pPr>
              <w:pStyle w:val="CaselawNormal"/>
              <w:spacing w:before="150" w:after="150"/>
              <w:ind w:left="600"/>
              <w:jc w:val="left"/>
            </w:pPr>
            <w:r>
              <w:rPr>
                <w:rFonts w:ascii="Arial"/>
                <w:color w:val="000000"/>
                <w:sz w:val="24"/>
              </w:rPr>
              <w:t>31/05/2024</w:t>
            </w:r>
          </w:p>
        </w:tc>
        <w:tc>
          <w:tcPr>
            <w:tcW w:w="3225" w:type="dxa"/>
            <w:vAlign w:val="center"/>
          </w:tcPr>
          <w:p>
            <w:pPr>
              <w:pStyle w:val="CaselawNormal"/>
              <w:spacing w:before="150" w:after="150"/>
              <w:ind w:left="600"/>
              <w:jc w:val="left"/>
            </w:pPr>
            <w:r>
              <w:rPr>
                <w:rFonts w:ascii="Arial"/>
                <w:color w:val="000000"/>
                <w:sz w:val="24"/>
              </w:rPr>
              <w:t>Tony</w:t>
            </w:r>
            <w:r>
              <w:rPr>
                <w:rFonts w:ascii="Arial"/>
                <w:color w:val="000000"/>
                <w:sz w:val="24"/>
              </w:rPr>
              <w:t xml:space="preserve"> Moody</w:t>
            </w:r>
          </w:p>
          <w:p>
            <w:pPr>
              <w:pStyle w:val="CaselawNormal"/>
              <w:spacing w:before="150" w:after="150"/>
              <w:ind w:left="600"/>
              <w:jc w:val="left"/>
            </w:pPr>
            <w:r>
              <w:rPr>
                <w:rFonts w:ascii="Arial"/>
                <w:color w:val="000000"/>
                <w:sz w:val="24"/>
              </w:rPr>
              <w:t>Planning</w:t>
            </w:r>
            <w:r>
              <w:rPr>
                <w:rFonts w:ascii="Arial"/>
                <w:color w:val="000000"/>
                <w:sz w:val="24"/>
              </w:rPr>
              <w:t xml:space="preserve"> and </w:t>
            </w:r>
            <w:r>
              <w:rPr>
                <w:rFonts w:ascii="Arial"/>
                <w:color w:val="000000"/>
                <w:sz w:val="24"/>
              </w:rPr>
              <w:t>Development</w:t>
            </w:r>
          </w:p>
        </w:tc>
      </w:tr>
    </w:tbl>
    <w:p>
      <w:pPr>
        <w:pStyle w:val="CaselawHeading2"/>
        <w:keepNext/>
        <w:spacing w:before="150" w:after="150" w:line="264"/>
        <w:ind w:left="0"/>
        <w:jc w:val="left"/>
      </w:pPr>
      <w:r>
        <w:rPr>
          <w:rFonts w:ascii="Arial"/>
        </w:rPr>
        <w:t xml:space="preserve">Orders: </w:t>
      </w:r>
    </w:p>
    <w:p>
      <w:pPr>
        <w:pStyle w:val="CaselawHeading3"/>
        <w:keepNext/>
        <w:spacing w:before="150" w:after="150" w:line="264"/>
        <w:ind w:left="0"/>
        <w:jc w:val="left"/>
      </w:pPr>
      <w:r>
        <w:rPr>
          <w:rFonts w:ascii="Arial"/>
        </w:rPr>
        <w:t>Proceedings No 2023/315353:</w:t>
      </w:r>
    </w:p>
    <w:p>
      <w:pPr>
        <w:pStyle w:val="CaselawNumbered10"/>
        <w:numPr>
          <w:ilvl w:val="0"/>
          <w:numId w:val="35"/>
        </w:numPr>
        <w:spacing w:before="150" w:after="0"/>
        <w:ind w:left="600" w:hanging="600"/>
      </w:pPr>
      <w:r>
        <w:rPr>
          <w:rFonts w:ascii="Arial"/>
          <w:color w:val="000000"/>
          <w:sz w:val="24"/>
        </w:rPr>
        <w:t>The Court orders</w:t>
      </w:r>
      <w:r>
        <w:rPr>
          <w:rFonts w:ascii="Arial"/>
          <w:color w:val="000000"/>
          <w:sz w:val="24"/>
        </w:rPr>
        <w:t xml:space="preserve"> </w:t>
      </w:r>
      <w:r>
        <w:rPr>
          <w:rFonts w:ascii="Arial"/>
          <w:color w:val="000000"/>
          <w:sz w:val="24"/>
        </w:rPr>
        <w:t>that</w:t>
      </w:r>
      <w:r>
        <w:rPr>
          <w:rFonts w:ascii="Arial"/>
          <w:color w:val="000000"/>
          <w:sz w:val="24"/>
        </w:rPr>
        <w:t>:</w:t>
      </w:r>
    </w:p>
    <w:p>
      <w:pPr>
        <w:pStyle w:val="CaselawNumbered1"/>
        <w:numPr>
          <w:ilvl w:val="0"/>
          <w:numId w:val="36"/>
        </w:numPr>
        <w:spacing w:before="150" w:after="0"/>
        <w:ind w:left="1350" w:hanging="750"/>
      </w:pPr>
      <w:r>
        <w:rPr>
          <w:rFonts w:ascii="Arial"/>
          <w:color w:val="000000"/>
          <w:sz w:val="24"/>
        </w:rPr>
        <w:t xml:space="preserve">the </w:t>
      </w:r>
      <w:r>
        <w:rPr>
          <w:rFonts w:ascii="Arial"/>
          <w:color w:val="000000"/>
          <w:sz w:val="24"/>
        </w:rPr>
        <w:t>appeal is dismissed</w:t>
      </w:r>
      <w:r>
        <w:rPr>
          <w:rFonts w:ascii="Arial"/>
          <w:color w:val="000000"/>
          <w:sz w:val="24"/>
        </w:rPr>
        <w:t>.</w:t>
      </w:r>
    </w:p>
    <w:p>
      <w:pPr>
        <w:pStyle w:val="CaselawHeading3"/>
        <w:keepNext/>
        <w:spacing w:before="150" w:after="150" w:line="264"/>
        <w:ind w:left="0"/>
        <w:jc w:val="left"/>
      </w:pPr>
      <w:r>
        <w:rPr>
          <w:rFonts w:ascii="Arial"/>
        </w:rPr>
        <w:t>Proceeding No 2023/197625:</w:t>
      </w:r>
    </w:p>
    <w:p>
      <w:pPr>
        <w:pStyle w:val="CaselawNumbered10"/>
        <w:numPr>
          <w:ilvl w:val="0"/>
          <w:numId w:val="37"/>
        </w:numPr>
        <w:spacing w:before="150" w:after="0"/>
        <w:ind w:left="600" w:hanging="600"/>
      </w:pPr>
      <w:r>
        <w:rPr>
          <w:rFonts w:ascii="Arial"/>
          <w:color w:val="000000"/>
          <w:sz w:val="24"/>
        </w:rPr>
        <w:t>The Court orders that:</w:t>
      </w:r>
    </w:p>
    <w:p>
      <w:pPr>
        <w:pStyle w:val="CaselawNumbered1"/>
        <w:numPr>
          <w:ilvl w:val="0"/>
          <w:numId w:val="38"/>
        </w:numPr>
        <w:spacing w:before="150" w:after="0"/>
        <w:ind w:left="1350" w:hanging="750"/>
      </w:pPr>
      <w:r>
        <w:rPr>
          <w:rFonts w:ascii="Arial"/>
          <w:color w:val="000000"/>
          <w:sz w:val="24"/>
        </w:rPr>
        <w:t xml:space="preserve">the appeal is </w:t>
      </w:r>
      <w:r>
        <w:rPr>
          <w:rFonts w:ascii="Arial"/>
          <w:color w:val="000000"/>
          <w:sz w:val="24"/>
        </w:rPr>
        <w:t>upheld;</w:t>
      </w:r>
    </w:p>
    <w:p>
      <w:pPr>
        <w:pStyle w:val="CaselawNumbered1"/>
        <w:numPr>
          <w:ilvl w:val="0"/>
          <w:numId w:val="38"/>
        </w:numPr>
        <w:spacing w:before="150" w:after="0"/>
        <w:ind w:left="1350" w:hanging="750"/>
      </w:pPr>
      <w:r>
        <w:rPr>
          <w:rFonts w:ascii="Arial"/>
          <w:color w:val="000000"/>
          <w:sz w:val="24"/>
        </w:rPr>
        <w:t xml:space="preserve">Development Application No. DA-1028/2022 as amended, for alterations and additions to an approved (and partially constructed) dwelling including proposed swimming pool, lift, modified entry/stair works, use of existing structures and landscape works within the front setback of the property at 12 Riverview Street, </w:t>
      </w:r>
      <w:r>
        <w:rPr>
          <w:rFonts w:ascii="Arial"/>
          <w:color w:val="000000"/>
          <w:sz w:val="24"/>
        </w:rPr>
        <w:t>Earlwood</w:t>
      </w:r>
      <w:r>
        <w:rPr>
          <w:rFonts w:ascii="Arial"/>
          <w:color w:val="000000"/>
          <w:sz w:val="24"/>
        </w:rPr>
        <w:t xml:space="preserve"> NSW 2206,</w:t>
      </w:r>
      <w:r>
        <w:rPr>
          <w:rFonts w:ascii="Arial"/>
          <w:color w:val="000000"/>
          <w:sz w:val="24"/>
        </w:rPr>
        <w:t xml:space="preserve"> </w:t>
      </w:r>
      <w:r>
        <w:rPr>
          <w:rFonts w:ascii="Arial"/>
          <w:color w:val="000000"/>
          <w:sz w:val="24"/>
        </w:rPr>
        <w:t>being Lot B DP 420152</w:t>
      </w:r>
      <w:r>
        <w:rPr>
          <w:rFonts w:ascii="Arial"/>
          <w:color w:val="000000"/>
          <w:sz w:val="24"/>
        </w:rPr>
        <w:t>,</w:t>
      </w:r>
      <w:r>
        <w:rPr>
          <w:rFonts w:ascii="Arial"/>
          <w:color w:val="000000"/>
          <w:sz w:val="24"/>
        </w:rPr>
        <w:t xml:space="preserve"> is determined by the grant of consent, subject to the conditions in </w:t>
      </w:r>
      <w:r>
        <w:rPr>
          <w:rFonts w:ascii="Arial"/>
          <w:color w:val="000000"/>
          <w:sz w:val="24"/>
        </w:rPr>
        <w:t>Annexure A.</w:t>
      </w:r>
    </w:p>
    <w:p>
      <w:pPr>
        <w:pStyle w:val="CaselawHeading2"/>
        <w:keepNext/>
        <w:spacing w:before="150" w:after="150" w:line="264"/>
        <w:ind w:left="0"/>
        <w:jc w:val="left"/>
      </w:pPr>
      <w:r>
        <w:rPr>
          <w:rFonts w:ascii="Arial"/>
        </w:rPr>
        <w:t>L Byrne</w:t>
      </w:r>
    </w:p>
    <w:p>
      <w:pPr>
        <w:pStyle w:val="CaselawHeading2"/>
        <w:keepNext/>
        <w:spacing w:before="150" w:after="150" w:line="264"/>
        <w:ind w:left="0"/>
        <w:jc w:val="left"/>
      </w:pPr>
      <w:r>
        <w:rPr>
          <w:rFonts w:ascii="Arial"/>
        </w:rPr>
        <w:t xml:space="preserve">Acting </w:t>
      </w:r>
      <w:r>
        <w:rPr>
          <w:rFonts w:ascii="Arial"/>
        </w:rPr>
        <w:t>Commissioner</w:t>
      </w:r>
      <w:r>
        <w:rPr>
          <w:rFonts w:ascii="Arial"/>
        </w:rPr>
        <w:t xml:space="preserve"> of the Court</w:t>
      </w:r>
    </w:p>
    <w:p>
      <w:pPr>
        <w:pStyle w:val="CaselawNormal"/>
        <w:spacing w:before="150" w:after="150"/>
        <w:ind w:left="600"/>
        <w:jc w:val="left"/>
      </w:pPr>
      <w:r>
        <w:rPr>
          <w:rFonts w:ascii="Arial"/>
          <w:color w:val="000000"/>
          <w:sz w:val="24"/>
        </w:rPr>
        <w:t>**********</w:t>
      </w:r>
    </w:p>
    <w:p>
      <w:pPr>
        <w:pStyle w:val="CaselawNormal"/>
        <w:spacing w:before="150" w:after="150"/>
        <w:ind w:left="600"/>
        <w:jc w:val="left"/>
      </w:pPr>
      <w:hyperlink r:id="rId14">
        <w:r>
          <w:rPr>
            <w:rFonts w:ascii="Arial"/>
            <w:color w:val="000000"/>
            <w:sz w:val="24"/>
            <w:u w:val="single"/>
          </w:rPr>
          <w:t>Annexure A</w:t>
        </w:r>
      </w:hyperlink>
      <w:hyperlink r:id="rId15">
        <w:r>
          <w:rPr>
            <w:rFonts w:ascii="Arial"/>
            <w:color w:val="000000"/>
            <w:sz w:val="24"/>
          </w:rPr>
          <w:t/>
        </w:r>
      </w:hyperlink>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6"/>
    </w:lvlOverride>
  </w:num>
  <w:num w:numId="24">
    <w:abstractNumId w:val="16"/>
    <w:lvlOverride w:ilvl="0">
      <w:startOverride w:val="8"/>
    </w:lvlOverride>
  </w:num>
  <w:num w:numId="25">
    <w:abstractNumId w:val="16"/>
    <w:lvlOverride w:ilvl="0">
      <w:startOverride w:val="10"/>
    </w:lvlOverride>
  </w:num>
  <w:num w:numId="26">
    <w:abstractNumId w:val="10"/>
    <w:lvlOverride w:ilvl="0">
      <w:startOverride w:val="1"/>
    </w:lvlOverride>
  </w:num>
  <w:num w:numId="27">
    <w:abstractNumId w:val="16"/>
    <w:lvlOverride w:ilvl="0">
      <w:startOverride w:val="11"/>
    </w:lvlOverride>
  </w:num>
  <w:num w:numId="28">
    <w:abstractNumId w:val="16"/>
    <w:lvlOverride w:ilvl="0">
      <w:startOverride w:val="13"/>
    </w:lvlOverride>
  </w:num>
  <w:num w:numId="29">
    <w:abstractNumId w:val="16"/>
    <w:lvlOverride w:ilvl="0">
      <w:startOverride w:val="19"/>
    </w:lvlOverride>
  </w:num>
  <w:num w:numId="30">
    <w:abstractNumId w:val="16"/>
    <w:lvlOverride w:ilvl="0">
      <w:startOverride w:val="29"/>
    </w:lvlOverride>
  </w:num>
  <w:num w:numId="31">
    <w:abstractNumId w:val="16"/>
    <w:lvlOverride w:ilvl="0">
      <w:startOverride w:val="30"/>
    </w:lvlOverride>
  </w:num>
  <w:num w:numId="32">
    <w:abstractNumId w:val="16"/>
    <w:lvlOverride w:ilvl="0">
      <w:startOverride w:val="32"/>
    </w:lvlOverride>
  </w:num>
  <w:num w:numId="33">
    <w:abstractNumId w:val="16"/>
    <w:lvlOverride w:ilvl="0">
      <w:startOverride w:val="33"/>
    </w:lvlOverride>
  </w:num>
  <w:num w:numId="34">
    <w:abstractNumId w:val="10"/>
    <w:lvlOverride w:ilvl="0">
      <w:startOverride w:val="1"/>
    </w:lvlOverride>
  </w:num>
  <w:num w:numId="35">
    <w:abstractNumId w:val="16"/>
    <w:lvlOverride w:ilvl="0">
      <w:startOverride w:val="34"/>
    </w:lvlOverride>
  </w:num>
  <w:num w:numId="36">
    <w:abstractNumId w:val="10"/>
    <w:lvlOverride w:ilvl="0">
      <w:startOverride w:val="1"/>
    </w:lvlOverride>
  </w:num>
  <w:num w:numId="37">
    <w:abstractNumId w:val="16"/>
    <w:lvlOverride w:ilvl="0">
      <w:startOverride w:val="35"/>
    </w:lvlOverride>
  </w:num>
  <w:num w:numId="38">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png" Type="http://schemas.openxmlformats.org/officeDocument/2006/relationships/image" Id="rId13"/><Relationship TargetMode="External" Target="http://www.caselaw.nsw.gov.au/asset/1932de377bfd3697f9f87f3c.pdf" Type="http://schemas.openxmlformats.org/officeDocument/2006/relationships/hyperlink" Id="rId14"/><Relationship TargetMode="External" Target="http://www.caselaw.nsw.gov.au/asset/1932de377bfd3697f9f87f3c.pdf" Type="http://schemas.openxmlformats.org/officeDocument/2006/relationships/hyperlink" Id="rId15"/></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