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KRV Investments Pty Ltd v Liverpool City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1738</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18 and 19 June, 19 July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15 November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15 November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Kullen AC</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Court orders:</w:t>
                </w:r>
                <w:r>
                  <w:br/>
                </w:r>
                <w:r>
                  <w:t xml:space="preserve">(1) The Applicant is to pay the Respondent’s costs thrown away as agreed or assessed resulting from the amending of the development application, pursuant to s 8.15(3) of the Environmental Planning and Assessment Act 1979.</w:t>
                </w:r>
                <w:r>
                  <w:br/>
                </w:r>
                <w:r>
                  <w:t xml:space="preserve">(2) The appeal is dismissed.</w:t>
                </w:r>
                <w:r>
                  <w:br/>
                </w:r>
                <w:r>
                  <w:t xml:space="preserve">(3) Development Application DA-267/2022 seeking development consent for the construction of 6 residential flat buildings (including affordable housing), 2 shop top housing developments above basement parking and associated works on land legally described as Lot 20 in DP1228502, being 225 Croatia Avenue, Edmondson Park, 2174 is refused.</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DEVELOPMENT APPEAL – orders – further amendments proposed by the Applicant in conditions of consent – loading and service access to village centre</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Environmental Planning and Assessment Act 1979, ss 4.12, 4.64, 8.7, 8.15</w:t>
                </w:r>
                <w:r>
                  <w:br/>
                </w:r>
                <w:r>
                  <w:t xml:space="preserve">Land and Environment Court Act 1979, s 39 </w:t>
                </w:r>
                <w:r>
                  <w:br/>
                </w:r>
                <w:r>
                  <w:t xml:space="preserve"> </w:t>
                </w:r>
                <w:r>
                  <w:br/>
                </w:r>
                <w:r>
                  <w:t xml:space="preserve">Environmental Planning and Assessment Regulation 2021, s 29, 38</w:t>
                </w:r>
                <w:r>
                  <w:br/>
                </w:r>
                <w:r>
                  <w:t xml:space="preserve">Liverpool Local Environmental Plan 2008, Pt 6, cll 4.1, 4.3, 4.4, 4.6, 7.11, </w:t>
                </w:r>
                <w:r>
                  <w:br/>
                </w:r>
                <w:r>
                  <w:t xml:space="preserve">State Environmental Planning Policy (Housing) 2021, Ch 4, Schs 7A, 9, ss 8, 19, 144, 145, 147</w:t>
                </w:r>
                <w:r>
                  <w:br/>
                </w:r>
                <w:r>
                  <w:t xml:space="preserve">State Environmental Planning Policy Amendment (Housing) 2023</w:t>
                </w:r>
                <w:r>
                  <w:br/>
                </w:r>
                <w:r>
                  <w:t xml:space="preserve">State Environmental Planning Policy No. 65 – Design Quality of Residential Apartment Development</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KRV Investments Pty Ltd v Liverpool City Council [2023] NSWLEC 1436</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Apartment Design Guide 2015 </w:t>
                </w:r>
                <w:r>
                  <w:br/>
                </w:r>
                <w:r>
                  <w:t xml:space="preserve">Liverpool Development Control Plan 2008</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KRV Investments Pty Ltd (Applicant)</w:t>
                </w:r>
                <w:r>
                  <w:br/>
                </w:r>
                <w:r>
                  <w:t xml:space="preserve">Liverpool City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J Reid (Applicant)</w:t>
                </w:r>
                <w:r>
                  <w:br/>
                </w:r>
                <w:r>
                  <w:t xml:space="preserve">M Harker (Respondent)</w:t>
                </w:r>
                <w:r>
                  <w:br/>
                </w:r>
                <w:r>
                  <w:t xml:space="preserve"/>
                </w:r>
                <w:r>
                  <w:br/>
                </w:r>
                <w:r>
                  <w:t xml:space="preserve">Solicitors:</w:t>
                </w:r>
                <w:r>
                  <w:br/>
                </w:r>
                <w:r>
                  <w:t xml:space="preserve">MacPherson Kelley (Applicant)</w:t>
                </w:r>
                <w:r>
                  <w:br/>
                </w:r>
                <w:r>
                  <w:t xml:space="preserve">Sparke Helmore Lawyers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2022/310390</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Judgment</w:t>
      </w:r>
    </w:p>
    <w:p>
      <w:pPr>
        <w:pStyle w:val="CaselawNumbered10"/>
        <w:numPr>
          <w:ilvl w:val="0"/>
          <w:numId w:val="22"/>
        </w:numPr>
        <w:spacing w:before="150" w:after="0"/>
        <w:ind w:left="600" w:hanging="600"/>
      </w:pPr>
      <w:r>
        <w:rPr>
          <w:rFonts w:ascii="Arial"/>
          <w:b/>
          <w:color w:val="000000"/>
          <w:sz w:val="24"/>
        </w:rPr>
        <w:t>COMMISSIONER</w:t>
      </w:r>
      <w:r>
        <w:rPr>
          <w:rFonts w:ascii="Arial"/>
          <w:color w:val="000000"/>
          <w:sz w:val="24"/>
        </w:rPr>
        <w:t xml:space="preserve">: </w:t>
      </w:r>
      <w:r>
        <w:rPr>
          <w:rFonts w:ascii="Arial"/>
          <w:color w:val="000000"/>
          <w:sz w:val="24"/>
        </w:rPr>
        <w:t xml:space="preserve">Development Application </w:t>
      </w:r>
      <w:r>
        <w:rPr>
          <w:rFonts w:ascii="Arial"/>
          <w:color w:val="000000"/>
          <w:sz w:val="24"/>
        </w:rPr>
        <w:t xml:space="preserve">DA-267/2022 (the DA) (as lodged) sought consent </w:t>
      </w:r>
      <w:r>
        <w:rPr>
          <w:rFonts w:ascii="Arial"/>
          <w:color w:val="000000"/>
          <w:sz w:val="24"/>
        </w:rPr>
        <w:t xml:space="preserve">for the construction of 6 residential flat buildings (including affordable housing), 2 shop top housing developments and 1 </w:t>
      </w:r>
      <w:r>
        <w:rPr>
          <w:rFonts w:ascii="Arial"/>
          <w:color w:val="000000"/>
          <w:sz w:val="24"/>
        </w:rPr>
        <w:t>child care</w:t>
      </w:r>
      <w:r>
        <w:rPr>
          <w:rFonts w:ascii="Arial"/>
          <w:color w:val="000000"/>
          <w:sz w:val="24"/>
        </w:rPr>
        <w:t xml:space="preserve"> </w:t>
      </w:r>
      <w:r>
        <w:rPr>
          <w:rFonts w:ascii="Arial"/>
          <w:color w:val="000000"/>
          <w:sz w:val="24"/>
        </w:rPr>
        <w:t xml:space="preserve">centre above basement parking and associated works </w:t>
      </w:r>
      <w:r>
        <w:rPr>
          <w:rFonts w:ascii="Arial"/>
          <w:color w:val="000000"/>
          <w:sz w:val="24"/>
        </w:rPr>
        <w:t xml:space="preserve">on land legally described as </w:t>
      </w:r>
      <w:r>
        <w:rPr>
          <w:rFonts w:ascii="Arial"/>
          <w:color w:val="000000"/>
          <w:sz w:val="24"/>
        </w:rPr>
        <w:t>L</w:t>
      </w:r>
      <w:r>
        <w:rPr>
          <w:rFonts w:ascii="Arial"/>
          <w:color w:val="000000"/>
          <w:sz w:val="24"/>
        </w:rPr>
        <w:t>ot 20 in DP12</w:t>
      </w:r>
      <w:r>
        <w:rPr>
          <w:rFonts w:ascii="Arial"/>
          <w:color w:val="000000"/>
          <w:sz w:val="24"/>
        </w:rPr>
        <w:t>2</w:t>
      </w:r>
      <w:r>
        <w:rPr>
          <w:rFonts w:ascii="Arial"/>
          <w:color w:val="000000"/>
          <w:sz w:val="24"/>
        </w:rPr>
        <w:t>8502, being 225 Croatia Avenue, Edmondson Park</w:t>
      </w:r>
      <w:r>
        <w:rPr>
          <w:rFonts w:ascii="Arial"/>
          <w:color w:val="000000"/>
          <w:sz w:val="24"/>
        </w:rPr>
        <w:t>, 2174</w:t>
      </w:r>
      <w:r>
        <w:rPr>
          <w:rFonts w:ascii="Arial"/>
          <w:color w:val="000000"/>
          <w:sz w:val="24"/>
        </w:rPr>
        <w:t xml:space="preserve"> </w:t>
      </w:r>
      <w:r>
        <w:rPr>
          <w:rFonts w:ascii="Arial"/>
          <w:color w:val="000000"/>
          <w:sz w:val="24"/>
        </w:rPr>
        <w:t>(the site).</w:t>
      </w:r>
    </w:p>
    <w:p>
      <w:pPr>
        <w:pStyle w:val="CaselawNumbered10"/>
        <w:numPr>
          <w:ilvl w:val="0"/>
          <w:numId w:val="22"/>
        </w:numPr>
        <w:spacing w:before="150" w:after="0"/>
        <w:ind w:left="600" w:hanging="600"/>
      </w:pPr>
      <w:r>
        <w:rPr>
          <w:rFonts w:ascii="Arial"/>
          <w:color w:val="000000"/>
          <w:sz w:val="24"/>
        </w:rPr>
        <w:t>The DA has been amended on numerous occasions since the</w:t>
      </w:r>
      <w:r>
        <w:rPr>
          <w:rFonts w:ascii="Arial"/>
          <w:b/>
          <w:color w:val="000000"/>
          <w:sz w:val="24"/>
        </w:rPr>
        <w:t xml:space="preserve"> </w:t>
      </w:r>
      <w:r>
        <w:rPr>
          <w:rFonts w:ascii="Arial"/>
          <w:color w:val="000000"/>
          <w:sz w:val="24"/>
        </w:rPr>
        <w:t>Applicant in these proceedings filed an appeal in Class 1 of the Land and Environment Court</w:t>
      </w:r>
      <w:r>
        <w:rPr>
          <w:rFonts w:ascii="Arial"/>
          <w:color w:val="000000"/>
          <w:sz w:val="24"/>
        </w:rPr>
        <w:t>’</w:t>
      </w:r>
      <w:r>
        <w:rPr>
          <w:rFonts w:ascii="Arial"/>
          <w:color w:val="000000"/>
          <w:sz w:val="24"/>
        </w:rPr>
        <w:t xml:space="preserve">s jurisdiction on 17 October 2022. Most notably, the </w:t>
      </w:r>
      <w:r>
        <w:rPr>
          <w:rFonts w:ascii="Arial"/>
          <w:color w:val="000000"/>
          <w:sz w:val="24"/>
        </w:rPr>
        <w:t xml:space="preserve">proposed </w:t>
      </w:r>
      <w:r>
        <w:rPr>
          <w:rFonts w:ascii="Arial"/>
          <w:color w:val="000000"/>
          <w:sz w:val="24"/>
        </w:rPr>
        <w:t>child care</w:t>
      </w:r>
      <w:r>
        <w:rPr>
          <w:rFonts w:ascii="Arial"/>
          <w:color w:val="000000"/>
          <w:sz w:val="24"/>
        </w:rPr>
        <w:t xml:space="preserve"> </w:t>
      </w:r>
      <w:r>
        <w:rPr>
          <w:rFonts w:ascii="Arial"/>
          <w:color w:val="000000"/>
          <w:sz w:val="24"/>
        </w:rPr>
        <w:t>centre has been removed from the proposed development, and the final of number of residential units sought on the site is 214.</w:t>
      </w:r>
    </w:p>
    <w:p>
      <w:pPr>
        <w:pStyle w:val="CaselawHeading2"/>
        <w:keepNext/>
        <w:spacing w:before="150" w:after="150" w:line="264"/>
        <w:ind w:left="0"/>
        <w:jc w:val="left"/>
      </w:pPr>
      <w:r>
        <w:rPr>
          <w:rFonts w:ascii="Arial"/>
        </w:rPr>
        <w:t>Background</w:t>
      </w:r>
    </w:p>
    <w:p>
      <w:pPr>
        <w:pStyle w:val="CaselawHeading3"/>
        <w:keepNext/>
        <w:spacing w:before="150" w:after="150" w:line="264"/>
        <w:ind w:left="0"/>
        <w:jc w:val="left"/>
      </w:pPr>
      <w:r>
        <w:rPr>
          <w:rFonts w:ascii="Arial"/>
        </w:rPr>
        <w:t xml:space="preserve">Development Application DA-1122/2021 for Subdivision of the </w:t>
      </w:r>
      <w:r>
        <w:rPr>
          <w:rFonts w:ascii="Arial"/>
        </w:rPr>
        <w:t>Site</w:t>
      </w:r>
    </w:p>
    <w:p>
      <w:pPr>
        <w:pStyle w:val="CaselawNumbered10"/>
        <w:numPr>
          <w:ilvl w:val="0"/>
          <w:numId w:val="23"/>
        </w:numPr>
        <w:spacing w:before="150" w:after="0"/>
        <w:ind w:left="600" w:hanging="600"/>
      </w:pPr>
      <w:r>
        <w:rPr>
          <w:rFonts w:ascii="Arial"/>
          <w:color w:val="000000"/>
          <w:sz w:val="24"/>
        </w:rPr>
        <w:t xml:space="preserve">By way of background, </w:t>
      </w:r>
      <w:r>
        <w:rPr>
          <w:rFonts w:ascii="Arial"/>
          <w:color w:val="000000"/>
          <w:sz w:val="24"/>
        </w:rPr>
        <w:t>Development Application No DA</w:t>
      </w:r>
      <w:r>
        <w:rPr>
          <w:rFonts w:ascii="Arial"/>
          <w:color w:val="000000"/>
          <w:sz w:val="24"/>
        </w:rPr>
        <w:t>-1122/2021</w:t>
      </w:r>
      <w:r>
        <w:rPr>
          <w:rFonts w:ascii="Arial"/>
          <w:color w:val="000000"/>
          <w:sz w:val="24"/>
        </w:rPr>
        <w:t xml:space="preserve"> </w:t>
      </w:r>
      <w:r>
        <w:rPr>
          <w:rFonts w:ascii="Arial"/>
          <w:color w:val="000000"/>
          <w:sz w:val="24"/>
        </w:rPr>
        <w:t>was lodged with the Respondent on 27 September 2021 as the first step in the development of the site. That application sought consent for the subdivision of the land into 3 Torrens</w:t>
      </w:r>
      <w:r>
        <w:rPr>
          <w:rFonts w:ascii="Arial"/>
          <w:color w:val="000000"/>
          <w:sz w:val="24"/>
        </w:rPr>
        <w:t> title lots, demolition of existing structures, tree removal, construction of public roads, stormwater drainage and other associated civil works on land legally described as Lot 20 in Deposited Plan 1228502 also known as 225 Croatia Avenue, Edmondson Park.</w:t>
      </w:r>
    </w:p>
    <w:p>
      <w:pPr>
        <w:pStyle w:val="CaselawNumbered10"/>
        <w:numPr>
          <w:ilvl w:val="0"/>
          <w:numId w:val="23"/>
        </w:numPr>
        <w:spacing w:before="150" w:after="0"/>
        <w:ind w:left="600" w:hanging="600"/>
      </w:pPr>
      <w:r>
        <w:rPr>
          <w:rFonts w:ascii="Arial"/>
          <w:color w:val="000000"/>
          <w:sz w:val="24"/>
        </w:rPr>
        <w:t xml:space="preserve">Development Application No </w:t>
      </w:r>
      <w:r>
        <w:rPr>
          <w:rFonts w:ascii="Arial"/>
          <w:color w:val="000000"/>
          <w:sz w:val="24"/>
        </w:rPr>
        <w:t>DA-1122/2021</w:t>
      </w:r>
      <w:r>
        <w:rPr>
          <w:rFonts w:ascii="Arial"/>
          <w:color w:val="000000"/>
          <w:sz w:val="24"/>
        </w:rPr>
        <w:t xml:space="preserve"> </w:t>
      </w:r>
      <w:r>
        <w:rPr>
          <w:rFonts w:ascii="Arial"/>
          <w:color w:val="000000"/>
          <w:sz w:val="24"/>
        </w:rPr>
        <w:t>was determined by the Court on 10 August 2023 (</w:t>
      </w:r>
      <w:r>
        <w:rPr>
          <w:rFonts w:ascii="Arial"/>
          <w:i/>
          <w:color w:val="000000"/>
          <w:sz w:val="24"/>
        </w:rPr>
        <w:t xml:space="preserve">KRV Investments Pty Ltd v Liverpool City Council </w:t>
      </w:r>
      <w:r>
        <w:rPr>
          <w:rFonts w:ascii="Arial"/>
          <w:color w:val="000000"/>
          <w:sz w:val="24"/>
        </w:rPr>
        <w:t>[2023] NSWLEC 1436</w:t>
      </w:r>
      <w:r>
        <w:rPr>
          <w:rFonts w:ascii="Arial"/>
          <w:color w:val="000000"/>
          <w:sz w:val="24"/>
        </w:rPr>
        <w:t xml:space="preserve">). The Appeal was </w:t>
      </w:r>
      <w:r>
        <w:rPr>
          <w:rFonts w:ascii="Arial"/>
          <w:color w:val="000000"/>
          <w:sz w:val="24"/>
        </w:rPr>
        <w:t>upheld</w:t>
      </w:r>
      <w:r>
        <w:rPr>
          <w:rFonts w:ascii="Arial"/>
          <w:color w:val="000000"/>
          <w:sz w:val="24"/>
        </w:rPr>
        <w:t xml:space="preserve"> </w:t>
      </w:r>
      <w:r>
        <w:rPr>
          <w:rFonts w:ascii="Arial"/>
          <w:color w:val="000000"/>
          <w:sz w:val="24"/>
        </w:rPr>
        <w:t xml:space="preserve">and </w:t>
      </w:r>
      <w:r>
        <w:rPr>
          <w:rFonts w:ascii="Arial"/>
          <w:color w:val="000000"/>
          <w:sz w:val="24"/>
        </w:rPr>
        <w:t xml:space="preserve">development consent was granted to the subdivision proposed in Development Application No DA-1122/2021, following a </w:t>
      </w:r>
      <w:r>
        <w:rPr>
          <w:rFonts w:ascii="Arial"/>
          <w:color w:val="000000"/>
          <w:sz w:val="24"/>
        </w:rPr>
        <w:t xml:space="preserve">s </w:t>
      </w:r>
      <w:r>
        <w:rPr>
          <w:rFonts w:ascii="Arial"/>
          <w:color w:val="000000"/>
          <w:sz w:val="24"/>
        </w:rPr>
        <w:t xml:space="preserve">34 conciliation conference where the parties reached an agreement. </w:t>
      </w:r>
    </w:p>
    <w:p>
      <w:pPr>
        <w:pStyle w:val="CaselawNumbered10"/>
        <w:numPr>
          <w:ilvl w:val="0"/>
          <w:numId w:val="23"/>
        </w:numPr>
        <w:spacing w:before="150" w:after="0"/>
        <w:ind w:left="600" w:hanging="600"/>
      </w:pPr>
      <w:r>
        <w:rPr>
          <w:rFonts w:ascii="Arial"/>
          <w:color w:val="000000"/>
          <w:sz w:val="24"/>
        </w:rPr>
        <w:t xml:space="preserve">This subdivision approval provides the structure for the development of the site, consistent with Part 2.11 of the </w:t>
      </w:r>
      <w:r>
        <w:rPr>
          <w:rFonts w:ascii="Arial"/>
          <w:color w:val="000000"/>
          <w:sz w:val="24"/>
        </w:rPr>
        <w:t>Liverpool Development Control Plan 2008 (</w:t>
      </w:r>
      <w:r>
        <w:rPr>
          <w:rFonts w:ascii="Arial"/>
          <w:color w:val="000000"/>
          <w:sz w:val="24"/>
        </w:rPr>
        <w:t>DCP</w:t>
      </w:r>
      <w:r>
        <w:rPr>
          <w:rFonts w:ascii="Arial"/>
          <w:color w:val="000000"/>
          <w:sz w:val="24"/>
        </w:rPr>
        <w:t>)</w:t>
      </w:r>
      <w:r>
        <w:rPr>
          <w:rFonts w:ascii="Arial"/>
          <w:color w:val="000000"/>
          <w:sz w:val="24"/>
        </w:rPr>
        <w:t>. The current DA</w:t>
      </w:r>
      <w:r>
        <w:rPr>
          <w:rFonts w:ascii="Arial"/>
          <w:color w:val="000000"/>
          <w:sz w:val="24"/>
        </w:rPr>
        <w:t>,</w:t>
      </w:r>
      <w:r>
        <w:rPr>
          <w:rFonts w:ascii="Arial"/>
          <w:color w:val="000000"/>
          <w:sz w:val="24"/>
        </w:rPr>
        <w:t xml:space="preserve"> </w:t>
      </w:r>
      <w:r>
        <w:rPr>
          <w:rFonts w:ascii="Arial"/>
          <w:color w:val="000000"/>
          <w:sz w:val="24"/>
        </w:rPr>
        <w:t>if approved</w:t>
      </w:r>
      <w:r>
        <w:rPr>
          <w:rFonts w:ascii="Arial"/>
          <w:color w:val="000000"/>
          <w:sz w:val="24"/>
        </w:rPr>
        <w:t>,</w:t>
      </w:r>
      <w:r>
        <w:rPr>
          <w:rFonts w:ascii="Arial"/>
          <w:color w:val="000000"/>
          <w:sz w:val="24"/>
        </w:rPr>
        <w:t xml:space="preserve"> </w:t>
      </w:r>
      <w:r>
        <w:rPr>
          <w:rFonts w:ascii="Arial"/>
          <w:color w:val="000000"/>
          <w:sz w:val="24"/>
        </w:rPr>
        <w:t>provides for the construction of buildings on Lot 1 and Lot 3 of the approved subdivision. Lot 2 of the approved subdivision was created as a residue lot which is required to be consolidated with adjoining Lot 6 in DP 1227875 in accordance with the conditions of consent of the subdivision approval.</w:t>
      </w:r>
    </w:p>
    <w:p>
      <w:pPr>
        <w:pStyle w:val="CaselawNumbered10"/>
        <w:numPr>
          <w:ilvl w:val="0"/>
          <w:numId w:val="23"/>
        </w:numPr>
        <w:spacing w:before="150" w:after="0"/>
        <w:ind w:left="600" w:hanging="600"/>
      </w:pPr>
      <w:r>
        <w:rPr>
          <w:rFonts w:ascii="Arial"/>
          <w:color w:val="000000"/>
          <w:sz w:val="24"/>
        </w:rPr>
        <w:t>The residue lot of 192m</w:t>
      </w:r>
      <w:r>
        <w:rPr>
          <w:rFonts w:ascii="Arial"/>
          <w:color w:val="000000"/>
          <w:sz w:val="24"/>
        </w:rPr>
        <w:t>2</w:t>
      </w:r>
      <w:r>
        <w:rPr>
          <w:rFonts w:ascii="Arial"/>
          <w:color w:val="000000"/>
          <w:sz w:val="24"/>
        </w:rPr>
        <w:t xml:space="preserve"> </w:t>
      </w:r>
      <w:r>
        <w:rPr>
          <w:rFonts w:ascii="Arial"/>
          <w:color w:val="000000"/>
          <w:sz w:val="24"/>
        </w:rPr>
        <w:t>was approved pursuant to cl 4.6 of the Liverpool Local Environmental Plan 2008 (the LEP). This cl 4.6 request sought flexibility in the application of the Council</w:t>
      </w:r>
      <w:r>
        <w:rPr>
          <w:rFonts w:ascii="Arial"/>
          <w:color w:val="000000"/>
          <w:sz w:val="24"/>
        </w:rPr>
        <w:t>’</w:t>
      </w:r>
      <w:r>
        <w:rPr>
          <w:rFonts w:ascii="Arial"/>
          <w:color w:val="000000"/>
          <w:sz w:val="24"/>
        </w:rPr>
        <w:t>s minimum lot size control which required a minimum lot size of 300m</w:t>
      </w:r>
      <w:r>
        <w:rPr>
          <w:rFonts w:ascii="Arial"/>
          <w:color w:val="000000"/>
          <w:sz w:val="24"/>
        </w:rPr>
        <w:t>2</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The Applicant advised that the land has not yet been subdivided in accordance with DA-1122/2021, and that those works will necessarily precede the built form development of the site.</w:t>
      </w:r>
    </w:p>
    <w:p>
      <w:pPr>
        <w:pStyle w:val="CaselawNumbered10"/>
        <w:numPr>
          <w:ilvl w:val="0"/>
          <w:numId w:val="23"/>
        </w:numPr>
        <w:spacing w:before="150" w:after="0"/>
        <w:ind w:left="600" w:hanging="600"/>
      </w:pPr>
      <w:r>
        <w:rPr>
          <w:rFonts w:ascii="Arial"/>
          <w:color w:val="000000"/>
          <w:sz w:val="24"/>
        </w:rPr>
        <w:t xml:space="preserve">The Applicant submits that the cl 4.6 request was upheld by the Court in </w:t>
      </w:r>
      <w:r>
        <w:rPr>
          <w:rFonts w:ascii="Arial"/>
          <w:color w:val="000000"/>
          <w:sz w:val="24"/>
        </w:rPr>
        <w:t xml:space="preserve">the matter of </w:t>
      </w:r>
      <w:r>
        <w:rPr>
          <w:rFonts w:ascii="Arial"/>
          <w:color w:val="000000"/>
          <w:sz w:val="24"/>
        </w:rPr>
        <w:t>2022/299473 on the basis that the non-compliance was not permanent, as the residue lot is required to ultimately be consolidated with the adjoining lot.</w:t>
      </w:r>
    </w:p>
    <w:p>
      <w:pPr>
        <w:pStyle w:val="CaselawNumbered10"/>
        <w:numPr>
          <w:ilvl w:val="0"/>
          <w:numId w:val="23"/>
        </w:numPr>
        <w:spacing w:before="150" w:after="0"/>
        <w:ind w:left="600" w:hanging="600"/>
      </w:pPr>
      <w:r>
        <w:rPr>
          <w:rFonts w:ascii="Arial"/>
          <w:color w:val="000000"/>
          <w:sz w:val="24"/>
        </w:rPr>
        <w:t>At paragraph [</w:t>
      </w:r>
      <w:r>
        <w:rPr>
          <w:rFonts w:ascii="Arial"/>
          <w:color w:val="000000"/>
          <w:sz w:val="24"/>
        </w:rPr>
        <w:t>21</w:t>
      </w:r>
      <w:r>
        <w:rPr>
          <w:rFonts w:ascii="Arial"/>
          <w:color w:val="000000"/>
          <w:sz w:val="24"/>
        </w:rPr>
        <w:t xml:space="preserve">] </w:t>
      </w:r>
      <w:r>
        <w:rPr>
          <w:rFonts w:ascii="Arial"/>
          <w:color w:val="000000"/>
          <w:sz w:val="24"/>
        </w:rPr>
        <w:t>of</w:t>
      </w:r>
      <w:r>
        <w:rPr>
          <w:rFonts w:ascii="Arial"/>
          <w:i/>
          <w:color w:val="000000"/>
          <w:sz w:val="24"/>
        </w:rPr>
        <w:t xml:space="preserve"> </w:t>
      </w:r>
      <w:r>
        <w:rPr>
          <w:rFonts w:ascii="Arial"/>
          <w:i/>
          <w:color w:val="000000"/>
          <w:sz w:val="24"/>
        </w:rPr>
        <w:t xml:space="preserve">KRV Investments Pty Ltd v Liverpool City </w:t>
      </w:r>
      <w:r>
        <w:rPr>
          <w:rFonts w:ascii="Arial"/>
          <w:color w:val="000000"/>
          <w:sz w:val="24"/>
        </w:rPr>
        <w:t>Council [2023] NSWLEC 1436</w:t>
      </w:r>
      <w:r>
        <w:rPr>
          <w:rFonts w:ascii="Arial"/>
          <w:i/>
          <w:color w:val="000000"/>
          <w:sz w:val="24"/>
        </w:rPr>
        <w:t>,</w:t>
      </w:r>
      <w:r>
        <w:rPr>
          <w:rFonts w:ascii="Arial"/>
          <w:color w:val="000000"/>
          <w:sz w:val="24"/>
        </w:rPr>
        <w:t xml:space="preserve"> </w:t>
      </w:r>
      <w:r>
        <w:rPr>
          <w:rFonts w:ascii="Arial"/>
          <w:color w:val="000000"/>
          <w:sz w:val="24"/>
        </w:rPr>
        <w:t>Horton</w:t>
      </w:r>
      <w:r>
        <w:rPr>
          <w:rFonts w:ascii="Arial"/>
          <w:color w:val="000000"/>
          <w:sz w:val="24"/>
        </w:rPr>
        <w:t xml:space="preserve"> </w:t>
      </w:r>
      <w:r>
        <w:rPr>
          <w:rFonts w:ascii="Arial"/>
          <w:color w:val="000000"/>
          <w:sz w:val="24"/>
        </w:rPr>
        <w:t>C</w:t>
      </w:r>
      <w:r>
        <w:rPr>
          <w:rFonts w:ascii="Arial"/>
          <w:color w:val="000000"/>
          <w:sz w:val="24"/>
        </w:rPr>
        <w:t xml:space="preserve"> </w:t>
      </w:r>
      <w:r>
        <w:rPr>
          <w:rFonts w:ascii="Arial"/>
          <w:color w:val="000000"/>
          <w:sz w:val="24"/>
        </w:rPr>
        <w:t>noted that</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“…[I]t is relevant to record here that the proposed subdivision conforms to the Indicative Edmondson Park Layout Plan notwithstanding the otherwise abrupt change in subdivision pattern from the existing subdivision pattern evident today”.</w:t>
      </w:r>
    </w:p>
    <w:p>
      <w:pPr>
        <w:pStyle w:val="CaselawHeading3"/>
        <w:keepNext/>
        <w:spacing w:before="150" w:after="150" w:line="264"/>
        <w:ind w:left="0"/>
        <w:jc w:val="left"/>
      </w:pPr>
      <w:r>
        <w:rPr>
          <w:rFonts w:ascii="Arial"/>
        </w:rPr>
        <w:t>Development Application DA-267/2022</w:t>
      </w:r>
      <w:r>
        <w:rPr>
          <w:rFonts w:ascii="Arial"/>
        </w:rPr>
        <w:t xml:space="preserve"> for </w:t>
      </w:r>
      <w:r>
        <w:rPr>
          <w:rFonts w:ascii="Arial"/>
        </w:rPr>
        <w:t>Development</w:t>
      </w:r>
      <w:r>
        <w:rPr>
          <w:rFonts w:ascii="Arial"/>
        </w:rPr>
        <w:t xml:space="preserve"> of the Site</w:t>
      </w:r>
    </w:p>
    <w:p>
      <w:pPr>
        <w:pStyle w:val="CaselawNumbered10"/>
        <w:numPr>
          <w:ilvl w:val="0"/>
          <w:numId w:val="24"/>
        </w:numPr>
        <w:spacing w:before="150" w:after="0"/>
        <w:ind w:left="600" w:hanging="600"/>
      </w:pPr>
      <w:r>
        <w:rPr>
          <w:rFonts w:ascii="Arial"/>
          <w:color w:val="000000"/>
          <w:sz w:val="24"/>
        </w:rPr>
        <w:t>T</w:t>
      </w:r>
      <w:r>
        <w:rPr>
          <w:rFonts w:ascii="Arial"/>
          <w:color w:val="000000"/>
          <w:sz w:val="24"/>
        </w:rPr>
        <w:t xml:space="preserve">he DA was lodged </w:t>
      </w:r>
      <w:r>
        <w:rPr>
          <w:rFonts w:ascii="Arial"/>
          <w:color w:val="000000"/>
          <w:sz w:val="24"/>
        </w:rPr>
        <w:t xml:space="preserve">by the Applicant </w:t>
      </w:r>
      <w:r>
        <w:rPr>
          <w:rFonts w:ascii="Arial"/>
          <w:color w:val="000000"/>
          <w:sz w:val="24"/>
        </w:rPr>
        <w:t xml:space="preserve">with the </w:t>
      </w:r>
      <w:r>
        <w:rPr>
          <w:rFonts w:ascii="Arial"/>
          <w:color w:val="000000"/>
          <w:sz w:val="24"/>
        </w:rPr>
        <w:t xml:space="preserve">Liverpool </w:t>
      </w:r>
      <w:r>
        <w:rPr>
          <w:rFonts w:ascii="Arial"/>
          <w:color w:val="000000"/>
          <w:sz w:val="24"/>
        </w:rPr>
        <w:t xml:space="preserve">Council (the Respondent) on </w:t>
      </w:r>
      <w:r>
        <w:rPr>
          <w:rFonts w:ascii="Arial"/>
          <w:color w:val="000000"/>
          <w:sz w:val="24"/>
        </w:rPr>
        <w:t>14</w:t>
      </w:r>
      <w:r>
        <w:rPr>
          <w:rFonts w:ascii="Arial"/>
          <w:color w:val="000000"/>
          <w:sz w:val="24"/>
        </w:rPr>
        <w:t xml:space="preserve"> </w:t>
      </w:r>
      <w:r>
        <w:rPr>
          <w:rFonts w:ascii="Arial"/>
          <w:color w:val="000000"/>
          <w:sz w:val="24"/>
        </w:rPr>
        <w:t>March 2022</w:t>
      </w:r>
      <w:r>
        <w:rPr>
          <w:rFonts w:ascii="Arial"/>
          <w:color w:val="000000"/>
          <w:sz w:val="24"/>
        </w:rPr>
        <w:t xml:space="preserve">. </w:t>
      </w:r>
      <w:r>
        <w:rPr>
          <w:rFonts w:ascii="Arial"/>
          <w:color w:val="000000"/>
          <w:sz w:val="24"/>
        </w:rPr>
        <w:t>T</w:t>
      </w:r>
      <w:r>
        <w:rPr>
          <w:rFonts w:ascii="Arial"/>
          <w:color w:val="000000"/>
          <w:sz w:val="24"/>
        </w:rPr>
        <w:t xml:space="preserve">he DA has been amended </w:t>
      </w:r>
      <w:r>
        <w:rPr>
          <w:rFonts w:ascii="Arial"/>
          <w:color w:val="000000"/>
          <w:sz w:val="24"/>
        </w:rPr>
        <w:t xml:space="preserve">numerous times, most recently on 19 July 2024 (the further amended DA) </w:t>
      </w:r>
      <w:r>
        <w:rPr>
          <w:rFonts w:ascii="Arial"/>
          <w:color w:val="000000"/>
          <w:sz w:val="24"/>
        </w:rPr>
        <w:t xml:space="preserve">– </w:t>
      </w:r>
      <w:r>
        <w:rPr>
          <w:rFonts w:ascii="Arial"/>
          <w:color w:val="000000"/>
          <w:sz w:val="24"/>
        </w:rPr>
        <w:t>refer to paragraph [2</w:t>
      </w:r>
      <w:r>
        <w:rPr>
          <w:rFonts w:ascii="Arial"/>
          <w:color w:val="000000"/>
          <w:sz w:val="24"/>
        </w:rPr>
        <w:t>3</w:t>
      </w:r>
      <w:r>
        <w:rPr>
          <w:rFonts w:ascii="Arial"/>
          <w:color w:val="000000"/>
          <w:sz w:val="24"/>
        </w:rPr>
        <w:t>] below.</w:t>
      </w:r>
    </w:p>
    <w:p>
      <w:pPr>
        <w:pStyle w:val="CaselawNumbered10"/>
        <w:numPr>
          <w:ilvl w:val="0"/>
          <w:numId w:val="24"/>
        </w:numPr>
        <w:spacing w:before="150" w:after="0"/>
        <w:ind w:left="600" w:hanging="600"/>
      </w:pPr>
      <w:r>
        <w:rPr>
          <w:rFonts w:ascii="Arial"/>
          <w:color w:val="000000"/>
          <w:sz w:val="24"/>
        </w:rPr>
        <w:t xml:space="preserve">The proposed development </w:t>
      </w:r>
      <w:r>
        <w:rPr>
          <w:rFonts w:ascii="Arial"/>
          <w:color w:val="000000"/>
          <w:sz w:val="24"/>
        </w:rPr>
        <w:t xml:space="preserve">of </w:t>
      </w:r>
      <w:r>
        <w:rPr>
          <w:rFonts w:ascii="Arial"/>
          <w:color w:val="000000"/>
          <w:sz w:val="24"/>
        </w:rPr>
        <w:t>the site has been designed as separate buildings A1, A2, A3, and A4 and buildings B1 and B2 contained within the approved Lot 1, and Buildings C, D1, D2 and E which are contained within the approved Lot 3. The buildings are located above basement carparking</w:t>
      </w:r>
      <w:r>
        <w:rPr>
          <w:rFonts w:ascii="Arial"/>
          <w:color w:val="000000"/>
          <w:sz w:val="24"/>
        </w:rPr>
        <w:t xml:space="preserve"> </w:t>
      </w:r>
      <w:r>
        <w:rPr>
          <w:rFonts w:ascii="Arial"/>
          <w:color w:val="000000"/>
          <w:sz w:val="24"/>
        </w:rPr>
        <w:t>on each lot</w:t>
      </w:r>
      <w:r>
        <w:rPr>
          <w:rFonts w:ascii="Arial"/>
          <w:color w:val="000000"/>
          <w:sz w:val="24"/>
        </w:rPr>
        <w:t xml:space="preserve">. The village centre commercial space is contained in the ground floors of Buildings B1 and B2. This general </w:t>
      </w:r>
      <w:r>
        <w:rPr>
          <w:rFonts w:ascii="Arial"/>
          <w:color w:val="000000"/>
          <w:sz w:val="24"/>
        </w:rPr>
        <w:t xml:space="preserve">development </w:t>
      </w:r>
      <w:r>
        <w:rPr>
          <w:rFonts w:ascii="Arial"/>
          <w:color w:val="000000"/>
          <w:sz w:val="24"/>
        </w:rPr>
        <w:t xml:space="preserve">layout has been </w:t>
      </w:r>
      <w:r>
        <w:rPr>
          <w:rFonts w:ascii="Arial"/>
          <w:color w:val="000000"/>
          <w:sz w:val="24"/>
        </w:rPr>
        <w:t>re</w:t>
      </w:r>
      <w:r>
        <w:rPr>
          <w:rFonts w:ascii="Arial"/>
          <w:color w:val="000000"/>
          <w:sz w:val="24"/>
        </w:rPr>
        <w:t>tained through the various amendments to the</w:t>
      </w:r>
      <w:r>
        <w:rPr>
          <w:rFonts w:ascii="Arial"/>
          <w:color w:val="000000"/>
          <w:sz w:val="24"/>
        </w:rPr>
        <w:t xml:space="preserve"> </w:t>
      </w:r>
      <w:r>
        <w:rPr>
          <w:rFonts w:ascii="Arial"/>
          <w:color w:val="000000"/>
          <w:sz w:val="24"/>
        </w:rPr>
        <w:t>DA</w:t>
      </w:r>
      <w:r>
        <w:rPr>
          <w:rFonts w:ascii="Arial"/>
          <w:color w:val="000000"/>
          <w:sz w:val="24"/>
        </w:rPr>
        <w:t>.</w:t>
      </w:r>
    </w:p>
    <w:p>
      <w:pPr>
        <w:pStyle w:val="CaselawNumbered10"/>
        <w:numPr>
          <w:ilvl w:val="0"/>
          <w:numId w:val="24"/>
        </w:numPr>
        <w:spacing w:before="150" w:after="0"/>
        <w:ind w:left="600" w:hanging="600"/>
      </w:pPr>
      <w:r>
        <w:rPr>
          <w:rFonts w:ascii="Arial"/>
          <w:color w:val="000000"/>
          <w:sz w:val="24"/>
        </w:rPr>
        <w:t>The Applicant does not propose to construct any</w:t>
      </w:r>
      <w:r>
        <w:rPr>
          <w:rFonts w:ascii="Arial"/>
          <w:color w:val="000000"/>
          <w:sz w:val="24"/>
        </w:rPr>
        <w:t>thing</w:t>
      </w:r>
      <w:r>
        <w:rPr>
          <w:rFonts w:ascii="Arial"/>
          <w:color w:val="000000"/>
          <w:sz w:val="24"/>
        </w:rPr>
        <w:t xml:space="preserve"> </w:t>
      </w:r>
      <w:r>
        <w:rPr>
          <w:rFonts w:ascii="Arial"/>
          <w:color w:val="000000"/>
          <w:sz w:val="24"/>
        </w:rPr>
        <w:t>on the residue lot (Lot 2)</w:t>
      </w:r>
      <w:r>
        <w:rPr>
          <w:rFonts w:ascii="Arial"/>
          <w:color w:val="000000"/>
          <w:sz w:val="24"/>
        </w:rPr>
        <w:t xml:space="preserve"> </w:t>
      </w:r>
      <w:r>
        <w:rPr>
          <w:rFonts w:ascii="Arial"/>
          <w:color w:val="000000"/>
          <w:sz w:val="24"/>
        </w:rPr>
        <w:t>as part of th</w:t>
      </w:r>
      <w:r>
        <w:rPr>
          <w:rFonts w:ascii="Arial"/>
          <w:color w:val="000000"/>
          <w:sz w:val="24"/>
        </w:rPr>
        <w:t>is</w:t>
      </w:r>
      <w:r>
        <w:rPr>
          <w:rFonts w:ascii="Arial"/>
          <w:color w:val="000000"/>
          <w:sz w:val="24"/>
        </w:rPr>
        <w:t xml:space="preserve"> </w:t>
      </w:r>
      <w:r>
        <w:rPr>
          <w:rFonts w:ascii="Arial"/>
          <w:color w:val="000000"/>
          <w:sz w:val="24"/>
        </w:rPr>
        <w:t>DA</w:t>
      </w:r>
      <w:r>
        <w:rPr>
          <w:rFonts w:ascii="Arial"/>
          <w:color w:val="000000"/>
          <w:sz w:val="24"/>
        </w:rPr>
        <w:t>.</w:t>
      </w:r>
    </w:p>
    <w:p>
      <w:pPr>
        <w:pStyle w:val="CaselawNumbered10"/>
        <w:numPr>
          <w:ilvl w:val="0"/>
          <w:numId w:val="24"/>
        </w:numPr>
        <w:spacing w:before="150" w:after="0"/>
        <w:ind w:left="600" w:hanging="600"/>
      </w:pPr>
      <w:r>
        <w:rPr>
          <w:rFonts w:ascii="Arial"/>
          <w:color w:val="000000"/>
          <w:sz w:val="24"/>
        </w:rPr>
        <w:t>The DA was notified between the 28 June 2022 until the 13 July 2022. One submission raising issues with the building height</w:t>
      </w:r>
      <w:r>
        <w:rPr>
          <w:rFonts w:ascii="Arial"/>
          <w:color w:val="000000"/>
          <w:sz w:val="24"/>
        </w:rPr>
        <w:t xml:space="preserve">, </w:t>
      </w:r>
      <w:r>
        <w:rPr>
          <w:rFonts w:ascii="Arial"/>
          <w:color w:val="000000"/>
          <w:sz w:val="24"/>
        </w:rPr>
        <w:t>scale</w:t>
      </w:r>
      <w:r>
        <w:rPr>
          <w:rFonts w:ascii="Arial"/>
          <w:color w:val="000000"/>
          <w:sz w:val="24"/>
        </w:rPr>
        <w:t xml:space="preserve"> </w:t>
      </w:r>
      <w:r>
        <w:rPr>
          <w:rFonts w:ascii="Arial"/>
          <w:color w:val="000000"/>
          <w:sz w:val="24"/>
        </w:rPr>
        <w:t xml:space="preserve">and layout </w:t>
      </w:r>
      <w:r>
        <w:rPr>
          <w:rFonts w:ascii="Arial"/>
          <w:color w:val="000000"/>
          <w:sz w:val="24"/>
        </w:rPr>
        <w:t>and impacts on privacy and daylight was raised by an adjoining landowner.</w:t>
      </w:r>
    </w:p>
    <w:p>
      <w:pPr>
        <w:pStyle w:val="CaselawNumbered10"/>
        <w:numPr>
          <w:ilvl w:val="0"/>
          <w:numId w:val="24"/>
        </w:numPr>
        <w:spacing w:before="150" w:after="0"/>
        <w:ind w:left="600" w:hanging="600"/>
      </w:pPr>
      <w:r>
        <w:rPr>
          <w:rFonts w:ascii="Arial"/>
          <w:color w:val="000000"/>
          <w:sz w:val="24"/>
        </w:rPr>
        <w:t>On 1</w:t>
      </w:r>
      <w:r>
        <w:rPr>
          <w:rFonts w:ascii="Arial"/>
          <w:color w:val="000000"/>
          <w:sz w:val="24"/>
        </w:rPr>
        <w:t>7</w:t>
      </w:r>
      <w:r>
        <w:rPr>
          <w:rFonts w:ascii="Arial"/>
          <w:color w:val="000000"/>
          <w:sz w:val="24"/>
        </w:rPr>
        <w:t xml:space="preserve"> </w:t>
      </w:r>
      <w:r>
        <w:rPr>
          <w:rFonts w:ascii="Arial"/>
          <w:color w:val="000000"/>
          <w:sz w:val="24"/>
        </w:rPr>
        <w:t xml:space="preserve">October 2022 the Applicant in these proceedings filed an appeal in Class 1 of the </w:t>
      </w:r>
      <w:r>
        <w:rPr>
          <w:rFonts w:ascii="Arial"/>
          <w:color w:val="000000"/>
          <w:sz w:val="24"/>
        </w:rPr>
        <w:t xml:space="preserve">Land and Environment </w:t>
      </w:r>
      <w:r>
        <w:rPr>
          <w:rFonts w:ascii="Arial"/>
          <w:color w:val="000000"/>
          <w:sz w:val="24"/>
        </w:rPr>
        <w:t>Court</w:t>
      </w:r>
      <w:r>
        <w:rPr>
          <w:rFonts w:ascii="Arial"/>
          <w:color w:val="000000"/>
          <w:sz w:val="24"/>
        </w:rPr>
        <w:t>’</w:t>
      </w:r>
      <w:r>
        <w:rPr>
          <w:rFonts w:ascii="Arial"/>
          <w:color w:val="000000"/>
          <w:sz w:val="24"/>
        </w:rPr>
        <w:t xml:space="preserve">s </w:t>
      </w:r>
      <w:r>
        <w:rPr>
          <w:rFonts w:ascii="Arial"/>
          <w:color w:val="000000"/>
          <w:sz w:val="24"/>
        </w:rPr>
        <w:t xml:space="preserve">(the Court) </w:t>
      </w:r>
      <w:r>
        <w:rPr>
          <w:rFonts w:ascii="Arial"/>
          <w:color w:val="000000"/>
          <w:sz w:val="24"/>
        </w:rPr>
        <w:t xml:space="preserve">jurisdiction, under s 8.7 of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(EPA Act).</w:t>
      </w:r>
    </w:p>
    <w:p>
      <w:pPr>
        <w:pStyle w:val="CaselawNumbered10"/>
        <w:numPr>
          <w:ilvl w:val="0"/>
          <w:numId w:val="24"/>
        </w:numPr>
        <w:spacing w:before="150" w:after="0"/>
        <w:ind w:left="600" w:hanging="600"/>
      </w:pPr>
      <w:r>
        <w:rPr>
          <w:rFonts w:ascii="Arial"/>
          <w:color w:val="000000"/>
          <w:sz w:val="24"/>
        </w:rPr>
        <w:t>The Sydney Western City Planning Panel subsequently refused the DA on 31 August 2023.</w:t>
      </w:r>
    </w:p>
    <w:p>
      <w:pPr>
        <w:pStyle w:val="CaselawHeading2"/>
        <w:keepNext/>
        <w:spacing w:before="150" w:after="150" w:line="264"/>
        <w:ind w:left="0"/>
        <w:jc w:val="left"/>
      </w:pPr>
      <w:r>
        <w:rPr>
          <w:rFonts w:ascii="Arial"/>
        </w:rPr>
        <w:t>Evolution of the Appeal</w:t>
      </w:r>
    </w:p>
    <w:p>
      <w:pPr>
        <w:pStyle w:val="CaselawNumbered10"/>
        <w:numPr>
          <w:ilvl w:val="0"/>
          <w:numId w:val="25"/>
        </w:numPr>
        <w:spacing w:before="150" w:after="0"/>
        <w:ind w:left="600" w:hanging="600"/>
      </w:pPr>
      <w:r>
        <w:rPr>
          <w:rFonts w:ascii="Arial"/>
          <w:color w:val="000000"/>
          <w:sz w:val="24"/>
        </w:rPr>
        <w:t>The matter was the subject of a s 34 conciliation conference on 3 April 202</w:t>
      </w:r>
      <w:r>
        <w:rPr>
          <w:rFonts w:ascii="Arial"/>
          <w:color w:val="000000"/>
          <w:sz w:val="24"/>
        </w:rPr>
        <w:t>3</w:t>
      </w:r>
      <w:r>
        <w:rPr>
          <w:rFonts w:ascii="Arial"/>
          <w:color w:val="000000"/>
          <w:sz w:val="24"/>
        </w:rPr>
        <w:t xml:space="preserve">. The s 34 conciliation conference was adjourned and subsequently terminated on 16 June 2023. </w:t>
      </w:r>
    </w:p>
    <w:p>
      <w:pPr>
        <w:pStyle w:val="CaselawNumbered10"/>
        <w:numPr>
          <w:ilvl w:val="0"/>
          <w:numId w:val="25"/>
        </w:numPr>
        <w:spacing w:before="150" w:after="0"/>
        <w:ind w:left="600" w:hanging="600"/>
      </w:pPr>
      <w:r>
        <w:rPr>
          <w:rFonts w:ascii="Arial"/>
          <w:color w:val="000000"/>
          <w:sz w:val="24"/>
        </w:rPr>
        <w:t>On 29 November 2023, the Court granted a notice of motion permitting the Applicant to rely on amended plans.</w:t>
      </w:r>
      <w:r>
        <w:rPr>
          <w:rFonts w:ascii="Arial"/>
          <w:color w:val="000000"/>
          <w:sz w:val="24"/>
        </w:rPr>
        <w:t xml:space="preserve"> </w:t>
      </w:r>
      <w:r>
        <w:rPr>
          <w:rFonts w:ascii="Arial"/>
          <w:color w:val="000000"/>
          <w:sz w:val="24"/>
        </w:rPr>
        <w:t xml:space="preserve">These amended plans removed the </w:t>
      </w:r>
      <w:r>
        <w:rPr>
          <w:rFonts w:ascii="Arial"/>
          <w:color w:val="000000"/>
          <w:sz w:val="24"/>
        </w:rPr>
        <w:t>child care</w:t>
      </w:r>
      <w:r>
        <w:rPr>
          <w:rFonts w:ascii="Arial"/>
          <w:color w:val="000000"/>
          <w:sz w:val="24"/>
        </w:rPr>
        <w:t xml:space="preserve"> </w:t>
      </w:r>
      <w:r>
        <w:rPr>
          <w:rFonts w:ascii="Arial"/>
          <w:color w:val="000000"/>
          <w:sz w:val="24"/>
        </w:rPr>
        <w:t>centre component from the DA.</w:t>
      </w:r>
      <w:r>
        <w:rPr>
          <w:rFonts w:ascii="Arial"/>
          <w:color w:val="000000"/>
          <w:sz w:val="24"/>
        </w:rPr>
        <w:t xml:space="preserve"> </w:t>
      </w:r>
      <w:r>
        <w:rPr>
          <w:rFonts w:ascii="Arial"/>
          <w:color w:val="000000"/>
          <w:sz w:val="24"/>
        </w:rPr>
        <w:t>(</w:t>
      </w:r>
      <w:r>
        <w:rPr>
          <w:rFonts w:ascii="Arial"/>
          <w:color w:val="000000"/>
          <w:sz w:val="24"/>
        </w:rPr>
        <w:t xml:space="preserve">The amended Statement of Facts and Contentions (Amended SOFAC) </w:t>
      </w:r>
      <w:r>
        <w:rPr>
          <w:rFonts w:ascii="Arial"/>
          <w:color w:val="000000"/>
          <w:sz w:val="24"/>
        </w:rPr>
        <w:t xml:space="preserve">prepared by the Respondent </w:t>
      </w:r>
      <w:r>
        <w:rPr>
          <w:rFonts w:ascii="Arial"/>
          <w:color w:val="000000"/>
          <w:sz w:val="24"/>
        </w:rPr>
        <w:t xml:space="preserve">dated February 2024 deleted the contention relating to the previously proposed </w:t>
      </w:r>
      <w:r>
        <w:rPr>
          <w:rFonts w:ascii="Arial"/>
          <w:color w:val="000000"/>
          <w:sz w:val="24"/>
        </w:rPr>
        <w:t>child care</w:t>
      </w:r>
      <w:r>
        <w:rPr>
          <w:rFonts w:ascii="Arial"/>
          <w:color w:val="000000"/>
          <w:sz w:val="24"/>
        </w:rPr>
        <w:t xml:space="preserve"> </w:t>
      </w:r>
      <w:r>
        <w:rPr>
          <w:rFonts w:ascii="Arial"/>
          <w:color w:val="000000"/>
          <w:sz w:val="24"/>
        </w:rPr>
        <w:t>centre.</w:t>
      </w:r>
      <w:r>
        <w:rPr>
          <w:rFonts w:ascii="Arial"/>
          <w:color w:val="000000"/>
          <w:sz w:val="24"/>
        </w:rPr>
        <w:t>)</w:t>
      </w:r>
    </w:p>
    <w:p>
      <w:pPr>
        <w:pStyle w:val="CaselawNumbered10"/>
        <w:numPr>
          <w:ilvl w:val="0"/>
          <w:numId w:val="25"/>
        </w:numPr>
        <w:spacing w:before="150" w:after="0"/>
        <w:ind w:left="600" w:hanging="600"/>
      </w:pPr>
      <w:r>
        <w:rPr>
          <w:rFonts w:ascii="Arial"/>
          <w:color w:val="000000"/>
          <w:sz w:val="24"/>
        </w:rPr>
        <w:t>The matter was listed for hearing on 4, 5 and 6 December 2023. The Applicant</w:t>
      </w:r>
      <w:r>
        <w:rPr>
          <w:rFonts w:ascii="Arial"/>
          <w:color w:val="000000"/>
          <w:sz w:val="24"/>
        </w:rPr>
        <w:t>’</w:t>
      </w:r>
      <w:r>
        <w:rPr>
          <w:rFonts w:ascii="Arial"/>
          <w:color w:val="000000"/>
          <w:sz w:val="24"/>
        </w:rPr>
        <w:t>s request to vacate these dates and list the hearing for 18 and 19 June 2024 was granted by the Court.</w:t>
      </w:r>
    </w:p>
    <w:p>
      <w:pPr>
        <w:pStyle w:val="CaselawNumbered10"/>
        <w:numPr>
          <w:ilvl w:val="0"/>
          <w:numId w:val="25"/>
        </w:numPr>
        <w:spacing w:before="150" w:after="0"/>
        <w:ind w:left="600" w:hanging="600"/>
      </w:pPr>
      <w:r>
        <w:rPr>
          <w:rFonts w:ascii="Arial"/>
          <w:color w:val="000000"/>
          <w:sz w:val="24"/>
        </w:rPr>
        <w:t xml:space="preserve">On 31 May 2024 the Applicant was granted leave by the Court </w:t>
      </w:r>
      <w:r>
        <w:rPr>
          <w:rFonts w:ascii="Arial"/>
          <w:color w:val="000000"/>
          <w:sz w:val="24"/>
        </w:rPr>
        <w:t xml:space="preserve">to rely on </w:t>
      </w:r>
      <w:r>
        <w:rPr>
          <w:rFonts w:ascii="Arial"/>
          <w:color w:val="000000"/>
          <w:sz w:val="24"/>
        </w:rPr>
        <w:t xml:space="preserve">an updated set of </w:t>
      </w:r>
      <w:r>
        <w:rPr>
          <w:rFonts w:ascii="Arial"/>
          <w:color w:val="000000"/>
          <w:sz w:val="24"/>
        </w:rPr>
        <w:t>amended plans</w:t>
      </w:r>
      <w:r>
        <w:rPr>
          <w:rFonts w:ascii="Arial"/>
          <w:color w:val="000000"/>
          <w:sz w:val="24"/>
        </w:rPr>
        <w:t xml:space="preserve"> </w:t>
      </w:r>
      <w:r>
        <w:rPr>
          <w:rFonts w:ascii="Arial"/>
          <w:color w:val="000000"/>
          <w:sz w:val="24"/>
        </w:rPr>
        <w:t xml:space="preserve">(the amended DA) </w:t>
      </w:r>
      <w:r>
        <w:rPr>
          <w:rFonts w:ascii="Arial"/>
          <w:color w:val="000000"/>
          <w:sz w:val="24"/>
        </w:rPr>
        <w:t>as contained in Exhibits EJF-3 and EJF-4 filed with the Court.</w:t>
      </w:r>
      <w:r>
        <w:rPr>
          <w:rFonts w:ascii="Arial"/>
          <w:color w:val="000000"/>
          <w:sz w:val="24"/>
        </w:rPr>
        <w:t xml:space="preserve"> </w:t>
      </w:r>
      <w:r>
        <w:rPr>
          <w:rFonts w:ascii="Arial"/>
          <w:color w:val="000000"/>
          <w:sz w:val="24"/>
        </w:rPr>
        <w:t xml:space="preserve">The Court ordered that the Applicant </w:t>
      </w:r>
      <w:r>
        <w:rPr>
          <w:rFonts w:ascii="Arial"/>
          <w:color w:val="000000"/>
          <w:sz w:val="24"/>
        </w:rPr>
        <w:t>wa</w:t>
      </w:r>
      <w:r>
        <w:rPr>
          <w:rFonts w:ascii="Arial"/>
          <w:color w:val="000000"/>
          <w:sz w:val="24"/>
        </w:rPr>
        <w:t>s to pay the Respondent</w:t>
      </w:r>
      <w:r>
        <w:rPr>
          <w:rFonts w:ascii="Arial"/>
          <w:color w:val="000000"/>
          <w:sz w:val="24"/>
        </w:rPr>
        <w:t>’</w:t>
      </w:r>
      <w:r>
        <w:rPr>
          <w:rFonts w:ascii="Arial"/>
          <w:color w:val="000000"/>
          <w:sz w:val="24"/>
        </w:rPr>
        <w:t>s costs, as agreed or assessed, pursuant to s 8.15(3) of the EPA</w:t>
      </w:r>
      <w:r>
        <w:rPr>
          <w:rFonts w:ascii="Arial"/>
          <w:color w:val="000000"/>
          <w:sz w:val="24"/>
        </w:rPr>
        <w:t xml:space="preserve"> </w:t>
      </w:r>
      <w:r>
        <w:rPr>
          <w:rFonts w:ascii="Arial"/>
          <w:color w:val="000000"/>
          <w:sz w:val="24"/>
        </w:rPr>
        <w:t>Act</w:t>
      </w:r>
      <w:r>
        <w:rPr>
          <w:rFonts w:ascii="Arial"/>
          <w:color w:val="000000"/>
          <w:sz w:val="24"/>
        </w:rPr>
        <w:t>.</w:t>
      </w:r>
    </w:p>
    <w:p>
      <w:pPr>
        <w:pStyle w:val="CaselawHeading2"/>
        <w:keepNext/>
        <w:spacing w:before="150" w:after="150" w:line="264"/>
        <w:ind w:left="0"/>
        <w:jc w:val="left"/>
      </w:pPr>
      <w:r>
        <w:rPr>
          <w:rFonts w:ascii="Arial"/>
        </w:rPr>
        <w:t>The Hearing</w:t>
      </w:r>
      <w:r>
        <w:rPr>
          <w:rFonts w:ascii="Arial"/>
        </w:rPr>
        <w:t xml:space="preserve"> – Days 1 an</w:t>
      </w:r>
      <w:r>
        <w:rPr>
          <w:rFonts w:ascii="Arial"/>
        </w:rPr>
        <w:t>d</w:t>
      </w:r>
      <w:r>
        <w:rPr>
          <w:rFonts w:ascii="Arial"/>
        </w:rPr>
        <w:t xml:space="preserve"> 2</w:t>
      </w:r>
    </w:p>
    <w:p>
      <w:pPr>
        <w:pStyle w:val="CaselawNumbered10"/>
        <w:numPr>
          <w:ilvl w:val="0"/>
          <w:numId w:val="26"/>
        </w:numPr>
        <w:spacing w:before="150" w:after="0"/>
        <w:ind w:left="600" w:hanging="600"/>
      </w:pPr>
      <w:r>
        <w:rPr>
          <w:rFonts w:ascii="Arial"/>
          <w:color w:val="000000"/>
          <w:sz w:val="24"/>
        </w:rPr>
        <w:t>The hearing commenced with a</w:t>
      </w:r>
      <w:r>
        <w:rPr>
          <w:rFonts w:ascii="Arial"/>
          <w:color w:val="000000"/>
          <w:sz w:val="24"/>
        </w:rPr>
        <w:t>n on-</w:t>
      </w:r>
      <w:r>
        <w:rPr>
          <w:rFonts w:ascii="Arial"/>
          <w:color w:val="000000"/>
          <w:sz w:val="24"/>
        </w:rPr>
        <w:t>site view</w:t>
      </w:r>
      <w:r>
        <w:rPr>
          <w:rFonts w:ascii="Arial"/>
          <w:color w:val="000000"/>
          <w:sz w:val="24"/>
        </w:rPr>
        <w:t xml:space="preserve"> </w:t>
      </w:r>
      <w:r>
        <w:rPr>
          <w:rFonts w:ascii="Arial"/>
          <w:color w:val="000000"/>
          <w:sz w:val="24"/>
        </w:rPr>
        <w:t>on 18 June 2024,</w:t>
      </w:r>
      <w:r>
        <w:rPr>
          <w:rFonts w:ascii="Arial"/>
          <w:color w:val="000000"/>
          <w:sz w:val="24"/>
        </w:rPr>
        <w:t xml:space="preserve"> </w:t>
      </w:r>
      <w:r>
        <w:rPr>
          <w:rFonts w:ascii="Arial"/>
          <w:color w:val="000000"/>
          <w:sz w:val="24"/>
        </w:rPr>
        <w:t xml:space="preserve">attended </w:t>
      </w:r>
      <w:r>
        <w:rPr>
          <w:rFonts w:ascii="Arial"/>
          <w:color w:val="000000"/>
          <w:sz w:val="24"/>
        </w:rPr>
        <w:t>by two submitters</w:t>
      </w:r>
      <w:r>
        <w:rPr>
          <w:rFonts w:ascii="Arial"/>
          <w:color w:val="000000"/>
          <w:sz w:val="24"/>
        </w:rPr>
        <w:t xml:space="preserve">. </w:t>
      </w:r>
      <w:r>
        <w:rPr>
          <w:rFonts w:ascii="Arial"/>
          <w:color w:val="000000"/>
          <w:sz w:val="24"/>
        </w:rPr>
        <w:t xml:space="preserve">Proposed amendments to the </w:t>
      </w:r>
      <w:r>
        <w:rPr>
          <w:rFonts w:ascii="Arial"/>
          <w:color w:val="000000"/>
          <w:sz w:val="24"/>
        </w:rPr>
        <w:t xml:space="preserve">amended </w:t>
      </w:r>
      <w:r>
        <w:rPr>
          <w:rFonts w:ascii="Arial"/>
          <w:color w:val="000000"/>
          <w:sz w:val="24"/>
        </w:rPr>
        <w:t>DA were discussed at the on</w:t>
      </w:r>
      <w:r>
        <w:rPr>
          <w:rFonts w:ascii="Arial"/>
          <w:color w:val="000000"/>
          <w:sz w:val="24"/>
        </w:rPr>
        <w:t>-</w:t>
      </w:r>
      <w:r>
        <w:rPr>
          <w:rFonts w:ascii="Arial"/>
          <w:color w:val="000000"/>
          <w:sz w:val="24"/>
        </w:rPr>
        <w:t xml:space="preserve">site view with the submitters, who indicated their general satisfaction that the proposed amended plans substantially addressed their concerns. </w:t>
      </w:r>
      <w:r>
        <w:rPr>
          <w:rFonts w:ascii="Arial"/>
          <w:color w:val="000000"/>
          <w:sz w:val="24"/>
        </w:rPr>
        <w:t>At the commencement of the hearing, the</w:t>
      </w:r>
      <w:r>
        <w:rPr>
          <w:rFonts w:ascii="Arial"/>
          <w:color w:val="000000"/>
          <w:sz w:val="24"/>
        </w:rPr>
        <w:t xml:space="preserve"> </w:t>
      </w:r>
      <w:r>
        <w:rPr>
          <w:rFonts w:ascii="Arial"/>
          <w:color w:val="000000"/>
          <w:sz w:val="24"/>
        </w:rPr>
        <w:t xml:space="preserve">Applicant </w:t>
      </w:r>
      <w:r>
        <w:rPr>
          <w:rFonts w:ascii="Arial"/>
          <w:color w:val="000000"/>
          <w:sz w:val="24"/>
        </w:rPr>
        <w:t xml:space="preserve">made a </w:t>
      </w:r>
      <w:r>
        <w:rPr>
          <w:rFonts w:ascii="Arial"/>
          <w:color w:val="000000"/>
          <w:sz w:val="24"/>
        </w:rPr>
        <w:t xml:space="preserve">formal </w:t>
      </w:r>
      <w:r>
        <w:rPr>
          <w:rFonts w:ascii="Arial"/>
          <w:color w:val="000000"/>
          <w:sz w:val="24"/>
        </w:rPr>
        <w:t xml:space="preserve">request </w:t>
      </w:r>
      <w:r>
        <w:rPr>
          <w:rFonts w:ascii="Arial"/>
          <w:color w:val="000000"/>
          <w:sz w:val="24"/>
        </w:rPr>
        <w:t xml:space="preserve">to </w:t>
      </w:r>
      <w:r>
        <w:rPr>
          <w:rFonts w:ascii="Arial"/>
          <w:color w:val="000000"/>
          <w:sz w:val="24"/>
        </w:rPr>
        <w:t xml:space="preserve">file </w:t>
      </w:r>
      <w:r>
        <w:rPr>
          <w:rFonts w:ascii="Arial"/>
          <w:color w:val="000000"/>
          <w:sz w:val="24"/>
        </w:rPr>
        <w:t>these</w:t>
      </w:r>
      <w:r>
        <w:rPr>
          <w:rFonts w:ascii="Arial"/>
          <w:color w:val="000000"/>
          <w:sz w:val="24"/>
        </w:rPr>
        <w:t xml:space="preserve"> </w:t>
      </w:r>
      <w:r>
        <w:rPr>
          <w:rFonts w:ascii="Arial"/>
          <w:color w:val="000000"/>
          <w:sz w:val="24"/>
        </w:rPr>
        <w:t>amended plans</w:t>
      </w:r>
      <w:r>
        <w:rPr>
          <w:rFonts w:ascii="Arial"/>
          <w:color w:val="000000"/>
          <w:sz w:val="24"/>
        </w:rPr>
        <w:t>.</w:t>
      </w:r>
      <w:r>
        <w:rPr>
          <w:rFonts w:ascii="Arial"/>
          <w:color w:val="000000"/>
          <w:sz w:val="24"/>
        </w:rPr>
        <w:t xml:space="preserve"> </w:t>
      </w:r>
    </w:p>
    <w:p>
      <w:pPr>
        <w:pStyle w:val="CaselawNumbered10"/>
        <w:numPr>
          <w:ilvl w:val="0"/>
          <w:numId w:val="26"/>
        </w:numPr>
        <w:spacing w:before="150" w:after="0"/>
        <w:ind w:left="600" w:hanging="600"/>
      </w:pPr>
      <w:r>
        <w:rPr>
          <w:rFonts w:ascii="Arial"/>
          <w:color w:val="000000"/>
          <w:sz w:val="24"/>
        </w:rPr>
        <w:t>At the end of</w:t>
      </w:r>
      <w:r>
        <w:rPr>
          <w:rFonts w:ascii="Arial"/>
          <w:color w:val="000000"/>
          <w:sz w:val="24"/>
        </w:rPr>
        <w:t xml:space="preserve"> </w:t>
      </w:r>
      <w:r>
        <w:rPr>
          <w:rFonts w:ascii="Arial"/>
          <w:color w:val="000000"/>
          <w:sz w:val="24"/>
        </w:rPr>
        <w:t xml:space="preserve">the first two days of the hearing, </w:t>
      </w:r>
      <w:r>
        <w:rPr>
          <w:rFonts w:ascii="Arial"/>
          <w:color w:val="000000"/>
          <w:sz w:val="24"/>
        </w:rPr>
        <w:t xml:space="preserve">the parties requested that the matter be adjourned to allow time for the Applicant to prepare further </w:t>
      </w:r>
      <w:r>
        <w:rPr>
          <w:rFonts w:ascii="Arial"/>
          <w:color w:val="000000"/>
          <w:sz w:val="24"/>
        </w:rPr>
        <w:t>amendments to the proposed development</w:t>
      </w:r>
      <w:r>
        <w:rPr>
          <w:rFonts w:ascii="Arial"/>
          <w:color w:val="000000"/>
          <w:sz w:val="24"/>
        </w:rPr>
        <w:t xml:space="preserve">, and for the town planning experts to prepare a report on these amendments prior to finalising a further amended DA. </w:t>
      </w:r>
    </w:p>
    <w:p>
      <w:pPr>
        <w:pStyle w:val="CaselawNumbered10"/>
        <w:numPr>
          <w:ilvl w:val="0"/>
          <w:numId w:val="26"/>
        </w:numPr>
        <w:spacing w:before="150" w:after="0"/>
        <w:ind w:left="600" w:hanging="600"/>
      </w:pPr>
      <w:r>
        <w:rPr>
          <w:rFonts w:ascii="Arial"/>
          <w:color w:val="000000"/>
          <w:sz w:val="24"/>
        </w:rPr>
        <w:t>On 19 June 2024 the Court ordered that:</w:t>
      </w:r>
    </w:p>
    <w:p>
      <w:pPr>
        <w:pStyle w:val="CaselawNumbered1"/>
        <w:numPr>
          <w:ilvl w:val="0"/>
          <w:numId w:val="27"/>
        </w:numPr>
        <w:spacing w:before="150" w:after="0"/>
        <w:ind w:left="1350" w:hanging="750"/>
      </w:pPr>
      <w:r>
        <w:rPr>
          <w:rFonts w:ascii="Arial"/>
          <w:color w:val="000000"/>
          <w:sz w:val="24"/>
        </w:rPr>
        <w:t>The list of units where solar access is in dispute to be filed by the parties with the Court by 5:00 PM on 19 June 2024.</w:t>
      </w:r>
    </w:p>
    <w:p>
      <w:pPr>
        <w:pStyle w:val="CaselawNumbered1"/>
        <w:numPr>
          <w:ilvl w:val="0"/>
          <w:numId w:val="27"/>
        </w:numPr>
        <w:spacing w:before="150" w:after="0"/>
        <w:ind w:left="1350" w:hanging="750"/>
      </w:pPr>
      <w:r>
        <w:rPr>
          <w:rFonts w:ascii="Arial"/>
          <w:color w:val="000000"/>
          <w:sz w:val="24"/>
        </w:rPr>
        <w:t>The parties are to file an agreed list of remaining issues with the Court by 5:00 PM on 20 June 2024.</w:t>
      </w:r>
    </w:p>
    <w:p>
      <w:pPr>
        <w:pStyle w:val="CaselawNumbered1"/>
        <w:numPr>
          <w:ilvl w:val="0"/>
          <w:numId w:val="27"/>
        </w:numPr>
        <w:spacing w:before="150" w:after="0"/>
        <w:ind w:left="1350" w:hanging="750"/>
      </w:pPr>
      <w:r>
        <w:rPr>
          <w:rFonts w:ascii="Arial"/>
          <w:color w:val="000000"/>
          <w:sz w:val="24"/>
        </w:rPr>
        <w:t>The Applicant is to provide further clarification of solar access in units nominated as in dispute to be filed with the Court by 26 June 2024.</w:t>
      </w:r>
    </w:p>
    <w:p>
      <w:pPr>
        <w:pStyle w:val="CaselawNumbered1"/>
        <w:numPr>
          <w:ilvl w:val="0"/>
          <w:numId w:val="27"/>
        </w:numPr>
        <w:spacing w:before="150" w:after="0"/>
        <w:ind w:left="1350" w:hanging="750"/>
      </w:pPr>
      <w:r>
        <w:rPr>
          <w:rFonts w:ascii="Arial"/>
          <w:color w:val="000000"/>
          <w:sz w:val="24"/>
        </w:rPr>
        <w:t>The Town Planners are to prepare a further joint expert report documenting the solar access issues by 8 July 2024.</w:t>
      </w:r>
    </w:p>
    <w:p>
      <w:pPr>
        <w:pStyle w:val="CaselawNumbered1"/>
        <w:numPr>
          <w:ilvl w:val="0"/>
          <w:numId w:val="27"/>
        </w:numPr>
        <w:spacing w:before="150" w:after="0"/>
        <w:ind w:left="1350" w:hanging="750"/>
      </w:pPr>
      <w:r>
        <w:rPr>
          <w:rFonts w:ascii="Arial"/>
          <w:color w:val="000000"/>
          <w:sz w:val="24"/>
        </w:rPr>
        <w:t>Council is to file draft conditions of consent with the Court by 26 June 2024.</w:t>
      </w:r>
    </w:p>
    <w:p>
      <w:pPr>
        <w:pStyle w:val="CaselawNumbered1"/>
        <w:numPr>
          <w:ilvl w:val="0"/>
          <w:numId w:val="27"/>
        </w:numPr>
        <w:spacing w:before="150" w:after="0"/>
        <w:ind w:left="1350" w:hanging="750"/>
      </w:pPr>
      <w:r>
        <w:rPr>
          <w:rFonts w:ascii="Arial"/>
          <w:color w:val="000000"/>
          <w:sz w:val="24"/>
        </w:rPr>
        <w:t>The Applicant is to file a response to the draft conditions of consent with the Court by 8 July 2024.</w:t>
      </w:r>
    </w:p>
    <w:p>
      <w:pPr>
        <w:pStyle w:val="CaselawNumbered1"/>
        <w:numPr>
          <w:ilvl w:val="0"/>
          <w:numId w:val="27"/>
        </w:numPr>
        <w:spacing w:before="150" w:after="0"/>
        <w:ind w:left="1350" w:hanging="750"/>
      </w:pPr>
      <w:r>
        <w:rPr>
          <w:rFonts w:ascii="Arial"/>
          <w:color w:val="000000"/>
          <w:sz w:val="24"/>
        </w:rPr>
        <w:t>Parties are to exchange written submissions and file them with the Court by 17 July 2024.</w:t>
      </w:r>
    </w:p>
    <w:p>
      <w:pPr>
        <w:pStyle w:val="CaselawNumbered1"/>
        <w:numPr>
          <w:ilvl w:val="0"/>
          <w:numId w:val="27"/>
        </w:numPr>
        <w:spacing w:before="150" w:after="0"/>
        <w:ind w:left="1350" w:hanging="750"/>
      </w:pPr>
      <w:r>
        <w:rPr>
          <w:rFonts w:ascii="Arial"/>
          <w:color w:val="000000"/>
          <w:sz w:val="24"/>
        </w:rPr>
        <w:t>The Hearing is adjourned to 10</w:t>
      </w:r>
      <w:r>
        <w:rPr>
          <w:rFonts w:ascii="Arial"/>
          <w:color w:val="000000"/>
          <w:sz w:val="24"/>
        </w:rPr>
        <w:t>am</w:t>
      </w:r>
      <w:r>
        <w:rPr>
          <w:rFonts w:ascii="Arial"/>
          <w:color w:val="000000"/>
          <w:sz w:val="24"/>
        </w:rPr>
        <w:t xml:space="preserve"> </w:t>
      </w:r>
      <w:r>
        <w:rPr>
          <w:rFonts w:ascii="Arial"/>
          <w:color w:val="000000"/>
          <w:sz w:val="24"/>
        </w:rPr>
        <w:t>on 19 July 2024.</w:t>
      </w:r>
    </w:p>
    <w:p>
      <w:pPr>
        <w:pStyle w:val="CaselawHeading2"/>
        <w:keepNext/>
        <w:spacing w:before="150" w:after="150" w:line="264"/>
        <w:ind w:left="0"/>
        <w:jc w:val="left"/>
      </w:pPr>
      <w:r>
        <w:rPr>
          <w:rFonts w:ascii="Arial"/>
        </w:rPr>
        <w:t>The Hearing – Day 3</w:t>
      </w:r>
    </w:p>
    <w:p>
      <w:pPr>
        <w:pStyle w:val="CaselawNumbered10"/>
        <w:numPr>
          <w:ilvl w:val="0"/>
          <w:numId w:val="28"/>
        </w:numPr>
        <w:spacing w:before="150" w:after="0"/>
        <w:ind w:left="600" w:hanging="600"/>
      </w:pPr>
      <w:r>
        <w:rPr>
          <w:rFonts w:ascii="Arial"/>
          <w:color w:val="000000"/>
          <w:sz w:val="24"/>
        </w:rPr>
        <w:t xml:space="preserve">Leave </w:t>
      </w:r>
      <w:r>
        <w:rPr>
          <w:rFonts w:ascii="Arial"/>
          <w:color w:val="000000"/>
          <w:sz w:val="24"/>
        </w:rPr>
        <w:t>was</w:t>
      </w:r>
      <w:r>
        <w:rPr>
          <w:rFonts w:ascii="Arial"/>
          <w:color w:val="000000"/>
          <w:sz w:val="24"/>
        </w:rPr>
        <w:t xml:space="preserve"> </w:t>
      </w:r>
      <w:r>
        <w:rPr>
          <w:rFonts w:ascii="Arial"/>
          <w:color w:val="000000"/>
          <w:sz w:val="24"/>
        </w:rPr>
        <w:t xml:space="preserve">granted for the Applicant to rely on the amended plans </w:t>
      </w:r>
      <w:r>
        <w:rPr>
          <w:rFonts w:ascii="Arial"/>
          <w:color w:val="000000"/>
          <w:sz w:val="24"/>
        </w:rPr>
        <w:t xml:space="preserve">(the further amended DA) </w:t>
      </w:r>
      <w:r>
        <w:rPr>
          <w:rFonts w:ascii="Arial"/>
          <w:color w:val="000000"/>
          <w:sz w:val="24"/>
        </w:rPr>
        <w:t xml:space="preserve">tabled on </w:t>
      </w:r>
      <w:r>
        <w:rPr>
          <w:rFonts w:ascii="Arial"/>
          <w:color w:val="000000"/>
          <w:sz w:val="24"/>
        </w:rPr>
        <w:t xml:space="preserve">Day 3 of the Hearing on </w:t>
      </w:r>
      <w:r>
        <w:rPr>
          <w:rFonts w:ascii="Arial"/>
          <w:color w:val="000000"/>
          <w:sz w:val="24"/>
        </w:rPr>
        <w:t xml:space="preserve">19 July 2024 as Exhibit </w:t>
      </w:r>
      <w:r>
        <w:rPr>
          <w:rFonts w:ascii="Arial"/>
          <w:color w:val="000000"/>
          <w:sz w:val="24"/>
        </w:rPr>
        <w:t>“</w:t>
      </w:r>
      <w:r>
        <w:rPr>
          <w:rFonts w:ascii="Arial"/>
          <w:color w:val="000000"/>
          <w:sz w:val="24"/>
        </w:rPr>
        <w:t>O</w:t>
      </w:r>
      <w:r>
        <w:rPr>
          <w:rFonts w:ascii="Arial"/>
          <w:color w:val="000000"/>
          <w:sz w:val="24"/>
        </w:rPr>
        <w:t>”</w:t>
      </w:r>
      <w:r>
        <w:rPr>
          <w:rFonts w:ascii="Arial"/>
          <w:color w:val="000000"/>
          <w:sz w:val="24"/>
        </w:rPr>
        <w:t xml:space="preserve"> </w:t>
      </w:r>
      <w:r>
        <w:rPr>
          <w:rFonts w:ascii="Arial"/>
          <w:color w:val="000000"/>
          <w:sz w:val="24"/>
        </w:rPr>
        <w:t>filed with the Court</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The Court </w:t>
      </w:r>
      <w:r>
        <w:rPr>
          <w:rFonts w:ascii="Arial"/>
          <w:color w:val="000000"/>
          <w:sz w:val="24"/>
        </w:rPr>
        <w:t xml:space="preserve">in </w:t>
      </w:r>
      <w:r>
        <w:rPr>
          <w:rFonts w:ascii="Arial"/>
          <w:color w:val="000000"/>
          <w:sz w:val="24"/>
        </w:rPr>
        <w:t>grant</w:t>
      </w:r>
      <w:r>
        <w:rPr>
          <w:rFonts w:ascii="Arial"/>
          <w:color w:val="000000"/>
          <w:sz w:val="24"/>
        </w:rPr>
        <w:t>ing</w:t>
      </w:r>
      <w:r>
        <w:rPr>
          <w:rFonts w:ascii="Arial"/>
          <w:color w:val="000000"/>
          <w:sz w:val="24"/>
        </w:rPr>
        <w:t xml:space="preserve"> the Applicant leave to rely upon the amended plans and other documents the subject of the Notice of Motion and exercised, under s 39(2) of the</w:t>
      </w:r>
      <w:r>
        <w:rPr>
          <w:rFonts w:ascii="Arial"/>
          <w:color w:val="000000"/>
          <w:sz w:val="24"/>
        </w:rPr>
        <w:t xml:space="preserve"> </w:t>
      </w:r>
      <w:r>
        <w:rPr>
          <w:rFonts w:ascii="Arial"/>
          <w:i/>
          <w:color w:val="000000"/>
          <w:sz w:val="24"/>
        </w:rPr>
        <w:t>Land</w:t>
      </w:r>
      <w:r>
        <w:rPr>
          <w:rFonts w:ascii="Arial"/>
          <w:i/>
          <w:color w:val="000000"/>
          <w:sz w:val="24"/>
        </w:rPr>
        <w:t xml:space="preserve"> </w:t>
      </w:r>
      <w:r>
        <w:rPr>
          <w:rFonts w:ascii="Arial"/>
          <w:i/>
          <w:color w:val="000000"/>
          <w:sz w:val="24"/>
        </w:rPr>
        <w:t>and</w:t>
      </w:r>
      <w:r>
        <w:rPr>
          <w:rFonts w:ascii="Arial"/>
          <w:i/>
          <w:color w:val="000000"/>
          <w:sz w:val="24"/>
        </w:rPr>
        <w:t xml:space="preserve"> </w:t>
      </w:r>
      <w:r>
        <w:rPr>
          <w:rFonts w:ascii="Arial"/>
          <w:i/>
          <w:color w:val="000000"/>
          <w:sz w:val="24"/>
        </w:rPr>
        <w:t>Environment</w:t>
      </w:r>
      <w:r>
        <w:rPr>
          <w:rFonts w:ascii="Arial"/>
          <w:i/>
          <w:color w:val="000000"/>
          <w:sz w:val="24"/>
        </w:rPr>
        <w:t xml:space="preserve"> </w:t>
      </w:r>
      <w:r>
        <w:rPr>
          <w:rFonts w:ascii="Arial"/>
          <w:i/>
          <w:color w:val="000000"/>
          <w:sz w:val="24"/>
        </w:rPr>
        <w:t>Court</w:t>
      </w:r>
      <w:r>
        <w:rPr>
          <w:rFonts w:ascii="Arial"/>
          <w:i/>
          <w:color w:val="000000"/>
          <w:sz w:val="24"/>
        </w:rPr>
        <w:t xml:space="preserve"> </w:t>
      </w:r>
      <w:r>
        <w:rPr>
          <w:rFonts w:ascii="Arial"/>
          <w:i/>
          <w:color w:val="000000"/>
          <w:sz w:val="24"/>
        </w:rPr>
        <w:t>Act</w:t>
      </w:r>
      <w:r>
        <w:rPr>
          <w:rFonts w:ascii="Arial"/>
          <w:i/>
          <w:color w:val="000000"/>
          <w:sz w:val="24"/>
        </w:rPr>
        <w:t xml:space="preserve"> </w:t>
      </w:r>
      <w:r>
        <w:rPr>
          <w:rFonts w:ascii="Arial"/>
          <w:i/>
          <w:color w:val="000000"/>
          <w:sz w:val="24"/>
        </w:rPr>
        <w:t>1979</w:t>
      </w:r>
      <w:r>
        <w:rPr>
          <w:rFonts w:ascii="Arial"/>
          <w:color w:val="000000"/>
          <w:sz w:val="24"/>
        </w:rPr>
        <w:t xml:space="preserve">, the functions and discretions of </w:t>
      </w:r>
      <w:r>
        <w:rPr>
          <w:rFonts w:ascii="Arial"/>
          <w:color w:val="000000"/>
          <w:sz w:val="24"/>
        </w:rPr>
        <w:t>Liverpool City</w:t>
      </w:r>
      <w:r>
        <w:rPr>
          <w:rFonts w:ascii="Arial"/>
          <w:color w:val="000000"/>
          <w:sz w:val="24"/>
        </w:rPr>
        <w:t xml:space="preserve"> </w:t>
      </w:r>
      <w:r>
        <w:rPr>
          <w:rFonts w:ascii="Arial"/>
          <w:color w:val="000000"/>
          <w:sz w:val="24"/>
        </w:rPr>
        <w:t>Council, as the relevant consent authority, to approve the amending of the DA by the Applicant, pursuant to s 38 of the Environmental Planning and Assessment Regulation 2021</w:t>
      </w:r>
      <w:r>
        <w:rPr>
          <w:rFonts w:ascii="Arial"/>
          <w:color w:val="000000"/>
          <w:sz w:val="24"/>
        </w:rPr>
        <w:t xml:space="preserve"> (the Regulation)</w:t>
      </w:r>
      <w:r>
        <w:rPr>
          <w:rFonts w:ascii="Arial"/>
          <w:color w:val="000000"/>
          <w:sz w:val="24"/>
        </w:rPr>
        <w:t>, in accordance with the amended plans and other documents for which leave was granted.</w:t>
      </w:r>
    </w:p>
    <w:p>
      <w:pPr>
        <w:pStyle w:val="CaselawNumbered10"/>
        <w:numPr>
          <w:ilvl w:val="0"/>
          <w:numId w:val="28"/>
        </w:numPr>
        <w:spacing w:before="150" w:after="0"/>
        <w:ind w:left="600" w:hanging="600"/>
      </w:pPr>
      <w:r>
        <w:rPr>
          <w:rFonts w:ascii="Arial"/>
          <w:color w:val="000000"/>
          <w:sz w:val="24"/>
        </w:rPr>
        <w:t>The parties were ordered to provide an updated set of draft conditions of consent by 26 July 2024.</w:t>
      </w:r>
      <w:r>
        <w:rPr>
          <w:rFonts w:ascii="Arial"/>
          <w:color w:val="000000"/>
          <w:sz w:val="24"/>
        </w:rPr>
        <w:t xml:space="preserve"> These draft conditions were provided to the Court.</w:t>
      </w:r>
    </w:p>
    <w:p>
      <w:pPr>
        <w:pStyle w:val="CaselawNumbered10"/>
        <w:numPr>
          <w:ilvl w:val="0"/>
          <w:numId w:val="28"/>
        </w:numPr>
        <w:spacing w:before="150" w:after="0"/>
        <w:ind w:left="600" w:hanging="600"/>
      </w:pPr>
      <w:r>
        <w:rPr>
          <w:rFonts w:ascii="Arial"/>
          <w:color w:val="000000"/>
          <w:sz w:val="24"/>
        </w:rPr>
        <w:t>T</w:t>
      </w:r>
      <w:r>
        <w:rPr>
          <w:rFonts w:ascii="Arial"/>
          <w:color w:val="000000"/>
          <w:sz w:val="24"/>
        </w:rPr>
        <w:t>he Applicant</w:t>
      </w:r>
      <w:r>
        <w:rPr>
          <w:rFonts w:ascii="Arial"/>
          <w:color w:val="000000"/>
          <w:sz w:val="24"/>
        </w:rPr>
        <w:t xml:space="preserve"> </w:t>
      </w:r>
      <w:r>
        <w:rPr>
          <w:rFonts w:ascii="Arial"/>
          <w:color w:val="000000"/>
          <w:sz w:val="24"/>
        </w:rPr>
        <w:t xml:space="preserve">agreed </w:t>
      </w:r>
      <w:r>
        <w:rPr>
          <w:rFonts w:ascii="Arial"/>
          <w:color w:val="000000"/>
          <w:sz w:val="24"/>
        </w:rPr>
        <w:t xml:space="preserve">in its final submission </w:t>
      </w:r>
      <w:r>
        <w:rPr>
          <w:rFonts w:ascii="Arial"/>
          <w:color w:val="000000"/>
          <w:sz w:val="24"/>
        </w:rPr>
        <w:t xml:space="preserve">to pay the costs of the Respondent thrown away </w:t>
      </w:r>
      <w:r>
        <w:rPr>
          <w:rFonts w:ascii="Arial"/>
          <w:color w:val="000000"/>
          <w:sz w:val="24"/>
        </w:rPr>
        <w:t>as a result of</w:t>
      </w:r>
      <w:r>
        <w:rPr>
          <w:rFonts w:ascii="Arial"/>
          <w:color w:val="000000"/>
          <w:sz w:val="24"/>
        </w:rPr>
        <w:t xml:space="preserve"> </w:t>
      </w:r>
      <w:r>
        <w:rPr>
          <w:rFonts w:ascii="Arial"/>
          <w:color w:val="000000"/>
          <w:sz w:val="24"/>
        </w:rPr>
        <w:t>the amendment</w:t>
      </w:r>
      <w:r>
        <w:rPr>
          <w:rFonts w:ascii="Arial"/>
          <w:color w:val="000000"/>
          <w:sz w:val="24"/>
        </w:rPr>
        <w:t>s</w:t>
      </w:r>
      <w:r>
        <w:rPr>
          <w:rFonts w:ascii="Arial"/>
          <w:color w:val="000000"/>
          <w:sz w:val="24"/>
        </w:rPr>
        <w:t xml:space="preserve"> </w:t>
      </w:r>
      <w:r>
        <w:rPr>
          <w:rFonts w:ascii="Arial"/>
          <w:color w:val="000000"/>
          <w:sz w:val="24"/>
        </w:rPr>
        <w:t>of the DA pursuant to s 8.15(3) of the EPA Act</w:t>
      </w:r>
      <w:r>
        <w:rPr>
          <w:rFonts w:ascii="Arial"/>
          <w:color w:val="000000"/>
          <w:sz w:val="24"/>
        </w:rPr>
        <w:t>.</w:t>
      </w:r>
    </w:p>
    <w:p>
      <w:pPr>
        <w:pStyle w:val="CaselawHeading2"/>
        <w:keepNext/>
        <w:spacing w:before="150" w:after="150" w:line="264"/>
        <w:ind w:left="0"/>
        <w:jc w:val="left"/>
      </w:pPr>
      <w:r>
        <w:rPr>
          <w:rFonts w:ascii="Arial"/>
        </w:rPr>
        <w:t>The site and its context</w:t>
      </w:r>
    </w:p>
    <w:p>
      <w:pPr>
        <w:pStyle w:val="CaselawHeading3"/>
        <w:keepNext/>
        <w:spacing w:before="150" w:after="150" w:line="264"/>
        <w:ind w:left="0"/>
        <w:jc w:val="left"/>
      </w:pPr>
      <w:r>
        <w:rPr>
          <w:rFonts w:ascii="Arial"/>
        </w:rPr>
        <w:t>Site Description</w:t>
      </w:r>
    </w:p>
    <w:p>
      <w:pPr>
        <w:pStyle w:val="CaselawNumbered10"/>
        <w:numPr>
          <w:ilvl w:val="0"/>
          <w:numId w:val="29"/>
        </w:numPr>
        <w:spacing w:before="150" w:after="0"/>
        <w:ind w:left="600" w:hanging="600"/>
      </w:pPr>
      <w:r>
        <w:rPr>
          <w:rFonts w:ascii="Arial"/>
          <w:color w:val="000000"/>
          <w:sz w:val="24"/>
        </w:rPr>
        <w:t>T</w:t>
      </w:r>
      <w:r>
        <w:rPr>
          <w:rFonts w:ascii="Arial"/>
          <w:color w:val="000000"/>
          <w:sz w:val="24"/>
        </w:rPr>
        <w:t xml:space="preserve">he site </w:t>
      </w:r>
      <w:r>
        <w:rPr>
          <w:rFonts w:ascii="Arial"/>
          <w:color w:val="000000"/>
          <w:sz w:val="24"/>
        </w:rPr>
        <w:t>comprises one lot, legally described as Lot 2</w:t>
      </w:r>
      <w:r>
        <w:rPr>
          <w:rFonts w:ascii="Arial"/>
          <w:color w:val="000000"/>
          <w:sz w:val="24"/>
        </w:rPr>
        <w:t>0</w:t>
      </w:r>
      <w:r>
        <w:rPr>
          <w:rFonts w:ascii="Arial"/>
          <w:color w:val="000000"/>
          <w:sz w:val="24"/>
        </w:rPr>
        <w:t xml:space="preserve"> </w:t>
      </w:r>
      <w:r>
        <w:rPr>
          <w:rFonts w:ascii="Arial"/>
          <w:color w:val="000000"/>
          <w:sz w:val="24"/>
        </w:rPr>
        <w:t xml:space="preserve">DP </w:t>
      </w:r>
      <w:r>
        <w:rPr>
          <w:rFonts w:ascii="Arial"/>
          <w:color w:val="000000"/>
          <w:sz w:val="24"/>
        </w:rPr>
        <w:t>1228502</w:t>
      </w:r>
      <w:r>
        <w:rPr>
          <w:rFonts w:ascii="Arial"/>
          <w:color w:val="000000"/>
          <w:sz w:val="24"/>
        </w:rPr>
        <w:t xml:space="preserve">, otherwise known as </w:t>
      </w:r>
      <w:r>
        <w:rPr>
          <w:rFonts w:ascii="Arial"/>
          <w:color w:val="000000"/>
          <w:sz w:val="24"/>
        </w:rPr>
        <w:t>225 Croatia Avenue, Edmondson Park</w:t>
      </w:r>
      <w:r>
        <w:rPr>
          <w:rFonts w:ascii="Arial"/>
          <w:color w:val="000000"/>
          <w:sz w:val="24"/>
        </w:rPr>
        <w:t xml:space="preserve">. </w:t>
      </w:r>
    </w:p>
    <w:p>
      <w:pPr>
        <w:pStyle w:val="CaselawNumbered10"/>
        <w:numPr>
          <w:ilvl w:val="0"/>
          <w:numId w:val="29"/>
        </w:numPr>
        <w:spacing w:before="150" w:after="0"/>
        <w:ind w:left="600" w:hanging="600"/>
      </w:pPr>
      <w:r>
        <w:rPr>
          <w:rFonts w:ascii="Arial"/>
          <w:color w:val="000000"/>
          <w:sz w:val="24"/>
        </w:rPr>
        <w:t xml:space="preserve">The site </w:t>
      </w:r>
      <w:r>
        <w:rPr>
          <w:rFonts w:ascii="Arial"/>
          <w:color w:val="000000"/>
          <w:sz w:val="24"/>
        </w:rPr>
        <w:t>is irregular in shape, with western and eastern boundaries not parallel, with the south-western corner shaped to account for the junction of Bernera Road and the road proposed along the southern boundary.</w:t>
      </w:r>
    </w:p>
    <w:p>
      <w:pPr>
        <w:pStyle w:val="CaselawNumbered10"/>
        <w:numPr>
          <w:ilvl w:val="0"/>
          <w:numId w:val="29"/>
        </w:numPr>
        <w:spacing w:before="150" w:after="0"/>
        <w:ind w:left="600" w:hanging="600"/>
      </w:pPr>
      <w:r>
        <w:rPr>
          <w:rFonts w:ascii="Arial"/>
          <w:color w:val="000000"/>
          <w:sz w:val="24"/>
        </w:rPr>
        <w:t xml:space="preserve">The survey submitted by the Applicant indicates that the site has a total area of 2.1ha. The western boundary adjoins the Bernera Road reserve (previously Croatia Avenue), whilst the eastern boundary several dwellings and streets, including </w:t>
      </w:r>
      <w:r>
        <w:rPr>
          <w:rFonts w:ascii="Arial"/>
          <w:color w:val="000000"/>
          <w:sz w:val="24"/>
        </w:rPr>
        <w:t>McCay</w:t>
      </w:r>
      <w:r>
        <w:rPr>
          <w:rFonts w:ascii="Arial"/>
          <w:color w:val="000000"/>
          <w:sz w:val="24"/>
        </w:rPr>
        <w:t xml:space="preserve"> </w:t>
      </w:r>
      <w:r>
        <w:rPr>
          <w:rFonts w:ascii="Arial"/>
          <w:color w:val="000000"/>
          <w:sz w:val="24"/>
        </w:rPr>
        <w:t xml:space="preserve">Lane, a semi-attached dwelling (Lot 35 DP1242681) located at the western end of a row of attached dwellings, the Dunkirk Road turning head and a cleared area adjacent to Lillian </w:t>
      </w:r>
      <w:r>
        <w:rPr>
          <w:rFonts w:ascii="Arial"/>
          <w:color w:val="000000"/>
          <w:sz w:val="24"/>
        </w:rPr>
        <w:t>Bratkovic</w:t>
      </w:r>
      <w:r>
        <w:rPr>
          <w:rFonts w:ascii="Arial"/>
          <w:color w:val="000000"/>
          <w:sz w:val="24"/>
        </w:rPr>
        <w:t xml:space="preserve"> </w:t>
      </w:r>
      <w:r>
        <w:rPr>
          <w:rFonts w:ascii="Arial"/>
          <w:color w:val="000000"/>
          <w:sz w:val="24"/>
        </w:rPr>
        <w:t>Park. The northern boundary adjoins 50 Brennan Way which is improved by residential flat buildings and the turning head of Hutton Road. 215 Croatia Avenue, which comprises of two allotments, adjoins the subject site to the south, with a double storey dwelling located on the western allotment.</w:t>
      </w:r>
    </w:p>
    <w:p>
      <w:pPr>
        <w:pStyle w:val="CaselawNumbered10"/>
        <w:numPr>
          <w:ilvl w:val="0"/>
          <w:numId w:val="29"/>
        </w:numPr>
        <w:spacing w:before="150" w:after="0"/>
        <w:ind w:left="600" w:hanging="600"/>
      </w:pPr>
      <w:r>
        <w:rPr>
          <w:rFonts w:ascii="Arial"/>
          <w:color w:val="000000"/>
          <w:sz w:val="24"/>
        </w:rPr>
        <w:t xml:space="preserve">The </w:t>
      </w:r>
      <w:r>
        <w:rPr>
          <w:rFonts w:ascii="Arial"/>
          <w:color w:val="000000"/>
          <w:sz w:val="24"/>
        </w:rPr>
        <w:t>northern boundary has a length of 117.965 metres, whilst the southern boundary has a length of 128.05 metres. The site generally falls from the south to the north, with a fall of approximately 7 metres. The levels of the site have not been significantly altered by earlier residential development.</w:t>
      </w:r>
    </w:p>
    <w:p>
      <w:pPr>
        <w:pStyle w:val="CaselawNumbered10"/>
        <w:numPr>
          <w:ilvl w:val="0"/>
          <w:numId w:val="29"/>
        </w:numPr>
        <w:spacing w:before="150" w:after="0"/>
        <w:ind w:left="600" w:hanging="600"/>
      </w:pPr>
      <w:r>
        <w:rPr>
          <w:rFonts w:ascii="Arial"/>
          <w:color w:val="000000"/>
          <w:sz w:val="24"/>
        </w:rPr>
        <w:t xml:space="preserve">The site is currently occupied by an existing single storey, split level, brick dwelling located at the southern end of the site, with a further brick building sitting to the east of the dwelling. A domestic swimming pool is located </w:t>
      </w:r>
      <w:r>
        <w:rPr>
          <w:rFonts w:ascii="Arial"/>
          <w:color w:val="000000"/>
          <w:sz w:val="24"/>
        </w:rPr>
        <w:t xml:space="preserve">towards the rear of the dwelling house, and a tennis court is located towards the south-eastern corner. The survey indicates that two shipping containers are located further to the north, adjacent to the eastern boundary, with two large awnings attached to the container. In respect to vegetation, the site is relatively cleared of vegetation, however there are existing trees located within proximity of the dwelling and to the north-east corner of the site. Two trees are also existing </w:t>
      </w:r>
      <w:r>
        <w:rPr>
          <w:rFonts w:ascii="Arial"/>
          <w:color w:val="000000"/>
          <w:sz w:val="24"/>
        </w:rPr>
        <w:t xml:space="preserve">towards the </w:t>
      </w:r>
      <w:r>
        <w:rPr>
          <w:rFonts w:ascii="Arial"/>
          <w:color w:val="000000"/>
          <w:sz w:val="24"/>
        </w:rPr>
        <w:t>north west</w:t>
      </w:r>
      <w:r>
        <w:rPr>
          <w:rFonts w:ascii="Arial"/>
          <w:color w:val="000000"/>
          <w:sz w:val="24"/>
        </w:rPr>
        <w:t xml:space="preserve"> </w:t>
      </w:r>
      <w:r>
        <w:rPr>
          <w:rFonts w:ascii="Arial"/>
          <w:color w:val="000000"/>
          <w:sz w:val="24"/>
        </w:rPr>
        <w:t>corner of the site.</w:t>
      </w:r>
    </w:p>
    <w:p>
      <w:pPr>
        <w:pStyle w:val="CaselawNumbered10"/>
        <w:numPr>
          <w:ilvl w:val="0"/>
          <w:numId w:val="29"/>
        </w:numPr>
        <w:spacing w:before="150" w:after="0"/>
        <w:ind w:left="600" w:hanging="600"/>
      </w:pPr>
      <w:r>
        <w:rPr>
          <w:rFonts w:ascii="Arial"/>
          <w:color w:val="000000"/>
          <w:sz w:val="24"/>
        </w:rPr>
        <w:t>The locality surrounding the site is predominantly characterised by low and</w:t>
      </w:r>
      <w:r>
        <w:rPr>
          <w:rFonts w:ascii="Arial"/>
          <w:color w:val="000000"/>
          <w:sz w:val="24"/>
        </w:rPr>
        <w:t xml:space="preserve"> </w:t>
      </w:r>
      <w:r>
        <w:rPr>
          <w:rFonts w:ascii="Arial"/>
          <w:color w:val="000000"/>
          <w:sz w:val="24"/>
        </w:rPr>
        <w:t>medium density development which includes single and double storey dwellings as well as several residential flat developments located to the north and north-west of the Site. The locality is gradually experiencing a period of urbanisation, noting that land adjoining to the north, east and west has been developed.</w:t>
      </w:r>
    </w:p>
    <w:p>
      <w:pPr>
        <w:pStyle w:val="CaselawHeading3"/>
        <w:keepNext/>
        <w:spacing w:before="150" w:after="150" w:line="264"/>
        <w:ind w:left="0"/>
        <w:jc w:val="left"/>
      </w:pPr>
      <w:r>
        <w:rPr>
          <w:rFonts w:ascii="Arial"/>
        </w:rPr>
        <w:t xml:space="preserve">Strategic Planning </w:t>
      </w:r>
      <w:r>
        <w:rPr>
          <w:rFonts w:ascii="Arial"/>
        </w:rPr>
        <w:t>Context</w:t>
      </w:r>
    </w:p>
    <w:p>
      <w:pPr>
        <w:pStyle w:val="CaselawNumbered10"/>
        <w:numPr>
          <w:ilvl w:val="0"/>
          <w:numId w:val="30"/>
        </w:numPr>
        <w:spacing w:before="150" w:after="0"/>
        <w:ind w:left="600" w:hanging="600"/>
      </w:pPr>
      <w:r>
        <w:rPr>
          <w:rFonts w:ascii="Arial"/>
          <w:color w:val="000000"/>
          <w:sz w:val="24"/>
        </w:rPr>
        <w:t xml:space="preserve">Edmondson Park was rezoned for urban development in 2008. It was one of the first areas to be planned in the </w:t>
      </w:r>
      <w:r>
        <w:rPr>
          <w:rFonts w:ascii="Arial"/>
          <w:color w:val="000000"/>
          <w:sz w:val="24"/>
        </w:rPr>
        <w:t>South West</w:t>
      </w:r>
      <w:r>
        <w:rPr>
          <w:rFonts w:ascii="Arial"/>
          <w:color w:val="000000"/>
          <w:sz w:val="24"/>
        </w:rPr>
        <w:t xml:space="preserve"> </w:t>
      </w:r>
      <w:r>
        <w:rPr>
          <w:rFonts w:ascii="Arial"/>
          <w:color w:val="000000"/>
          <w:sz w:val="24"/>
        </w:rPr>
        <w:t xml:space="preserve">Growth Area. </w:t>
      </w:r>
    </w:p>
    <w:p>
      <w:pPr>
        <w:pStyle w:val="CaselawNumbered10"/>
        <w:numPr>
          <w:ilvl w:val="0"/>
          <w:numId w:val="30"/>
        </w:numPr>
        <w:spacing w:before="150" w:after="0"/>
        <w:ind w:left="600" w:hanging="600"/>
      </w:pPr>
      <w:r>
        <w:rPr>
          <w:rFonts w:ascii="Arial"/>
          <w:color w:val="000000"/>
          <w:sz w:val="24"/>
        </w:rPr>
        <w:t xml:space="preserve">Liverpool City Council states </w:t>
      </w:r>
      <w:r>
        <w:rPr>
          <w:rFonts w:ascii="Arial"/>
          <w:color w:val="000000"/>
          <w:sz w:val="24"/>
        </w:rPr>
        <w:t>on its website</w:t>
      </w:r>
      <w:r>
        <w:rPr>
          <w:rFonts w:ascii="Arial"/>
          <w:color w:val="000000"/>
          <w:sz w:val="24"/>
        </w:rPr>
        <w:t xml:space="preserve"> </w:t>
      </w:r>
      <w:r>
        <w:rPr>
          <w:rFonts w:ascii="Arial"/>
          <w:color w:val="000000"/>
          <w:sz w:val="24"/>
        </w:rPr>
        <w:t>in relation to</w:t>
      </w:r>
      <w:r>
        <w:rPr>
          <w:rFonts w:ascii="Arial"/>
          <w:color w:val="000000"/>
          <w:sz w:val="24"/>
        </w:rPr>
        <w:t xml:space="preserve"> </w:t>
      </w:r>
      <w:r>
        <w:rPr>
          <w:rFonts w:ascii="Arial"/>
          <w:color w:val="000000"/>
          <w:sz w:val="24"/>
        </w:rPr>
        <w:t>Edmondson Park</w:t>
      </w:r>
      <w:r>
        <w:rPr>
          <w:rFonts w:ascii="Arial"/>
          <w:color w:val="000000"/>
          <w:sz w:val="24"/>
        </w:rPr>
        <w:t xml:space="preserve"> </w:t>
      </w:r>
      <w:r>
        <w:rPr>
          <w:rFonts w:ascii="Arial"/>
          <w:color w:val="000000"/>
          <w:sz w:val="24"/>
        </w:rPr>
        <w:t>that</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w:t>
      </w:r>
      <w:r>
        <w:rPr>
          <w:rFonts w:ascii="Arial"/>
          <w:color w:val="000000"/>
          <w:sz w:val="22"/>
        </w:rPr>
        <w:t xml:space="preserve">… </w:t>
      </w:r>
      <w:r>
        <w:rPr>
          <w:rFonts w:ascii="Arial"/>
          <w:color w:val="000000"/>
          <w:sz w:val="22"/>
        </w:rPr>
        <w:t>over the next 10-15 years the suburb will become home to approximately 25,000 new residents, who will live in about 8200 homes. Edmondson Park will offer an urban lifestyle with plenty of open green spaces to encourage cycling and walking. The area is well supported by public transport with several regional bus routes and direct train services from Edmondson Park Station”.</w:t>
      </w:r>
    </w:p>
    <w:p>
      <w:pPr>
        <w:pStyle w:val="CaselawNumbered10"/>
        <w:numPr>
          <w:ilvl w:val="0"/>
          <w:numId w:val="31"/>
        </w:numPr>
        <w:spacing w:before="150" w:after="0"/>
        <w:ind w:left="600" w:hanging="600"/>
      </w:pPr>
      <w:r>
        <w:rPr>
          <w:rFonts w:ascii="Arial"/>
          <w:color w:val="000000"/>
          <w:sz w:val="24"/>
        </w:rPr>
        <w:t>The DCP provides detailed controls for the development of Edmondson Park.</w:t>
      </w:r>
      <w:r>
        <w:rPr>
          <w:rFonts w:ascii="Arial"/>
          <w:color w:val="000000"/>
          <w:sz w:val="24"/>
        </w:rPr>
        <w:t xml:space="preserve"> </w:t>
      </w:r>
      <w:r>
        <w:rPr>
          <w:rFonts w:ascii="Arial"/>
          <w:color w:val="000000"/>
          <w:sz w:val="24"/>
        </w:rPr>
        <w:t xml:space="preserve">Part 2.11 </w:t>
      </w:r>
      <w:r>
        <w:rPr>
          <w:rFonts w:ascii="Arial"/>
          <w:color w:val="000000"/>
          <w:sz w:val="24"/>
        </w:rPr>
        <w:t xml:space="preserve">of the DCP </w:t>
      </w:r>
      <w:r>
        <w:rPr>
          <w:rFonts w:ascii="Arial"/>
          <w:color w:val="000000"/>
          <w:sz w:val="24"/>
        </w:rPr>
        <w:t xml:space="preserve">includes an Indicative Layout Plan (ILP) </w:t>
      </w:r>
      <w:r>
        <w:rPr>
          <w:rFonts w:ascii="Arial"/>
          <w:color w:val="000000"/>
          <w:sz w:val="24"/>
        </w:rPr>
        <w:t xml:space="preserve">for the Edmondson Park area which </w:t>
      </w:r>
      <w:r>
        <w:rPr>
          <w:rFonts w:ascii="Arial"/>
          <w:color w:val="000000"/>
          <w:sz w:val="24"/>
        </w:rPr>
        <w:t xml:space="preserve">the Respondent advises </w:t>
      </w:r>
      <w:r>
        <w:rPr>
          <w:rFonts w:ascii="Arial"/>
          <w:color w:val="000000"/>
          <w:sz w:val="24"/>
        </w:rPr>
        <w:t>provides for</w:t>
      </w:r>
      <w:r>
        <w:rPr>
          <w:rFonts w:ascii="Arial"/>
          <w:color w:val="000000"/>
          <w:sz w:val="24"/>
        </w:rPr>
        <w:t>:</w:t>
      </w:r>
      <w:r>
        <w:rPr>
          <w:rFonts w:ascii="Arial"/>
          <w:color w:val="000000"/>
          <w:sz w:val="24"/>
        </w:rPr>
        <w:t xml:space="preserve"> </w:t>
      </w:r>
    </w:p>
    <w:p>
      <w:pPr>
        <w:pStyle w:val="CaselawNumbered1"/>
        <w:numPr>
          <w:ilvl w:val="0"/>
          <w:numId w:val="32"/>
        </w:numPr>
        <w:spacing w:before="150" w:after="0"/>
        <w:ind w:left="1350" w:hanging="750"/>
      </w:pPr>
      <w:r>
        <w:rPr>
          <w:rFonts w:ascii="Arial"/>
          <w:color w:val="000000"/>
          <w:sz w:val="24"/>
        </w:rPr>
        <w:t>Broad level development outcomes and outline</w:t>
      </w:r>
      <w:r>
        <w:rPr>
          <w:rFonts w:ascii="Arial"/>
          <w:color w:val="000000"/>
          <w:sz w:val="24"/>
        </w:rPr>
        <w:t xml:space="preserve"> </w:t>
      </w:r>
      <w:r>
        <w:rPr>
          <w:rFonts w:ascii="Arial"/>
          <w:color w:val="000000"/>
          <w:sz w:val="24"/>
        </w:rPr>
        <w:t xml:space="preserve">of </w:t>
      </w:r>
      <w:r>
        <w:rPr>
          <w:rFonts w:ascii="Arial"/>
          <w:color w:val="000000"/>
          <w:sz w:val="24"/>
        </w:rPr>
        <w:t>development footprint, land uses, density ranges, open space</w:t>
      </w:r>
      <w:r>
        <w:rPr>
          <w:rFonts w:ascii="Arial"/>
          <w:color w:val="000000"/>
          <w:sz w:val="24"/>
        </w:rPr>
        <w:t xml:space="preserve">, major transport linkages and location of community facilities and </w:t>
      </w:r>
      <w:r>
        <w:rPr>
          <w:rFonts w:ascii="Arial"/>
          <w:color w:val="000000"/>
          <w:sz w:val="24"/>
        </w:rPr>
        <w:t>schools;</w:t>
      </w:r>
    </w:p>
    <w:p>
      <w:pPr>
        <w:pStyle w:val="CaselawNumbered1"/>
        <w:numPr>
          <w:ilvl w:val="0"/>
          <w:numId w:val="32"/>
        </w:numPr>
        <w:spacing w:before="150" w:after="0"/>
        <w:ind w:left="1350" w:hanging="750"/>
      </w:pPr>
      <w:r>
        <w:rPr>
          <w:rFonts w:ascii="Arial"/>
          <w:color w:val="000000"/>
          <w:sz w:val="24"/>
        </w:rPr>
        <w:t>The south-western portion of the site to be developed as a Village Centre</w:t>
      </w:r>
      <w:r>
        <w:rPr>
          <w:rFonts w:ascii="Arial"/>
          <w:color w:val="000000"/>
          <w:sz w:val="24"/>
        </w:rPr>
        <w:t xml:space="preserve"> </w:t>
      </w:r>
      <w:r>
        <w:rPr>
          <w:rFonts w:ascii="Arial"/>
          <w:color w:val="000000"/>
          <w:sz w:val="24"/>
        </w:rPr>
        <w:t xml:space="preserve">with the balance of the site either higher urban densities or urban </w:t>
      </w:r>
      <w:r>
        <w:rPr>
          <w:rFonts w:ascii="Arial"/>
          <w:color w:val="000000"/>
          <w:sz w:val="24"/>
        </w:rPr>
        <w:t>transition</w:t>
      </w:r>
      <w:r>
        <w:rPr>
          <w:rFonts w:ascii="Arial"/>
          <w:color w:val="000000"/>
          <w:sz w:val="24"/>
        </w:rPr>
        <w:t>;</w:t>
      </w:r>
    </w:p>
    <w:p>
      <w:pPr>
        <w:pStyle w:val="CaselawNumbered1"/>
        <w:numPr>
          <w:ilvl w:val="0"/>
          <w:numId w:val="32"/>
        </w:numPr>
        <w:spacing w:before="150" w:after="0"/>
        <w:ind w:left="1350" w:hanging="750"/>
      </w:pPr>
      <w:r>
        <w:rPr>
          <w:rFonts w:ascii="Arial"/>
          <w:color w:val="000000"/>
          <w:sz w:val="24"/>
        </w:rPr>
        <w:t xml:space="preserve">An area of public open space </w:t>
      </w:r>
      <w:r>
        <w:rPr>
          <w:rFonts w:ascii="Arial"/>
          <w:color w:val="000000"/>
          <w:sz w:val="24"/>
        </w:rPr>
        <w:t xml:space="preserve">(a </w:t>
      </w:r>
      <w:r>
        <w:rPr>
          <w:rFonts w:ascii="Arial"/>
          <w:color w:val="000000"/>
          <w:sz w:val="24"/>
        </w:rPr>
        <w:t>neighbourhood</w:t>
      </w:r>
      <w:r>
        <w:rPr>
          <w:rFonts w:ascii="Arial"/>
          <w:color w:val="000000"/>
          <w:sz w:val="24"/>
        </w:rPr>
        <w:t xml:space="preserve"> </w:t>
      </w:r>
      <w:r>
        <w:rPr>
          <w:rFonts w:ascii="Arial"/>
          <w:color w:val="000000"/>
          <w:sz w:val="24"/>
        </w:rPr>
        <w:t xml:space="preserve">passive recreation park) </w:t>
      </w:r>
      <w:r>
        <w:rPr>
          <w:rFonts w:ascii="Arial"/>
          <w:color w:val="000000"/>
          <w:sz w:val="24"/>
        </w:rPr>
        <w:t xml:space="preserve">located adjoining the </w:t>
      </w:r>
      <w:r>
        <w:rPr>
          <w:rFonts w:ascii="Arial"/>
          <w:color w:val="000000"/>
          <w:sz w:val="24"/>
        </w:rPr>
        <w:t>north east</w:t>
      </w:r>
      <w:r>
        <w:rPr>
          <w:rFonts w:ascii="Arial"/>
          <w:color w:val="000000"/>
          <w:sz w:val="24"/>
        </w:rPr>
        <w:t xml:space="preserve"> </w:t>
      </w:r>
      <w:r>
        <w:rPr>
          <w:rFonts w:ascii="Arial"/>
          <w:color w:val="000000"/>
          <w:sz w:val="24"/>
        </w:rPr>
        <w:t>corner of the site;</w:t>
      </w:r>
    </w:p>
    <w:p>
      <w:pPr>
        <w:pStyle w:val="CaselawNumbered1"/>
        <w:numPr>
          <w:ilvl w:val="0"/>
          <w:numId w:val="32"/>
        </w:numPr>
        <w:spacing w:before="150" w:after="0"/>
        <w:ind w:left="1350" w:hanging="750"/>
      </w:pPr>
      <w:r>
        <w:rPr>
          <w:rFonts w:ascii="Arial"/>
          <w:color w:val="000000"/>
          <w:sz w:val="24"/>
        </w:rPr>
        <w:t>An</w:t>
      </w:r>
      <w:r>
        <w:rPr>
          <w:rFonts w:ascii="Arial"/>
          <w:color w:val="000000"/>
          <w:sz w:val="24"/>
        </w:rPr>
        <w:t xml:space="preserve"> </w:t>
      </w:r>
      <w:r>
        <w:rPr>
          <w:rFonts w:ascii="Arial"/>
          <w:color w:val="000000"/>
          <w:sz w:val="24"/>
        </w:rPr>
        <w:t>internal road network for the site with a central north-south road, two east-west half roads along the northern and southern boundaries, and two laneways to be constructed in the western portion of the site</w:t>
      </w:r>
      <w:r>
        <w:rPr>
          <w:rFonts w:ascii="Arial"/>
          <w:color w:val="000000"/>
          <w:sz w:val="24"/>
        </w:rPr>
        <w:t>; and</w:t>
      </w:r>
    </w:p>
    <w:p>
      <w:pPr>
        <w:pStyle w:val="CaselawNumbered1"/>
        <w:numPr>
          <w:ilvl w:val="0"/>
          <w:numId w:val="32"/>
        </w:numPr>
        <w:spacing w:before="150" w:after="0"/>
        <w:ind w:left="1350" w:hanging="750"/>
      </w:pPr>
      <w:r>
        <w:rPr>
          <w:rFonts w:ascii="Arial"/>
          <w:color w:val="000000"/>
          <w:sz w:val="24"/>
        </w:rPr>
        <w:t>An off-street shared pedestrian /bicycle path running along the southern boundary of the site.</w:t>
      </w:r>
    </w:p>
    <w:p>
      <w:pPr>
        <w:pStyle w:val="CaselawHeading3"/>
        <w:keepNext/>
        <w:spacing w:before="150" w:after="150" w:line="264"/>
        <w:ind w:left="0"/>
        <w:jc w:val="left"/>
      </w:pPr>
      <w:r>
        <w:rPr>
          <w:rFonts w:ascii="Arial"/>
        </w:rPr>
        <w:t>L</w:t>
      </w:r>
      <w:r>
        <w:rPr>
          <w:rFonts w:ascii="Arial"/>
        </w:rPr>
        <w:t xml:space="preserve">iverpool </w:t>
      </w:r>
      <w:r>
        <w:rPr>
          <w:rFonts w:ascii="Arial"/>
        </w:rPr>
        <w:t>E</w:t>
      </w:r>
      <w:r>
        <w:rPr>
          <w:rFonts w:ascii="Arial"/>
        </w:rPr>
        <w:t xml:space="preserve">nvironmental </w:t>
      </w:r>
      <w:r>
        <w:rPr>
          <w:rFonts w:ascii="Arial"/>
        </w:rPr>
        <w:t>Plan</w:t>
      </w:r>
      <w:r>
        <w:rPr>
          <w:rFonts w:ascii="Arial"/>
        </w:rPr>
        <w:t xml:space="preserve"> 2008 </w:t>
      </w:r>
      <w:r>
        <w:rPr>
          <w:rFonts w:ascii="Arial"/>
        </w:rPr>
        <w:t>controls</w:t>
      </w:r>
    </w:p>
    <w:p>
      <w:pPr>
        <w:pStyle w:val="CaselawNumbered10"/>
        <w:numPr>
          <w:ilvl w:val="0"/>
          <w:numId w:val="33"/>
        </w:numPr>
        <w:spacing w:before="150" w:after="0"/>
        <w:ind w:left="600" w:hanging="600"/>
      </w:pPr>
      <w:r>
        <w:rPr>
          <w:rFonts w:ascii="Arial"/>
          <w:color w:val="000000"/>
          <w:sz w:val="24"/>
        </w:rPr>
        <w:t>The site</w:t>
      </w:r>
      <w:r>
        <w:rPr>
          <w:rFonts w:ascii="Arial"/>
          <w:color w:val="000000"/>
          <w:sz w:val="24"/>
        </w:rPr>
        <w:t xml:space="preserve"> </w:t>
      </w:r>
      <w:r>
        <w:rPr>
          <w:rFonts w:ascii="Arial"/>
          <w:color w:val="000000"/>
          <w:sz w:val="24"/>
        </w:rPr>
        <w:t xml:space="preserve">is zoned R3 </w:t>
      </w:r>
      <w:r>
        <w:rPr>
          <w:rFonts w:ascii="Arial"/>
          <w:color w:val="000000"/>
          <w:sz w:val="24"/>
        </w:rPr>
        <w:t xml:space="preserve">– </w:t>
      </w:r>
      <w:r>
        <w:rPr>
          <w:rFonts w:ascii="Arial"/>
          <w:color w:val="000000"/>
          <w:sz w:val="24"/>
        </w:rPr>
        <w:t xml:space="preserve">Medium Density Residential and R1 General Residential Zone under </w:t>
      </w:r>
      <w:r>
        <w:rPr>
          <w:rFonts w:ascii="Arial"/>
          <w:color w:val="000000"/>
          <w:sz w:val="24"/>
        </w:rPr>
        <w:t>t</w:t>
      </w:r>
      <w:r>
        <w:rPr>
          <w:rFonts w:ascii="Arial"/>
          <w:color w:val="000000"/>
          <w:sz w:val="24"/>
        </w:rPr>
        <w:t xml:space="preserve">he LEP. </w:t>
      </w:r>
    </w:p>
    <w:p>
      <w:pPr>
        <w:pStyle w:val="CaselawNumbered10"/>
        <w:numPr>
          <w:ilvl w:val="0"/>
          <w:numId w:val="33"/>
        </w:numPr>
        <w:spacing w:before="150" w:after="0"/>
        <w:ind w:left="600" w:hanging="600"/>
      </w:pPr>
      <w:r>
        <w:rPr>
          <w:rFonts w:ascii="Arial"/>
          <w:color w:val="000000"/>
          <w:sz w:val="24"/>
        </w:rPr>
        <w:t xml:space="preserve">The proposed development </w:t>
      </w:r>
      <w:r>
        <w:rPr>
          <w:rFonts w:ascii="Arial"/>
          <w:color w:val="000000"/>
          <w:sz w:val="24"/>
        </w:rPr>
        <w:t>as amended (specifically multi dwelling housing</w:t>
      </w:r>
      <w:r>
        <w:rPr>
          <w:rFonts w:ascii="Arial"/>
          <w:color w:val="000000"/>
          <w:sz w:val="24"/>
        </w:rPr>
        <w:t>, shop top housing</w:t>
      </w:r>
      <w:r>
        <w:rPr>
          <w:rFonts w:ascii="Arial"/>
          <w:color w:val="000000"/>
          <w:sz w:val="24"/>
        </w:rPr>
        <w:t xml:space="preserve"> </w:t>
      </w:r>
      <w:r>
        <w:rPr>
          <w:rFonts w:ascii="Arial"/>
          <w:color w:val="000000"/>
          <w:sz w:val="24"/>
        </w:rPr>
        <w:t xml:space="preserve">and neighbourhood shops) </w:t>
      </w:r>
      <w:r>
        <w:rPr>
          <w:rFonts w:ascii="Arial"/>
          <w:color w:val="000000"/>
          <w:sz w:val="24"/>
        </w:rPr>
        <w:t>is permissible with consent in the R3 and R1 zones</w:t>
      </w:r>
      <w:r>
        <w:rPr>
          <w:rFonts w:ascii="Arial"/>
          <w:color w:val="000000"/>
          <w:sz w:val="24"/>
        </w:rPr>
        <w:t xml:space="preserve"> </w:t>
      </w:r>
      <w:r>
        <w:rPr>
          <w:rFonts w:ascii="Arial"/>
          <w:color w:val="000000"/>
          <w:sz w:val="24"/>
        </w:rPr>
        <w:t>of the LEP.</w:t>
      </w:r>
    </w:p>
    <w:p>
      <w:pPr>
        <w:pStyle w:val="CaselawNumbered10"/>
        <w:numPr>
          <w:ilvl w:val="0"/>
          <w:numId w:val="33"/>
        </w:numPr>
        <w:spacing w:before="150" w:after="0"/>
        <w:ind w:left="600" w:hanging="600"/>
      </w:pPr>
      <w:r>
        <w:rPr>
          <w:rFonts w:ascii="Arial"/>
          <w:color w:val="000000"/>
          <w:sz w:val="24"/>
        </w:rPr>
        <w:t>The Respondent advised that u</w:t>
      </w:r>
      <w:r>
        <w:rPr>
          <w:rFonts w:ascii="Arial"/>
          <w:color w:val="000000"/>
          <w:sz w:val="24"/>
        </w:rPr>
        <w:t xml:space="preserve">nder the LEP, the </w:t>
      </w:r>
      <w:r>
        <w:rPr>
          <w:rFonts w:ascii="Arial"/>
          <w:color w:val="000000"/>
          <w:sz w:val="24"/>
        </w:rPr>
        <w:t>site is not mapped as being subject to any significant environmental or planning hazards.</w:t>
      </w:r>
    </w:p>
    <w:p>
      <w:pPr>
        <w:pStyle w:val="CaselawNumbered10"/>
        <w:numPr>
          <w:ilvl w:val="0"/>
          <w:numId w:val="33"/>
        </w:numPr>
        <w:spacing w:before="150" w:after="0"/>
        <w:ind w:left="600" w:hanging="600"/>
      </w:pPr>
      <w:r>
        <w:rPr>
          <w:rFonts w:ascii="Arial"/>
          <w:color w:val="000000"/>
          <w:sz w:val="24"/>
        </w:rPr>
        <w:t xml:space="preserve">Clause 4.1 of the LEP prescribes a minimum lot size for subdivision. The site is mapped within </w:t>
      </w:r>
      <w:r>
        <w:rPr>
          <w:rFonts w:ascii="Arial"/>
          <w:color w:val="000000"/>
          <w:sz w:val="24"/>
        </w:rPr>
        <w:t>“</w:t>
      </w:r>
      <w:r>
        <w:rPr>
          <w:rFonts w:ascii="Arial"/>
          <w:color w:val="000000"/>
          <w:sz w:val="24"/>
        </w:rPr>
        <w:t>Area 2</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Area 3</w:t>
      </w:r>
      <w:r>
        <w:rPr>
          <w:rFonts w:ascii="Arial"/>
          <w:color w:val="000000"/>
          <w:sz w:val="24"/>
        </w:rPr>
        <w:t xml:space="preserve">” </w:t>
      </w:r>
      <w:r>
        <w:rPr>
          <w:rFonts w:ascii="Arial"/>
          <w:color w:val="000000"/>
          <w:sz w:val="24"/>
        </w:rPr>
        <w:t xml:space="preserve">under the provisions of </w:t>
      </w:r>
      <w:r>
        <w:rPr>
          <w:rFonts w:ascii="Arial"/>
          <w:color w:val="000000"/>
          <w:sz w:val="24"/>
        </w:rPr>
        <w:t xml:space="preserve">cl </w:t>
      </w:r>
      <w:r>
        <w:rPr>
          <w:rFonts w:ascii="Arial"/>
          <w:color w:val="000000"/>
          <w:sz w:val="24"/>
        </w:rPr>
        <w:t xml:space="preserve">4.1 of the LEP 2008. Pursuant to </w:t>
      </w:r>
      <w:r>
        <w:rPr>
          <w:rFonts w:ascii="Arial"/>
          <w:color w:val="000000"/>
          <w:sz w:val="24"/>
        </w:rPr>
        <w:t>cl</w:t>
      </w:r>
      <w:r>
        <w:rPr>
          <w:rFonts w:ascii="Arial"/>
          <w:color w:val="000000"/>
          <w:sz w:val="24"/>
        </w:rPr>
        <w:t xml:space="preserve"> </w:t>
      </w:r>
      <w:r>
        <w:rPr>
          <w:rFonts w:ascii="Arial"/>
          <w:color w:val="000000"/>
          <w:sz w:val="24"/>
        </w:rPr>
        <w:t>4.1, Area 2 requires lots to be no less than 250m</w:t>
      </w:r>
      <w:r>
        <w:rPr>
          <w:rFonts w:ascii="Arial"/>
          <w:color w:val="000000"/>
          <w:sz w:val="24"/>
        </w:rPr>
        <w:t>2</w:t>
      </w:r>
      <w:r>
        <w:rPr>
          <w:rFonts w:ascii="Arial"/>
          <w:color w:val="000000"/>
          <w:sz w:val="24"/>
        </w:rPr>
        <w:t xml:space="preserve"> </w:t>
      </w:r>
      <w:r>
        <w:rPr>
          <w:rFonts w:ascii="Arial"/>
          <w:color w:val="000000"/>
          <w:sz w:val="24"/>
        </w:rPr>
        <w:t>and lots connected to side or rear lanes to be no less than 200m</w:t>
      </w:r>
      <w:r>
        <w:rPr>
          <w:rFonts w:ascii="Arial"/>
          <w:color w:val="000000"/>
          <w:sz w:val="24"/>
        </w:rPr>
        <w:t>2</w:t>
      </w:r>
      <w:r>
        <w:rPr>
          <w:rFonts w:ascii="Arial"/>
          <w:color w:val="000000"/>
          <w:sz w:val="24"/>
        </w:rPr>
        <w:t>. Whereas Area 3 requires lot to be no less than 300m</w:t>
      </w:r>
      <w:r>
        <w:rPr>
          <w:rFonts w:ascii="Arial"/>
          <w:color w:val="000000"/>
          <w:sz w:val="24"/>
        </w:rPr>
        <w:t>2</w:t>
      </w:r>
      <w:r>
        <w:rPr>
          <w:rFonts w:ascii="Arial"/>
          <w:color w:val="000000"/>
          <w:sz w:val="24"/>
        </w:rPr>
        <w:t xml:space="preserve"> </w:t>
      </w:r>
      <w:r>
        <w:rPr>
          <w:rFonts w:ascii="Arial"/>
          <w:color w:val="000000"/>
          <w:sz w:val="24"/>
        </w:rPr>
        <w:t>and lots connected to side or rear lanes to be no less than 240m</w:t>
      </w:r>
      <w:r>
        <w:rPr>
          <w:rFonts w:ascii="Arial"/>
          <w:color w:val="000000"/>
          <w:sz w:val="24"/>
        </w:rPr>
        <w:t>2</w:t>
      </w:r>
      <w:r>
        <w:rPr>
          <w:rFonts w:ascii="Arial"/>
          <w:color w:val="000000"/>
          <w:sz w:val="24"/>
        </w:rPr>
        <w:t xml:space="preserve">. </w:t>
      </w:r>
      <w:r>
        <w:rPr>
          <w:rFonts w:ascii="Arial"/>
          <w:color w:val="000000"/>
          <w:sz w:val="24"/>
        </w:rPr>
        <w:t xml:space="preserve">The </w:t>
      </w:r>
      <w:r>
        <w:rPr>
          <w:rFonts w:ascii="Arial"/>
          <w:color w:val="000000"/>
          <w:sz w:val="24"/>
        </w:rPr>
        <w:t xml:space="preserve">parties advise that the </w:t>
      </w:r>
      <w:r>
        <w:rPr>
          <w:rFonts w:ascii="Arial"/>
          <w:color w:val="000000"/>
          <w:sz w:val="24"/>
        </w:rPr>
        <w:t xml:space="preserve">proposed development complies with </w:t>
      </w:r>
      <w:r>
        <w:rPr>
          <w:rFonts w:ascii="Arial"/>
          <w:color w:val="000000"/>
          <w:sz w:val="24"/>
        </w:rPr>
        <w:t>cl</w:t>
      </w:r>
      <w:r>
        <w:rPr>
          <w:rFonts w:ascii="Arial"/>
          <w:color w:val="000000"/>
          <w:sz w:val="24"/>
        </w:rPr>
        <w:t xml:space="preserve"> </w:t>
      </w:r>
      <w:r>
        <w:rPr>
          <w:rFonts w:ascii="Arial"/>
          <w:color w:val="000000"/>
          <w:sz w:val="24"/>
        </w:rPr>
        <w:t>4.1 of the LEP.</w:t>
      </w:r>
    </w:p>
    <w:p>
      <w:pPr>
        <w:pStyle w:val="CaselawNumbered10"/>
        <w:numPr>
          <w:ilvl w:val="0"/>
          <w:numId w:val="33"/>
        </w:numPr>
        <w:spacing w:before="150" w:after="0"/>
        <w:ind w:left="600" w:hanging="600"/>
      </w:pPr>
      <w:r>
        <w:rPr>
          <w:rFonts w:ascii="Arial"/>
          <w:color w:val="000000"/>
          <w:sz w:val="24"/>
        </w:rPr>
        <w:t xml:space="preserve">Clause 4.3 of the LEP </w:t>
      </w:r>
      <w:r>
        <w:rPr>
          <w:rFonts w:ascii="Arial"/>
          <w:color w:val="000000"/>
          <w:sz w:val="24"/>
        </w:rPr>
        <w:t>p</w:t>
      </w:r>
      <w:r>
        <w:rPr>
          <w:rFonts w:ascii="Arial"/>
          <w:color w:val="000000"/>
          <w:sz w:val="24"/>
        </w:rPr>
        <w:t>rescribes the</w:t>
      </w:r>
      <w:r>
        <w:rPr>
          <w:rFonts w:ascii="Arial"/>
          <w:color w:val="000000"/>
          <w:sz w:val="24"/>
        </w:rPr>
        <w:t xml:space="preserve"> </w:t>
      </w:r>
      <w:r>
        <w:rPr>
          <w:rFonts w:ascii="Arial"/>
          <w:color w:val="000000"/>
          <w:sz w:val="24"/>
        </w:rPr>
        <w:t xml:space="preserve">maximum height of buildings </w:t>
      </w:r>
      <w:r>
        <w:rPr>
          <w:rFonts w:ascii="Arial"/>
          <w:color w:val="000000"/>
          <w:sz w:val="24"/>
        </w:rPr>
        <w:t xml:space="preserve">(HOB) </w:t>
      </w:r>
      <w:r>
        <w:rPr>
          <w:rFonts w:ascii="Arial"/>
          <w:color w:val="000000"/>
          <w:sz w:val="24"/>
        </w:rPr>
        <w:t xml:space="preserve">on the site. </w:t>
      </w:r>
      <w:r>
        <w:rPr>
          <w:rFonts w:ascii="Arial"/>
          <w:color w:val="000000"/>
          <w:sz w:val="24"/>
        </w:rPr>
        <w:t xml:space="preserve">The site is mapped within </w:t>
      </w:r>
      <w:r>
        <w:rPr>
          <w:rFonts w:ascii="Arial"/>
          <w:color w:val="000000"/>
          <w:sz w:val="24"/>
        </w:rPr>
        <w:t>“</w:t>
      </w:r>
      <w:r>
        <w:rPr>
          <w:rFonts w:ascii="Arial"/>
          <w:color w:val="000000"/>
          <w:sz w:val="24"/>
        </w:rPr>
        <w:t>Area M</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Area O</w:t>
      </w:r>
      <w:r>
        <w:rPr>
          <w:rFonts w:ascii="Arial"/>
          <w:color w:val="000000"/>
          <w:sz w:val="24"/>
        </w:rPr>
        <w:t xml:space="preserve">” </w:t>
      </w:r>
      <w:r>
        <w:rPr>
          <w:rFonts w:ascii="Arial"/>
          <w:color w:val="000000"/>
          <w:sz w:val="24"/>
        </w:rPr>
        <w:t xml:space="preserve">under the provisions of cl 4.3 of the LLEP 2008. Area </w:t>
      </w:r>
      <w:r>
        <w:rPr>
          <w:rFonts w:ascii="Arial"/>
          <w:color w:val="000000"/>
          <w:sz w:val="24"/>
        </w:rPr>
        <w:t>“</w:t>
      </w:r>
      <w:r>
        <w:rPr>
          <w:rFonts w:ascii="Arial"/>
          <w:color w:val="000000"/>
          <w:sz w:val="24"/>
        </w:rPr>
        <w:t>M</w:t>
      </w:r>
      <w:r>
        <w:rPr>
          <w:rFonts w:ascii="Arial"/>
          <w:color w:val="000000"/>
          <w:sz w:val="24"/>
        </w:rPr>
        <w:t xml:space="preserve">” </w:t>
      </w:r>
      <w:r>
        <w:rPr>
          <w:rFonts w:ascii="Arial"/>
          <w:color w:val="000000"/>
          <w:sz w:val="24"/>
        </w:rPr>
        <w:t xml:space="preserve">has a maximum height of </w:t>
      </w:r>
      <w:r>
        <w:rPr>
          <w:rFonts w:ascii="Arial"/>
          <w:color w:val="000000"/>
          <w:sz w:val="24"/>
        </w:rPr>
        <w:t>12m</w:t>
      </w:r>
      <w:r>
        <w:rPr>
          <w:rFonts w:ascii="Arial"/>
          <w:color w:val="000000"/>
          <w:sz w:val="24"/>
        </w:rPr>
        <w:t xml:space="preserve"> </w:t>
      </w:r>
      <w:r>
        <w:rPr>
          <w:rFonts w:ascii="Arial"/>
          <w:color w:val="000000"/>
          <w:sz w:val="24"/>
        </w:rPr>
        <w:t xml:space="preserve">and Area </w:t>
      </w:r>
      <w:r>
        <w:rPr>
          <w:rFonts w:ascii="Arial"/>
          <w:color w:val="000000"/>
          <w:sz w:val="24"/>
        </w:rPr>
        <w:t>“</w:t>
      </w:r>
      <w:r>
        <w:rPr>
          <w:rFonts w:ascii="Arial"/>
          <w:color w:val="000000"/>
          <w:sz w:val="24"/>
        </w:rPr>
        <w:t>O</w:t>
      </w:r>
      <w:r>
        <w:rPr>
          <w:rFonts w:ascii="Arial"/>
          <w:color w:val="000000"/>
          <w:sz w:val="24"/>
        </w:rPr>
        <w:t xml:space="preserve">” </w:t>
      </w:r>
      <w:r>
        <w:rPr>
          <w:rFonts w:ascii="Arial"/>
          <w:color w:val="000000"/>
          <w:sz w:val="24"/>
        </w:rPr>
        <w:t>has a maximum height of 15m</w:t>
      </w:r>
      <w:r>
        <w:rPr>
          <w:rFonts w:ascii="Arial"/>
          <w:color w:val="000000"/>
          <w:sz w:val="24"/>
        </w:rPr>
        <w:t>.</w:t>
      </w:r>
      <w:r>
        <w:rPr>
          <w:rFonts w:ascii="Arial"/>
          <w:color w:val="000000"/>
          <w:sz w:val="24"/>
        </w:rPr>
        <w:t xml:space="preserve"> </w:t>
      </w:r>
      <w:r>
        <w:rPr>
          <w:rFonts w:ascii="Arial"/>
          <w:color w:val="000000"/>
          <w:sz w:val="24"/>
        </w:rPr>
        <w:t xml:space="preserve">The proposed development </w:t>
      </w:r>
      <w:r>
        <w:rPr>
          <w:rFonts w:ascii="Arial"/>
          <w:color w:val="000000"/>
          <w:sz w:val="24"/>
        </w:rPr>
        <w:t xml:space="preserve">does not </w:t>
      </w:r>
      <w:r>
        <w:rPr>
          <w:rFonts w:ascii="Arial"/>
          <w:color w:val="000000"/>
          <w:sz w:val="24"/>
        </w:rPr>
        <w:t>compl</w:t>
      </w:r>
      <w:r>
        <w:rPr>
          <w:rFonts w:ascii="Arial"/>
          <w:color w:val="000000"/>
          <w:sz w:val="24"/>
        </w:rPr>
        <w:t>y</w:t>
      </w:r>
      <w:r>
        <w:rPr>
          <w:rFonts w:ascii="Arial"/>
          <w:color w:val="000000"/>
          <w:sz w:val="24"/>
        </w:rPr>
        <w:t xml:space="preserve"> </w:t>
      </w:r>
      <w:r>
        <w:rPr>
          <w:rFonts w:ascii="Arial"/>
          <w:color w:val="000000"/>
          <w:sz w:val="24"/>
        </w:rPr>
        <w:t xml:space="preserve">with </w:t>
      </w:r>
      <w:r>
        <w:rPr>
          <w:rFonts w:ascii="Arial"/>
          <w:color w:val="000000"/>
          <w:sz w:val="24"/>
        </w:rPr>
        <w:t>cl</w:t>
      </w:r>
      <w:r>
        <w:rPr>
          <w:rFonts w:ascii="Arial"/>
          <w:color w:val="000000"/>
          <w:sz w:val="24"/>
        </w:rPr>
        <w:t xml:space="preserve"> </w:t>
      </w:r>
      <w:r>
        <w:rPr>
          <w:rFonts w:ascii="Arial"/>
          <w:color w:val="000000"/>
          <w:sz w:val="24"/>
        </w:rPr>
        <w:t xml:space="preserve">4.3 </w:t>
      </w:r>
      <w:r>
        <w:rPr>
          <w:rFonts w:ascii="Arial"/>
          <w:color w:val="000000"/>
          <w:sz w:val="24"/>
        </w:rPr>
        <w:t>of the LEP</w:t>
      </w:r>
      <w:r>
        <w:rPr>
          <w:rFonts w:ascii="Arial"/>
          <w:color w:val="000000"/>
          <w:sz w:val="24"/>
        </w:rPr>
        <w:t>, as elements of the roof structures exceed the maximum HOB.</w:t>
      </w:r>
    </w:p>
    <w:p>
      <w:pPr>
        <w:pStyle w:val="CaselawNumbered10"/>
        <w:numPr>
          <w:ilvl w:val="0"/>
          <w:numId w:val="33"/>
        </w:numPr>
        <w:spacing w:before="150" w:after="0"/>
        <w:ind w:left="600" w:hanging="600"/>
      </w:pPr>
      <w:r>
        <w:rPr>
          <w:rFonts w:ascii="Arial"/>
          <w:color w:val="000000"/>
          <w:sz w:val="24"/>
        </w:rPr>
        <w:t xml:space="preserve">Clause 4.4 of the LEP prescribes a maximum floor space ratio </w:t>
      </w:r>
      <w:r>
        <w:rPr>
          <w:rFonts w:ascii="Arial"/>
          <w:color w:val="000000"/>
          <w:sz w:val="24"/>
        </w:rPr>
        <w:t xml:space="preserve">(FSR) </w:t>
      </w:r>
      <w:r>
        <w:rPr>
          <w:rFonts w:ascii="Arial"/>
          <w:color w:val="000000"/>
          <w:sz w:val="24"/>
        </w:rPr>
        <w:t xml:space="preserve">on the site. The site is mapped within </w:t>
      </w:r>
      <w:r>
        <w:rPr>
          <w:rFonts w:ascii="Arial"/>
          <w:color w:val="000000"/>
          <w:sz w:val="24"/>
        </w:rPr>
        <w:t>“</w:t>
      </w:r>
      <w:r>
        <w:rPr>
          <w:rFonts w:ascii="Arial"/>
          <w:color w:val="000000"/>
          <w:sz w:val="24"/>
        </w:rPr>
        <w:t>Area I</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Area N</w:t>
      </w:r>
      <w:r>
        <w:rPr>
          <w:rFonts w:ascii="Arial"/>
          <w:color w:val="000000"/>
          <w:sz w:val="24"/>
        </w:rPr>
        <w:t xml:space="preserve">” </w:t>
      </w:r>
      <w:r>
        <w:rPr>
          <w:rFonts w:ascii="Arial"/>
          <w:color w:val="000000"/>
          <w:sz w:val="24"/>
        </w:rPr>
        <w:t xml:space="preserve">under the provisions of cl 4.4 of the LEP. Area </w:t>
      </w:r>
      <w:r>
        <w:rPr>
          <w:rFonts w:ascii="Arial"/>
          <w:color w:val="000000"/>
          <w:sz w:val="24"/>
        </w:rPr>
        <w:t>“</w:t>
      </w:r>
      <w:r>
        <w:rPr>
          <w:rFonts w:ascii="Arial"/>
          <w:color w:val="000000"/>
          <w:sz w:val="24"/>
        </w:rPr>
        <w:t>I</w:t>
      </w:r>
      <w:r>
        <w:rPr>
          <w:rFonts w:ascii="Arial"/>
          <w:color w:val="000000"/>
          <w:sz w:val="24"/>
        </w:rPr>
        <w:t xml:space="preserve">” </w:t>
      </w:r>
      <w:r>
        <w:rPr>
          <w:rFonts w:ascii="Arial"/>
          <w:color w:val="000000"/>
          <w:sz w:val="24"/>
        </w:rPr>
        <w:t xml:space="preserve">has a maximum FSR of 0.75:1 and Area </w:t>
      </w:r>
      <w:r>
        <w:rPr>
          <w:rFonts w:ascii="Arial"/>
          <w:color w:val="000000"/>
          <w:sz w:val="24"/>
        </w:rPr>
        <w:t>“</w:t>
      </w:r>
      <w:r>
        <w:rPr>
          <w:rFonts w:ascii="Arial"/>
          <w:color w:val="000000"/>
          <w:sz w:val="24"/>
        </w:rPr>
        <w:t>N</w:t>
      </w:r>
      <w:r>
        <w:rPr>
          <w:rFonts w:ascii="Arial"/>
          <w:color w:val="000000"/>
          <w:sz w:val="24"/>
        </w:rPr>
        <w:t xml:space="preserve">” </w:t>
      </w:r>
      <w:r>
        <w:rPr>
          <w:rFonts w:ascii="Arial"/>
          <w:color w:val="000000"/>
          <w:sz w:val="24"/>
        </w:rPr>
        <w:t xml:space="preserve">has a maximum FSR of 1:1. </w:t>
      </w:r>
      <w:r>
        <w:rPr>
          <w:rFonts w:ascii="Arial"/>
          <w:color w:val="000000"/>
          <w:sz w:val="24"/>
        </w:rPr>
        <w:t xml:space="preserve">The </w:t>
      </w:r>
      <w:r>
        <w:rPr>
          <w:rFonts w:ascii="Arial"/>
          <w:color w:val="000000"/>
          <w:sz w:val="24"/>
        </w:rPr>
        <w:t xml:space="preserve">parties advise that the </w:t>
      </w:r>
      <w:r>
        <w:rPr>
          <w:rFonts w:ascii="Arial"/>
          <w:color w:val="000000"/>
          <w:sz w:val="24"/>
        </w:rPr>
        <w:t xml:space="preserve">proposed development complies with </w:t>
      </w:r>
      <w:r>
        <w:rPr>
          <w:rFonts w:ascii="Arial"/>
          <w:color w:val="000000"/>
          <w:sz w:val="24"/>
        </w:rPr>
        <w:t>cl</w:t>
      </w:r>
      <w:r>
        <w:rPr>
          <w:rFonts w:ascii="Arial"/>
          <w:color w:val="000000"/>
          <w:sz w:val="24"/>
        </w:rPr>
        <w:t xml:space="preserve"> </w:t>
      </w:r>
      <w:r>
        <w:rPr>
          <w:rFonts w:ascii="Arial"/>
          <w:color w:val="000000"/>
          <w:sz w:val="24"/>
        </w:rPr>
        <w:t>4.4 of the LEP.</w:t>
      </w:r>
    </w:p>
    <w:p>
      <w:pPr>
        <w:pStyle w:val="CaselawNumbered10"/>
        <w:numPr>
          <w:ilvl w:val="0"/>
          <w:numId w:val="33"/>
        </w:numPr>
        <w:spacing w:before="150" w:after="0"/>
        <w:ind w:left="600" w:hanging="600"/>
      </w:pPr>
      <w:r>
        <w:rPr>
          <w:rFonts w:ascii="Arial"/>
          <w:color w:val="000000"/>
          <w:sz w:val="24"/>
        </w:rPr>
        <w:t xml:space="preserve">As the further amended DA includes some lift over-runs and roof elements above the </w:t>
      </w:r>
      <w:r>
        <w:rPr>
          <w:rFonts w:ascii="Arial"/>
          <w:color w:val="000000"/>
          <w:sz w:val="24"/>
        </w:rPr>
        <w:t>HOB</w:t>
      </w:r>
      <w:r>
        <w:rPr>
          <w:rFonts w:ascii="Arial"/>
          <w:color w:val="000000"/>
          <w:sz w:val="24"/>
        </w:rPr>
        <w:t xml:space="preserve"> </w:t>
      </w:r>
      <w:r>
        <w:rPr>
          <w:rFonts w:ascii="Arial"/>
          <w:color w:val="000000"/>
          <w:sz w:val="24"/>
        </w:rPr>
        <w:t xml:space="preserve">applying to the site, </w:t>
      </w:r>
      <w:r>
        <w:rPr>
          <w:rFonts w:ascii="Arial"/>
          <w:color w:val="000000"/>
          <w:sz w:val="24"/>
        </w:rPr>
        <w:t xml:space="preserve">cl </w:t>
      </w:r>
      <w:r>
        <w:rPr>
          <w:rFonts w:ascii="Arial"/>
          <w:color w:val="000000"/>
          <w:sz w:val="24"/>
        </w:rPr>
        <w:t xml:space="preserve">4.6 of the LEP (exceptions to development standards) is relied upon to comply with </w:t>
      </w:r>
      <w:r>
        <w:rPr>
          <w:rFonts w:ascii="Arial"/>
          <w:color w:val="000000"/>
          <w:sz w:val="24"/>
        </w:rPr>
        <w:t xml:space="preserve">cl 4.3 of </w:t>
      </w:r>
      <w:r>
        <w:rPr>
          <w:rFonts w:ascii="Arial"/>
          <w:color w:val="000000"/>
          <w:sz w:val="24"/>
        </w:rPr>
        <w:t>the LEP.</w:t>
      </w:r>
      <w:r>
        <w:rPr>
          <w:rFonts w:ascii="Arial"/>
          <w:color w:val="000000"/>
          <w:sz w:val="24"/>
        </w:rPr>
        <w:t xml:space="preserve"> </w:t>
      </w:r>
      <w:r>
        <w:rPr>
          <w:rFonts w:ascii="Arial"/>
          <w:color w:val="000000"/>
          <w:sz w:val="24"/>
        </w:rPr>
        <w:t xml:space="preserve">A cl 4.6 report (prepared by </w:t>
      </w:r>
      <w:r>
        <w:rPr>
          <w:rFonts w:ascii="Arial"/>
          <w:color w:val="000000"/>
          <w:sz w:val="24"/>
        </w:rPr>
        <w:t>GLN P</w:t>
      </w:r>
      <w:r>
        <w:rPr>
          <w:rFonts w:ascii="Arial"/>
          <w:color w:val="000000"/>
          <w:sz w:val="24"/>
        </w:rPr>
        <w:t>lanning consulting strategy dated 21 May 2024</w:t>
      </w:r>
      <w:r>
        <w:rPr>
          <w:rFonts w:ascii="Arial"/>
          <w:color w:val="000000"/>
          <w:sz w:val="24"/>
        </w:rPr>
        <w:t>) was submitted in support of the further amended DA.</w:t>
      </w:r>
    </w:p>
    <w:p>
      <w:pPr>
        <w:pStyle w:val="CaselawNumbered10"/>
        <w:numPr>
          <w:ilvl w:val="0"/>
          <w:numId w:val="33"/>
        </w:numPr>
        <w:spacing w:before="150" w:after="0"/>
        <w:ind w:left="600" w:hanging="600"/>
      </w:pPr>
      <w:r>
        <w:rPr>
          <w:rFonts w:ascii="Arial"/>
          <w:color w:val="000000"/>
          <w:sz w:val="24"/>
        </w:rPr>
        <w:t>Part 6 of the LEP applies to the site as it is located within an urban release area.</w:t>
      </w:r>
    </w:p>
    <w:p>
      <w:pPr>
        <w:pStyle w:val="CaselawNumbered10"/>
        <w:numPr>
          <w:ilvl w:val="0"/>
          <w:numId w:val="33"/>
        </w:numPr>
        <w:spacing w:before="150" w:after="0"/>
        <w:ind w:left="600" w:hanging="600"/>
      </w:pPr>
      <w:r>
        <w:rPr>
          <w:rFonts w:ascii="Arial"/>
          <w:color w:val="000000"/>
          <w:sz w:val="24"/>
        </w:rPr>
        <w:t xml:space="preserve">Clause 7.11 of the LEP prescribes a minimum dwelling density. Two separate minimum dwelling densities apply to the site. The western section of the site has a minimum 9 density of 28 dwellings per hectare and the eastern portion has a minimum density of 17 dwellings per hectare. The </w:t>
      </w:r>
      <w:r>
        <w:rPr>
          <w:rFonts w:ascii="Arial"/>
          <w:color w:val="000000"/>
          <w:sz w:val="24"/>
        </w:rPr>
        <w:t xml:space="preserve">parties advise that </w:t>
      </w:r>
      <w:r>
        <w:rPr>
          <w:rFonts w:ascii="Arial"/>
          <w:color w:val="000000"/>
          <w:sz w:val="24"/>
        </w:rPr>
        <w:t xml:space="preserve">proposed development complies with </w:t>
      </w:r>
      <w:r>
        <w:rPr>
          <w:rFonts w:ascii="Arial"/>
          <w:color w:val="000000"/>
          <w:sz w:val="24"/>
        </w:rPr>
        <w:t>cl</w:t>
      </w:r>
      <w:r>
        <w:rPr>
          <w:rFonts w:ascii="Arial"/>
          <w:color w:val="000000"/>
          <w:sz w:val="24"/>
        </w:rPr>
        <w:t xml:space="preserve"> </w:t>
      </w:r>
      <w:r>
        <w:rPr>
          <w:rFonts w:ascii="Arial"/>
          <w:color w:val="000000"/>
          <w:sz w:val="24"/>
        </w:rPr>
        <w:t>7.11 of the LEP.</w:t>
      </w:r>
    </w:p>
    <w:p>
      <w:pPr>
        <w:pStyle w:val="CaselawHeading3"/>
        <w:keepNext/>
        <w:spacing w:before="150" w:after="150" w:line="264"/>
        <w:ind w:left="0"/>
        <w:jc w:val="left"/>
      </w:pPr>
      <w:r>
        <w:rPr>
          <w:rFonts w:ascii="Arial"/>
        </w:rPr>
        <w:t>Liverpool Development Control Plan</w:t>
      </w:r>
      <w:r>
        <w:rPr>
          <w:rFonts w:ascii="Arial"/>
        </w:rPr>
        <w:t xml:space="preserve"> 2008 controls</w:t>
      </w:r>
    </w:p>
    <w:p>
      <w:pPr>
        <w:pStyle w:val="CaselawNumbered10"/>
        <w:numPr>
          <w:ilvl w:val="0"/>
          <w:numId w:val="34"/>
        </w:numPr>
        <w:spacing w:before="150" w:after="0"/>
        <w:ind w:left="600" w:hanging="600"/>
      </w:pPr>
      <w:r>
        <w:rPr>
          <w:rFonts w:ascii="Arial"/>
          <w:color w:val="000000"/>
          <w:sz w:val="24"/>
        </w:rPr>
        <w:t xml:space="preserve">Part 2.11 of the DCP includes an ILP for the Edmondson Park </w:t>
      </w:r>
      <w:r>
        <w:rPr>
          <w:rFonts w:ascii="Arial"/>
          <w:color w:val="000000"/>
          <w:sz w:val="24"/>
        </w:rPr>
        <w:t>precinct</w:t>
      </w:r>
      <w:r>
        <w:rPr>
          <w:rFonts w:ascii="Arial"/>
          <w:color w:val="000000"/>
          <w:sz w:val="24"/>
        </w:rPr>
        <w:t xml:space="preserve">. </w:t>
      </w:r>
      <w:r>
        <w:rPr>
          <w:rFonts w:ascii="Arial"/>
          <w:color w:val="000000"/>
          <w:sz w:val="24"/>
        </w:rPr>
        <w:t xml:space="preserve"> </w:t>
      </w:r>
      <w:r>
        <w:rPr>
          <w:rFonts w:ascii="Arial"/>
          <w:color w:val="000000"/>
          <w:sz w:val="24"/>
        </w:rPr>
        <w:t>As stated in paragraph [3</w:t>
      </w:r>
      <w:r>
        <w:rPr>
          <w:rFonts w:ascii="Arial"/>
          <w:color w:val="000000"/>
          <w:sz w:val="24"/>
        </w:rPr>
        <w:t>5</w:t>
      </w:r>
      <w:r>
        <w:rPr>
          <w:rFonts w:ascii="Arial"/>
          <w:color w:val="000000"/>
          <w:sz w:val="24"/>
        </w:rPr>
        <w:t>], t</w:t>
      </w:r>
      <w:r>
        <w:rPr>
          <w:rFonts w:ascii="Arial"/>
          <w:color w:val="000000"/>
          <w:sz w:val="24"/>
        </w:rPr>
        <w:t xml:space="preserve">he ILP provides broad level development outcomes and outlines development footprint, land uses, density ranges, open space, major transport linkages and location of community facilities and schools. </w:t>
      </w:r>
    </w:p>
    <w:p>
      <w:pPr>
        <w:pStyle w:val="CaselawNumbered10"/>
        <w:numPr>
          <w:ilvl w:val="0"/>
          <w:numId w:val="34"/>
        </w:numPr>
        <w:spacing w:before="150" w:after="0"/>
        <w:ind w:left="600" w:hanging="600"/>
      </w:pPr>
      <w:r>
        <w:rPr>
          <w:rFonts w:ascii="Arial"/>
          <w:color w:val="000000"/>
          <w:sz w:val="24"/>
        </w:rPr>
        <w:t>The ILP shows that the south</w:t>
      </w:r>
      <w:r>
        <w:rPr>
          <w:rFonts w:ascii="Arial"/>
          <w:color w:val="000000"/>
          <w:sz w:val="24"/>
        </w:rPr>
        <w:t>-</w:t>
      </w:r>
      <w:r>
        <w:rPr>
          <w:rFonts w:ascii="Arial"/>
          <w:color w:val="000000"/>
          <w:sz w:val="24"/>
        </w:rPr>
        <w:t xml:space="preserve">western portion of the </w:t>
      </w:r>
      <w:r>
        <w:rPr>
          <w:rFonts w:ascii="Arial"/>
          <w:color w:val="000000"/>
          <w:sz w:val="24"/>
        </w:rPr>
        <w:t>s</w:t>
      </w:r>
      <w:r>
        <w:rPr>
          <w:rFonts w:ascii="Arial"/>
          <w:color w:val="000000"/>
          <w:sz w:val="24"/>
        </w:rPr>
        <w:t xml:space="preserve">ite is </w:t>
      </w:r>
      <w:r>
        <w:rPr>
          <w:rFonts w:ascii="Arial"/>
          <w:color w:val="000000"/>
          <w:sz w:val="24"/>
        </w:rPr>
        <w:t xml:space="preserve">planned </w:t>
      </w:r>
      <w:r>
        <w:rPr>
          <w:rFonts w:ascii="Arial"/>
          <w:color w:val="000000"/>
          <w:sz w:val="24"/>
        </w:rPr>
        <w:t xml:space="preserve">to </w:t>
      </w:r>
      <w:r>
        <w:rPr>
          <w:rFonts w:ascii="Arial"/>
          <w:color w:val="000000"/>
          <w:sz w:val="24"/>
        </w:rPr>
        <w:t>form part of a</w:t>
      </w:r>
      <w:r>
        <w:rPr>
          <w:rFonts w:ascii="Arial"/>
          <w:color w:val="000000"/>
          <w:sz w:val="24"/>
        </w:rPr>
        <w:t xml:space="preserve"> </w:t>
      </w:r>
      <w:r>
        <w:rPr>
          <w:rFonts w:ascii="Arial"/>
          <w:color w:val="000000"/>
          <w:sz w:val="24"/>
        </w:rPr>
        <w:t>v</w:t>
      </w:r>
      <w:r>
        <w:rPr>
          <w:rFonts w:ascii="Arial"/>
          <w:color w:val="000000"/>
          <w:sz w:val="24"/>
        </w:rPr>
        <w:t xml:space="preserve">illage </w:t>
      </w:r>
      <w:r>
        <w:rPr>
          <w:rFonts w:ascii="Arial"/>
          <w:color w:val="000000"/>
          <w:sz w:val="24"/>
        </w:rPr>
        <w:t>c</w:t>
      </w:r>
      <w:r>
        <w:rPr>
          <w:rFonts w:ascii="Arial"/>
          <w:color w:val="000000"/>
          <w:sz w:val="24"/>
        </w:rPr>
        <w:t xml:space="preserve">entre. Additionally, the ILP indicates a north-south road is to be constructed centrally through the site, two east-west half roads are to be constructed along </w:t>
      </w:r>
      <w:r>
        <w:rPr>
          <w:rFonts w:ascii="Arial"/>
          <w:color w:val="000000"/>
          <w:sz w:val="24"/>
        </w:rPr>
        <w:t xml:space="preserve">the </w:t>
      </w:r>
      <w:r>
        <w:rPr>
          <w:rFonts w:ascii="Arial"/>
          <w:color w:val="000000"/>
          <w:sz w:val="24"/>
        </w:rPr>
        <w:t>northern and southern boundaries</w:t>
      </w:r>
      <w:r>
        <w:rPr>
          <w:rFonts w:ascii="Arial"/>
          <w:color w:val="000000"/>
          <w:sz w:val="24"/>
        </w:rPr>
        <w:t>.</w:t>
      </w:r>
    </w:p>
    <w:p>
      <w:pPr>
        <w:pStyle w:val="CaselawNumbered10"/>
        <w:numPr>
          <w:ilvl w:val="0"/>
          <w:numId w:val="34"/>
        </w:numPr>
        <w:spacing w:before="150" w:after="0"/>
        <w:ind w:left="600" w:hanging="600"/>
      </w:pPr>
      <w:r>
        <w:rPr>
          <w:rFonts w:ascii="Arial"/>
          <w:color w:val="000000"/>
          <w:sz w:val="24"/>
        </w:rPr>
        <w:t xml:space="preserve">The site </w:t>
      </w:r>
      <w:r>
        <w:rPr>
          <w:rFonts w:ascii="Arial"/>
          <w:color w:val="000000"/>
          <w:sz w:val="24"/>
        </w:rPr>
        <w:t xml:space="preserve">is </w:t>
      </w:r>
      <w:r>
        <w:rPr>
          <w:rFonts w:ascii="Arial"/>
          <w:color w:val="000000"/>
          <w:sz w:val="24"/>
        </w:rPr>
        <w:t>situ</w:t>
      </w:r>
      <w:r>
        <w:rPr>
          <w:rFonts w:ascii="Arial"/>
          <w:color w:val="000000"/>
          <w:sz w:val="24"/>
        </w:rPr>
        <w:t>ated at</w:t>
      </w:r>
      <w:r>
        <w:rPr>
          <w:rFonts w:ascii="Arial"/>
          <w:color w:val="000000"/>
          <w:sz w:val="24"/>
        </w:rPr>
        <w:t xml:space="preserve"> </w:t>
      </w:r>
      <w:r>
        <w:rPr>
          <w:rFonts w:ascii="Arial"/>
          <w:color w:val="000000"/>
          <w:sz w:val="24"/>
        </w:rPr>
        <w:t xml:space="preserve">a key location </w:t>
      </w:r>
      <w:r>
        <w:rPr>
          <w:rFonts w:ascii="Arial"/>
          <w:color w:val="000000"/>
          <w:sz w:val="24"/>
        </w:rPr>
        <w:t xml:space="preserve">in the Edmondson Park precinct, providing for </w:t>
      </w:r>
      <w:r>
        <w:rPr>
          <w:rFonts w:ascii="Arial"/>
          <w:color w:val="000000"/>
          <w:sz w:val="24"/>
        </w:rPr>
        <w:t xml:space="preserve">the development of </w:t>
      </w:r>
      <w:r>
        <w:rPr>
          <w:rFonts w:ascii="Arial"/>
          <w:color w:val="000000"/>
          <w:sz w:val="24"/>
        </w:rPr>
        <w:t xml:space="preserve">one of the three proposed village centres in the area. </w:t>
      </w:r>
      <w:r>
        <w:rPr>
          <w:rFonts w:ascii="Arial"/>
          <w:color w:val="000000"/>
          <w:sz w:val="24"/>
        </w:rPr>
        <w:t>Part of the village centre will be built on the site, with the balance of the village centre to be constructed on land directly to the south of the site</w:t>
      </w:r>
      <w:r>
        <w:rPr>
          <w:rFonts w:ascii="Arial"/>
          <w:color w:val="000000"/>
          <w:sz w:val="24"/>
        </w:rPr>
        <w:t>.</w:t>
      </w:r>
    </w:p>
    <w:p>
      <w:pPr>
        <w:pStyle w:val="CaselawHeading3"/>
        <w:keepNext/>
        <w:spacing w:before="150" w:after="150" w:line="264"/>
        <w:ind w:left="0"/>
        <w:jc w:val="left"/>
      </w:pPr>
      <w:r>
        <w:rPr>
          <w:rFonts w:ascii="Arial"/>
        </w:rPr>
        <w:t xml:space="preserve">State Environmental Planning Policy </w:t>
      </w:r>
      <w:r>
        <w:rPr>
          <w:rFonts w:ascii="Arial"/>
        </w:rPr>
        <w:t>(Housing) 2021</w:t>
      </w:r>
    </w:p>
    <w:p>
      <w:pPr>
        <w:pStyle w:val="CaselawNumbered10"/>
        <w:numPr>
          <w:ilvl w:val="0"/>
          <w:numId w:val="35"/>
        </w:numPr>
        <w:spacing w:before="150" w:after="0"/>
        <w:ind w:left="600" w:hanging="600"/>
      </w:pPr>
      <w:r>
        <w:rPr>
          <w:rFonts w:ascii="Arial"/>
          <w:color w:val="000000"/>
          <w:sz w:val="24"/>
        </w:rPr>
        <w:t>The proposed development includes development of residential apartments of at least three storeys.</w:t>
      </w:r>
    </w:p>
    <w:p>
      <w:pPr>
        <w:pStyle w:val="CaselawNumbered10"/>
        <w:numPr>
          <w:ilvl w:val="0"/>
          <w:numId w:val="35"/>
        </w:numPr>
        <w:spacing w:before="150" w:after="0"/>
        <w:ind w:left="600" w:hanging="600"/>
      </w:pPr>
      <w:r>
        <w:rPr>
          <w:rFonts w:ascii="Arial"/>
          <w:color w:val="000000"/>
          <w:sz w:val="24"/>
        </w:rPr>
        <w:t>State Environmental Planning Policy Amendment (Housing)</w:t>
      </w:r>
      <w:r>
        <w:rPr>
          <w:rFonts w:ascii="Arial"/>
          <w:color w:val="000000"/>
          <w:sz w:val="24"/>
        </w:rPr>
        <w:t xml:space="preserve"> </w:t>
      </w:r>
      <w:r>
        <w:rPr>
          <w:rFonts w:ascii="Arial"/>
          <w:color w:val="000000"/>
          <w:sz w:val="24"/>
        </w:rPr>
        <w:t>202</w:t>
      </w:r>
      <w:r>
        <w:rPr>
          <w:rFonts w:ascii="Arial"/>
          <w:color w:val="000000"/>
          <w:sz w:val="24"/>
        </w:rPr>
        <w:t xml:space="preserve">3 (Housing SEPP amendment) commenced on 14 December 2023 and served to, inter alia, repeal the </w:t>
      </w:r>
      <w:r>
        <w:rPr>
          <w:rFonts w:ascii="Arial"/>
          <w:color w:val="000000"/>
          <w:sz w:val="24"/>
        </w:rPr>
        <w:t xml:space="preserve">State Environmental Planning Policy No. 65 </w:t>
      </w:r>
      <w:r>
        <w:rPr>
          <w:rFonts w:ascii="Arial"/>
          <w:color w:val="000000"/>
          <w:sz w:val="24"/>
        </w:rPr>
        <w:t xml:space="preserve">– </w:t>
      </w:r>
      <w:r>
        <w:rPr>
          <w:rFonts w:ascii="Arial"/>
          <w:color w:val="000000"/>
          <w:sz w:val="24"/>
        </w:rPr>
        <w:t xml:space="preserve">Design </w:t>
      </w:r>
      <w:r>
        <w:rPr>
          <w:rFonts w:ascii="Arial"/>
          <w:color w:val="000000"/>
          <w:sz w:val="24"/>
        </w:rPr>
        <w:t>Q</w:t>
      </w:r>
      <w:r>
        <w:rPr>
          <w:rFonts w:ascii="Arial"/>
          <w:color w:val="000000"/>
          <w:sz w:val="24"/>
        </w:rPr>
        <w:t>uality of Residential Apartment Development</w:t>
      </w:r>
      <w:r>
        <w:rPr>
          <w:rFonts w:ascii="Arial"/>
          <w:color w:val="000000"/>
          <w:sz w:val="24"/>
        </w:rPr>
        <w:t xml:space="preserve"> </w:t>
      </w:r>
      <w:r>
        <w:rPr>
          <w:rFonts w:ascii="Arial"/>
          <w:color w:val="000000"/>
          <w:sz w:val="24"/>
        </w:rPr>
        <w:t>and insert the provisions</w:t>
      </w:r>
      <w:r>
        <w:rPr>
          <w:rFonts w:ascii="Arial"/>
          <w:color w:val="000000"/>
          <w:sz w:val="24"/>
        </w:rPr>
        <w:t xml:space="preserve"> </w:t>
      </w:r>
      <w:r>
        <w:rPr>
          <w:rFonts w:ascii="Arial"/>
          <w:color w:val="000000"/>
          <w:sz w:val="24"/>
        </w:rPr>
        <w:t xml:space="preserve">into the </w:t>
      </w:r>
      <w:r>
        <w:rPr>
          <w:rFonts w:ascii="Arial"/>
          <w:color w:val="000000"/>
          <w:sz w:val="24"/>
        </w:rPr>
        <w:t>State Environmental Planning Policy (Housing)</w:t>
      </w:r>
      <w:r>
        <w:rPr>
          <w:rFonts w:ascii="Arial"/>
          <w:color w:val="000000"/>
          <w:sz w:val="24"/>
        </w:rPr>
        <w:t xml:space="preserve"> </w:t>
      </w:r>
      <w:r>
        <w:rPr>
          <w:rFonts w:ascii="Arial"/>
          <w:color w:val="000000"/>
          <w:sz w:val="24"/>
        </w:rPr>
        <w:t>2021</w:t>
      </w:r>
      <w:r>
        <w:rPr>
          <w:rFonts w:ascii="Arial"/>
          <w:color w:val="000000"/>
          <w:sz w:val="24"/>
        </w:rPr>
        <w:t xml:space="preserve"> </w:t>
      </w:r>
      <w:r>
        <w:rPr>
          <w:rFonts w:ascii="Arial"/>
          <w:color w:val="000000"/>
          <w:sz w:val="24"/>
        </w:rPr>
        <w:t xml:space="preserve">(Housing SEPP) at Ch 4 and Sch </w:t>
      </w:r>
      <w:r>
        <w:rPr>
          <w:rFonts w:ascii="Arial"/>
          <w:color w:val="000000"/>
          <w:sz w:val="24"/>
        </w:rPr>
        <w:t>9</w:t>
      </w:r>
      <w:r>
        <w:rPr>
          <w:rFonts w:ascii="Arial"/>
          <w:color w:val="000000"/>
          <w:sz w:val="24"/>
        </w:rPr>
        <w:t xml:space="preserve">. </w:t>
      </w:r>
    </w:p>
    <w:p>
      <w:pPr>
        <w:pStyle w:val="CaselawNumbered10"/>
        <w:numPr>
          <w:ilvl w:val="0"/>
          <w:numId w:val="35"/>
        </w:numPr>
        <w:spacing w:before="150" w:after="0"/>
        <w:ind w:left="600" w:hanging="600"/>
      </w:pPr>
      <w:r>
        <w:rPr>
          <w:rFonts w:ascii="Arial"/>
          <w:color w:val="000000"/>
          <w:sz w:val="24"/>
        </w:rPr>
        <w:t>Section 8(2A) of Sch 7A of the Housing SEPP confirms that the matters in Ch 4 of the Housing SEPP apply to the further amended DA.</w:t>
      </w:r>
    </w:p>
    <w:p>
      <w:pPr>
        <w:pStyle w:val="CaselawNumbered10"/>
        <w:numPr>
          <w:ilvl w:val="0"/>
          <w:numId w:val="35"/>
        </w:numPr>
        <w:spacing w:before="150" w:after="0"/>
        <w:ind w:left="600" w:hanging="600"/>
      </w:pPr>
      <w:r>
        <w:rPr>
          <w:rFonts w:ascii="Arial"/>
          <w:color w:val="000000"/>
          <w:sz w:val="24"/>
        </w:rPr>
        <w:t>The Respondent operates a Design Excellence Panel (DEP) and therefore a referral of the DA to the Respondent</w:t>
      </w:r>
      <w:r>
        <w:rPr>
          <w:rFonts w:ascii="Arial"/>
          <w:color w:val="000000"/>
          <w:sz w:val="24"/>
        </w:rPr>
        <w:t>’</w:t>
      </w:r>
      <w:r>
        <w:rPr>
          <w:rFonts w:ascii="Arial"/>
          <w:color w:val="000000"/>
          <w:sz w:val="24"/>
        </w:rPr>
        <w:t xml:space="preserve">s DEP </w:t>
      </w:r>
      <w:r>
        <w:rPr>
          <w:rFonts w:ascii="Arial"/>
          <w:color w:val="000000"/>
          <w:sz w:val="24"/>
        </w:rPr>
        <w:t>wa</w:t>
      </w:r>
      <w:r>
        <w:rPr>
          <w:rFonts w:ascii="Arial"/>
          <w:color w:val="000000"/>
          <w:sz w:val="24"/>
        </w:rPr>
        <w:t xml:space="preserve">s required under s 145 of the Housing SEPP. </w:t>
      </w:r>
    </w:p>
    <w:p>
      <w:pPr>
        <w:pStyle w:val="CaselawNumbered10"/>
        <w:numPr>
          <w:ilvl w:val="0"/>
          <w:numId w:val="35"/>
        </w:numPr>
        <w:spacing w:before="150" w:after="0"/>
        <w:ind w:left="600" w:hanging="600"/>
      </w:pPr>
      <w:r>
        <w:rPr>
          <w:rFonts w:ascii="Arial"/>
          <w:color w:val="000000"/>
          <w:sz w:val="24"/>
        </w:rPr>
        <w:t>The consent authority must consider the matters in s 147(1) of the Housing SEPP</w:t>
      </w:r>
      <w:r>
        <w:rPr>
          <w:rFonts w:ascii="Arial"/>
          <w:color w:val="000000"/>
          <w:sz w:val="24"/>
        </w:rPr>
        <w:t>.</w:t>
      </w:r>
    </w:p>
    <w:p>
      <w:pPr>
        <w:pStyle w:val="CaselawNumbered10"/>
        <w:numPr>
          <w:ilvl w:val="0"/>
          <w:numId w:val="35"/>
        </w:numPr>
        <w:spacing w:before="150" w:after="0"/>
        <w:ind w:left="600" w:hanging="600"/>
      </w:pPr>
      <w:r>
        <w:rPr>
          <w:rFonts w:ascii="Arial"/>
          <w:color w:val="000000"/>
          <w:sz w:val="24"/>
        </w:rPr>
        <w:t xml:space="preserve">The Applicant advised that the DA </w:t>
      </w:r>
      <w:r>
        <w:rPr>
          <w:rFonts w:ascii="Arial"/>
          <w:color w:val="000000"/>
          <w:sz w:val="24"/>
        </w:rPr>
        <w:t xml:space="preserve">(prior to the latest amendment) </w:t>
      </w:r>
      <w:r>
        <w:rPr>
          <w:rFonts w:ascii="Arial"/>
          <w:color w:val="000000"/>
          <w:sz w:val="24"/>
        </w:rPr>
        <w:t xml:space="preserve">was reported to the DEP and comments have been included at Contention 5 of the Amended SOFAC. </w:t>
      </w:r>
      <w:r>
        <w:rPr>
          <w:rFonts w:ascii="Arial"/>
          <w:color w:val="000000"/>
          <w:sz w:val="24"/>
        </w:rPr>
        <w:t>The DEP</w:t>
      </w:r>
      <w:r>
        <w:rPr>
          <w:rFonts w:ascii="Arial"/>
          <w:color w:val="000000"/>
          <w:sz w:val="24"/>
        </w:rPr>
        <w:t>’</w:t>
      </w:r>
      <w:r>
        <w:rPr>
          <w:rFonts w:ascii="Arial"/>
          <w:color w:val="000000"/>
          <w:sz w:val="24"/>
        </w:rPr>
        <w:t>s comments have led to amendments to the DA, culminating in the changes made in the further amended DA.</w:t>
      </w:r>
    </w:p>
    <w:p>
      <w:pPr>
        <w:pStyle w:val="CaselawNumbered10"/>
        <w:numPr>
          <w:ilvl w:val="0"/>
          <w:numId w:val="35"/>
        </w:numPr>
        <w:spacing w:before="150" w:after="0"/>
        <w:ind w:left="600" w:hanging="600"/>
      </w:pPr>
      <w:r>
        <w:rPr>
          <w:rFonts w:ascii="Arial"/>
          <w:color w:val="000000"/>
          <w:sz w:val="24"/>
        </w:rPr>
        <w:t xml:space="preserve">Pursuant to ss 4.12 and 4.64 of the EPA Act and s 29 of the Regulation, the further amended DA must be accompanied by a statement by a qualified designer which addresses the matters in s 29(2) of the Regulation. An updated design verification statement has been prepared by HCKL Architecture Pty Ltd </w:t>
      </w:r>
      <w:r>
        <w:rPr>
          <w:rFonts w:ascii="Arial"/>
          <w:color w:val="000000"/>
          <w:sz w:val="24"/>
        </w:rPr>
        <w:t xml:space="preserve">for the Applicant </w:t>
      </w:r>
      <w:r>
        <w:rPr>
          <w:rFonts w:ascii="Arial"/>
          <w:color w:val="000000"/>
          <w:sz w:val="24"/>
        </w:rPr>
        <w:t>which addresses the matters in s 29(2) of the Regulation in respect of the further amended DA.</w:t>
      </w:r>
    </w:p>
    <w:p>
      <w:pPr>
        <w:pStyle w:val="CaselawNumbered10"/>
        <w:numPr>
          <w:ilvl w:val="0"/>
          <w:numId w:val="35"/>
        </w:numPr>
        <w:spacing w:before="150" w:after="0"/>
        <w:ind w:left="600" w:hanging="600"/>
      </w:pPr>
      <w:r>
        <w:rPr>
          <w:rFonts w:ascii="Arial"/>
          <w:color w:val="000000"/>
          <w:sz w:val="24"/>
        </w:rPr>
        <w:t xml:space="preserve">Section </w:t>
      </w:r>
      <w:r>
        <w:rPr>
          <w:rFonts w:ascii="Arial"/>
          <w:color w:val="000000"/>
          <w:sz w:val="24"/>
        </w:rPr>
        <w:t xml:space="preserve">147 of the Housing SEPP provides that development consent must not be granted </w:t>
      </w:r>
      <w:r>
        <w:rPr>
          <w:rFonts w:ascii="Arial"/>
          <w:color w:val="000000"/>
          <w:sz w:val="24"/>
        </w:rPr>
        <w:t xml:space="preserve">to residential apartment development </w:t>
      </w:r>
      <w:r>
        <w:rPr>
          <w:rFonts w:ascii="Arial"/>
          <w:color w:val="000000"/>
          <w:sz w:val="24"/>
        </w:rPr>
        <w:t>unless the consent authority has considered the quality of the design of the development, evaluated in accordance with the design principles for residential development set out in Schedule 9 of the Housing SEPP</w:t>
      </w:r>
      <w:r>
        <w:rPr>
          <w:rFonts w:ascii="Arial"/>
          <w:color w:val="000000"/>
          <w:sz w:val="24"/>
        </w:rPr>
        <w:t>,</w:t>
      </w:r>
      <w:r>
        <w:rPr>
          <w:rFonts w:ascii="Arial"/>
          <w:color w:val="000000"/>
          <w:sz w:val="24"/>
        </w:rPr>
        <w:t xml:space="preserve"> </w:t>
      </w:r>
      <w:r>
        <w:rPr>
          <w:rFonts w:ascii="Arial"/>
          <w:color w:val="000000"/>
          <w:sz w:val="24"/>
        </w:rPr>
        <w:t>the Apartment Design Guide</w:t>
      </w:r>
      <w:r>
        <w:rPr>
          <w:rFonts w:ascii="Arial"/>
          <w:color w:val="000000"/>
          <w:sz w:val="24"/>
        </w:rPr>
        <w:t xml:space="preserve"> </w:t>
      </w:r>
      <w:r>
        <w:rPr>
          <w:rFonts w:ascii="Arial"/>
          <w:color w:val="000000"/>
          <w:sz w:val="24"/>
        </w:rPr>
        <w:t>(ADG)</w:t>
      </w:r>
      <w:r>
        <w:rPr>
          <w:rFonts w:ascii="Arial"/>
          <w:color w:val="000000"/>
          <w:sz w:val="24"/>
        </w:rPr>
        <w:t>,</w:t>
      </w:r>
      <w:r>
        <w:rPr>
          <w:rFonts w:ascii="Arial"/>
          <w:color w:val="000000"/>
          <w:sz w:val="24"/>
        </w:rPr>
        <w:t xml:space="preserve"> </w:t>
      </w:r>
      <w:r>
        <w:rPr>
          <w:rFonts w:ascii="Arial"/>
          <w:color w:val="000000"/>
          <w:sz w:val="24"/>
        </w:rPr>
        <w:t>and any advice received from a design review panel.</w:t>
      </w:r>
    </w:p>
    <w:p>
      <w:pPr>
        <w:pStyle w:val="CaselawHeading3"/>
        <w:keepNext/>
        <w:spacing w:before="150" w:after="150" w:line="264"/>
        <w:ind w:left="0"/>
        <w:jc w:val="left"/>
      </w:pPr>
      <w:r>
        <w:rPr>
          <w:rFonts w:ascii="Arial"/>
        </w:rPr>
        <w:t xml:space="preserve">Proposed Amendments to the DA submitted on the third day of the </w:t>
      </w:r>
      <w:r>
        <w:rPr>
          <w:rFonts w:ascii="Arial"/>
        </w:rPr>
        <w:t>Hearing</w:t>
      </w:r>
    </w:p>
    <w:p>
      <w:pPr>
        <w:pStyle w:val="CaselawNumbered10"/>
        <w:numPr>
          <w:ilvl w:val="0"/>
          <w:numId w:val="36"/>
        </w:numPr>
        <w:spacing w:before="150" w:after="0"/>
        <w:ind w:left="600" w:hanging="600"/>
      </w:pPr>
      <w:r>
        <w:rPr>
          <w:rFonts w:ascii="Arial"/>
          <w:color w:val="000000"/>
          <w:sz w:val="24"/>
        </w:rPr>
        <w:t xml:space="preserve">At the commencement of the </w:t>
      </w:r>
      <w:r>
        <w:rPr>
          <w:rFonts w:ascii="Arial"/>
          <w:color w:val="000000"/>
          <w:sz w:val="24"/>
        </w:rPr>
        <w:t>H</w:t>
      </w:r>
      <w:r>
        <w:rPr>
          <w:rFonts w:ascii="Arial"/>
          <w:color w:val="000000"/>
          <w:sz w:val="24"/>
        </w:rPr>
        <w:t xml:space="preserve">earing the Applicant </w:t>
      </w:r>
      <w:r>
        <w:rPr>
          <w:rFonts w:ascii="Arial"/>
          <w:color w:val="000000"/>
          <w:sz w:val="24"/>
        </w:rPr>
        <w:t xml:space="preserve">foreshadowed an application </w:t>
      </w:r>
      <w:r>
        <w:rPr>
          <w:rFonts w:ascii="Arial"/>
          <w:color w:val="000000"/>
          <w:sz w:val="24"/>
        </w:rPr>
        <w:t xml:space="preserve">to the Court </w:t>
      </w:r>
      <w:r>
        <w:rPr>
          <w:rFonts w:ascii="Arial"/>
          <w:color w:val="000000"/>
          <w:sz w:val="24"/>
        </w:rPr>
        <w:t xml:space="preserve">for leave to further amend the DA. </w:t>
      </w:r>
    </w:p>
    <w:p>
      <w:pPr>
        <w:pStyle w:val="CaselawNumbered10"/>
        <w:numPr>
          <w:ilvl w:val="0"/>
          <w:numId w:val="36"/>
        </w:numPr>
        <w:spacing w:before="150" w:after="0"/>
        <w:ind w:left="600" w:hanging="600"/>
      </w:pPr>
      <w:r>
        <w:rPr>
          <w:rFonts w:ascii="Arial"/>
          <w:color w:val="000000"/>
          <w:sz w:val="24"/>
        </w:rPr>
        <w:t>The Hearing was adjourned to 1</w:t>
      </w:r>
      <w:r>
        <w:rPr>
          <w:rFonts w:ascii="Arial"/>
          <w:color w:val="000000"/>
          <w:sz w:val="24"/>
        </w:rPr>
        <w:t>9</w:t>
      </w:r>
      <w:r>
        <w:rPr>
          <w:rFonts w:ascii="Arial"/>
          <w:color w:val="000000"/>
          <w:sz w:val="24"/>
        </w:rPr>
        <w:t xml:space="preserve"> </w:t>
      </w:r>
      <w:r>
        <w:rPr>
          <w:rFonts w:ascii="Arial"/>
          <w:color w:val="000000"/>
          <w:sz w:val="24"/>
        </w:rPr>
        <w:t xml:space="preserve">July 2024 to allow time for the expert witnesses to assess the </w:t>
      </w:r>
      <w:r>
        <w:rPr>
          <w:rFonts w:ascii="Arial"/>
          <w:color w:val="000000"/>
          <w:sz w:val="24"/>
        </w:rPr>
        <w:t xml:space="preserve">further </w:t>
      </w:r>
      <w:r>
        <w:rPr>
          <w:rFonts w:ascii="Arial"/>
          <w:color w:val="000000"/>
          <w:sz w:val="24"/>
        </w:rPr>
        <w:t>amended plans and update their expert witness reports.</w:t>
      </w:r>
    </w:p>
    <w:p>
      <w:pPr>
        <w:pStyle w:val="CaselawNumbered10"/>
        <w:numPr>
          <w:ilvl w:val="0"/>
          <w:numId w:val="36"/>
        </w:numPr>
        <w:spacing w:before="150" w:after="0"/>
        <w:ind w:left="600" w:hanging="600"/>
      </w:pPr>
      <w:r>
        <w:rPr>
          <w:rFonts w:ascii="Arial"/>
          <w:color w:val="000000"/>
          <w:sz w:val="24"/>
        </w:rPr>
        <w:t>On the third day of the Hearing, t</w:t>
      </w:r>
      <w:r>
        <w:rPr>
          <w:rFonts w:ascii="Arial"/>
          <w:color w:val="000000"/>
          <w:sz w:val="24"/>
        </w:rPr>
        <w:t>he Applicant tabled Exhibit P which detailed four pages of changes from Revision E of the plans dated 20/5/2024 to Revision I of the plans dated 9/7/2024.</w:t>
      </w:r>
    </w:p>
    <w:p>
      <w:pPr>
        <w:pStyle w:val="CaselawNumbered10"/>
        <w:numPr>
          <w:ilvl w:val="0"/>
          <w:numId w:val="36"/>
        </w:numPr>
        <w:spacing w:before="150" w:after="0"/>
        <w:ind w:left="600" w:hanging="600"/>
      </w:pPr>
      <w:r>
        <w:rPr>
          <w:rFonts w:ascii="Arial"/>
          <w:color w:val="000000"/>
          <w:sz w:val="24"/>
        </w:rPr>
        <w:t>T</w:t>
      </w:r>
      <w:r>
        <w:rPr>
          <w:rFonts w:ascii="Arial"/>
          <w:color w:val="000000"/>
          <w:sz w:val="24"/>
        </w:rPr>
        <w:t>he</w:t>
      </w:r>
      <w:r>
        <w:rPr>
          <w:rFonts w:ascii="Arial"/>
          <w:color w:val="000000"/>
          <w:sz w:val="24"/>
        </w:rPr>
        <w:t xml:space="preserve"> </w:t>
      </w:r>
      <w:r>
        <w:rPr>
          <w:rFonts w:ascii="Arial"/>
          <w:color w:val="000000"/>
          <w:sz w:val="24"/>
        </w:rPr>
        <w:t>latest</w:t>
      </w:r>
      <w:r>
        <w:rPr>
          <w:rFonts w:ascii="Arial"/>
          <w:color w:val="000000"/>
          <w:sz w:val="24"/>
        </w:rPr>
        <w:t xml:space="preserve"> </w:t>
      </w:r>
      <w:r>
        <w:rPr>
          <w:rFonts w:ascii="Arial"/>
          <w:color w:val="000000"/>
          <w:sz w:val="24"/>
        </w:rPr>
        <w:t xml:space="preserve">amendments </w:t>
      </w:r>
      <w:r>
        <w:rPr>
          <w:rFonts w:ascii="Arial"/>
          <w:color w:val="000000"/>
          <w:sz w:val="24"/>
        </w:rPr>
        <w:t xml:space="preserve">to the DA </w:t>
      </w:r>
      <w:r>
        <w:rPr>
          <w:rFonts w:ascii="Arial"/>
          <w:color w:val="000000"/>
          <w:sz w:val="24"/>
        </w:rPr>
        <w:t>(constituting the further amended DA) were made</w:t>
      </w:r>
      <w:r>
        <w:rPr>
          <w:rFonts w:ascii="Arial"/>
          <w:color w:val="000000"/>
          <w:sz w:val="24"/>
        </w:rPr>
        <w:t xml:space="preserve"> </w:t>
      </w:r>
      <w:r>
        <w:rPr>
          <w:rFonts w:ascii="Arial"/>
          <w:color w:val="000000"/>
          <w:sz w:val="24"/>
        </w:rPr>
        <w:t xml:space="preserve">to address the </w:t>
      </w:r>
      <w:r>
        <w:rPr>
          <w:rFonts w:ascii="Arial"/>
          <w:color w:val="000000"/>
          <w:sz w:val="24"/>
        </w:rPr>
        <w:t>contentions remaining between the parties</w:t>
      </w:r>
      <w:r>
        <w:rPr>
          <w:rFonts w:ascii="Arial"/>
          <w:color w:val="000000"/>
          <w:sz w:val="24"/>
        </w:rPr>
        <w:t xml:space="preserve"> </w:t>
      </w:r>
      <w:r>
        <w:rPr>
          <w:rFonts w:ascii="Arial"/>
          <w:color w:val="000000"/>
          <w:sz w:val="24"/>
        </w:rPr>
        <w:t xml:space="preserve">and </w:t>
      </w:r>
      <w:r>
        <w:rPr>
          <w:rFonts w:ascii="Arial"/>
          <w:color w:val="000000"/>
          <w:sz w:val="24"/>
        </w:rPr>
        <w:t>include</w:t>
      </w:r>
      <w:r>
        <w:rPr>
          <w:rFonts w:ascii="Arial"/>
          <w:color w:val="000000"/>
          <w:sz w:val="24"/>
        </w:rPr>
        <w:t xml:space="preserve"> </w:t>
      </w:r>
      <w:r>
        <w:rPr>
          <w:rFonts w:ascii="Arial"/>
          <w:color w:val="000000"/>
          <w:sz w:val="24"/>
        </w:rPr>
        <w:t xml:space="preserve">both </w:t>
      </w:r>
      <w:r>
        <w:rPr>
          <w:rFonts w:ascii="Arial"/>
          <w:color w:val="000000"/>
          <w:sz w:val="24"/>
        </w:rPr>
        <w:t xml:space="preserve">further details and information added to the plans and changes </w:t>
      </w:r>
      <w:r>
        <w:rPr>
          <w:rFonts w:ascii="Arial"/>
          <w:color w:val="000000"/>
          <w:sz w:val="24"/>
        </w:rPr>
        <w:t xml:space="preserve">to the proposed development arising from </w:t>
      </w:r>
      <w:r>
        <w:rPr>
          <w:rFonts w:ascii="Arial"/>
          <w:color w:val="000000"/>
          <w:sz w:val="24"/>
        </w:rPr>
        <w:t xml:space="preserve">the </w:t>
      </w:r>
      <w:r>
        <w:rPr>
          <w:rFonts w:ascii="Arial"/>
          <w:color w:val="000000"/>
          <w:sz w:val="24"/>
        </w:rPr>
        <w:t xml:space="preserve">Further Supplementary Joint expert report prepared on Town Planning by Mr Paul </w:t>
      </w:r>
      <w:r>
        <w:rPr>
          <w:rFonts w:ascii="Arial"/>
          <w:color w:val="000000"/>
          <w:sz w:val="24"/>
        </w:rPr>
        <w:t>Grech</w:t>
      </w:r>
      <w:r>
        <w:rPr>
          <w:rFonts w:ascii="Arial"/>
          <w:color w:val="000000"/>
          <w:sz w:val="24"/>
        </w:rPr>
        <w:t xml:space="preserve"> </w:t>
      </w:r>
      <w:r>
        <w:rPr>
          <w:rFonts w:ascii="Arial"/>
          <w:color w:val="000000"/>
          <w:sz w:val="24"/>
        </w:rPr>
        <w:t xml:space="preserve">(for the Applicant) and Mr Gerard </w:t>
      </w:r>
      <w:r>
        <w:rPr>
          <w:rFonts w:ascii="Arial"/>
          <w:color w:val="000000"/>
          <w:sz w:val="24"/>
        </w:rPr>
        <w:t>Turrisi</w:t>
      </w:r>
      <w:r>
        <w:rPr>
          <w:rFonts w:ascii="Arial"/>
          <w:color w:val="000000"/>
          <w:sz w:val="24"/>
        </w:rPr>
        <w:t xml:space="preserve"> </w:t>
      </w:r>
      <w:r>
        <w:rPr>
          <w:rFonts w:ascii="Arial"/>
          <w:color w:val="000000"/>
          <w:sz w:val="24"/>
        </w:rPr>
        <w:t xml:space="preserve">(for the Respondent) </w:t>
      </w:r>
      <w:r>
        <w:rPr>
          <w:rFonts w:ascii="Arial"/>
          <w:color w:val="000000"/>
          <w:sz w:val="24"/>
        </w:rPr>
        <w:t xml:space="preserve">dated </w:t>
      </w:r>
      <w:r>
        <w:rPr>
          <w:rFonts w:ascii="Arial"/>
          <w:color w:val="000000"/>
          <w:sz w:val="24"/>
        </w:rPr>
        <w:t>11 July 2024</w:t>
      </w:r>
      <w:r>
        <w:rPr>
          <w:rFonts w:ascii="Arial"/>
          <w:color w:val="000000"/>
          <w:sz w:val="24"/>
        </w:rPr>
        <w:t>.</w:t>
      </w:r>
    </w:p>
    <w:p>
      <w:pPr>
        <w:pStyle w:val="CaselawNumbered10"/>
        <w:numPr>
          <w:ilvl w:val="0"/>
          <w:numId w:val="36"/>
        </w:numPr>
        <w:spacing w:before="150" w:after="0"/>
        <w:ind w:left="600" w:hanging="600"/>
      </w:pPr>
      <w:r>
        <w:rPr>
          <w:rFonts w:ascii="Arial"/>
          <w:color w:val="000000"/>
          <w:sz w:val="24"/>
        </w:rPr>
        <w:t>The Applicant</w:t>
      </w:r>
      <w:r>
        <w:rPr>
          <w:rFonts w:ascii="Arial"/>
          <w:color w:val="000000"/>
          <w:sz w:val="24"/>
        </w:rPr>
        <w:t>’</w:t>
      </w:r>
      <w:r>
        <w:rPr>
          <w:rFonts w:ascii="Arial"/>
          <w:color w:val="000000"/>
          <w:sz w:val="24"/>
        </w:rPr>
        <w:t>s request to amend the DA (the further amended DA) was granted by the Court on 1</w:t>
      </w:r>
      <w:r>
        <w:rPr>
          <w:rFonts w:ascii="Arial"/>
          <w:color w:val="000000"/>
          <w:sz w:val="24"/>
        </w:rPr>
        <w:t>9</w:t>
      </w:r>
      <w:r>
        <w:rPr>
          <w:rFonts w:ascii="Arial"/>
          <w:color w:val="000000"/>
          <w:sz w:val="24"/>
        </w:rPr>
        <w:t xml:space="preserve"> </w:t>
      </w:r>
      <w:r>
        <w:rPr>
          <w:rFonts w:ascii="Arial"/>
          <w:color w:val="000000"/>
          <w:sz w:val="24"/>
        </w:rPr>
        <w:t>July 2024.</w:t>
      </w:r>
    </w:p>
    <w:p>
      <w:pPr>
        <w:pStyle w:val="CaselawNumbered10"/>
        <w:numPr>
          <w:ilvl w:val="0"/>
          <w:numId w:val="36"/>
        </w:numPr>
        <w:spacing w:before="150" w:after="0"/>
        <w:ind w:left="600" w:hanging="600"/>
      </w:pPr>
      <w:r>
        <w:rPr>
          <w:rFonts w:ascii="Arial"/>
          <w:color w:val="000000"/>
          <w:sz w:val="24"/>
        </w:rPr>
        <w:t>The key changes incorporated in the further amended DA include:</w:t>
      </w:r>
    </w:p>
    <w:p>
      <w:pPr>
        <w:pStyle w:val="CaselawNumbered1"/>
        <w:numPr>
          <w:ilvl w:val="0"/>
          <w:numId w:val="37"/>
        </w:numPr>
        <w:spacing w:before="150" w:after="0"/>
        <w:ind w:left="1350" w:hanging="750"/>
      </w:pPr>
      <w:r>
        <w:rPr>
          <w:rFonts w:ascii="Arial"/>
          <w:color w:val="000000"/>
          <w:sz w:val="24"/>
        </w:rPr>
        <w:t>Double storey houses scheme for the residue lot ha</w:t>
      </w:r>
      <w:r>
        <w:rPr>
          <w:rFonts w:ascii="Arial"/>
          <w:color w:val="000000"/>
          <w:sz w:val="24"/>
        </w:rPr>
        <w:t>ve</w:t>
      </w:r>
      <w:r>
        <w:rPr>
          <w:rFonts w:ascii="Arial"/>
          <w:color w:val="000000"/>
          <w:sz w:val="24"/>
        </w:rPr>
        <w:t xml:space="preserve"> </w:t>
      </w:r>
      <w:r>
        <w:rPr>
          <w:rFonts w:ascii="Arial"/>
          <w:color w:val="000000"/>
          <w:sz w:val="24"/>
        </w:rPr>
        <w:t xml:space="preserve">been added to the site plan with relocation of indicative parking entry to the eastern side of the residue </w:t>
      </w:r>
      <w:r>
        <w:rPr>
          <w:rFonts w:ascii="Arial"/>
          <w:color w:val="000000"/>
          <w:sz w:val="24"/>
        </w:rPr>
        <w:t>lot;</w:t>
      </w:r>
    </w:p>
    <w:p>
      <w:pPr>
        <w:pStyle w:val="CaselawNumbered1"/>
        <w:numPr>
          <w:ilvl w:val="0"/>
          <w:numId w:val="37"/>
        </w:numPr>
        <w:spacing w:before="150" w:after="0"/>
        <w:ind w:left="1350" w:hanging="750"/>
      </w:pPr>
      <w:r>
        <w:rPr>
          <w:rFonts w:ascii="Arial"/>
          <w:color w:val="000000"/>
          <w:sz w:val="24"/>
        </w:rPr>
        <w:t xml:space="preserve">Temporary turning heads have been added to the </w:t>
      </w:r>
      <w:r>
        <w:rPr>
          <w:rFonts w:ascii="Arial"/>
          <w:color w:val="000000"/>
          <w:sz w:val="24"/>
        </w:rPr>
        <w:t>drawings;</w:t>
      </w:r>
    </w:p>
    <w:p>
      <w:pPr>
        <w:pStyle w:val="CaselawNumbered1"/>
        <w:numPr>
          <w:ilvl w:val="0"/>
          <w:numId w:val="37"/>
        </w:numPr>
        <w:spacing w:before="150" w:after="0"/>
        <w:ind w:left="1350" w:hanging="750"/>
      </w:pPr>
      <w:r>
        <w:rPr>
          <w:rFonts w:ascii="Arial"/>
          <w:color w:val="000000"/>
          <w:sz w:val="24"/>
        </w:rPr>
        <w:t xml:space="preserve">The substation has been </w:t>
      </w:r>
      <w:r>
        <w:rPr>
          <w:rFonts w:ascii="Arial"/>
          <w:color w:val="000000"/>
          <w:sz w:val="24"/>
        </w:rPr>
        <w:t>relocated;</w:t>
      </w:r>
    </w:p>
    <w:p>
      <w:pPr>
        <w:pStyle w:val="CaselawNumbered1"/>
        <w:numPr>
          <w:ilvl w:val="0"/>
          <w:numId w:val="37"/>
        </w:numPr>
        <w:spacing w:before="150" w:after="0"/>
        <w:ind w:left="1350" w:hanging="750"/>
      </w:pPr>
      <w:r>
        <w:rPr>
          <w:rFonts w:ascii="Arial"/>
          <w:color w:val="000000"/>
          <w:sz w:val="24"/>
        </w:rPr>
        <w:t xml:space="preserve">Basement 2 layout has been updated to add more carparking </w:t>
      </w:r>
      <w:r>
        <w:rPr>
          <w:rFonts w:ascii="Arial"/>
          <w:color w:val="000000"/>
          <w:sz w:val="24"/>
        </w:rPr>
        <w:t>spaces;</w:t>
      </w:r>
    </w:p>
    <w:p>
      <w:pPr>
        <w:pStyle w:val="CaselawNumbered1"/>
        <w:numPr>
          <w:ilvl w:val="0"/>
          <w:numId w:val="37"/>
        </w:numPr>
        <w:spacing w:before="150" w:after="0"/>
        <w:ind w:left="1350" w:hanging="750"/>
      </w:pPr>
      <w:r>
        <w:rPr>
          <w:rFonts w:ascii="Arial"/>
          <w:color w:val="000000"/>
          <w:sz w:val="24"/>
        </w:rPr>
        <w:t xml:space="preserve">Bicycle parking has added to the </w:t>
      </w:r>
      <w:r>
        <w:rPr>
          <w:rFonts w:ascii="Arial"/>
          <w:color w:val="000000"/>
          <w:sz w:val="24"/>
        </w:rPr>
        <w:t>basements;</w:t>
      </w:r>
    </w:p>
    <w:p>
      <w:pPr>
        <w:pStyle w:val="CaselawNumbered1"/>
        <w:numPr>
          <w:ilvl w:val="0"/>
          <w:numId w:val="37"/>
        </w:numPr>
        <w:spacing w:before="150" w:after="0"/>
        <w:ind w:left="1350" w:hanging="750"/>
      </w:pPr>
      <w:r>
        <w:rPr>
          <w:rFonts w:ascii="Arial"/>
          <w:color w:val="000000"/>
          <w:sz w:val="24"/>
        </w:rPr>
        <w:t xml:space="preserve">The basement has been cut back and updated to match with revised unit numbers and more deep soil zone for sites C, D and </w:t>
      </w:r>
      <w:r>
        <w:rPr>
          <w:rFonts w:ascii="Arial"/>
          <w:color w:val="000000"/>
          <w:sz w:val="24"/>
        </w:rPr>
        <w:t>E;</w:t>
      </w:r>
    </w:p>
    <w:p>
      <w:pPr>
        <w:pStyle w:val="CaselawNumbered1"/>
        <w:numPr>
          <w:ilvl w:val="0"/>
          <w:numId w:val="37"/>
        </w:numPr>
        <w:spacing w:before="150" w:after="0"/>
        <w:ind w:left="1350" w:hanging="750"/>
      </w:pPr>
      <w:r>
        <w:rPr>
          <w:rFonts w:ascii="Arial"/>
          <w:color w:val="000000"/>
          <w:sz w:val="24"/>
        </w:rPr>
        <w:t xml:space="preserve">The entry for site A and B has been enclosed with a glass </w:t>
      </w:r>
      <w:r>
        <w:rPr>
          <w:rFonts w:ascii="Arial"/>
          <w:color w:val="000000"/>
          <w:sz w:val="24"/>
        </w:rPr>
        <w:t>wa</w:t>
      </w:r>
      <w:r>
        <w:rPr>
          <w:rFonts w:ascii="Arial"/>
          <w:color w:val="000000"/>
          <w:sz w:val="24"/>
        </w:rPr>
        <w:t>l</w:t>
      </w:r>
      <w:r>
        <w:rPr>
          <w:rFonts w:ascii="Arial"/>
          <w:color w:val="000000"/>
          <w:sz w:val="24"/>
        </w:rPr>
        <w:t>l;</w:t>
      </w:r>
    </w:p>
    <w:p>
      <w:pPr>
        <w:pStyle w:val="CaselawNumbered1"/>
        <w:numPr>
          <w:ilvl w:val="0"/>
          <w:numId w:val="37"/>
        </w:numPr>
        <w:spacing w:before="150" w:after="0"/>
        <w:ind w:left="1350" w:hanging="750"/>
      </w:pPr>
      <w:r>
        <w:rPr>
          <w:rFonts w:ascii="Arial"/>
          <w:color w:val="000000"/>
          <w:sz w:val="24"/>
        </w:rPr>
        <w:t xml:space="preserve">Unit layouts have been updated to provide the area of sun inside the living rooms and </w:t>
      </w:r>
      <w:r>
        <w:rPr>
          <w:rFonts w:ascii="Arial"/>
          <w:color w:val="000000"/>
          <w:sz w:val="24"/>
        </w:rPr>
        <w:t>balconies;</w:t>
      </w:r>
    </w:p>
    <w:p>
      <w:pPr>
        <w:pStyle w:val="CaselawNumbered1"/>
        <w:numPr>
          <w:ilvl w:val="0"/>
          <w:numId w:val="37"/>
        </w:numPr>
        <w:spacing w:before="150" w:after="0"/>
        <w:ind w:left="1350" w:hanging="750"/>
      </w:pPr>
      <w:r>
        <w:rPr>
          <w:rFonts w:ascii="Arial"/>
          <w:color w:val="000000"/>
          <w:sz w:val="24"/>
        </w:rPr>
        <w:t xml:space="preserve">AC units on all balconies/terraces have been </w:t>
      </w:r>
      <w:r>
        <w:rPr>
          <w:rFonts w:ascii="Arial"/>
          <w:color w:val="000000"/>
          <w:sz w:val="24"/>
        </w:rPr>
        <w:t>added;</w:t>
      </w:r>
    </w:p>
    <w:p>
      <w:pPr>
        <w:pStyle w:val="CaselawNumbered1"/>
        <w:numPr>
          <w:ilvl w:val="0"/>
          <w:numId w:val="37"/>
        </w:numPr>
        <w:spacing w:before="150" w:after="0"/>
        <w:ind w:left="1350" w:hanging="750"/>
      </w:pPr>
      <w:r>
        <w:rPr>
          <w:rFonts w:ascii="Arial"/>
          <w:color w:val="000000"/>
          <w:sz w:val="24"/>
        </w:rPr>
        <w:t xml:space="preserve">Skylights have been enlarged to provide the area of sun inside the living rooms and balconies as </w:t>
      </w:r>
      <w:r>
        <w:rPr>
          <w:rFonts w:ascii="Arial"/>
          <w:color w:val="000000"/>
          <w:sz w:val="24"/>
        </w:rPr>
        <w:t>requested;</w:t>
      </w:r>
    </w:p>
    <w:p>
      <w:pPr>
        <w:pStyle w:val="CaselawNumbered1"/>
        <w:numPr>
          <w:ilvl w:val="0"/>
          <w:numId w:val="37"/>
        </w:numPr>
        <w:spacing w:before="150" w:after="0"/>
        <w:ind w:left="1350" w:hanging="750"/>
      </w:pPr>
      <w:r>
        <w:rPr>
          <w:rFonts w:ascii="Arial"/>
          <w:color w:val="000000"/>
          <w:sz w:val="24"/>
        </w:rPr>
        <w:t xml:space="preserve">Fire stairs have been amended in Buildings A3 and </w:t>
      </w:r>
      <w:r>
        <w:rPr>
          <w:rFonts w:ascii="Arial"/>
          <w:color w:val="000000"/>
          <w:sz w:val="24"/>
        </w:rPr>
        <w:t>A4;</w:t>
      </w:r>
    </w:p>
    <w:p>
      <w:pPr>
        <w:pStyle w:val="CaselawNumbered1"/>
        <w:numPr>
          <w:ilvl w:val="0"/>
          <w:numId w:val="37"/>
        </w:numPr>
        <w:spacing w:before="150" w:after="0"/>
        <w:ind w:left="1350" w:hanging="750"/>
      </w:pPr>
      <w:r>
        <w:rPr>
          <w:rFonts w:ascii="Arial"/>
          <w:color w:val="000000"/>
          <w:sz w:val="24"/>
        </w:rPr>
        <w:t xml:space="preserve">A number of ground floor units </w:t>
      </w:r>
      <w:r>
        <w:rPr>
          <w:rFonts w:ascii="Arial"/>
          <w:color w:val="000000"/>
          <w:sz w:val="24"/>
        </w:rPr>
        <w:t>on the ground floor of sites C/D/E have been updated, including two units with bedroom changes to study and three units with fence wall in front of bedrooms changed to 1.</w:t>
      </w:r>
      <w:r>
        <w:rPr>
          <w:rFonts w:ascii="Arial"/>
          <w:color w:val="000000"/>
          <w:sz w:val="24"/>
        </w:rPr>
        <w:t>5m;</w:t>
      </w:r>
    </w:p>
    <w:p>
      <w:pPr>
        <w:pStyle w:val="CaselawNumbered1"/>
        <w:numPr>
          <w:ilvl w:val="0"/>
          <w:numId w:val="37"/>
        </w:numPr>
        <w:spacing w:before="150" w:after="0"/>
        <w:ind w:left="1350" w:hanging="750"/>
      </w:pPr>
      <w:r>
        <w:rPr>
          <w:rFonts w:ascii="Arial"/>
          <w:color w:val="000000"/>
          <w:sz w:val="24"/>
        </w:rPr>
        <w:t xml:space="preserve">Site C/D, one unit has been added to increase the GFA and several unit areas have been increased and the floor plan has been redesigned to address </w:t>
      </w:r>
      <w:r>
        <w:rPr>
          <w:rFonts w:ascii="Arial"/>
          <w:color w:val="000000"/>
          <w:sz w:val="24"/>
        </w:rPr>
        <w:t>overlooking;</w:t>
      </w:r>
    </w:p>
    <w:p>
      <w:pPr>
        <w:pStyle w:val="CaselawNumbered1"/>
        <w:numPr>
          <w:ilvl w:val="0"/>
          <w:numId w:val="37"/>
        </w:numPr>
        <w:spacing w:before="150" w:after="0"/>
        <w:ind w:left="1350" w:hanging="750"/>
      </w:pPr>
      <w:r>
        <w:rPr>
          <w:rFonts w:ascii="Arial"/>
          <w:color w:val="000000"/>
          <w:sz w:val="24"/>
        </w:rPr>
        <w:t xml:space="preserve">The Solar Access and Cross-Ventilation </w:t>
      </w:r>
      <w:r>
        <w:rPr>
          <w:rFonts w:ascii="Arial"/>
          <w:color w:val="000000"/>
          <w:sz w:val="24"/>
        </w:rPr>
        <w:t>Diagram has been updated;</w:t>
      </w:r>
      <w:r>
        <w:rPr>
          <w:rFonts w:ascii="Arial"/>
          <w:color w:val="000000"/>
          <w:sz w:val="24"/>
        </w:rPr>
        <w:t xml:space="preserve"> </w:t>
      </w:r>
      <w:r>
        <w:rPr>
          <w:rFonts w:ascii="Arial"/>
          <w:color w:val="000000"/>
          <w:sz w:val="24"/>
        </w:rPr>
        <w:t>and</w:t>
      </w:r>
    </w:p>
    <w:p>
      <w:pPr>
        <w:pStyle w:val="CaselawNumbered1"/>
        <w:numPr>
          <w:ilvl w:val="0"/>
          <w:numId w:val="37"/>
        </w:numPr>
        <w:spacing w:before="150" w:after="0"/>
        <w:ind w:left="1350" w:hanging="750"/>
      </w:pPr>
      <w:r>
        <w:rPr>
          <w:rFonts w:ascii="Arial"/>
          <w:color w:val="000000"/>
          <w:sz w:val="24"/>
        </w:rPr>
        <w:t>The Solar Study for 21 Units (as identified in the Town Planning Expert Witness Report) has been provided.</w:t>
      </w:r>
    </w:p>
    <w:p>
      <w:pPr>
        <w:pStyle w:val="CaselawNumbered10"/>
        <w:numPr>
          <w:ilvl w:val="0"/>
          <w:numId w:val="38"/>
        </w:numPr>
        <w:spacing w:before="150" w:after="0"/>
        <w:ind w:left="600" w:hanging="600"/>
      </w:pPr>
      <w:r>
        <w:rPr>
          <w:rFonts w:ascii="Arial"/>
          <w:color w:val="000000"/>
          <w:sz w:val="24"/>
        </w:rPr>
        <w:t>No changes have been proposed to the loading arrangements and facilities for the village centre commercial c</w:t>
      </w:r>
      <w:r>
        <w:rPr>
          <w:rFonts w:ascii="Arial"/>
          <w:color w:val="000000"/>
          <w:sz w:val="24"/>
        </w:rPr>
        <w:t>o</w:t>
      </w:r>
      <w:r>
        <w:rPr>
          <w:rFonts w:ascii="Arial"/>
          <w:color w:val="000000"/>
          <w:sz w:val="24"/>
        </w:rPr>
        <w:t>mponent of the proposed development in the further amended DA.</w:t>
      </w:r>
    </w:p>
    <w:p>
      <w:pPr>
        <w:pStyle w:val="CaselawHeading2"/>
        <w:keepNext/>
        <w:spacing w:before="150" w:after="150" w:line="264"/>
        <w:ind w:left="0"/>
        <w:jc w:val="left"/>
      </w:pPr>
      <w:r>
        <w:rPr>
          <w:rFonts w:ascii="Arial"/>
        </w:rPr>
        <w:t>Expert Evidence</w:t>
      </w:r>
    </w:p>
    <w:p>
      <w:pPr>
        <w:pStyle w:val="CaselawNumbered10"/>
        <w:numPr>
          <w:ilvl w:val="0"/>
          <w:numId w:val="39"/>
        </w:numPr>
        <w:spacing w:before="150" w:after="0"/>
        <w:ind w:left="600" w:hanging="600"/>
      </w:pPr>
      <w:r>
        <w:rPr>
          <w:rFonts w:ascii="Arial"/>
          <w:color w:val="000000"/>
          <w:sz w:val="24"/>
        </w:rPr>
        <w:t>The Court was assisted by expert evidence in the following disciplines:</w:t>
      </w:r>
    </w:p>
    <w:p>
      <w:pPr>
        <w:pStyle w:val="CaselawNumbered1"/>
        <w:numPr>
          <w:ilvl w:val="0"/>
          <w:numId w:val="40"/>
        </w:numPr>
        <w:spacing w:before="150" w:after="0"/>
        <w:ind w:left="1350" w:hanging="750"/>
      </w:pPr>
      <w:r>
        <w:rPr>
          <w:rFonts w:ascii="Arial"/>
          <w:color w:val="000000"/>
          <w:sz w:val="24"/>
        </w:rPr>
        <w:t>Town Planning</w:t>
      </w:r>
      <w:r>
        <w:rPr>
          <w:rFonts w:ascii="Arial"/>
          <w:color w:val="000000"/>
          <w:sz w:val="24"/>
        </w:rPr>
        <w:t>:</w:t>
      </w:r>
    </w:p>
    <w:p>
      <w:pPr>
        <w:pStyle w:val="CaselawNumbereda"/>
        <w:numPr>
          <w:ilvl w:val="0"/>
          <w:numId w:val="41"/>
        </w:numPr>
        <w:spacing w:before="150" w:after="0"/>
        <w:ind w:left="2100" w:hanging="750"/>
      </w:pPr>
      <w:r>
        <w:rPr>
          <w:rFonts w:ascii="Arial"/>
          <w:color w:val="000000"/>
          <w:sz w:val="24"/>
        </w:rPr>
        <w:t xml:space="preserve">Mr Paul </w:t>
      </w:r>
      <w:r>
        <w:rPr>
          <w:rFonts w:ascii="Arial"/>
          <w:color w:val="000000"/>
          <w:sz w:val="24"/>
        </w:rPr>
        <w:t>Grech</w:t>
      </w:r>
      <w:r>
        <w:rPr>
          <w:rFonts w:ascii="Arial"/>
          <w:color w:val="000000"/>
          <w:sz w:val="24"/>
        </w:rPr>
        <w:t xml:space="preserve"> </w:t>
      </w:r>
      <w:r>
        <w:rPr>
          <w:rFonts w:ascii="Arial"/>
          <w:color w:val="000000"/>
          <w:sz w:val="24"/>
        </w:rPr>
        <w:t>of GLN Planning for the Applicant</w:t>
      </w:r>
      <w:r>
        <w:rPr>
          <w:rFonts w:ascii="Arial"/>
          <w:color w:val="000000"/>
          <w:sz w:val="24"/>
        </w:rPr>
        <w:t>; and</w:t>
      </w:r>
    </w:p>
    <w:p>
      <w:pPr>
        <w:pStyle w:val="CaselawNumbereda"/>
        <w:numPr>
          <w:ilvl w:val="0"/>
          <w:numId w:val="41"/>
        </w:numPr>
        <w:spacing w:before="150" w:after="0"/>
        <w:ind w:left="2100" w:hanging="750"/>
      </w:pPr>
      <w:r>
        <w:rPr>
          <w:rFonts w:ascii="Arial"/>
          <w:color w:val="000000"/>
          <w:sz w:val="24"/>
        </w:rPr>
        <w:t xml:space="preserve">Mr Gerard </w:t>
      </w:r>
      <w:r>
        <w:rPr>
          <w:rFonts w:ascii="Arial"/>
          <w:color w:val="000000"/>
          <w:sz w:val="24"/>
        </w:rPr>
        <w:t>Turrisi</w:t>
      </w:r>
      <w:r>
        <w:rPr>
          <w:rFonts w:ascii="Arial"/>
          <w:color w:val="000000"/>
          <w:sz w:val="24"/>
        </w:rPr>
        <w:t xml:space="preserve"> </w:t>
      </w:r>
      <w:r>
        <w:rPr>
          <w:rFonts w:ascii="Arial"/>
          <w:color w:val="000000"/>
          <w:sz w:val="24"/>
        </w:rPr>
        <w:t xml:space="preserve">of GAT and Associates for the </w:t>
      </w:r>
      <w:r>
        <w:rPr>
          <w:rFonts w:ascii="Arial"/>
          <w:color w:val="000000"/>
          <w:sz w:val="24"/>
        </w:rPr>
        <w:t>Respondent</w:t>
      </w:r>
      <w:r>
        <w:rPr>
          <w:rFonts w:ascii="Arial"/>
          <w:color w:val="000000"/>
          <w:sz w:val="24"/>
        </w:rPr>
        <w:t>;</w:t>
      </w:r>
    </w:p>
    <w:p>
      <w:pPr>
        <w:pStyle w:val="CaselawNumbered1"/>
        <w:numPr>
          <w:ilvl w:val="0"/>
          <w:numId w:val="42"/>
        </w:numPr>
        <w:spacing w:before="150" w:after="0"/>
        <w:ind w:left="1350" w:hanging="750"/>
      </w:pPr>
      <w:r>
        <w:rPr>
          <w:rFonts w:ascii="Arial"/>
          <w:color w:val="000000"/>
          <w:sz w:val="24"/>
        </w:rPr>
        <w:t>Traffic</w:t>
      </w:r>
      <w:r>
        <w:rPr>
          <w:rFonts w:ascii="Arial"/>
          <w:color w:val="000000"/>
          <w:sz w:val="24"/>
        </w:rPr>
        <w:t>:</w:t>
      </w:r>
      <w:r>
        <w:rPr>
          <w:rFonts w:ascii="Arial"/>
          <w:color w:val="000000"/>
          <w:sz w:val="24"/>
        </w:rPr>
        <w:t xml:space="preserve"> </w:t>
      </w:r>
    </w:p>
    <w:p>
      <w:pPr>
        <w:pStyle w:val="CaselawNumbereda"/>
        <w:numPr>
          <w:ilvl w:val="0"/>
          <w:numId w:val="43"/>
        </w:numPr>
        <w:spacing w:before="150" w:after="0"/>
        <w:ind w:left="2100" w:hanging="750"/>
      </w:pPr>
      <w:r>
        <w:rPr>
          <w:rFonts w:ascii="Arial"/>
          <w:color w:val="000000"/>
          <w:sz w:val="24"/>
        </w:rPr>
        <w:t>Robert Varga Director Varga Traffic Planning Pty Ltd for the Applicant (single expert report</w:t>
      </w:r>
      <w:r>
        <w:rPr>
          <w:rFonts w:ascii="Arial"/>
          <w:color w:val="000000"/>
          <w:sz w:val="24"/>
        </w:rPr>
        <w:t>)</w:t>
      </w:r>
      <w:r>
        <w:rPr>
          <w:rFonts w:ascii="Arial"/>
          <w:color w:val="000000"/>
          <w:sz w:val="24"/>
        </w:rPr>
        <w:t>;</w:t>
      </w:r>
    </w:p>
    <w:p>
      <w:pPr>
        <w:pStyle w:val="CaselawNumbered1"/>
        <w:numPr>
          <w:ilvl w:val="0"/>
          <w:numId w:val="44"/>
        </w:numPr>
        <w:spacing w:before="150" w:after="0"/>
        <w:ind w:left="1350" w:hanging="750"/>
      </w:pPr>
      <w:r>
        <w:rPr>
          <w:rFonts w:ascii="Arial"/>
          <w:color w:val="000000"/>
          <w:sz w:val="24"/>
        </w:rPr>
        <w:t>Contamination:</w:t>
      </w:r>
    </w:p>
    <w:p>
      <w:pPr>
        <w:pStyle w:val="CaselawNumbereda"/>
        <w:numPr>
          <w:ilvl w:val="0"/>
          <w:numId w:val="45"/>
        </w:numPr>
        <w:spacing w:before="150" w:after="0"/>
        <w:ind w:left="2100" w:hanging="750"/>
      </w:pPr>
      <w:r>
        <w:rPr>
          <w:rFonts w:ascii="Arial"/>
          <w:color w:val="000000"/>
          <w:sz w:val="24"/>
        </w:rPr>
        <w:t>Steven Wallace Managing Consultant Sydney Environmental Group for the Applicant (single expert report).</w:t>
      </w:r>
    </w:p>
    <w:p>
      <w:pPr>
        <w:pStyle w:val="CaselawNumbered10"/>
        <w:numPr>
          <w:ilvl w:val="0"/>
          <w:numId w:val="46"/>
        </w:numPr>
        <w:spacing w:before="150" w:after="0"/>
        <w:ind w:left="600" w:hanging="600"/>
      </w:pPr>
      <w:r>
        <w:rPr>
          <w:rFonts w:ascii="Arial"/>
          <w:color w:val="000000"/>
          <w:sz w:val="24"/>
        </w:rPr>
        <w:t xml:space="preserve">The </w:t>
      </w:r>
      <w:r>
        <w:rPr>
          <w:rFonts w:ascii="Arial"/>
          <w:color w:val="000000"/>
          <w:sz w:val="24"/>
        </w:rPr>
        <w:t xml:space="preserve">town planning </w:t>
      </w:r>
      <w:r>
        <w:rPr>
          <w:rFonts w:ascii="Arial"/>
          <w:color w:val="000000"/>
          <w:sz w:val="24"/>
        </w:rPr>
        <w:t xml:space="preserve">experts </w:t>
      </w:r>
      <w:r>
        <w:rPr>
          <w:rFonts w:ascii="Arial"/>
          <w:color w:val="000000"/>
          <w:sz w:val="24"/>
        </w:rPr>
        <w:t>attended the hearing and were cross-examined on their evidence relating the further amended DA.</w:t>
      </w:r>
    </w:p>
    <w:p>
      <w:pPr>
        <w:pStyle w:val="CaselawHeading2"/>
        <w:keepNext/>
        <w:spacing w:before="150" w:after="150" w:line="264"/>
        <w:ind w:left="0"/>
        <w:jc w:val="left"/>
      </w:pPr>
      <w:r>
        <w:rPr>
          <w:rFonts w:ascii="Arial"/>
        </w:rPr>
        <w:t xml:space="preserve">Design Verification Statement </w:t>
      </w:r>
    </w:p>
    <w:p>
      <w:pPr>
        <w:pStyle w:val="CaselawNumbered10"/>
        <w:numPr>
          <w:ilvl w:val="0"/>
          <w:numId w:val="47"/>
        </w:numPr>
        <w:spacing w:before="150" w:after="0"/>
        <w:ind w:left="600" w:hanging="600"/>
      </w:pPr>
      <w:r>
        <w:rPr>
          <w:rFonts w:ascii="Arial"/>
          <w:color w:val="000000"/>
          <w:sz w:val="24"/>
        </w:rPr>
        <w:t xml:space="preserve">A Design Response Statement and Design Verification Statement </w:t>
      </w:r>
      <w:r>
        <w:rPr>
          <w:rFonts w:ascii="Arial"/>
          <w:color w:val="000000"/>
          <w:sz w:val="24"/>
        </w:rPr>
        <w:t xml:space="preserve">prepared by HCKL Architecture Pty Ltd </w:t>
      </w:r>
      <w:r>
        <w:rPr>
          <w:rFonts w:ascii="Arial"/>
          <w:color w:val="000000"/>
          <w:sz w:val="24"/>
        </w:rPr>
        <w:t>were submitted by the Applicant in support of the further amended DA.</w:t>
      </w:r>
    </w:p>
    <w:p>
      <w:pPr>
        <w:pStyle w:val="CaselawHeading2"/>
        <w:keepNext/>
        <w:spacing w:before="150" w:after="150" w:line="264"/>
        <w:ind w:left="0"/>
        <w:jc w:val="left"/>
      </w:pPr>
      <w:r>
        <w:rPr>
          <w:rFonts w:ascii="Arial"/>
        </w:rPr>
        <w:t>Solar Access Development Standard</w:t>
      </w:r>
    </w:p>
    <w:p>
      <w:pPr>
        <w:pStyle w:val="CaselawNumbered10"/>
        <w:numPr>
          <w:ilvl w:val="0"/>
          <w:numId w:val="48"/>
        </w:numPr>
        <w:spacing w:before="150" w:after="0"/>
        <w:ind w:left="600" w:hanging="600"/>
      </w:pPr>
      <w:r>
        <w:rPr>
          <w:rFonts w:ascii="Arial"/>
          <w:color w:val="000000"/>
          <w:sz w:val="24"/>
        </w:rPr>
        <w:t xml:space="preserve">The further amended DA is accompanied by </w:t>
      </w:r>
      <w:r>
        <w:rPr>
          <w:rFonts w:ascii="Arial"/>
          <w:color w:val="000000"/>
          <w:sz w:val="24"/>
        </w:rPr>
        <w:t xml:space="preserve">a written variation request to the non-discretionary </w:t>
      </w:r>
      <w:r>
        <w:rPr>
          <w:rFonts w:ascii="Arial"/>
          <w:color w:val="000000"/>
          <w:sz w:val="24"/>
        </w:rPr>
        <w:t xml:space="preserve">development standard relating to solar access in s 19(2)(d) of the Housing SEPP. The Applicant advised that the variation </w:t>
      </w:r>
      <w:r>
        <w:rPr>
          <w:rFonts w:ascii="Arial"/>
          <w:color w:val="000000"/>
          <w:sz w:val="24"/>
        </w:rPr>
        <w:t xml:space="preserve">seeks to vary the </w:t>
      </w:r>
      <w:r>
        <w:rPr>
          <w:rFonts w:ascii="Arial"/>
          <w:color w:val="000000"/>
          <w:sz w:val="24"/>
        </w:rPr>
        <w:t>3 hour</w:t>
      </w:r>
      <w:r>
        <w:rPr>
          <w:rFonts w:ascii="Arial"/>
          <w:color w:val="000000"/>
          <w:sz w:val="24"/>
        </w:rPr>
        <w:t xml:space="preserve"> </w:t>
      </w:r>
      <w:r>
        <w:rPr>
          <w:rFonts w:ascii="Arial"/>
          <w:color w:val="000000"/>
          <w:sz w:val="24"/>
        </w:rPr>
        <w:t xml:space="preserve">solar access to the living rooms and private open spaces of the apartments in mid-winter so as to generally apply the former design criteria of 2 hours, the criteria prior to the Housing Amendment SEPP. </w:t>
      </w:r>
    </w:p>
    <w:p>
      <w:pPr>
        <w:pStyle w:val="CaselawHeading2"/>
        <w:keepNext/>
        <w:spacing w:before="150" w:after="150" w:line="264"/>
        <w:ind w:left="0"/>
        <w:jc w:val="left"/>
      </w:pPr>
      <w:r>
        <w:rPr>
          <w:rFonts w:ascii="Arial"/>
        </w:rPr>
        <w:t>Remaining Merit Issues</w:t>
      </w:r>
      <w:r>
        <w:rPr>
          <w:rFonts w:ascii="Arial"/>
        </w:rPr>
        <w:t xml:space="preserve"> in Contention</w:t>
      </w:r>
    </w:p>
    <w:p>
      <w:pPr>
        <w:pStyle w:val="CaselawHeading2"/>
        <w:keepNext/>
        <w:spacing w:before="150" w:after="150" w:line="264"/>
        <w:ind w:left="0"/>
        <w:jc w:val="left"/>
      </w:pPr>
      <w:r>
        <w:rPr>
          <w:rFonts w:ascii="Arial"/>
        </w:rPr>
        <w:t>The Respondent’s submission</w:t>
      </w:r>
    </w:p>
    <w:p>
      <w:pPr>
        <w:pStyle w:val="CaselawNumbered10"/>
        <w:numPr>
          <w:ilvl w:val="0"/>
          <w:numId w:val="49"/>
        </w:numPr>
        <w:spacing w:before="150" w:after="0"/>
        <w:ind w:left="600" w:hanging="600"/>
      </w:pPr>
      <w:r>
        <w:rPr>
          <w:rFonts w:ascii="Arial"/>
          <w:color w:val="000000"/>
          <w:sz w:val="24"/>
        </w:rPr>
        <w:t xml:space="preserve">At the end of the hearing of the expert evidence on the </w:t>
      </w:r>
      <w:r>
        <w:rPr>
          <w:rFonts w:ascii="Arial"/>
          <w:color w:val="000000"/>
          <w:sz w:val="24"/>
        </w:rPr>
        <w:t xml:space="preserve">further </w:t>
      </w:r>
      <w:r>
        <w:rPr>
          <w:rFonts w:ascii="Arial"/>
          <w:color w:val="000000"/>
          <w:sz w:val="24"/>
        </w:rPr>
        <w:t xml:space="preserve">amended DA, the Respondent </w:t>
      </w:r>
      <w:r>
        <w:rPr>
          <w:rFonts w:ascii="Arial"/>
          <w:color w:val="000000"/>
          <w:sz w:val="24"/>
        </w:rPr>
        <w:t>submitt</w:t>
      </w:r>
      <w:r>
        <w:rPr>
          <w:rFonts w:ascii="Arial"/>
          <w:color w:val="000000"/>
          <w:sz w:val="24"/>
        </w:rPr>
        <w:t xml:space="preserve">ed </w:t>
      </w:r>
      <w:r>
        <w:rPr>
          <w:rFonts w:ascii="Arial"/>
          <w:color w:val="000000"/>
          <w:sz w:val="24"/>
        </w:rPr>
        <w:t xml:space="preserve">in its closing submission </w:t>
      </w:r>
      <w:r>
        <w:rPr>
          <w:rFonts w:ascii="Arial"/>
          <w:color w:val="000000"/>
          <w:sz w:val="24"/>
        </w:rPr>
        <w:t xml:space="preserve">that </w:t>
      </w:r>
      <w:r>
        <w:rPr>
          <w:rFonts w:ascii="Arial"/>
          <w:color w:val="000000"/>
          <w:sz w:val="24"/>
        </w:rPr>
        <w:t xml:space="preserve">it considered that </w:t>
      </w:r>
      <w:r>
        <w:rPr>
          <w:rFonts w:ascii="Arial"/>
          <w:color w:val="000000"/>
          <w:sz w:val="24"/>
        </w:rPr>
        <w:t xml:space="preserve">there were sixteen merit issues remaining between the parties, </w:t>
      </w:r>
      <w:r>
        <w:rPr>
          <w:rFonts w:ascii="Arial"/>
          <w:color w:val="000000"/>
          <w:sz w:val="24"/>
        </w:rPr>
        <w:t>which could be broadly placed in the following categories:</w:t>
      </w:r>
    </w:p>
    <w:p>
      <w:pPr>
        <w:pStyle w:val="CaselawNumbered1"/>
        <w:numPr>
          <w:ilvl w:val="0"/>
          <w:numId w:val="50"/>
        </w:numPr>
        <w:spacing w:before="150" w:after="0"/>
        <w:ind w:left="1350" w:hanging="750"/>
      </w:pPr>
      <w:r>
        <w:rPr>
          <w:rFonts w:ascii="Arial"/>
          <w:color w:val="000000"/>
          <w:sz w:val="24"/>
        </w:rPr>
        <w:t>Amenity for residents, which comprises impacts from:</w:t>
      </w:r>
    </w:p>
    <w:p>
      <w:pPr>
        <w:pStyle w:val="CaselawNumbereda"/>
        <w:numPr>
          <w:ilvl w:val="0"/>
          <w:numId w:val="51"/>
        </w:numPr>
        <w:spacing w:before="150" w:after="0"/>
        <w:ind w:left="2100" w:hanging="750"/>
      </w:pPr>
      <w:r>
        <w:rPr>
          <w:rFonts w:ascii="Arial"/>
          <w:color w:val="000000"/>
          <w:sz w:val="24"/>
        </w:rPr>
        <w:t xml:space="preserve">Insufficient building </w:t>
      </w:r>
      <w:r>
        <w:rPr>
          <w:rFonts w:ascii="Arial"/>
          <w:color w:val="000000"/>
          <w:sz w:val="24"/>
        </w:rPr>
        <w:t>separation</w:t>
      </w:r>
      <w:r>
        <w:rPr>
          <w:rFonts w:ascii="Arial"/>
          <w:color w:val="000000"/>
          <w:sz w:val="24"/>
        </w:rPr>
        <w:t>;</w:t>
      </w:r>
    </w:p>
    <w:p>
      <w:pPr>
        <w:pStyle w:val="CaselawNumbereda"/>
        <w:numPr>
          <w:ilvl w:val="0"/>
          <w:numId w:val="51"/>
        </w:numPr>
        <w:spacing w:before="150" w:after="0"/>
        <w:ind w:left="2100" w:hanging="750"/>
      </w:pPr>
      <w:r>
        <w:rPr>
          <w:rFonts w:ascii="Arial"/>
          <w:color w:val="000000"/>
          <w:sz w:val="24"/>
        </w:rPr>
        <w:t xml:space="preserve">The location of some building entry points deep within the </w:t>
      </w:r>
      <w:r>
        <w:rPr>
          <w:rFonts w:ascii="Arial"/>
          <w:color w:val="000000"/>
          <w:sz w:val="24"/>
        </w:rPr>
        <w:t>site</w:t>
      </w:r>
      <w:r>
        <w:rPr>
          <w:rFonts w:ascii="Arial"/>
          <w:color w:val="000000"/>
          <w:sz w:val="24"/>
        </w:rPr>
        <w:t>;</w:t>
      </w:r>
    </w:p>
    <w:p>
      <w:pPr>
        <w:pStyle w:val="CaselawNumbereda"/>
        <w:numPr>
          <w:ilvl w:val="0"/>
          <w:numId w:val="51"/>
        </w:numPr>
        <w:spacing w:before="150" w:after="0"/>
        <w:ind w:left="2100" w:hanging="750"/>
      </w:pPr>
      <w:r>
        <w:rPr>
          <w:rFonts w:ascii="Arial"/>
          <w:color w:val="000000"/>
          <w:sz w:val="24"/>
        </w:rPr>
        <w:t xml:space="preserve">The </w:t>
      </w:r>
      <w:r>
        <w:rPr>
          <w:rFonts w:ascii="Arial"/>
          <w:color w:val="000000"/>
          <w:sz w:val="24"/>
        </w:rPr>
        <w:t xml:space="preserve">proximity of footpaths to </w:t>
      </w:r>
      <w:r>
        <w:rPr>
          <w:rFonts w:ascii="Arial"/>
          <w:color w:val="000000"/>
          <w:sz w:val="24"/>
        </w:rPr>
        <w:t>units;</w:t>
      </w:r>
    </w:p>
    <w:p>
      <w:pPr>
        <w:pStyle w:val="CaselawNumbereda"/>
        <w:numPr>
          <w:ilvl w:val="0"/>
          <w:numId w:val="51"/>
        </w:numPr>
        <w:spacing w:before="150" w:after="0"/>
        <w:ind w:left="2100" w:hanging="750"/>
      </w:pPr>
      <w:r>
        <w:rPr>
          <w:rFonts w:ascii="Arial"/>
          <w:color w:val="000000"/>
          <w:sz w:val="24"/>
        </w:rPr>
        <w:t>T</w:t>
      </w:r>
      <w:r>
        <w:rPr>
          <w:rFonts w:ascii="Arial"/>
          <w:color w:val="000000"/>
          <w:sz w:val="24"/>
        </w:rPr>
        <w:t xml:space="preserve">he location and design of the common open </w:t>
      </w:r>
      <w:r>
        <w:rPr>
          <w:rFonts w:ascii="Arial"/>
          <w:color w:val="000000"/>
          <w:sz w:val="24"/>
        </w:rPr>
        <w:t>space;</w:t>
      </w:r>
    </w:p>
    <w:p>
      <w:pPr>
        <w:pStyle w:val="CaselawNumbereda"/>
        <w:numPr>
          <w:ilvl w:val="0"/>
          <w:numId w:val="51"/>
        </w:numPr>
        <w:spacing w:before="150" w:after="0"/>
        <w:ind w:left="2100" w:hanging="750"/>
      </w:pPr>
      <w:r>
        <w:rPr>
          <w:rFonts w:ascii="Arial"/>
          <w:color w:val="000000"/>
          <w:sz w:val="24"/>
        </w:rPr>
        <w:t>C</w:t>
      </w:r>
      <w:r>
        <w:rPr>
          <w:rFonts w:ascii="Arial"/>
          <w:color w:val="000000"/>
          <w:sz w:val="24"/>
        </w:rPr>
        <w:t>ross-</w:t>
      </w:r>
      <w:r>
        <w:rPr>
          <w:rFonts w:ascii="Arial"/>
          <w:color w:val="000000"/>
          <w:sz w:val="24"/>
        </w:rPr>
        <w:t>ventilation;</w:t>
      </w:r>
    </w:p>
    <w:p>
      <w:pPr>
        <w:pStyle w:val="CaselawNumbereda"/>
        <w:numPr>
          <w:ilvl w:val="0"/>
          <w:numId w:val="51"/>
        </w:numPr>
        <w:spacing w:before="150" w:after="0"/>
        <w:ind w:left="2100" w:hanging="750"/>
      </w:pPr>
      <w:r>
        <w:rPr>
          <w:rFonts w:ascii="Arial"/>
          <w:color w:val="000000"/>
          <w:sz w:val="24"/>
        </w:rPr>
        <w:t>C</w:t>
      </w:r>
      <w:r>
        <w:rPr>
          <w:rFonts w:ascii="Arial"/>
          <w:color w:val="000000"/>
          <w:sz w:val="24"/>
        </w:rPr>
        <w:t>eiling heights; and</w:t>
      </w:r>
    </w:p>
    <w:p>
      <w:pPr>
        <w:pStyle w:val="CaselawNumbereda"/>
        <w:numPr>
          <w:ilvl w:val="0"/>
          <w:numId w:val="51"/>
        </w:numPr>
        <w:spacing w:before="150" w:after="0"/>
        <w:ind w:left="2100" w:hanging="750"/>
      </w:pPr>
      <w:r>
        <w:rPr>
          <w:rFonts w:ascii="Arial"/>
          <w:color w:val="000000"/>
          <w:sz w:val="24"/>
        </w:rPr>
        <w:t>O</w:t>
      </w:r>
      <w:r>
        <w:rPr>
          <w:rFonts w:ascii="Arial"/>
          <w:color w:val="000000"/>
          <w:sz w:val="24"/>
        </w:rPr>
        <w:t>verlooking to future development on the residue lot to the east.</w:t>
      </w:r>
    </w:p>
    <w:p>
      <w:pPr>
        <w:pStyle w:val="CaselawNumbered1"/>
        <w:numPr>
          <w:ilvl w:val="0"/>
          <w:numId w:val="52"/>
        </w:numPr>
        <w:spacing w:before="150" w:after="0"/>
        <w:ind w:left="1350" w:hanging="750"/>
      </w:pPr>
      <w:r>
        <w:rPr>
          <w:rFonts w:ascii="Arial"/>
          <w:color w:val="000000"/>
          <w:sz w:val="24"/>
        </w:rPr>
        <w:t>Bulk</w:t>
      </w:r>
      <w:r>
        <w:rPr>
          <w:rFonts w:ascii="Arial"/>
          <w:color w:val="000000"/>
          <w:sz w:val="24"/>
        </w:rPr>
        <w:t xml:space="preserve"> </w:t>
      </w:r>
      <w:r>
        <w:rPr>
          <w:rFonts w:ascii="Arial"/>
          <w:color w:val="000000"/>
          <w:sz w:val="24"/>
        </w:rPr>
        <w:t>and scale, and visual impact, comprising:</w:t>
      </w:r>
    </w:p>
    <w:p>
      <w:pPr>
        <w:pStyle w:val="CaselawNumbereda"/>
        <w:numPr>
          <w:ilvl w:val="0"/>
          <w:numId w:val="53"/>
        </w:numPr>
        <w:spacing w:before="150" w:after="0"/>
        <w:ind w:left="2100" w:hanging="750"/>
      </w:pPr>
      <w:r>
        <w:rPr>
          <w:rFonts w:ascii="Arial"/>
          <w:color w:val="000000"/>
          <w:sz w:val="24"/>
        </w:rPr>
        <w:t>T</w:t>
      </w:r>
      <w:r>
        <w:rPr>
          <w:rFonts w:ascii="Arial"/>
          <w:color w:val="000000"/>
          <w:sz w:val="24"/>
        </w:rPr>
        <w:t xml:space="preserve">he presentation of Building C to the </w:t>
      </w:r>
      <w:r>
        <w:rPr>
          <w:rFonts w:ascii="Arial"/>
          <w:color w:val="000000"/>
          <w:sz w:val="24"/>
        </w:rPr>
        <w:t>street;</w:t>
      </w:r>
    </w:p>
    <w:p>
      <w:pPr>
        <w:pStyle w:val="CaselawNumbereda"/>
        <w:numPr>
          <w:ilvl w:val="0"/>
          <w:numId w:val="53"/>
        </w:numPr>
        <w:spacing w:before="150" w:after="0"/>
        <w:ind w:left="2100" w:hanging="750"/>
      </w:pPr>
      <w:r>
        <w:rPr>
          <w:rFonts w:ascii="Arial"/>
          <w:color w:val="000000"/>
          <w:sz w:val="24"/>
        </w:rPr>
        <w:t>T</w:t>
      </w:r>
      <w:r>
        <w:rPr>
          <w:rFonts w:ascii="Arial"/>
          <w:color w:val="000000"/>
          <w:sz w:val="24"/>
        </w:rPr>
        <w:t xml:space="preserve">he design of the commercial lift between buildings B1 and </w:t>
      </w:r>
      <w:r>
        <w:rPr>
          <w:rFonts w:ascii="Arial"/>
          <w:color w:val="000000"/>
          <w:sz w:val="24"/>
        </w:rPr>
        <w:t>B2;</w:t>
      </w:r>
    </w:p>
    <w:p>
      <w:pPr>
        <w:pStyle w:val="CaselawNumbereda"/>
        <w:numPr>
          <w:ilvl w:val="0"/>
          <w:numId w:val="53"/>
        </w:numPr>
        <w:spacing w:before="150" w:after="0"/>
        <w:ind w:left="2100" w:hanging="750"/>
      </w:pPr>
      <w:r>
        <w:rPr>
          <w:rFonts w:ascii="Arial"/>
          <w:color w:val="000000"/>
          <w:sz w:val="24"/>
        </w:rPr>
        <w:t>T</w:t>
      </w:r>
      <w:r>
        <w:rPr>
          <w:rFonts w:ascii="Arial"/>
          <w:color w:val="000000"/>
          <w:sz w:val="24"/>
        </w:rPr>
        <w:t>he impact of the articulation zone on the presentation of Buildings A1 and A4;</w:t>
      </w:r>
      <w:r>
        <w:rPr>
          <w:rFonts w:ascii="Arial"/>
          <w:color w:val="000000"/>
          <w:sz w:val="24"/>
        </w:rPr>
        <w:t xml:space="preserve"> </w:t>
      </w:r>
      <w:r>
        <w:rPr>
          <w:rFonts w:ascii="Arial"/>
          <w:color w:val="000000"/>
          <w:sz w:val="24"/>
        </w:rPr>
        <w:t>and</w:t>
      </w:r>
    </w:p>
    <w:p>
      <w:pPr>
        <w:pStyle w:val="CaselawNumbereda"/>
        <w:numPr>
          <w:ilvl w:val="0"/>
          <w:numId w:val="53"/>
        </w:numPr>
        <w:spacing w:before="150" w:after="0"/>
        <w:ind w:left="2100" w:hanging="750"/>
      </w:pPr>
      <w:r>
        <w:rPr>
          <w:rFonts w:ascii="Arial"/>
          <w:color w:val="000000"/>
          <w:sz w:val="24"/>
        </w:rPr>
        <w:t>T</w:t>
      </w:r>
      <w:r>
        <w:rPr>
          <w:rFonts w:ascii="Arial"/>
          <w:color w:val="000000"/>
          <w:sz w:val="24"/>
        </w:rPr>
        <w:t>he design of the driveways, parking, loading and garbage areas, and the adequacy of screening and landscaping</w:t>
      </w:r>
      <w:r>
        <w:rPr>
          <w:rFonts w:ascii="Arial"/>
          <w:color w:val="000000"/>
          <w:sz w:val="24"/>
        </w:rPr>
        <w:t>.</w:t>
      </w:r>
    </w:p>
    <w:p>
      <w:pPr>
        <w:pStyle w:val="CaselawNumbered1"/>
        <w:numPr>
          <w:ilvl w:val="0"/>
          <w:numId w:val="54"/>
        </w:numPr>
        <w:spacing w:before="150" w:after="0"/>
        <w:ind w:left="1350" w:hanging="750"/>
      </w:pPr>
      <w:r>
        <w:rPr>
          <w:rFonts w:ascii="Arial"/>
          <w:color w:val="000000"/>
          <w:sz w:val="24"/>
        </w:rPr>
        <w:t>Useability, comprising:</w:t>
      </w:r>
    </w:p>
    <w:p>
      <w:pPr>
        <w:pStyle w:val="CaselawNumbereda"/>
        <w:numPr>
          <w:ilvl w:val="0"/>
          <w:numId w:val="55"/>
        </w:numPr>
        <w:spacing w:before="150" w:after="0"/>
        <w:ind w:left="2100" w:hanging="750"/>
      </w:pPr>
      <w:r>
        <w:rPr>
          <w:rFonts w:ascii="Arial"/>
          <w:color w:val="000000"/>
          <w:sz w:val="24"/>
        </w:rPr>
        <w:t>T</w:t>
      </w:r>
      <w:r>
        <w:rPr>
          <w:rFonts w:ascii="Arial"/>
          <w:color w:val="000000"/>
          <w:sz w:val="24"/>
        </w:rPr>
        <w:t>he means of access from the loading dock to commercial tenancies; and</w:t>
      </w:r>
    </w:p>
    <w:p>
      <w:pPr>
        <w:pStyle w:val="CaselawNumbereda"/>
        <w:numPr>
          <w:ilvl w:val="0"/>
          <w:numId w:val="55"/>
        </w:numPr>
        <w:spacing w:before="150" w:after="0"/>
        <w:ind w:left="2100" w:hanging="750"/>
      </w:pPr>
      <w:r>
        <w:rPr>
          <w:rFonts w:ascii="Arial"/>
          <w:color w:val="000000"/>
          <w:sz w:val="24"/>
        </w:rPr>
        <w:t>T</w:t>
      </w:r>
      <w:r>
        <w:rPr>
          <w:rFonts w:ascii="Arial"/>
          <w:color w:val="000000"/>
          <w:sz w:val="24"/>
        </w:rPr>
        <w:t>he overlapping amenity concerns particularly with respect to the communal open space.</w:t>
      </w:r>
    </w:p>
    <w:p>
      <w:pPr>
        <w:pStyle w:val="CaselawNumbered1"/>
        <w:numPr>
          <w:ilvl w:val="0"/>
          <w:numId w:val="56"/>
        </w:numPr>
        <w:spacing w:before="150" w:after="0"/>
        <w:ind w:left="1350" w:hanging="750"/>
      </w:pPr>
      <w:r>
        <w:rPr>
          <w:rFonts w:ascii="Arial"/>
          <w:color w:val="000000"/>
          <w:sz w:val="24"/>
        </w:rPr>
        <w:t xml:space="preserve">The Respondent submitted that these issues, taken together, </w:t>
      </w:r>
    </w:p>
    <w:p>
      <w:pPr>
        <w:pStyle w:val="CaselawQuote"/>
        <w:spacing w:before="150" w:after="150"/>
        <w:ind w:left="1350"/>
        <w:jc w:val="left"/>
      </w:pPr>
      <w:r>
        <w:rPr>
          <w:rFonts w:ascii="Arial"/>
          <w:color w:val="000000"/>
          <w:sz w:val="22"/>
        </w:rPr>
        <w:t>“</w:t>
      </w:r>
      <w:r>
        <w:rPr>
          <w:rFonts w:ascii="Arial"/>
          <w:color w:val="000000"/>
          <w:sz w:val="22"/>
        </w:rPr>
        <w:t xml:space="preserve">… </w:t>
      </w:r>
      <w:r>
        <w:rPr>
          <w:rFonts w:ascii="Arial"/>
          <w:color w:val="000000"/>
          <w:sz w:val="22"/>
        </w:rPr>
        <w:t>are indicative of a development that is riddled with poor design, which will not provide sufficient amenity for future residents. While a similar better designed development is appropriate for this site, it is not the development the subject of the application. The application should be refused”.</w:t>
      </w:r>
    </w:p>
    <w:p>
      <w:pPr>
        <w:pStyle w:val="CaselawHeading2"/>
        <w:keepNext/>
        <w:spacing w:before="150" w:after="150" w:line="264"/>
        <w:ind w:left="0"/>
        <w:jc w:val="left"/>
      </w:pPr>
      <w:r>
        <w:rPr>
          <w:rFonts w:ascii="Arial"/>
        </w:rPr>
        <w:t xml:space="preserve">The </w:t>
      </w:r>
      <w:r>
        <w:rPr>
          <w:rFonts w:ascii="Arial"/>
        </w:rPr>
        <w:t>Applicant</w:t>
      </w:r>
      <w:r>
        <w:rPr>
          <w:rFonts w:ascii="Arial"/>
        </w:rPr>
        <w:t>’s submission</w:t>
      </w:r>
    </w:p>
    <w:p>
      <w:pPr>
        <w:pStyle w:val="CaselawNumbered10"/>
        <w:numPr>
          <w:ilvl w:val="0"/>
          <w:numId w:val="57"/>
        </w:numPr>
        <w:spacing w:before="150" w:after="0"/>
        <w:ind w:left="600" w:hanging="600"/>
      </w:pPr>
      <w:r>
        <w:rPr>
          <w:rFonts w:ascii="Arial"/>
          <w:color w:val="000000"/>
          <w:sz w:val="24"/>
        </w:rPr>
        <w:t xml:space="preserve">The Applicant </w:t>
      </w:r>
      <w:r>
        <w:rPr>
          <w:rFonts w:ascii="Arial"/>
          <w:color w:val="000000"/>
          <w:sz w:val="24"/>
        </w:rPr>
        <w:t>consider</w:t>
      </w:r>
      <w:r>
        <w:rPr>
          <w:rFonts w:ascii="Arial"/>
          <w:color w:val="000000"/>
          <w:sz w:val="24"/>
        </w:rPr>
        <w:t>ed that the parties had formulated an agreed list of outstanding issues and addressed those issues in its closing submission under the headings of various contentions</w:t>
      </w:r>
      <w:r>
        <w:rPr>
          <w:rFonts w:ascii="Arial"/>
          <w:color w:val="000000"/>
          <w:sz w:val="24"/>
        </w:rPr>
        <w:t>, as follows:</w:t>
      </w:r>
    </w:p>
    <w:p>
      <w:pPr>
        <w:pStyle w:val="CaselawNumbered1"/>
        <w:numPr>
          <w:ilvl w:val="0"/>
          <w:numId w:val="58"/>
        </w:numPr>
        <w:spacing w:before="150" w:after="0"/>
        <w:ind w:left="1350" w:hanging="750"/>
      </w:pPr>
      <w:r>
        <w:rPr>
          <w:rFonts w:ascii="Arial"/>
          <w:color w:val="000000"/>
          <w:sz w:val="24"/>
        </w:rPr>
        <w:t>Contention 3</w:t>
      </w:r>
      <w:r>
        <w:rPr>
          <w:rFonts w:ascii="Arial"/>
          <w:color w:val="000000"/>
          <w:sz w:val="24"/>
        </w:rPr>
        <w:t>(1)</w:t>
      </w:r>
      <w:r>
        <w:rPr>
          <w:rFonts w:ascii="Arial"/>
          <w:color w:val="000000"/>
          <w:sz w:val="24"/>
        </w:rPr>
        <w:t xml:space="preserve"> </w:t>
      </w:r>
      <w:r>
        <w:rPr>
          <w:rFonts w:ascii="Arial"/>
          <w:color w:val="000000"/>
          <w:sz w:val="24"/>
        </w:rPr>
        <w:t xml:space="preserve">– </w:t>
      </w:r>
      <w:r>
        <w:rPr>
          <w:rFonts w:ascii="Arial"/>
          <w:color w:val="000000"/>
          <w:sz w:val="24"/>
        </w:rPr>
        <w:t xml:space="preserve">whether the relationship between building C and the residue lot to the east is acceptable in terms of privacy and bulk and </w:t>
      </w:r>
      <w:r>
        <w:rPr>
          <w:rFonts w:ascii="Arial"/>
          <w:color w:val="000000"/>
          <w:sz w:val="24"/>
        </w:rPr>
        <w:t>scale;</w:t>
      </w:r>
    </w:p>
    <w:p>
      <w:pPr>
        <w:pStyle w:val="CaselawNumbered1"/>
        <w:numPr>
          <w:ilvl w:val="0"/>
          <w:numId w:val="58"/>
        </w:numPr>
        <w:spacing w:before="150" w:after="0"/>
        <w:ind w:left="1350" w:hanging="750"/>
      </w:pPr>
      <w:r>
        <w:rPr>
          <w:rFonts w:ascii="Arial"/>
          <w:color w:val="000000"/>
          <w:sz w:val="24"/>
        </w:rPr>
        <w:t xml:space="preserve">Contention 3(2) </w:t>
      </w:r>
      <w:r>
        <w:rPr>
          <w:rFonts w:ascii="Arial"/>
          <w:color w:val="000000"/>
          <w:sz w:val="24"/>
        </w:rPr>
        <w:t xml:space="preserve">– </w:t>
      </w:r>
      <w:r>
        <w:rPr>
          <w:rFonts w:ascii="Arial"/>
          <w:color w:val="000000"/>
          <w:sz w:val="24"/>
        </w:rPr>
        <w:t xml:space="preserve">whether the relationship between building D and the residue lot to the east is acceptable in terms of privacy and bulk and </w:t>
      </w:r>
      <w:r>
        <w:rPr>
          <w:rFonts w:ascii="Arial"/>
          <w:color w:val="000000"/>
          <w:sz w:val="24"/>
        </w:rPr>
        <w:t>scale;</w:t>
      </w:r>
    </w:p>
    <w:p>
      <w:pPr>
        <w:pStyle w:val="CaselawNumbered1"/>
        <w:numPr>
          <w:ilvl w:val="0"/>
          <w:numId w:val="58"/>
        </w:numPr>
        <w:spacing w:before="150" w:after="0"/>
        <w:ind w:left="1350" w:hanging="750"/>
      </w:pPr>
      <w:r>
        <w:rPr>
          <w:rFonts w:ascii="Arial"/>
          <w:color w:val="000000"/>
          <w:sz w:val="24"/>
        </w:rPr>
        <w:t xml:space="preserve">Contention 3(3) </w:t>
      </w:r>
      <w:r>
        <w:rPr>
          <w:rFonts w:ascii="Arial"/>
          <w:color w:val="000000"/>
          <w:sz w:val="24"/>
        </w:rPr>
        <w:t xml:space="preserve">– </w:t>
      </w:r>
      <w:r>
        <w:rPr>
          <w:rFonts w:ascii="Arial"/>
          <w:color w:val="000000"/>
          <w:sz w:val="24"/>
        </w:rPr>
        <w:t>whether the communal open space:</w:t>
      </w:r>
    </w:p>
    <w:p>
      <w:pPr>
        <w:pStyle w:val="CaselawNumbereda"/>
        <w:numPr>
          <w:ilvl w:val="0"/>
          <w:numId w:val="59"/>
        </w:numPr>
        <w:spacing w:before="150" w:after="0"/>
        <w:ind w:left="2100" w:hanging="750"/>
      </w:pPr>
      <w:r>
        <w:rPr>
          <w:rFonts w:ascii="Arial"/>
          <w:color w:val="000000"/>
          <w:sz w:val="24"/>
        </w:rPr>
        <w:t>For buildings C, D and E achieves solar compliance with Objective 3D-1 of the ADG; and</w:t>
      </w:r>
    </w:p>
    <w:p>
      <w:pPr>
        <w:pStyle w:val="CaselawNumbereda"/>
        <w:numPr>
          <w:ilvl w:val="0"/>
          <w:numId w:val="59"/>
        </w:numPr>
        <w:spacing w:before="150" w:after="0"/>
        <w:ind w:left="2100" w:hanging="750"/>
      </w:pPr>
      <w:r>
        <w:rPr>
          <w:rFonts w:ascii="Arial"/>
          <w:color w:val="000000"/>
          <w:sz w:val="24"/>
        </w:rPr>
        <w:t xml:space="preserve">[will provide] the occupants of Building C with convenient access to usable communal open space that meets the minimum 50% open space </w:t>
      </w:r>
      <w:r>
        <w:rPr>
          <w:rFonts w:ascii="Arial"/>
          <w:color w:val="000000"/>
          <w:sz w:val="24"/>
        </w:rPr>
        <w:t>requirement;</w:t>
      </w:r>
    </w:p>
    <w:p>
      <w:pPr>
        <w:pStyle w:val="CaselawNumbered1"/>
        <w:numPr>
          <w:ilvl w:val="0"/>
          <w:numId w:val="60"/>
        </w:numPr>
        <w:spacing w:before="150" w:after="0"/>
        <w:ind w:left="1350" w:hanging="750"/>
      </w:pPr>
      <w:r>
        <w:rPr>
          <w:rFonts w:ascii="Arial"/>
          <w:color w:val="000000"/>
          <w:sz w:val="24"/>
        </w:rPr>
        <w:t xml:space="preserve">Contention </w:t>
      </w:r>
      <w:r>
        <w:rPr>
          <w:rFonts w:ascii="Arial"/>
          <w:color w:val="000000"/>
          <w:sz w:val="24"/>
        </w:rPr>
        <w:t>3(</w:t>
      </w:r>
      <w:r>
        <w:rPr>
          <w:rFonts w:ascii="Arial"/>
          <w:color w:val="000000"/>
          <w:sz w:val="24"/>
        </w:rPr>
        <w:t>4</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The proximity of the proposed footpaths to ground floor units meets Objective 3F-2 and Objective 4H-1 of the </w:t>
      </w:r>
      <w:r>
        <w:rPr>
          <w:rFonts w:ascii="Arial"/>
          <w:color w:val="000000"/>
          <w:sz w:val="24"/>
        </w:rPr>
        <w:t>ADG;</w:t>
      </w:r>
    </w:p>
    <w:p>
      <w:pPr>
        <w:pStyle w:val="CaselawNumbered1"/>
        <w:numPr>
          <w:ilvl w:val="0"/>
          <w:numId w:val="60"/>
        </w:numPr>
        <w:spacing w:before="150" w:after="0"/>
        <w:ind w:left="1350" w:hanging="750"/>
      </w:pPr>
      <w:r>
        <w:rPr>
          <w:rFonts w:ascii="Arial"/>
          <w:color w:val="000000"/>
          <w:sz w:val="24"/>
        </w:rPr>
        <w:t xml:space="preserve">Contention </w:t>
      </w:r>
      <w:r>
        <w:rPr>
          <w:rFonts w:ascii="Arial"/>
          <w:color w:val="000000"/>
          <w:sz w:val="24"/>
        </w:rPr>
        <w:t>3(</w:t>
      </w:r>
      <w:r>
        <w:rPr>
          <w:rFonts w:ascii="Arial"/>
          <w:color w:val="000000"/>
          <w:sz w:val="24"/>
        </w:rPr>
        <w:t>5</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W</w:t>
      </w:r>
      <w:r>
        <w:rPr>
          <w:rFonts w:ascii="Arial"/>
          <w:color w:val="000000"/>
          <w:sz w:val="24"/>
        </w:rPr>
        <w:t xml:space="preserve">hether the </w:t>
      </w:r>
      <w:r>
        <w:rPr>
          <w:rFonts w:ascii="Arial"/>
          <w:color w:val="000000"/>
          <w:sz w:val="24"/>
        </w:rPr>
        <w:t xml:space="preserve">proposed commercial lift between building B1/B2 integrates with the built form </w:t>
      </w:r>
      <w:r>
        <w:rPr>
          <w:rFonts w:ascii="Arial"/>
          <w:color w:val="000000"/>
          <w:sz w:val="24"/>
        </w:rPr>
        <w:t>acceptably;</w:t>
      </w:r>
    </w:p>
    <w:p>
      <w:pPr>
        <w:pStyle w:val="CaselawNumbered1"/>
        <w:numPr>
          <w:ilvl w:val="0"/>
          <w:numId w:val="60"/>
        </w:numPr>
        <w:spacing w:before="150" w:after="0"/>
        <w:ind w:left="1350" w:hanging="750"/>
      </w:pPr>
      <w:r>
        <w:rPr>
          <w:rFonts w:ascii="Arial"/>
          <w:color w:val="000000"/>
          <w:sz w:val="24"/>
        </w:rPr>
        <w:t xml:space="preserve">Contention </w:t>
      </w:r>
      <w:r>
        <w:rPr>
          <w:rFonts w:ascii="Arial"/>
          <w:color w:val="000000"/>
          <w:sz w:val="24"/>
        </w:rPr>
        <w:t>3(</w:t>
      </w:r>
      <w:r>
        <w:rPr>
          <w:rFonts w:ascii="Arial"/>
          <w:color w:val="000000"/>
          <w:sz w:val="24"/>
        </w:rPr>
        <w:t>6</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 xml:space="preserve">Whether adequate cross-ventilation is provided to the corridors on levels 2-4 on Buildings A1-A4 and Building E to achieve compliance with Objective 4F of the ADG. Additional windows may need to be provided to Buildings D1 and </w:t>
      </w:r>
      <w:r>
        <w:rPr>
          <w:rFonts w:ascii="Arial"/>
          <w:color w:val="000000"/>
          <w:sz w:val="24"/>
        </w:rPr>
        <w:t>D2;</w:t>
      </w:r>
    </w:p>
    <w:p>
      <w:pPr>
        <w:pStyle w:val="CaselawNumbered1"/>
        <w:numPr>
          <w:ilvl w:val="0"/>
          <w:numId w:val="60"/>
        </w:numPr>
        <w:spacing w:before="150" w:after="0"/>
        <w:ind w:left="1350" w:hanging="750"/>
      </w:pPr>
      <w:r>
        <w:rPr>
          <w:rFonts w:ascii="Arial"/>
          <w:color w:val="000000"/>
          <w:sz w:val="24"/>
        </w:rPr>
        <w:t xml:space="preserve">Contention 3(7) </w:t>
      </w:r>
      <w:r>
        <w:rPr>
          <w:rFonts w:ascii="Arial"/>
          <w:color w:val="000000"/>
          <w:sz w:val="24"/>
        </w:rPr>
        <w:t>–</w:t>
      </w:r>
      <w:r>
        <w:rPr>
          <w:rFonts w:ascii="Arial"/>
          <w:color w:val="000000"/>
          <w:sz w:val="24"/>
        </w:rPr>
        <w:t xml:space="preserve"> </w:t>
      </w:r>
      <w:r>
        <w:rPr>
          <w:rFonts w:ascii="Arial"/>
          <w:color w:val="000000"/>
          <w:sz w:val="24"/>
        </w:rPr>
        <w:t xml:space="preserve">Whether Buildings A1-A4 comply with Section 4C </w:t>
      </w:r>
      <w:r>
        <w:rPr>
          <w:rFonts w:ascii="Arial"/>
          <w:color w:val="000000"/>
          <w:sz w:val="24"/>
        </w:rPr>
        <w:t xml:space="preserve">– </w:t>
      </w:r>
      <w:r>
        <w:rPr>
          <w:rFonts w:ascii="Arial"/>
          <w:color w:val="000000"/>
          <w:sz w:val="24"/>
        </w:rPr>
        <w:t xml:space="preserve">Ceiling Height, under the ADG and the NCC requirements, in respect of the floor to height in the living areas immediately below </w:t>
      </w:r>
      <w:r>
        <w:rPr>
          <w:rFonts w:ascii="Arial"/>
          <w:color w:val="000000"/>
          <w:sz w:val="24"/>
        </w:rPr>
        <w:t>bathrooms;</w:t>
      </w:r>
    </w:p>
    <w:p>
      <w:pPr>
        <w:pStyle w:val="CaselawNumbered1"/>
        <w:numPr>
          <w:ilvl w:val="0"/>
          <w:numId w:val="60"/>
        </w:numPr>
        <w:spacing w:before="150" w:after="0"/>
        <w:ind w:left="1350" w:hanging="750"/>
      </w:pPr>
      <w:r>
        <w:rPr>
          <w:rFonts w:ascii="Arial"/>
          <w:color w:val="000000"/>
          <w:sz w:val="24"/>
        </w:rPr>
        <w:t xml:space="preserve">Contention 3(8) </w:t>
      </w:r>
      <w:r>
        <w:rPr>
          <w:rFonts w:ascii="Arial"/>
          <w:color w:val="000000"/>
          <w:sz w:val="24"/>
        </w:rPr>
        <w:t>–</w:t>
      </w:r>
      <w:r>
        <w:rPr>
          <w:rFonts w:ascii="Arial"/>
          <w:color w:val="000000"/>
          <w:sz w:val="24"/>
        </w:rPr>
        <w:t xml:space="preserve"> </w:t>
      </w:r>
      <w:r>
        <w:rPr>
          <w:rFonts w:ascii="Arial"/>
          <w:color w:val="000000"/>
          <w:sz w:val="24"/>
        </w:rPr>
        <w:t xml:space="preserve">Whether the building separation between D2.101 and D2.201 and Building C is </w:t>
      </w:r>
      <w:r>
        <w:rPr>
          <w:rFonts w:ascii="Arial"/>
          <w:color w:val="000000"/>
          <w:sz w:val="24"/>
        </w:rPr>
        <w:t>sufficient;</w:t>
      </w:r>
    </w:p>
    <w:p>
      <w:pPr>
        <w:pStyle w:val="CaselawNumbered1"/>
        <w:numPr>
          <w:ilvl w:val="0"/>
          <w:numId w:val="60"/>
        </w:numPr>
        <w:spacing w:before="150" w:after="0"/>
        <w:ind w:left="1350" w:hanging="750"/>
      </w:pPr>
      <w:r>
        <w:rPr>
          <w:rFonts w:ascii="Arial"/>
          <w:color w:val="000000"/>
          <w:sz w:val="24"/>
        </w:rPr>
        <w:t xml:space="preserve">Contention 3(9) </w:t>
      </w:r>
      <w:r>
        <w:rPr>
          <w:rFonts w:ascii="Arial"/>
          <w:color w:val="000000"/>
          <w:sz w:val="24"/>
        </w:rPr>
        <w:t>–</w:t>
      </w:r>
      <w:r>
        <w:rPr>
          <w:rFonts w:ascii="Arial"/>
          <w:color w:val="000000"/>
          <w:sz w:val="24"/>
        </w:rPr>
        <w:t xml:space="preserve"> </w:t>
      </w:r>
      <w:r>
        <w:rPr>
          <w:rFonts w:ascii="Arial"/>
          <w:color w:val="000000"/>
          <w:sz w:val="24"/>
        </w:rPr>
        <w:t>Whether:</w:t>
      </w:r>
    </w:p>
    <w:p>
      <w:pPr>
        <w:pStyle w:val="CaselawNumbereda"/>
        <w:numPr>
          <w:ilvl w:val="0"/>
          <w:numId w:val="61"/>
        </w:numPr>
        <w:spacing w:before="150" w:after="0"/>
        <w:ind w:left="2100" w:hanging="750"/>
      </w:pPr>
      <w:r>
        <w:rPr>
          <w:rFonts w:ascii="Arial"/>
          <w:color w:val="000000"/>
          <w:sz w:val="24"/>
        </w:rPr>
        <w:t>There is sufficient separation between units D1.102-104 and D2.101-103 to the stairwell and the lifts opposite the internal bedrooms; and</w:t>
      </w:r>
    </w:p>
    <w:p>
      <w:pPr>
        <w:pStyle w:val="CaselawNumbereda"/>
        <w:numPr>
          <w:ilvl w:val="0"/>
          <w:numId w:val="61"/>
        </w:numPr>
        <w:spacing w:before="150" w:after="0"/>
        <w:ind w:left="2100" w:hanging="750"/>
      </w:pPr>
      <w:r>
        <w:rPr>
          <w:rFonts w:ascii="Arial"/>
          <w:color w:val="000000"/>
          <w:sz w:val="24"/>
        </w:rPr>
        <w:t xml:space="preserve">That separation will have an adverse </w:t>
      </w:r>
      <w:r>
        <w:rPr>
          <w:rFonts w:ascii="Arial"/>
          <w:color w:val="000000"/>
          <w:sz w:val="24"/>
        </w:rPr>
        <w:t>impact;</w:t>
      </w:r>
    </w:p>
    <w:p>
      <w:pPr>
        <w:pStyle w:val="CaselawNumbered1"/>
        <w:numPr>
          <w:ilvl w:val="0"/>
          <w:numId w:val="62"/>
        </w:numPr>
        <w:spacing w:before="150" w:after="0"/>
        <w:ind w:left="1350" w:hanging="750"/>
      </w:pPr>
      <w:r>
        <w:rPr>
          <w:rFonts w:ascii="Arial"/>
          <w:color w:val="000000"/>
          <w:sz w:val="24"/>
        </w:rPr>
        <w:t xml:space="preserve">Contention 3(11) </w:t>
      </w:r>
      <w:r>
        <w:rPr>
          <w:rFonts w:ascii="Arial"/>
          <w:color w:val="000000"/>
          <w:sz w:val="24"/>
        </w:rPr>
        <w:t>–</w:t>
      </w:r>
      <w:r>
        <w:rPr>
          <w:rFonts w:ascii="Arial"/>
          <w:color w:val="000000"/>
          <w:sz w:val="24"/>
        </w:rPr>
        <w:t xml:space="preserve"> </w:t>
      </w:r>
      <w:r>
        <w:rPr>
          <w:rFonts w:ascii="Arial"/>
          <w:color w:val="000000"/>
          <w:sz w:val="24"/>
        </w:rPr>
        <w:t xml:space="preserve">Whether the articulation zone in the setback </w:t>
      </w:r>
      <w:r>
        <w:rPr>
          <w:rFonts w:ascii="Arial"/>
          <w:color w:val="000000"/>
          <w:sz w:val="24"/>
        </w:rPr>
        <w:t xml:space="preserve">of Buildings A1 to A4 are </w:t>
      </w:r>
      <w:r>
        <w:rPr>
          <w:rFonts w:ascii="Arial"/>
          <w:color w:val="000000"/>
          <w:sz w:val="24"/>
        </w:rPr>
        <w:t>acceptable;</w:t>
      </w:r>
    </w:p>
    <w:p>
      <w:pPr>
        <w:pStyle w:val="CaselawNumbered1"/>
        <w:numPr>
          <w:ilvl w:val="0"/>
          <w:numId w:val="62"/>
        </w:numPr>
        <w:spacing w:before="150" w:after="0"/>
        <w:ind w:left="1350" w:hanging="750"/>
      </w:pPr>
      <w:r>
        <w:rPr>
          <w:rFonts w:ascii="Arial"/>
          <w:color w:val="000000"/>
          <w:sz w:val="24"/>
        </w:rPr>
        <w:t xml:space="preserve">Contention 3(12) </w:t>
      </w:r>
      <w:r>
        <w:rPr>
          <w:rFonts w:ascii="Arial"/>
          <w:color w:val="000000"/>
          <w:sz w:val="24"/>
        </w:rPr>
        <w:t xml:space="preserve">– </w:t>
      </w:r>
      <w:r>
        <w:rPr>
          <w:rFonts w:ascii="Arial"/>
          <w:color w:val="000000"/>
          <w:sz w:val="24"/>
        </w:rPr>
        <w:t xml:space="preserve">Whether the entry to Buildings D and E is appropriate in circumstances where the ADG provides that entry locations should relate to the street and address the public </w:t>
      </w:r>
      <w:r>
        <w:rPr>
          <w:rFonts w:ascii="Arial"/>
          <w:color w:val="000000"/>
          <w:sz w:val="24"/>
        </w:rPr>
        <w:t>domain;</w:t>
      </w:r>
    </w:p>
    <w:p>
      <w:pPr>
        <w:pStyle w:val="CaselawNumbered1"/>
        <w:numPr>
          <w:ilvl w:val="0"/>
          <w:numId w:val="62"/>
        </w:numPr>
        <w:spacing w:before="150" w:after="0"/>
        <w:ind w:left="1350" w:hanging="750"/>
      </w:pPr>
      <w:r>
        <w:rPr>
          <w:rFonts w:ascii="Arial"/>
          <w:color w:val="000000"/>
          <w:sz w:val="24"/>
        </w:rPr>
        <w:t xml:space="preserve">Contention 4(13) </w:t>
      </w:r>
      <w:r>
        <w:rPr>
          <w:rFonts w:ascii="Arial"/>
          <w:color w:val="000000"/>
          <w:sz w:val="24"/>
        </w:rPr>
        <w:t xml:space="preserve">– </w:t>
      </w:r>
      <w:r>
        <w:rPr>
          <w:rFonts w:ascii="Arial"/>
          <w:color w:val="000000"/>
          <w:sz w:val="24"/>
        </w:rPr>
        <w:t xml:space="preserve">Whether there is convenient and appropriate access from the loading dock to the commercial </w:t>
      </w:r>
      <w:r>
        <w:rPr>
          <w:rFonts w:ascii="Arial"/>
          <w:color w:val="000000"/>
          <w:sz w:val="24"/>
        </w:rPr>
        <w:t>tenancies;</w:t>
      </w:r>
    </w:p>
    <w:p>
      <w:pPr>
        <w:pStyle w:val="CaselawNumbered1"/>
        <w:numPr>
          <w:ilvl w:val="0"/>
          <w:numId w:val="62"/>
        </w:numPr>
        <w:spacing w:before="150" w:after="0"/>
        <w:ind w:left="1350" w:hanging="750"/>
      </w:pPr>
      <w:r>
        <w:rPr>
          <w:rFonts w:ascii="Arial"/>
          <w:color w:val="000000"/>
          <w:sz w:val="24"/>
        </w:rPr>
        <w:t xml:space="preserve">Contention 5(14) </w:t>
      </w:r>
      <w:r>
        <w:rPr>
          <w:rFonts w:ascii="Arial"/>
          <w:color w:val="000000"/>
          <w:sz w:val="24"/>
        </w:rPr>
        <w:t xml:space="preserve">– </w:t>
      </w:r>
      <w:r>
        <w:rPr>
          <w:rFonts w:ascii="Arial"/>
          <w:color w:val="000000"/>
          <w:sz w:val="24"/>
        </w:rPr>
        <w:t xml:space="preserve">Whether the design should have driveways wholly integrated within the </w:t>
      </w:r>
      <w:r>
        <w:rPr>
          <w:rFonts w:ascii="Arial"/>
          <w:color w:val="000000"/>
          <w:sz w:val="24"/>
        </w:rPr>
        <w:t>building;</w:t>
      </w:r>
    </w:p>
    <w:p>
      <w:pPr>
        <w:pStyle w:val="CaselawNumbered1"/>
        <w:numPr>
          <w:ilvl w:val="0"/>
          <w:numId w:val="62"/>
        </w:numPr>
        <w:spacing w:before="150" w:after="0"/>
        <w:ind w:left="1350" w:hanging="750"/>
      </w:pPr>
      <w:r>
        <w:rPr>
          <w:rFonts w:ascii="Arial"/>
          <w:color w:val="000000"/>
          <w:sz w:val="24"/>
        </w:rPr>
        <w:t xml:space="preserve">Contention 5(15) </w:t>
      </w:r>
      <w:r>
        <w:rPr>
          <w:rFonts w:ascii="Arial"/>
          <w:color w:val="000000"/>
          <w:sz w:val="24"/>
        </w:rPr>
        <w:t>–</w:t>
      </w:r>
      <w:r>
        <w:rPr>
          <w:rFonts w:ascii="Arial"/>
          <w:color w:val="000000"/>
          <w:sz w:val="24"/>
        </w:rPr>
        <w:t xml:space="preserve"> </w:t>
      </w:r>
      <w:r>
        <w:rPr>
          <w:rFonts w:ascii="Arial"/>
          <w:color w:val="000000"/>
          <w:sz w:val="24"/>
        </w:rPr>
        <w:t xml:space="preserve">Whether the landscaping between building A, the pathway and the retail spaces visible to the street are adequate to soften the visual impact of the hardstand and the </w:t>
      </w:r>
      <w:r>
        <w:rPr>
          <w:rFonts w:ascii="Arial"/>
          <w:color w:val="000000"/>
          <w:sz w:val="24"/>
        </w:rPr>
        <w:t>wall;</w:t>
      </w:r>
    </w:p>
    <w:p>
      <w:pPr>
        <w:pStyle w:val="CaselawNumbered1"/>
        <w:numPr>
          <w:ilvl w:val="0"/>
          <w:numId w:val="62"/>
        </w:numPr>
        <w:spacing w:before="150" w:after="0"/>
        <w:ind w:left="1350" w:hanging="750"/>
      </w:pPr>
      <w:r>
        <w:rPr>
          <w:rFonts w:ascii="Arial"/>
          <w:color w:val="000000"/>
          <w:sz w:val="24"/>
        </w:rPr>
        <w:t xml:space="preserve">Contention 5(16) </w:t>
      </w:r>
      <w:r>
        <w:rPr>
          <w:rFonts w:ascii="Arial"/>
          <w:color w:val="000000"/>
          <w:sz w:val="24"/>
        </w:rPr>
        <w:t xml:space="preserve">– </w:t>
      </w:r>
      <w:r>
        <w:rPr>
          <w:rFonts w:ascii="Arial"/>
          <w:color w:val="000000"/>
          <w:sz w:val="24"/>
        </w:rPr>
        <w:t>Whether:</w:t>
      </w:r>
    </w:p>
    <w:p>
      <w:pPr>
        <w:pStyle w:val="CaselawNumbereda"/>
        <w:numPr>
          <w:ilvl w:val="0"/>
          <w:numId w:val="63"/>
        </w:numPr>
        <w:spacing w:before="150" w:after="0"/>
        <w:ind w:left="2100" w:hanging="750"/>
      </w:pPr>
      <w:r>
        <w:rPr>
          <w:rFonts w:ascii="Arial"/>
          <w:color w:val="000000"/>
          <w:sz w:val="24"/>
        </w:rPr>
        <w:t>The loading and garbage areas have an adverse visual impact when viewed from the streetscape; and</w:t>
      </w:r>
    </w:p>
    <w:p>
      <w:pPr>
        <w:pStyle w:val="CaselawNumbereda"/>
        <w:numPr>
          <w:ilvl w:val="0"/>
          <w:numId w:val="63"/>
        </w:numPr>
        <w:spacing w:before="150" w:after="0"/>
        <w:ind w:left="2100" w:hanging="750"/>
      </w:pPr>
      <w:r>
        <w:rPr>
          <w:rFonts w:ascii="Arial"/>
          <w:color w:val="000000"/>
          <w:sz w:val="24"/>
        </w:rPr>
        <w:t>The screening of those areas is adequate.</w:t>
      </w:r>
    </w:p>
    <w:p>
      <w:pPr>
        <w:pStyle w:val="CaselawNumbered10"/>
        <w:numPr>
          <w:ilvl w:val="0"/>
          <w:numId w:val="64"/>
        </w:numPr>
        <w:spacing w:before="150" w:after="0"/>
        <w:ind w:left="600" w:hanging="600"/>
      </w:pPr>
      <w:r>
        <w:rPr>
          <w:rFonts w:ascii="Arial"/>
          <w:color w:val="000000"/>
          <w:sz w:val="24"/>
        </w:rPr>
        <w:t xml:space="preserve">The Applicant concluded that </w:t>
      </w:r>
      <w:r>
        <w:rPr>
          <w:rFonts w:ascii="Arial"/>
          <w:color w:val="000000"/>
          <w:sz w:val="24"/>
        </w:rPr>
        <w:t>“</w:t>
      </w:r>
      <w:r>
        <w:rPr>
          <w:rFonts w:ascii="Arial"/>
          <w:color w:val="000000"/>
          <w:sz w:val="24"/>
        </w:rPr>
        <w:t>the proposal, as amended, is a well-considered development that will deliver some 214 residential dwellings to market, including substantial affordable housing</w:t>
      </w:r>
      <w:r>
        <w:rPr>
          <w:rFonts w:ascii="Arial"/>
          <w:color w:val="000000"/>
          <w:sz w:val="24"/>
        </w:rPr>
        <w:t>.</w:t>
      </w:r>
      <w:r>
        <w:rPr>
          <w:rFonts w:ascii="Arial"/>
          <w:color w:val="000000"/>
          <w:sz w:val="24"/>
        </w:rPr>
        <w:t xml:space="preserve">” </w:t>
      </w:r>
    </w:p>
    <w:p>
      <w:pPr>
        <w:pStyle w:val="CaselawNumbered10"/>
        <w:numPr>
          <w:ilvl w:val="0"/>
          <w:numId w:val="64"/>
        </w:numPr>
        <w:spacing w:before="150" w:after="0"/>
        <w:ind w:left="600" w:hanging="600"/>
      </w:pPr>
      <w:r>
        <w:rPr>
          <w:rFonts w:ascii="Arial"/>
          <w:color w:val="000000"/>
          <w:sz w:val="24"/>
        </w:rPr>
        <w:t>Further, the Applicant submitted that the Court uphold the appeal, for the following reasons:</w:t>
      </w:r>
    </w:p>
    <w:p>
      <w:pPr>
        <w:pStyle w:val="CaselawQuote"/>
        <w:spacing w:before="150" w:after="150"/>
        <w:ind w:left="1350"/>
        <w:jc w:val="left"/>
      </w:pPr>
      <w:r>
        <w:rPr>
          <w:rFonts w:ascii="Arial"/>
          <w:color w:val="000000"/>
          <w:sz w:val="22"/>
        </w:rPr>
        <w:t>“</w:t>
      </w:r>
      <w:r>
        <w:rPr>
          <w:rFonts w:ascii="Arial"/>
          <w:color w:val="000000"/>
          <w:sz w:val="22"/>
        </w:rPr>
        <w:t>Council</w:t>
      </w:r>
      <w:r>
        <w:rPr>
          <w:rFonts w:ascii="Arial"/>
          <w:color w:val="000000"/>
          <w:sz w:val="22"/>
        </w:rPr>
        <w:t>’</w:t>
      </w:r>
      <w:r>
        <w:rPr>
          <w:rFonts w:ascii="Arial"/>
          <w:color w:val="000000"/>
          <w:sz w:val="22"/>
        </w:rPr>
        <w:t>s concerns have been reduced to the</w:t>
      </w:r>
      <w:r>
        <w:rPr>
          <w:rFonts w:ascii="Arial"/>
          <w:color w:val="000000"/>
          <w:sz w:val="22"/>
        </w:rPr>
        <w:t xml:space="preserve"> </w:t>
      </w:r>
      <w:r>
        <w:rPr>
          <w:rFonts w:ascii="Arial"/>
          <w:color w:val="000000"/>
          <w:sz w:val="22"/>
        </w:rPr>
        <w:t xml:space="preserve">minutia </w:t>
      </w:r>
      <w:r>
        <w:rPr>
          <w:rFonts w:ascii="Arial"/>
          <w:color w:val="000000"/>
          <w:sz w:val="22"/>
        </w:rPr>
        <w:t xml:space="preserve">through a number of </w:t>
      </w:r>
      <w:r>
        <w:rPr>
          <w:rFonts w:ascii="Arial"/>
          <w:color w:val="000000"/>
          <w:sz w:val="22"/>
        </w:rPr>
        <w:t>iterations;</w:t>
      </w:r>
    </w:p>
    <w:p>
      <w:pPr>
        <w:pStyle w:val="CaselawQuote"/>
        <w:spacing w:before="150" w:after="150"/>
        <w:ind w:left="1350"/>
        <w:jc w:val="left"/>
      </w:pPr>
      <w:r>
        <w:rPr>
          <w:rFonts w:ascii="Arial"/>
          <w:color w:val="000000"/>
          <w:sz w:val="22"/>
        </w:rPr>
        <w:t>The Applicant has attempted to resolve as many of the issues as possible, and invites conditions as identified in its submission to further refine the design, responsive to the Council</w:t>
      </w:r>
      <w:r>
        <w:rPr>
          <w:rFonts w:ascii="Arial"/>
          <w:color w:val="000000"/>
          <w:sz w:val="22"/>
        </w:rPr>
        <w:t>’</w:t>
      </w:r>
      <w:r>
        <w:rPr>
          <w:rFonts w:ascii="Arial"/>
          <w:color w:val="000000"/>
          <w:sz w:val="22"/>
        </w:rPr>
        <w:t xml:space="preserve">s </w:t>
      </w:r>
      <w:r>
        <w:rPr>
          <w:rFonts w:ascii="Arial"/>
          <w:color w:val="000000"/>
          <w:sz w:val="22"/>
        </w:rPr>
        <w:t>concerns;</w:t>
      </w:r>
    </w:p>
    <w:p>
      <w:pPr>
        <w:pStyle w:val="CaselawQuote"/>
        <w:spacing w:before="150" w:after="150"/>
        <w:ind w:left="1350"/>
        <w:jc w:val="left"/>
      </w:pPr>
      <w:r>
        <w:rPr>
          <w:rFonts w:ascii="Arial"/>
          <w:color w:val="000000"/>
          <w:sz w:val="22"/>
        </w:rPr>
        <w:t>None of the issues pressed by Council are matters that should lead to refusal, rather they identify other preferred design options</w:t>
      </w:r>
      <w:r>
        <w:rPr>
          <w:rFonts w:ascii="Arial"/>
          <w:color w:val="000000"/>
          <w:sz w:val="22"/>
        </w:rPr>
        <w:t>; and</w:t>
      </w:r>
      <w:r>
        <w:rPr>
          <w:rFonts w:ascii="Arial"/>
          <w:color w:val="000000"/>
          <w:sz w:val="22"/>
        </w:rPr>
        <w:t xml:space="preserve"> </w:t>
      </w:r>
    </w:p>
    <w:p>
      <w:pPr>
        <w:pStyle w:val="CaselawQuote"/>
        <w:spacing w:before="150" w:after="150"/>
        <w:ind w:left="1350"/>
        <w:jc w:val="left"/>
      </w:pPr>
      <w:r>
        <w:rPr>
          <w:rFonts w:ascii="Arial"/>
          <w:color w:val="000000"/>
          <w:sz w:val="22"/>
        </w:rPr>
        <w:t>In this instance, the proposal is an acceptable design that will provide housing with acceptable amenity and good design</w:t>
      </w:r>
      <w:r>
        <w:rPr>
          <w:rFonts w:ascii="Arial"/>
          <w:color w:val="000000"/>
          <w:sz w:val="22"/>
        </w:rPr>
        <w:t>.</w:t>
      </w:r>
      <w:r>
        <w:rPr>
          <w:rFonts w:ascii="Arial"/>
          <w:color w:val="000000"/>
          <w:sz w:val="22"/>
        </w:rPr>
        <w:t>”</w:t>
      </w:r>
    </w:p>
    <w:p>
      <w:pPr>
        <w:pStyle w:val="CaselawNumbered10"/>
        <w:numPr>
          <w:ilvl w:val="0"/>
          <w:numId w:val="65"/>
        </w:numPr>
        <w:spacing w:before="150" w:after="0"/>
        <w:ind w:left="600" w:hanging="600"/>
      </w:pPr>
      <w:r>
        <w:rPr>
          <w:rFonts w:ascii="Arial"/>
          <w:color w:val="000000"/>
          <w:sz w:val="24"/>
        </w:rPr>
        <w:t xml:space="preserve">The Applicant has provided in the Draft Conditions of Consent the following </w:t>
      </w:r>
      <w:r>
        <w:rPr>
          <w:rFonts w:ascii="Arial"/>
          <w:color w:val="000000"/>
          <w:sz w:val="24"/>
        </w:rPr>
        <w:t xml:space="preserve">condition requiring </w:t>
      </w:r>
      <w:r>
        <w:rPr>
          <w:rFonts w:ascii="Arial"/>
          <w:color w:val="000000"/>
          <w:sz w:val="24"/>
        </w:rPr>
        <w:t xml:space="preserve">detailed </w:t>
      </w:r>
      <w:r>
        <w:rPr>
          <w:rFonts w:ascii="Arial"/>
          <w:color w:val="000000"/>
          <w:sz w:val="24"/>
        </w:rPr>
        <w:t>amendments to the further amended DA</w:t>
      </w:r>
      <w:r>
        <w:rPr>
          <w:rFonts w:ascii="Arial"/>
          <w:color w:val="000000"/>
          <w:sz w:val="24"/>
        </w:rPr>
        <w:t>, to address the remaining contentions, as follows:</w:t>
      </w:r>
    </w:p>
    <w:p>
      <w:pPr>
        <w:pStyle w:val="CaselawQuote"/>
        <w:spacing w:before="150" w:after="150"/>
        <w:ind w:left="1350"/>
        <w:jc w:val="left"/>
      </w:pPr>
      <w:r>
        <w:rPr>
          <w:rFonts w:ascii="Arial"/>
          <w:color w:val="000000"/>
          <w:sz w:val="22"/>
        </w:rPr>
        <w:t>“16. Prior to the issue of a construction certificate amended plans shall be provided to the satisfaction of Council’s Principal Planner that includes but not limited the following elements of the design:</w:t>
      </w:r>
    </w:p>
    <w:p>
      <w:pPr>
        <w:pStyle w:val="CaselawQuote0"/>
        <w:spacing w:before="150" w:after="150"/>
        <w:ind w:left="2100"/>
        <w:jc w:val="left"/>
      </w:pPr>
      <w:r>
        <w:rPr>
          <w:rFonts w:ascii="Arial"/>
          <w:color w:val="000000"/>
          <w:sz w:val="22"/>
        </w:rPr>
        <w:t xml:space="preserve">(a) Amended architectural plans shall be provided to address the following: </w:t>
      </w:r>
    </w:p>
    <w:p>
      <w:pPr>
        <w:pStyle w:val="CaselawQuote1"/>
        <w:spacing w:before="150" w:after="150"/>
        <w:ind w:left="2850"/>
        <w:jc w:val="left"/>
      </w:pPr>
      <w:r>
        <w:rPr>
          <w:rFonts w:ascii="Arial"/>
          <w:color w:val="000000"/>
          <w:sz w:val="22"/>
        </w:rPr>
        <w:t xml:space="preserve">1. Fire boosters should be enclosed in a cupboard design to match the architectural style and materials of the development. </w:t>
      </w:r>
    </w:p>
    <w:p>
      <w:pPr>
        <w:pStyle w:val="CaselawQuote1"/>
        <w:spacing w:before="150" w:after="150"/>
        <w:ind w:left="2850"/>
        <w:jc w:val="left"/>
      </w:pPr>
      <w:r>
        <w:rPr>
          <w:rFonts w:ascii="Arial"/>
          <w:color w:val="000000"/>
          <w:sz w:val="22"/>
        </w:rPr>
        <w:t xml:space="preserve">2. Ground floor courtyard walls of units D1.UG101 - 104, facing the communal open space in Building D, should adopt fence type 4 as shown on fencing plan TP04.22. </w:t>
      </w:r>
    </w:p>
    <w:p>
      <w:pPr>
        <w:pStyle w:val="CaselawQuote1"/>
        <w:spacing w:before="150" w:after="150"/>
        <w:ind w:left="2850"/>
        <w:jc w:val="left"/>
      </w:pPr>
      <w:r>
        <w:rPr>
          <w:rFonts w:ascii="Arial"/>
          <w:color w:val="000000"/>
          <w:sz w:val="22"/>
        </w:rPr>
        <w:t xml:space="preserve">3. Units EUG106-107 in Building E should provide fencing in the location shown in plan TP04.22 for the east facing courtyards, adopting fence type 4 shown in TP 04.22. </w:t>
      </w:r>
    </w:p>
    <w:p>
      <w:pPr>
        <w:pStyle w:val="CaselawQuote1"/>
        <w:spacing w:before="150" w:after="150"/>
        <w:ind w:left="2850"/>
        <w:jc w:val="left"/>
      </w:pPr>
      <w:r>
        <w:rPr>
          <w:rFonts w:ascii="Arial"/>
          <w:color w:val="000000"/>
          <w:sz w:val="22"/>
        </w:rPr>
        <w:t xml:space="preserve">4. The development is to comply with a minimum of 2.7m floor to ceiling height for residential habitable spaces, and 2.4m floor to ceiling height for non-residential spaces. For abundant caution, this condition does not authorise an increase in the overall height of the buildings. </w:t>
      </w:r>
    </w:p>
    <w:p>
      <w:pPr>
        <w:pStyle w:val="CaselawQuote1"/>
        <w:spacing w:before="150" w:after="150"/>
        <w:ind w:left="2850"/>
        <w:jc w:val="left"/>
      </w:pPr>
      <w:r>
        <w:rPr>
          <w:rFonts w:ascii="Arial"/>
          <w:color w:val="000000"/>
          <w:sz w:val="22"/>
        </w:rPr>
        <w:t xml:space="preserve">5. An updated material and finishes plan is to be prepared. </w:t>
      </w:r>
    </w:p>
    <w:p>
      <w:pPr>
        <w:pStyle w:val="CaselawQuote1"/>
        <w:spacing w:before="150" w:after="150"/>
        <w:ind w:left="2850"/>
        <w:jc w:val="left"/>
      </w:pPr>
      <w:r>
        <w:rPr>
          <w:rFonts w:ascii="Arial"/>
          <w:color w:val="000000"/>
          <w:sz w:val="22"/>
        </w:rPr>
        <w:t xml:space="preserve">6. The hard paved area shown on architectural plan TP01.22 in front of Building C adjacent to C.U06, must be removed and landscaped. </w:t>
      </w:r>
    </w:p>
    <w:p>
      <w:pPr>
        <w:pStyle w:val="CaselawQuote0"/>
        <w:spacing w:before="150" w:after="150"/>
        <w:ind w:left="2100"/>
        <w:jc w:val="left"/>
      </w:pPr>
      <w:r>
        <w:rPr>
          <w:rFonts w:ascii="Arial"/>
          <w:color w:val="000000"/>
          <w:sz w:val="22"/>
        </w:rPr>
        <w:t xml:space="preserve">(b) Amended architectural plans shall be provided that nominate the units to be managed as affordable housing. </w:t>
      </w:r>
    </w:p>
    <w:p>
      <w:pPr>
        <w:pStyle w:val="CaselawQuote0"/>
        <w:spacing w:before="150" w:after="150"/>
        <w:ind w:left="2100"/>
        <w:jc w:val="left"/>
      </w:pPr>
      <w:r>
        <w:rPr>
          <w:rFonts w:ascii="Arial"/>
          <w:color w:val="000000"/>
          <w:sz w:val="22"/>
        </w:rPr>
        <w:t xml:space="preserve">(c) The installation to any of the commercial premises that are intended to be used as food and drink premises by future users, suitable </w:t>
      </w:r>
      <w:r>
        <w:rPr>
          <w:rFonts w:ascii="Arial"/>
          <w:color w:val="000000"/>
          <w:sz w:val="22"/>
        </w:rPr>
        <w:t>waste water</w:t>
      </w:r>
      <w:r>
        <w:rPr>
          <w:rFonts w:ascii="Arial"/>
          <w:color w:val="000000"/>
          <w:sz w:val="22"/>
        </w:rPr>
        <w:t xml:space="preserve"> facilities and air quality devices (these include but are not limited to grease traps and exhausts systems). </w:t>
      </w:r>
    </w:p>
    <w:p>
      <w:pPr>
        <w:pStyle w:val="CaselawQuote0"/>
        <w:spacing w:before="150" w:after="150"/>
        <w:ind w:left="2100"/>
        <w:jc w:val="left"/>
      </w:pPr>
      <w:r>
        <w:rPr>
          <w:rFonts w:ascii="Arial"/>
          <w:color w:val="000000"/>
          <w:sz w:val="22"/>
        </w:rPr>
        <w:t xml:space="preserve">(d) Toilets are to be provided either within each of the five commercial premises or as a shared facility. </w:t>
      </w:r>
    </w:p>
    <w:p>
      <w:pPr>
        <w:pStyle w:val="CaselawQuote0"/>
        <w:spacing w:before="150" w:after="150"/>
        <w:ind w:left="2100"/>
        <w:jc w:val="left"/>
      </w:pPr>
      <w:r>
        <w:rPr>
          <w:rFonts w:ascii="Arial"/>
          <w:color w:val="000000"/>
          <w:sz w:val="22"/>
        </w:rPr>
        <w:t xml:space="preserve">(e) In order to ensure CPTED and amenity values are achieved, amended plans are to be provided that achieve a higher level of articulation and passive </w:t>
      </w:r>
      <w:r>
        <w:rPr>
          <w:rFonts w:ascii="Arial"/>
          <w:color w:val="000000"/>
          <w:sz w:val="22"/>
        </w:rPr>
        <w:t>surveillance</w:t>
      </w:r>
      <w:r>
        <w:rPr>
          <w:rFonts w:ascii="Arial"/>
          <w:color w:val="000000"/>
          <w:sz w:val="22"/>
        </w:rPr>
        <w:t xml:space="preserve"> to the through site links between all buildings on the site. These facades are currently shown on the plans as blank walls which need to be articulated through the re-orientation of the units to which the blank walls relate to provide windows and other articulation features. </w:t>
      </w:r>
    </w:p>
    <w:p>
      <w:pPr>
        <w:pStyle w:val="CaselawQuote0"/>
        <w:spacing w:before="150" w:after="150"/>
        <w:ind w:left="2100"/>
        <w:jc w:val="left"/>
      </w:pPr>
      <w:r>
        <w:rPr>
          <w:rFonts w:ascii="Arial"/>
          <w:color w:val="000000"/>
          <w:sz w:val="22"/>
        </w:rPr>
        <w:t xml:space="preserve">(f) There are to be no columns within the entry statements to Buildings A1 to A4. </w:t>
      </w:r>
    </w:p>
    <w:p>
      <w:pPr>
        <w:pStyle w:val="CaselawQuote0"/>
        <w:spacing w:before="150" w:after="150"/>
        <w:ind w:left="2100"/>
        <w:jc w:val="left"/>
      </w:pPr>
      <w:r>
        <w:rPr>
          <w:rFonts w:ascii="Arial"/>
          <w:color w:val="000000"/>
          <w:sz w:val="22"/>
        </w:rPr>
        <w:t xml:space="preserve">(g) The floor plans in the buildings include external staircases to the </w:t>
      </w:r>
      <w:r>
        <w:rPr>
          <w:rFonts w:ascii="Arial"/>
          <w:color w:val="000000"/>
          <w:sz w:val="22"/>
        </w:rPr>
        <w:t>southern</w:t>
      </w:r>
      <w:r>
        <w:rPr>
          <w:rFonts w:ascii="Arial"/>
          <w:color w:val="000000"/>
          <w:sz w:val="22"/>
        </w:rPr>
        <w:t xml:space="preserve"> and northern end of Building A3 &amp; A4 which are to be amended or removed. If it is the case that these are required for fire safety purposes they are required to be internalised and incorporated into the design. It is noted that the external stairs to the northern end of Building A3 &amp; A4 are not connected to any of </w:t>
      </w:r>
      <w:r>
        <w:rPr>
          <w:rFonts w:ascii="Arial"/>
          <w:color w:val="000000"/>
          <w:sz w:val="22"/>
        </w:rPr>
        <w:t>the floors so serve no purpose. Amended plans are required that demonstrate</w:t>
      </w:r>
      <w:r>
        <w:rPr>
          <w:rFonts w:ascii="Arial"/>
          <w:color w:val="000000"/>
          <w:sz w:val="22"/>
        </w:rPr>
        <w:t xml:space="preserve"> </w:t>
      </w:r>
      <w:r>
        <w:rPr>
          <w:rFonts w:ascii="Arial"/>
          <w:color w:val="000000"/>
          <w:sz w:val="22"/>
        </w:rPr>
        <w:t>that adequate visual</w:t>
      </w:r>
      <w:r>
        <w:rPr>
          <w:rFonts w:ascii="Arial"/>
          <w:color w:val="000000"/>
          <w:sz w:val="22"/>
        </w:rPr>
        <w:t xml:space="preserve"> </w:t>
      </w:r>
      <w:r>
        <w:rPr>
          <w:rFonts w:ascii="Arial"/>
          <w:color w:val="000000"/>
          <w:sz w:val="22"/>
        </w:rPr>
        <w:t>privacy</w:t>
      </w:r>
      <w:r>
        <w:rPr>
          <w:rFonts w:ascii="Arial"/>
          <w:color w:val="000000"/>
          <w:sz w:val="22"/>
        </w:rPr>
        <w:t xml:space="preserve"> </w:t>
      </w:r>
      <w:r>
        <w:rPr>
          <w:rFonts w:ascii="Arial"/>
          <w:color w:val="000000"/>
          <w:sz w:val="22"/>
        </w:rPr>
        <w:t>impacts to the two storey</w:t>
      </w:r>
      <w:r>
        <w:rPr>
          <w:rFonts w:ascii="Arial"/>
          <w:color w:val="000000"/>
          <w:sz w:val="22"/>
        </w:rPr>
        <w:t xml:space="preserve"> </w:t>
      </w:r>
      <w:r>
        <w:rPr>
          <w:rFonts w:ascii="Arial"/>
          <w:color w:val="000000"/>
          <w:sz w:val="22"/>
        </w:rPr>
        <w:t>developments to the east</w:t>
      </w:r>
      <w:r>
        <w:rPr>
          <w:rFonts w:ascii="Arial"/>
          <w:color w:val="000000"/>
          <w:sz w:val="22"/>
        </w:rPr>
        <w:t xml:space="preserve"> </w:t>
      </w:r>
      <w:r>
        <w:rPr>
          <w:rFonts w:ascii="Arial"/>
          <w:color w:val="000000"/>
          <w:sz w:val="22"/>
        </w:rPr>
        <w:t>(measures</w:t>
      </w:r>
      <w:r>
        <w:rPr>
          <w:rFonts w:ascii="Arial"/>
          <w:color w:val="000000"/>
          <w:sz w:val="22"/>
        </w:rPr>
        <w:t xml:space="preserve"> </w:t>
      </w:r>
      <w:r>
        <w:rPr>
          <w:rFonts w:ascii="Arial"/>
          <w:color w:val="000000"/>
          <w:sz w:val="22"/>
        </w:rPr>
        <w:t>relating to Building D1 and D2, and building D2 with Building C,</w:t>
      </w:r>
      <w:r>
        <w:rPr>
          <w:rFonts w:ascii="Arial"/>
          <w:color w:val="000000"/>
          <w:sz w:val="22"/>
        </w:rPr>
        <w:t xml:space="preserve"> </w:t>
      </w:r>
      <w:r>
        <w:rPr>
          <w:rFonts w:ascii="Arial"/>
          <w:color w:val="000000"/>
          <w:sz w:val="22"/>
        </w:rPr>
        <w:t>which is</w:t>
      </w:r>
      <w:r>
        <w:rPr>
          <w:rFonts w:ascii="Arial"/>
          <w:color w:val="000000"/>
          <w:sz w:val="22"/>
        </w:rPr>
        <w:t xml:space="preserve"> </w:t>
      </w:r>
      <w:r>
        <w:rPr>
          <w:rFonts w:ascii="Arial"/>
          <w:color w:val="000000"/>
          <w:sz w:val="22"/>
        </w:rPr>
        <w:t>separated</w:t>
      </w:r>
      <w:r>
        <w:rPr>
          <w:rFonts w:ascii="Arial"/>
          <w:color w:val="000000"/>
          <w:sz w:val="22"/>
        </w:rPr>
        <w:t xml:space="preserve"> </w:t>
      </w:r>
      <w:r>
        <w:rPr>
          <w:rFonts w:ascii="Arial"/>
          <w:color w:val="000000"/>
          <w:sz w:val="22"/>
        </w:rPr>
        <w:t>by the</w:t>
      </w:r>
      <w:r>
        <w:rPr>
          <w:rFonts w:ascii="Arial"/>
          <w:color w:val="000000"/>
          <w:sz w:val="22"/>
        </w:rPr>
        <w:t xml:space="preserve"> </w:t>
      </w:r>
      <w:r>
        <w:rPr>
          <w:rFonts w:ascii="Arial"/>
          <w:color w:val="000000"/>
          <w:sz w:val="22"/>
        </w:rPr>
        <w:t>driveway</w:t>
      </w:r>
      <w:r>
        <w:rPr>
          <w:rFonts w:ascii="Arial"/>
          <w:color w:val="000000"/>
          <w:sz w:val="22"/>
        </w:rPr>
        <w:t xml:space="preserve"> </w:t>
      </w:r>
      <w:r>
        <w:rPr>
          <w:rFonts w:ascii="Arial"/>
          <w:color w:val="000000"/>
          <w:sz w:val="22"/>
        </w:rPr>
        <w:t>of the site will be minimised</w:t>
      </w:r>
      <w:r>
        <w:rPr>
          <w:rFonts w:ascii="Arial"/>
          <w:color w:val="000000"/>
          <w:sz w:val="22"/>
        </w:rPr>
        <w:t xml:space="preserve"> </w:t>
      </w:r>
      <w:r>
        <w:rPr>
          <w:rFonts w:ascii="Arial"/>
          <w:color w:val="000000"/>
          <w:sz w:val="22"/>
        </w:rPr>
        <w:t>through the provision of</w:t>
      </w:r>
      <w:r>
        <w:rPr>
          <w:rFonts w:ascii="Arial"/>
          <w:color w:val="000000"/>
          <w:sz w:val="22"/>
        </w:rPr>
        <w:t xml:space="preserve"> </w:t>
      </w:r>
      <w:r>
        <w:rPr>
          <w:rFonts w:ascii="Arial"/>
          <w:color w:val="000000"/>
          <w:sz w:val="22"/>
        </w:rPr>
        <w:t>either highlight windows</w:t>
      </w:r>
      <w:r>
        <w:rPr>
          <w:rFonts w:ascii="Arial"/>
          <w:color w:val="000000"/>
          <w:sz w:val="22"/>
        </w:rPr>
        <w:t xml:space="preserve"> </w:t>
      </w:r>
      <w:r>
        <w:rPr>
          <w:rFonts w:ascii="Arial"/>
          <w:color w:val="000000"/>
          <w:sz w:val="22"/>
        </w:rPr>
        <w:t>or privacy screens.</w:t>
      </w:r>
    </w:p>
    <w:p>
      <w:pPr>
        <w:pStyle w:val="CaselawQuote0"/>
        <w:spacing w:before="150" w:after="150"/>
        <w:ind w:left="2100"/>
        <w:jc w:val="left"/>
      </w:pPr>
      <w:r>
        <w:rPr>
          <w:rFonts w:ascii="Arial"/>
          <w:color w:val="000000"/>
          <w:sz w:val="22"/>
        </w:rPr>
        <w:t>(h)</w:t>
      </w:r>
      <w:r>
        <w:rPr>
          <w:rFonts w:ascii="Arial"/>
          <w:color w:val="000000"/>
          <w:sz w:val="22"/>
        </w:rPr>
        <w:t xml:space="preserve"> </w:t>
      </w:r>
      <w:r>
        <w:rPr>
          <w:rFonts w:ascii="Arial"/>
          <w:color w:val="000000"/>
          <w:sz w:val="22"/>
        </w:rPr>
        <w:t>Further activation of</w:t>
      </w:r>
      <w:r>
        <w:rPr>
          <w:rFonts w:ascii="Arial"/>
          <w:color w:val="000000"/>
          <w:sz w:val="22"/>
        </w:rPr>
        <w:t xml:space="preserve"> </w:t>
      </w:r>
      <w:r>
        <w:rPr>
          <w:rFonts w:ascii="Arial"/>
          <w:color w:val="000000"/>
          <w:sz w:val="22"/>
        </w:rPr>
        <w:t>the street</w:t>
      </w:r>
      <w:r>
        <w:rPr>
          <w:rFonts w:ascii="Arial"/>
          <w:color w:val="000000"/>
          <w:sz w:val="22"/>
        </w:rPr>
        <w:t xml:space="preserve"> </w:t>
      </w:r>
      <w:r>
        <w:rPr>
          <w:rFonts w:ascii="Arial"/>
          <w:color w:val="000000"/>
          <w:sz w:val="22"/>
        </w:rPr>
        <w:t>is required for</w:t>
      </w:r>
      <w:r>
        <w:rPr>
          <w:rFonts w:ascii="Arial"/>
          <w:color w:val="000000"/>
          <w:sz w:val="22"/>
        </w:rPr>
        <w:t xml:space="preserve"> the development facing </w:t>
      </w:r>
      <w:r>
        <w:rPr>
          <w:rFonts w:ascii="Arial"/>
          <w:color w:val="000000"/>
          <w:sz w:val="22"/>
        </w:rPr>
        <w:t>Poziers</w:t>
      </w:r>
      <w:r>
        <w:rPr>
          <w:rFonts w:ascii="Arial"/>
          <w:color w:val="000000"/>
          <w:sz w:val="22"/>
        </w:rPr>
        <w:t xml:space="preserve"> </w:t>
      </w:r>
      <w:r>
        <w:rPr>
          <w:rFonts w:ascii="Arial"/>
          <w:color w:val="000000"/>
          <w:sz w:val="22"/>
        </w:rPr>
        <w:t>Road rather</w:t>
      </w:r>
      <w:r>
        <w:rPr>
          <w:rFonts w:ascii="Arial"/>
          <w:color w:val="000000"/>
          <w:sz w:val="22"/>
        </w:rPr>
        <w:t xml:space="preserve"> </w:t>
      </w:r>
      <w:r>
        <w:rPr>
          <w:rFonts w:ascii="Arial"/>
          <w:color w:val="000000"/>
          <w:sz w:val="22"/>
        </w:rPr>
        <w:t>than having bedrooms facing the street.</w:t>
      </w:r>
    </w:p>
    <w:p>
      <w:pPr>
        <w:pStyle w:val="CaselawQuote0"/>
        <w:spacing w:before="150" w:after="150"/>
        <w:ind w:left="2100"/>
        <w:jc w:val="left"/>
      </w:pPr>
      <w:r>
        <w:rPr>
          <w:rFonts w:ascii="Arial"/>
          <w:color w:val="000000"/>
          <w:sz w:val="22"/>
        </w:rPr>
        <w:t>(i)</w:t>
      </w:r>
      <w:r>
        <w:rPr>
          <w:rFonts w:ascii="Arial"/>
          <w:color w:val="000000"/>
          <w:sz w:val="22"/>
        </w:rPr>
        <w:t xml:space="preserve"> </w:t>
      </w:r>
      <w:r>
        <w:rPr>
          <w:rFonts w:ascii="Arial"/>
          <w:color w:val="000000"/>
          <w:sz w:val="22"/>
        </w:rPr>
        <w:t>The amended plans shall include the use of</w:t>
      </w:r>
      <w:r>
        <w:rPr>
          <w:rFonts w:ascii="Arial"/>
          <w:color w:val="000000"/>
          <w:sz w:val="22"/>
        </w:rPr>
        <w:t xml:space="preserve"> </w:t>
      </w:r>
      <w:r>
        <w:rPr>
          <w:rFonts w:ascii="Arial"/>
          <w:color w:val="000000"/>
          <w:sz w:val="22"/>
        </w:rPr>
        <w:t>robust and durable self-finished materials with an integral finish (face bricks,</w:t>
      </w:r>
      <w:r>
        <w:rPr>
          <w:rFonts w:ascii="Arial"/>
          <w:color w:val="000000"/>
          <w:sz w:val="22"/>
        </w:rPr>
        <w:t xml:space="preserve"> </w:t>
      </w:r>
      <w:r>
        <w:rPr>
          <w:rFonts w:ascii="Arial"/>
          <w:color w:val="000000"/>
          <w:sz w:val="22"/>
        </w:rPr>
        <w:t>concrete) rather than rendered and painted finishes.</w:t>
      </w:r>
    </w:p>
    <w:p>
      <w:pPr>
        <w:pStyle w:val="CaselawQuote0"/>
        <w:spacing w:before="150" w:after="150"/>
        <w:ind w:left="2100"/>
        <w:jc w:val="left"/>
      </w:pPr>
      <w:r>
        <w:rPr>
          <w:rFonts w:ascii="Arial"/>
          <w:color w:val="000000"/>
          <w:sz w:val="22"/>
        </w:rPr>
        <w:t>(j)</w:t>
      </w:r>
      <w:r>
        <w:rPr>
          <w:rFonts w:ascii="Arial"/>
          <w:color w:val="000000"/>
          <w:sz w:val="22"/>
        </w:rPr>
        <w:t xml:space="preserve"> </w:t>
      </w:r>
      <w:r>
        <w:rPr>
          <w:rFonts w:ascii="Arial"/>
          <w:color w:val="000000"/>
          <w:sz w:val="22"/>
        </w:rPr>
        <w:t>The commercial lift abutting Building B2 shall be clad in a durable non-paint finish that is compatible with the approved finishes for</w:t>
      </w:r>
      <w:r>
        <w:rPr>
          <w:rFonts w:ascii="Arial"/>
          <w:color w:val="000000"/>
          <w:sz w:val="22"/>
        </w:rPr>
        <w:t xml:space="preserve"> </w:t>
      </w:r>
      <w:r>
        <w:rPr>
          <w:rFonts w:ascii="Arial"/>
          <w:color w:val="000000"/>
          <w:sz w:val="22"/>
        </w:rPr>
        <w:t>the building.</w:t>
      </w:r>
    </w:p>
    <w:p>
      <w:pPr>
        <w:pStyle w:val="CaselawQuote0"/>
        <w:spacing w:before="150" w:after="150"/>
        <w:ind w:left="2100"/>
        <w:jc w:val="left"/>
      </w:pPr>
      <w:r>
        <w:rPr>
          <w:rFonts w:ascii="Arial"/>
          <w:color w:val="000000"/>
          <w:sz w:val="22"/>
        </w:rPr>
        <w:t>(k)</w:t>
      </w:r>
      <w:r>
        <w:rPr>
          <w:rFonts w:ascii="Arial"/>
          <w:color w:val="000000"/>
          <w:sz w:val="22"/>
        </w:rPr>
        <w:t xml:space="preserve"> </w:t>
      </w:r>
      <w:r>
        <w:rPr>
          <w:rFonts w:ascii="Arial"/>
          <w:color w:val="000000"/>
          <w:sz w:val="22"/>
        </w:rPr>
        <w:t>Condensers and mechanical equipment</w:t>
      </w:r>
      <w:r>
        <w:rPr>
          <w:rFonts w:ascii="Arial"/>
          <w:color w:val="000000"/>
          <w:sz w:val="22"/>
        </w:rPr>
        <w:t xml:space="preserve"> </w:t>
      </w:r>
      <w:r>
        <w:rPr>
          <w:rFonts w:ascii="Arial"/>
          <w:color w:val="000000"/>
          <w:sz w:val="22"/>
        </w:rPr>
        <w:t>should not be located within the</w:t>
      </w:r>
      <w:r>
        <w:rPr>
          <w:rFonts w:ascii="Arial"/>
          <w:color w:val="000000"/>
          <w:sz w:val="22"/>
        </w:rPr>
        <w:t xml:space="preserve"> </w:t>
      </w:r>
      <w:r>
        <w:rPr>
          <w:rFonts w:ascii="Arial"/>
          <w:color w:val="000000"/>
          <w:sz w:val="22"/>
        </w:rPr>
        <w:t>balconies, front gardens</w:t>
      </w:r>
      <w:r>
        <w:rPr>
          <w:rFonts w:ascii="Arial"/>
          <w:color w:val="000000"/>
          <w:sz w:val="22"/>
        </w:rPr>
        <w:t xml:space="preserve"> </w:t>
      </w:r>
      <w:r>
        <w:rPr>
          <w:rFonts w:ascii="Arial"/>
          <w:color w:val="000000"/>
          <w:sz w:val="22"/>
        </w:rPr>
        <w:t>or anywhere visually apparent from the public domain.</w:t>
      </w:r>
      <w:r>
        <w:rPr>
          <w:rFonts w:ascii="Arial"/>
          <w:color w:val="000000"/>
          <w:sz w:val="22"/>
        </w:rPr>
        <w:t xml:space="preserve"> </w:t>
      </w:r>
      <w:r>
        <w:rPr>
          <w:rFonts w:ascii="Arial"/>
          <w:color w:val="000000"/>
          <w:sz w:val="22"/>
        </w:rPr>
        <w:t>Any air conditioning condensers</w:t>
      </w:r>
      <w:r>
        <w:rPr>
          <w:rFonts w:ascii="Arial"/>
          <w:color w:val="000000"/>
          <w:sz w:val="22"/>
        </w:rPr>
        <w:t xml:space="preserve"> </w:t>
      </w:r>
      <w:r>
        <w:rPr>
          <w:rFonts w:ascii="Arial"/>
          <w:color w:val="000000"/>
          <w:sz w:val="22"/>
        </w:rPr>
        <w:t>must be appropriately screened from view</w:t>
      </w:r>
      <w:r>
        <w:rPr>
          <w:rFonts w:ascii="Arial"/>
          <w:color w:val="000000"/>
          <w:sz w:val="22"/>
        </w:rPr>
        <w:t xml:space="preserve"> </w:t>
      </w:r>
      <w:r>
        <w:rPr>
          <w:rFonts w:ascii="Arial"/>
          <w:color w:val="000000"/>
          <w:sz w:val="22"/>
        </w:rPr>
        <w:t>and can be located within the</w:t>
      </w:r>
      <w:r>
        <w:rPr>
          <w:rFonts w:ascii="Arial"/>
          <w:color w:val="000000"/>
          <w:sz w:val="22"/>
        </w:rPr>
        <w:t xml:space="preserve"> </w:t>
      </w:r>
      <w:r>
        <w:rPr>
          <w:rFonts w:ascii="Arial"/>
          <w:color w:val="000000"/>
          <w:sz w:val="22"/>
        </w:rPr>
        <w:t>basement</w:t>
      </w:r>
      <w:r>
        <w:rPr>
          <w:rFonts w:ascii="Arial"/>
          <w:color w:val="000000"/>
          <w:sz w:val="22"/>
        </w:rPr>
        <w:t xml:space="preserve"> carpark.</w:t>
      </w:r>
    </w:p>
    <w:p>
      <w:pPr>
        <w:pStyle w:val="CaselawQuote0"/>
        <w:spacing w:before="150" w:after="150"/>
        <w:ind w:left="2100"/>
        <w:jc w:val="left"/>
      </w:pPr>
      <w:r>
        <w:rPr>
          <w:rFonts w:ascii="Arial"/>
          <w:color w:val="000000"/>
          <w:sz w:val="22"/>
        </w:rPr>
        <w:t>(l)</w:t>
      </w:r>
      <w:r>
        <w:rPr>
          <w:rFonts w:ascii="Arial"/>
          <w:color w:val="000000"/>
          <w:sz w:val="22"/>
        </w:rPr>
        <w:t xml:space="preserve"> </w:t>
      </w:r>
      <w:r>
        <w:rPr>
          <w:rFonts w:ascii="Arial"/>
          <w:color w:val="000000"/>
          <w:sz w:val="22"/>
        </w:rPr>
        <w:t>The provision of</w:t>
      </w:r>
      <w:r>
        <w:rPr>
          <w:rFonts w:ascii="Arial"/>
          <w:color w:val="000000"/>
          <w:sz w:val="22"/>
        </w:rPr>
        <w:t xml:space="preserve"> </w:t>
      </w:r>
      <w:r>
        <w:rPr>
          <w:rFonts w:ascii="Arial"/>
          <w:color w:val="000000"/>
          <w:sz w:val="22"/>
        </w:rPr>
        <w:t>the required landscaping elements listed in condition 18of this</w:t>
      </w:r>
      <w:r>
        <w:rPr>
          <w:rFonts w:ascii="Arial"/>
          <w:color w:val="000000"/>
          <w:sz w:val="22"/>
        </w:rPr>
        <w:t xml:space="preserve"> </w:t>
      </w:r>
      <w:r>
        <w:rPr>
          <w:rFonts w:ascii="Arial"/>
          <w:color w:val="000000"/>
          <w:sz w:val="22"/>
        </w:rPr>
        <w:t>consent.</w:t>
      </w:r>
    </w:p>
    <w:p>
      <w:pPr>
        <w:pStyle w:val="CaselawQuote0"/>
        <w:spacing w:before="150" w:after="150"/>
        <w:ind w:left="2100"/>
        <w:jc w:val="left"/>
      </w:pPr>
      <w:r>
        <w:rPr>
          <w:rFonts w:ascii="Arial"/>
          <w:color w:val="000000"/>
          <w:sz w:val="22"/>
        </w:rPr>
        <w:t>(m)</w:t>
      </w:r>
      <w:r>
        <w:rPr>
          <w:rFonts w:ascii="Arial"/>
          <w:color w:val="000000"/>
          <w:sz w:val="22"/>
        </w:rPr>
        <w:t xml:space="preserve"> </w:t>
      </w:r>
      <w:r>
        <w:rPr>
          <w:rFonts w:ascii="Arial"/>
          <w:color w:val="000000"/>
          <w:sz w:val="22"/>
        </w:rPr>
        <w:t>Sustainability design elements are to be provided on the amended plans and include but are not limited to the following:</w:t>
      </w:r>
    </w:p>
    <w:p>
      <w:pPr>
        <w:pStyle w:val="CaselawQuote1"/>
        <w:spacing w:before="150" w:after="150"/>
        <w:ind w:left="2850"/>
        <w:jc w:val="left"/>
      </w:pPr>
      <w:r>
        <w:rPr>
          <w:rFonts w:ascii="Arial"/>
          <w:color w:val="000000"/>
          <w:sz w:val="22"/>
        </w:rPr>
        <w:t>1.</w:t>
      </w:r>
      <w:r>
        <w:rPr>
          <w:rFonts w:ascii="Arial"/>
          <w:color w:val="000000"/>
          <w:sz w:val="22"/>
        </w:rPr>
        <w:t xml:space="preserve"> </w:t>
      </w:r>
      <w:r>
        <w:rPr>
          <w:rFonts w:ascii="Arial"/>
          <w:color w:val="000000"/>
          <w:sz w:val="22"/>
        </w:rPr>
        <w:t>Use of rooftop photovoltaic system for environmental benefits and for</w:t>
      </w:r>
      <w:r>
        <w:rPr>
          <w:rFonts w:ascii="Arial"/>
          <w:color w:val="000000"/>
          <w:sz w:val="22"/>
        </w:rPr>
        <w:t xml:space="preserve"> </w:t>
      </w:r>
      <w:r>
        <w:rPr>
          <w:rFonts w:ascii="Arial"/>
          <w:color w:val="000000"/>
          <w:sz w:val="22"/>
        </w:rPr>
        <w:t>power/lighting common areas and courtyards</w:t>
      </w:r>
    </w:p>
    <w:p>
      <w:pPr>
        <w:pStyle w:val="CaselawQuote1"/>
        <w:spacing w:before="150" w:after="150"/>
        <w:ind w:left="2850"/>
        <w:jc w:val="left"/>
      </w:pPr>
      <w:r>
        <w:rPr>
          <w:rFonts w:ascii="Arial"/>
          <w:color w:val="000000"/>
          <w:sz w:val="22"/>
        </w:rPr>
        <w:t>2.</w:t>
      </w:r>
      <w:r>
        <w:rPr>
          <w:rFonts w:ascii="Arial"/>
          <w:color w:val="000000"/>
          <w:sz w:val="22"/>
        </w:rPr>
        <w:t xml:space="preserve"> Provide </w:t>
      </w:r>
      <w:r>
        <w:rPr>
          <w:rFonts w:ascii="Arial"/>
          <w:color w:val="000000"/>
          <w:sz w:val="22"/>
        </w:rPr>
        <w:t>rainwater tank</w:t>
      </w:r>
      <w:r>
        <w:rPr>
          <w:rFonts w:ascii="Arial"/>
          <w:color w:val="000000"/>
          <w:sz w:val="22"/>
        </w:rPr>
        <w:t xml:space="preserve"> to allow collection, </w:t>
      </w:r>
      <w:r>
        <w:rPr>
          <w:rFonts w:ascii="Arial"/>
          <w:color w:val="000000"/>
          <w:sz w:val="22"/>
        </w:rPr>
        <w:t>storage</w:t>
      </w:r>
      <w:r>
        <w:rPr>
          <w:rFonts w:ascii="Arial"/>
          <w:color w:val="000000"/>
          <w:sz w:val="22"/>
        </w:rPr>
        <w:t xml:space="preserve"> and reuse within the site </w:t>
      </w:r>
      <w:r>
        <w:rPr>
          <w:rFonts w:ascii="Arial"/>
          <w:color w:val="000000"/>
          <w:sz w:val="22"/>
        </w:rPr>
        <w:t>for both sites.</w:t>
      </w:r>
    </w:p>
    <w:p>
      <w:pPr>
        <w:pStyle w:val="CaselawQuote1"/>
        <w:spacing w:before="150" w:after="150"/>
        <w:ind w:left="2850"/>
        <w:jc w:val="left"/>
      </w:pPr>
      <w:r>
        <w:rPr>
          <w:rFonts w:ascii="Arial"/>
          <w:color w:val="000000"/>
          <w:sz w:val="22"/>
        </w:rPr>
        <w:t>3.</w:t>
      </w:r>
      <w:r>
        <w:rPr>
          <w:rFonts w:ascii="Arial"/>
          <w:color w:val="000000"/>
          <w:sz w:val="22"/>
        </w:rPr>
        <w:t xml:space="preserve"> </w:t>
      </w:r>
      <w:r>
        <w:rPr>
          <w:rFonts w:ascii="Arial"/>
          <w:color w:val="000000"/>
          <w:sz w:val="22"/>
        </w:rPr>
        <w:t>Ceiling fans should be provided to all habitable areas of the apartments, as</w:t>
      </w:r>
      <w:r>
        <w:rPr>
          <w:rFonts w:ascii="Arial"/>
          <w:color w:val="000000"/>
          <w:sz w:val="22"/>
        </w:rPr>
        <w:t xml:space="preserve"> </w:t>
      </w:r>
      <w:r>
        <w:rPr>
          <w:rFonts w:ascii="Arial"/>
          <w:color w:val="000000"/>
          <w:sz w:val="22"/>
        </w:rPr>
        <w:t>a low energy thermal comfort alternative to air conditioning.</w:t>
      </w:r>
    </w:p>
    <w:p>
      <w:pPr>
        <w:pStyle w:val="CaselawQuote0"/>
        <w:spacing w:before="150" w:after="150"/>
        <w:ind w:left="2100"/>
        <w:jc w:val="left"/>
      </w:pPr>
      <w:r>
        <w:rPr>
          <w:rFonts w:ascii="Arial"/>
          <w:color w:val="000000"/>
          <w:sz w:val="22"/>
        </w:rPr>
        <w:t>(n)</w:t>
      </w:r>
      <w:r>
        <w:rPr>
          <w:rFonts w:ascii="Arial"/>
          <w:color w:val="000000"/>
          <w:sz w:val="22"/>
        </w:rPr>
        <w:t xml:space="preserve"> </w:t>
      </w:r>
      <w:r>
        <w:rPr>
          <w:rFonts w:ascii="Arial"/>
          <w:color w:val="000000"/>
          <w:sz w:val="22"/>
        </w:rPr>
        <w:t>Due to the adoption of FOGO by council between</w:t>
      </w:r>
      <w:r>
        <w:rPr>
          <w:rFonts w:ascii="Arial"/>
          <w:color w:val="000000"/>
          <w:sz w:val="22"/>
        </w:rPr>
        <w:t xml:space="preserve"> the previous referral advice and this document, Council will need to be provided </w:t>
      </w:r>
      <w:r>
        <w:rPr>
          <w:rFonts w:ascii="Arial"/>
          <w:color w:val="000000"/>
          <w:sz w:val="22"/>
        </w:rPr>
        <w:t>with a plan of how this</w:t>
      </w:r>
      <w:r>
        <w:rPr>
          <w:rFonts w:ascii="Arial"/>
          <w:color w:val="000000"/>
          <w:sz w:val="22"/>
        </w:rPr>
        <w:t xml:space="preserve"> </w:t>
      </w:r>
      <w:r>
        <w:rPr>
          <w:rFonts w:ascii="Arial"/>
          <w:color w:val="000000"/>
          <w:sz w:val="22"/>
        </w:rPr>
        <w:t>development will deal with FOGO. Council would recommend the conversion of a second chute to a FOGO chute and provide residents with a transfer bin on the</w:t>
      </w:r>
      <w:r>
        <w:rPr>
          <w:rFonts w:ascii="Arial"/>
          <w:color w:val="000000"/>
          <w:sz w:val="22"/>
        </w:rPr>
        <w:t xml:space="preserve"> </w:t>
      </w:r>
      <w:r>
        <w:rPr>
          <w:rFonts w:ascii="Arial"/>
          <w:color w:val="000000"/>
          <w:sz w:val="22"/>
        </w:rPr>
        <w:t>floors</w:t>
      </w:r>
      <w:r>
        <w:rPr>
          <w:rFonts w:ascii="Arial"/>
          <w:color w:val="000000"/>
          <w:sz w:val="22"/>
        </w:rPr>
        <w:t xml:space="preserve"> </w:t>
      </w:r>
      <w:r>
        <w:rPr>
          <w:rFonts w:ascii="Arial"/>
          <w:color w:val="000000"/>
          <w:sz w:val="22"/>
        </w:rPr>
        <w:t>for the disposal of</w:t>
      </w:r>
      <w:r>
        <w:rPr>
          <w:rFonts w:ascii="Arial"/>
          <w:color w:val="000000"/>
          <w:sz w:val="22"/>
        </w:rPr>
        <w:t xml:space="preserve"> co-mingled </w:t>
      </w:r>
      <w:r>
        <w:rPr>
          <w:rFonts w:ascii="Arial"/>
          <w:color w:val="000000"/>
          <w:sz w:val="22"/>
        </w:rPr>
        <w:t>recycling</w:t>
      </w:r>
    </w:p>
    <w:p>
      <w:pPr>
        <w:pStyle w:val="CaselawQuote0"/>
        <w:spacing w:before="150" w:after="150"/>
        <w:ind w:left="2100"/>
        <w:jc w:val="left"/>
      </w:pPr>
      <w:r>
        <w:rPr>
          <w:rFonts w:ascii="Arial"/>
          <w:color w:val="000000"/>
          <w:sz w:val="22"/>
        </w:rPr>
        <w:t>(o)</w:t>
      </w:r>
      <w:r>
        <w:rPr>
          <w:rFonts w:ascii="Arial"/>
          <w:color w:val="000000"/>
          <w:sz w:val="22"/>
        </w:rPr>
        <w:t xml:space="preserve"> </w:t>
      </w:r>
      <w:r>
        <w:rPr>
          <w:rFonts w:ascii="Arial"/>
          <w:color w:val="000000"/>
          <w:sz w:val="22"/>
        </w:rPr>
        <w:t>Prior</w:t>
      </w:r>
      <w:r>
        <w:rPr>
          <w:rFonts w:ascii="Arial"/>
          <w:color w:val="000000"/>
          <w:sz w:val="22"/>
        </w:rPr>
        <w:t xml:space="preserve"> </w:t>
      </w:r>
      <w:r>
        <w:rPr>
          <w:rFonts w:ascii="Arial"/>
          <w:color w:val="000000"/>
          <w:sz w:val="22"/>
        </w:rPr>
        <w:t>to issue of a Construction Certificate,</w:t>
      </w:r>
      <w:r>
        <w:rPr>
          <w:rFonts w:ascii="Arial"/>
          <w:color w:val="000000"/>
          <w:sz w:val="22"/>
        </w:rPr>
        <w:t xml:space="preserve"> </w:t>
      </w:r>
      <w:r>
        <w:rPr>
          <w:rFonts w:ascii="Arial"/>
          <w:color w:val="000000"/>
          <w:sz w:val="22"/>
        </w:rPr>
        <w:t>the basement floor plan is to be amended to show that</w:t>
      </w:r>
      <w:r>
        <w:rPr>
          <w:rFonts w:ascii="Arial"/>
          <w:color w:val="000000"/>
          <w:sz w:val="22"/>
        </w:rPr>
        <w:t xml:space="preserve"> </w:t>
      </w:r>
      <w:r>
        <w:rPr>
          <w:rFonts w:ascii="Arial"/>
          <w:color w:val="000000"/>
          <w:sz w:val="22"/>
        </w:rPr>
        <w:t>the bulky household waste room has been provided with a</w:t>
      </w:r>
      <w:r>
        <w:rPr>
          <w:rFonts w:ascii="Arial"/>
          <w:color w:val="000000"/>
          <w:sz w:val="22"/>
        </w:rPr>
        <w:t xml:space="preserve"> double-leaf access </w:t>
      </w:r>
      <w:r>
        <w:rPr>
          <w:rFonts w:ascii="Arial"/>
          <w:color w:val="000000"/>
          <w:sz w:val="22"/>
        </w:rPr>
        <w:t>door, and</w:t>
      </w:r>
      <w:r>
        <w:rPr>
          <w:rFonts w:ascii="Arial"/>
          <w:color w:val="000000"/>
          <w:sz w:val="22"/>
        </w:rPr>
        <w:t xml:space="preserve"> show the locations </w:t>
      </w:r>
      <w:r>
        <w:rPr>
          <w:rFonts w:ascii="Arial"/>
          <w:color w:val="000000"/>
          <w:sz w:val="22"/>
        </w:rPr>
        <w:t>where the bin mover and</w:t>
      </w:r>
      <w:r>
        <w:rPr>
          <w:rFonts w:ascii="Arial"/>
          <w:color w:val="000000"/>
          <w:sz w:val="22"/>
        </w:rPr>
        <w:t xml:space="preserve"> </w:t>
      </w:r>
      <w:r>
        <w:rPr>
          <w:rFonts w:ascii="Arial"/>
          <w:color w:val="000000"/>
          <w:sz w:val="22"/>
        </w:rPr>
        <w:t>bin tipper will be stored.</w:t>
      </w:r>
    </w:p>
    <w:p>
      <w:pPr>
        <w:pStyle w:val="CaselawQuote0"/>
        <w:spacing w:before="150" w:after="150"/>
        <w:ind w:left="2100"/>
        <w:jc w:val="left"/>
      </w:pPr>
      <w:r>
        <w:rPr>
          <w:rFonts w:ascii="Arial"/>
          <w:color w:val="000000"/>
          <w:sz w:val="22"/>
        </w:rPr>
        <w:t>(p)</w:t>
      </w:r>
      <w:r>
        <w:rPr>
          <w:rFonts w:ascii="Arial"/>
          <w:color w:val="000000"/>
          <w:sz w:val="22"/>
        </w:rPr>
        <w:t xml:space="preserve"> </w:t>
      </w:r>
      <w:r>
        <w:rPr>
          <w:rFonts w:ascii="Arial"/>
          <w:color w:val="000000"/>
          <w:sz w:val="22"/>
        </w:rPr>
        <w:t>The fire doors to</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corridors on level 2 to 3 in Buildings A3 and A4 are to be glass to an appropriate fire rating.</w:t>
      </w:r>
    </w:p>
    <w:p>
      <w:pPr>
        <w:pStyle w:val="CaselawQuote0"/>
        <w:spacing w:before="150" w:after="150"/>
        <w:ind w:left="2100"/>
        <w:jc w:val="left"/>
      </w:pPr>
      <w:r>
        <w:rPr>
          <w:rFonts w:ascii="Arial"/>
          <w:color w:val="000000"/>
          <w:sz w:val="22"/>
        </w:rPr>
        <w:t>(q)</w:t>
      </w:r>
      <w:r>
        <w:rPr>
          <w:rFonts w:ascii="Arial"/>
          <w:color w:val="000000"/>
          <w:sz w:val="22"/>
        </w:rPr>
        <w:t xml:space="preserve"> </w:t>
      </w:r>
      <w:r>
        <w:rPr>
          <w:rFonts w:ascii="Arial"/>
          <w:color w:val="000000"/>
          <w:sz w:val="22"/>
        </w:rPr>
        <w:t>The entry</w:t>
      </w:r>
      <w:r>
        <w:rPr>
          <w:rFonts w:ascii="Arial"/>
          <w:color w:val="000000"/>
          <w:sz w:val="22"/>
        </w:rPr>
        <w:t xml:space="preserve"> </w:t>
      </w:r>
      <w:r>
        <w:rPr>
          <w:rFonts w:ascii="Arial"/>
          <w:color w:val="000000"/>
          <w:sz w:val="22"/>
        </w:rPr>
        <w:t>foyers</w:t>
      </w:r>
      <w:r>
        <w:rPr>
          <w:rFonts w:ascii="Arial"/>
          <w:color w:val="000000"/>
          <w:sz w:val="22"/>
        </w:rPr>
        <w:t xml:space="preserve"> </w:t>
      </w:r>
      <w:r>
        <w:rPr>
          <w:rFonts w:ascii="Arial"/>
          <w:color w:val="000000"/>
          <w:sz w:val="22"/>
        </w:rPr>
        <w:t>to Buildings A1, A2, A3 and A4 are to be fully enclosed with glass.</w:t>
      </w:r>
    </w:p>
    <w:p>
      <w:pPr>
        <w:pStyle w:val="CaselawQuote0"/>
        <w:spacing w:before="150" w:after="150"/>
        <w:ind w:left="2100"/>
        <w:jc w:val="left"/>
      </w:pPr>
      <w:r>
        <w:rPr>
          <w:rFonts w:ascii="Arial"/>
          <w:color w:val="000000"/>
          <w:sz w:val="22"/>
        </w:rPr>
        <w:t>(r)</w:t>
      </w:r>
      <w:r>
        <w:rPr>
          <w:rFonts w:ascii="Arial"/>
          <w:color w:val="000000"/>
          <w:sz w:val="22"/>
        </w:rPr>
        <w:t xml:space="preserve"> </w:t>
      </w:r>
      <w:r>
        <w:rPr>
          <w:rFonts w:ascii="Arial"/>
          <w:color w:val="000000"/>
          <w:sz w:val="22"/>
        </w:rPr>
        <w:t>The eastern edge of</w:t>
      </w:r>
      <w:r>
        <w:rPr>
          <w:rFonts w:ascii="Arial"/>
          <w:color w:val="000000"/>
          <w:sz w:val="22"/>
        </w:rPr>
        <w:t xml:space="preserve"> </w:t>
      </w:r>
      <w:r>
        <w:rPr>
          <w:rFonts w:ascii="Arial"/>
          <w:color w:val="000000"/>
          <w:sz w:val="22"/>
        </w:rPr>
        <w:t>the balconies of Units D2-U207 and D2-U306</w:t>
      </w:r>
      <w:r>
        <w:rPr>
          <w:rFonts w:ascii="Arial"/>
          <w:color w:val="000000"/>
          <w:sz w:val="22"/>
        </w:rPr>
        <w:t xml:space="preserve"> </w:t>
      </w:r>
      <w:r>
        <w:rPr>
          <w:rFonts w:ascii="Arial"/>
          <w:color w:val="000000"/>
          <w:sz w:val="22"/>
        </w:rPr>
        <w:t>shall</w:t>
      </w:r>
      <w:r>
        <w:rPr>
          <w:rFonts w:ascii="Arial"/>
          <w:color w:val="000000"/>
          <w:sz w:val="22"/>
        </w:rPr>
        <w:t xml:space="preserve"> </w:t>
      </w:r>
      <w:r>
        <w:rPr>
          <w:rFonts w:ascii="Arial"/>
          <w:color w:val="000000"/>
          <w:sz w:val="22"/>
        </w:rPr>
        <w:t>incorporate an opaque glass screen to a</w:t>
      </w:r>
      <w:r>
        <w:rPr>
          <w:rFonts w:ascii="Arial"/>
          <w:color w:val="000000"/>
          <w:sz w:val="22"/>
        </w:rPr>
        <w:t xml:space="preserve"> </w:t>
      </w:r>
      <w:r>
        <w:rPr>
          <w:rFonts w:ascii="Arial"/>
          <w:color w:val="000000"/>
          <w:sz w:val="22"/>
        </w:rPr>
        <w:t>minimum height of 1.5m above floor</w:t>
      </w:r>
      <w:r>
        <w:rPr>
          <w:rFonts w:ascii="Arial"/>
          <w:color w:val="000000"/>
          <w:sz w:val="22"/>
        </w:rPr>
        <w:t xml:space="preserve"> </w:t>
      </w:r>
      <w:r>
        <w:rPr>
          <w:rFonts w:ascii="Arial"/>
          <w:color w:val="000000"/>
          <w:sz w:val="22"/>
        </w:rPr>
        <w:t>level.”</w:t>
      </w:r>
    </w:p>
    <w:p>
      <w:pPr>
        <w:pStyle w:val="CaselawHeading2"/>
        <w:keepNext/>
        <w:spacing w:before="150" w:after="150" w:line="264"/>
        <w:ind w:left="0"/>
        <w:jc w:val="left"/>
      </w:pPr>
      <w:r>
        <w:rPr>
          <w:rFonts w:ascii="Arial"/>
        </w:rPr>
        <w:t>Consideration</w:t>
      </w:r>
    </w:p>
    <w:p>
      <w:pPr>
        <w:pStyle w:val="CaselawHeading3"/>
        <w:keepNext/>
        <w:spacing w:before="150" w:after="150" w:line="264"/>
        <w:ind w:left="0"/>
        <w:jc w:val="left"/>
      </w:pPr>
      <w:r>
        <w:rPr>
          <w:rFonts w:ascii="Arial"/>
        </w:rPr>
        <w:t>Proposed Amended Plans</w:t>
      </w:r>
      <w:r>
        <w:rPr>
          <w:rFonts w:ascii="Arial"/>
        </w:rPr>
        <w:t xml:space="preserve"> Condition</w:t>
      </w:r>
    </w:p>
    <w:p>
      <w:pPr>
        <w:pStyle w:val="CaselawNumbered10"/>
        <w:numPr>
          <w:ilvl w:val="0"/>
          <w:numId w:val="66"/>
        </w:numPr>
        <w:spacing w:before="150" w:after="0"/>
        <w:ind w:left="600" w:hanging="600"/>
      </w:pPr>
      <w:r>
        <w:rPr>
          <w:rFonts w:ascii="Arial"/>
          <w:color w:val="000000"/>
          <w:sz w:val="24"/>
        </w:rPr>
        <w:t xml:space="preserve">Despite the </w:t>
      </w:r>
      <w:r>
        <w:rPr>
          <w:rFonts w:ascii="Arial"/>
          <w:color w:val="000000"/>
          <w:sz w:val="24"/>
        </w:rPr>
        <w:t xml:space="preserve">series of </w:t>
      </w:r>
      <w:r>
        <w:rPr>
          <w:rFonts w:ascii="Arial"/>
          <w:color w:val="000000"/>
          <w:sz w:val="24"/>
        </w:rPr>
        <w:t>design</w:t>
      </w:r>
      <w:r>
        <w:rPr>
          <w:rFonts w:ascii="Arial"/>
          <w:color w:val="000000"/>
          <w:sz w:val="24"/>
        </w:rPr>
        <w:t xml:space="preserve"> </w:t>
      </w:r>
      <w:r>
        <w:rPr>
          <w:rFonts w:ascii="Arial"/>
          <w:color w:val="000000"/>
          <w:sz w:val="24"/>
        </w:rPr>
        <w:t>changes</w:t>
      </w:r>
      <w:r>
        <w:rPr>
          <w:rFonts w:ascii="Arial"/>
          <w:color w:val="000000"/>
          <w:sz w:val="24"/>
        </w:rPr>
        <w:t xml:space="preserve"> </w:t>
      </w:r>
      <w:r>
        <w:rPr>
          <w:rFonts w:ascii="Arial"/>
          <w:color w:val="000000"/>
          <w:sz w:val="24"/>
        </w:rPr>
        <w:t xml:space="preserve">for </w:t>
      </w:r>
      <w:r>
        <w:rPr>
          <w:rFonts w:ascii="Arial"/>
          <w:color w:val="000000"/>
          <w:sz w:val="24"/>
        </w:rPr>
        <w:t xml:space="preserve">the </w:t>
      </w:r>
      <w:r>
        <w:rPr>
          <w:rFonts w:ascii="Arial"/>
          <w:color w:val="000000"/>
          <w:sz w:val="24"/>
        </w:rPr>
        <w:t>proposed development</w:t>
      </w:r>
      <w:r>
        <w:rPr>
          <w:rFonts w:ascii="Arial"/>
          <w:color w:val="000000"/>
          <w:sz w:val="24"/>
        </w:rPr>
        <w:t xml:space="preserve"> </w:t>
      </w:r>
      <w:r>
        <w:rPr>
          <w:rFonts w:ascii="Arial"/>
          <w:color w:val="000000"/>
          <w:sz w:val="24"/>
        </w:rPr>
        <w:t xml:space="preserve">as part of the on-going amendment of the </w:t>
      </w:r>
      <w:r>
        <w:rPr>
          <w:rFonts w:ascii="Arial"/>
          <w:color w:val="000000"/>
          <w:sz w:val="24"/>
        </w:rPr>
        <w:t xml:space="preserve">DA, </w:t>
      </w:r>
      <w:r>
        <w:rPr>
          <w:rFonts w:ascii="Arial"/>
          <w:color w:val="000000"/>
          <w:sz w:val="24"/>
        </w:rPr>
        <w:t xml:space="preserve">there remain numerous contentions between the parties as listed above. </w:t>
      </w:r>
      <w:r>
        <w:rPr>
          <w:rFonts w:ascii="Arial"/>
          <w:color w:val="000000"/>
          <w:sz w:val="24"/>
        </w:rPr>
        <w:t>The Applicant</w:t>
      </w:r>
      <w:r>
        <w:rPr>
          <w:rFonts w:ascii="Arial"/>
          <w:color w:val="000000"/>
          <w:sz w:val="24"/>
        </w:rPr>
        <w:t>’</w:t>
      </w:r>
      <w:r>
        <w:rPr>
          <w:rFonts w:ascii="Arial"/>
          <w:color w:val="000000"/>
          <w:sz w:val="24"/>
        </w:rPr>
        <w:t>s proposed amended plans condition (at [</w:t>
      </w:r>
      <w:r>
        <w:rPr>
          <w:rFonts w:ascii="Arial"/>
          <w:color w:val="000000"/>
          <w:sz w:val="24"/>
        </w:rPr>
        <w:t>71</w:t>
      </w:r>
      <w:r>
        <w:rPr>
          <w:rFonts w:ascii="Arial"/>
          <w:color w:val="000000"/>
          <w:sz w:val="24"/>
        </w:rPr>
        <w:t xml:space="preserve">] above) sets out what the Applicant </w:t>
      </w:r>
      <w:r>
        <w:rPr>
          <w:rFonts w:ascii="Arial"/>
          <w:color w:val="000000"/>
          <w:sz w:val="24"/>
        </w:rPr>
        <w:t>believes</w:t>
      </w:r>
      <w:r>
        <w:rPr>
          <w:rFonts w:ascii="Arial"/>
          <w:color w:val="000000"/>
          <w:sz w:val="24"/>
        </w:rPr>
        <w:t xml:space="preserve"> </w:t>
      </w:r>
      <w:r>
        <w:rPr>
          <w:rFonts w:ascii="Arial"/>
          <w:color w:val="000000"/>
          <w:sz w:val="24"/>
        </w:rPr>
        <w:t>still needs to be done to address the rem</w:t>
      </w:r>
      <w:r>
        <w:rPr>
          <w:rFonts w:ascii="Arial"/>
          <w:color w:val="000000"/>
          <w:sz w:val="24"/>
        </w:rPr>
        <w:t>a</w:t>
      </w:r>
      <w:r>
        <w:rPr>
          <w:rFonts w:ascii="Arial"/>
          <w:color w:val="000000"/>
          <w:sz w:val="24"/>
        </w:rPr>
        <w:t>ining contentions</w:t>
      </w:r>
      <w:r>
        <w:rPr>
          <w:rFonts w:ascii="Arial"/>
          <w:color w:val="000000"/>
          <w:sz w:val="24"/>
        </w:rPr>
        <w:t xml:space="preserve">, </w:t>
      </w:r>
      <w:r>
        <w:rPr>
          <w:rFonts w:ascii="Arial"/>
          <w:color w:val="000000"/>
          <w:sz w:val="24"/>
        </w:rPr>
        <w:t>but only</w:t>
      </w:r>
      <w:r>
        <w:rPr>
          <w:rFonts w:ascii="Arial"/>
          <w:color w:val="000000"/>
          <w:sz w:val="24"/>
        </w:rPr>
        <w:t xml:space="preserve"> </w:t>
      </w:r>
      <w:r>
        <w:rPr>
          <w:rFonts w:ascii="Arial"/>
          <w:color w:val="000000"/>
          <w:sz w:val="24"/>
        </w:rPr>
        <w:t>in relation to the residential components of the proposed development.</w:t>
      </w:r>
    </w:p>
    <w:p>
      <w:pPr>
        <w:pStyle w:val="CaselawNumbered10"/>
        <w:numPr>
          <w:ilvl w:val="0"/>
          <w:numId w:val="66"/>
        </w:numPr>
        <w:spacing w:before="150" w:after="0"/>
        <w:ind w:left="600" w:hanging="600"/>
      </w:pPr>
      <w:r>
        <w:rPr>
          <w:rFonts w:ascii="Arial"/>
          <w:color w:val="000000"/>
          <w:sz w:val="24"/>
        </w:rPr>
        <w:t xml:space="preserve">There are clearly outstanding matters relating to the design of the residential component of the proposed development that require further work by the parties </w:t>
      </w:r>
      <w:r>
        <w:rPr>
          <w:rFonts w:ascii="Arial"/>
          <w:color w:val="000000"/>
          <w:sz w:val="24"/>
        </w:rPr>
        <w:t xml:space="preserve">to </w:t>
      </w:r>
      <w:r>
        <w:rPr>
          <w:rFonts w:ascii="Arial"/>
          <w:color w:val="000000"/>
          <w:sz w:val="24"/>
        </w:rPr>
        <w:t xml:space="preserve">resolve the </w:t>
      </w:r>
      <w:r>
        <w:rPr>
          <w:rFonts w:ascii="Arial"/>
          <w:color w:val="000000"/>
          <w:sz w:val="24"/>
        </w:rPr>
        <w:t>“</w:t>
      </w:r>
      <w:r>
        <w:rPr>
          <w:rFonts w:ascii="Arial"/>
          <w:color w:val="000000"/>
          <w:sz w:val="24"/>
        </w:rPr>
        <w:t>minutia</w:t>
      </w:r>
      <w:r>
        <w:rPr>
          <w:rFonts w:ascii="Arial"/>
          <w:color w:val="000000"/>
          <w:sz w:val="24"/>
        </w:rPr>
        <w:t xml:space="preserve">” </w:t>
      </w:r>
      <w:r>
        <w:rPr>
          <w:rFonts w:ascii="Arial"/>
          <w:color w:val="000000"/>
          <w:sz w:val="24"/>
        </w:rPr>
        <w:t xml:space="preserve">of design changes, </w:t>
      </w:r>
      <w:r>
        <w:rPr>
          <w:rFonts w:ascii="Arial"/>
          <w:color w:val="000000"/>
          <w:sz w:val="24"/>
        </w:rPr>
        <w:t xml:space="preserve">as the Applicant expresses it. </w:t>
      </w:r>
      <w:r>
        <w:rPr>
          <w:rFonts w:ascii="Arial"/>
          <w:color w:val="000000"/>
          <w:sz w:val="24"/>
        </w:rPr>
        <w:t>The unintended c</w:t>
      </w:r>
      <w:r>
        <w:rPr>
          <w:rFonts w:ascii="Arial"/>
          <w:color w:val="000000"/>
          <w:sz w:val="24"/>
        </w:rPr>
        <w:t>onsequence</w:t>
      </w:r>
      <w:r>
        <w:rPr>
          <w:rFonts w:ascii="Arial"/>
          <w:color w:val="000000"/>
          <w:sz w:val="24"/>
        </w:rPr>
        <w:t xml:space="preserve">s associated with the </w:t>
      </w:r>
      <w:r>
        <w:rPr>
          <w:rFonts w:ascii="Arial"/>
          <w:color w:val="000000"/>
          <w:sz w:val="24"/>
        </w:rPr>
        <w:t xml:space="preserve">numerous </w:t>
      </w:r>
      <w:r>
        <w:rPr>
          <w:rFonts w:ascii="Arial"/>
          <w:color w:val="000000"/>
          <w:sz w:val="24"/>
        </w:rPr>
        <w:t xml:space="preserve">further amendments </w:t>
      </w:r>
      <w:r>
        <w:rPr>
          <w:rFonts w:ascii="Arial"/>
          <w:color w:val="000000"/>
          <w:sz w:val="24"/>
        </w:rPr>
        <w:t xml:space="preserve">proposed have not been </w:t>
      </w:r>
      <w:r>
        <w:rPr>
          <w:rFonts w:ascii="Arial"/>
          <w:color w:val="000000"/>
          <w:sz w:val="24"/>
        </w:rPr>
        <w:t xml:space="preserve">fully </w:t>
      </w:r>
      <w:r>
        <w:rPr>
          <w:rFonts w:ascii="Arial"/>
          <w:color w:val="000000"/>
          <w:sz w:val="24"/>
        </w:rPr>
        <w:t>assessed</w:t>
      </w:r>
      <w:r>
        <w:rPr>
          <w:rFonts w:ascii="Arial"/>
          <w:color w:val="000000"/>
          <w:sz w:val="24"/>
        </w:rPr>
        <w:t>.</w:t>
      </w:r>
    </w:p>
    <w:p>
      <w:pPr>
        <w:pStyle w:val="CaselawNumbered10"/>
        <w:numPr>
          <w:ilvl w:val="0"/>
          <w:numId w:val="66"/>
        </w:numPr>
        <w:spacing w:before="150" w:after="0"/>
        <w:ind w:left="600" w:hanging="600"/>
      </w:pPr>
      <w:r>
        <w:rPr>
          <w:rFonts w:ascii="Arial"/>
          <w:color w:val="000000"/>
          <w:sz w:val="24"/>
        </w:rPr>
        <w:t xml:space="preserve">I do </w:t>
      </w:r>
      <w:r>
        <w:rPr>
          <w:rFonts w:ascii="Arial"/>
          <w:color w:val="000000"/>
          <w:sz w:val="24"/>
        </w:rPr>
        <w:t>consider</w:t>
      </w:r>
      <w:r>
        <w:rPr>
          <w:rFonts w:ascii="Arial"/>
          <w:color w:val="000000"/>
          <w:sz w:val="24"/>
        </w:rPr>
        <w:t xml:space="preserve"> </w:t>
      </w:r>
      <w:r>
        <w:rPr>
          <w:rFonts w:ascii="Arial"/>
          <w:color w:val="000000"/>
          <w:sz w:val="24"/>
        </w:rPr>
        <w:t>that the changes p</w:t>
      </w:r>
      <w:r>
        <w:rPr>
          <w:rFonts w:ascii="Arial"/>
          <w:color w:val="000000"/>
          <w:sz w:val="24"/>
        </w:rPr>
        <w:t>ut forward</w:t>
      </w:r>
      <w:r>
        <w:rPr>
          <w:rFonts w:ascii="Arial"/>
          <w:color w:val="000000"/>
          <w:sz w:val="24"/>
        </w:rPr>
        <w:t xml:space="preserve"> </w:t>
      </w:r>
      <w:r>
        <w:rPr>
          <w:rFonts w:ascii="Arial"/>
          <w:color w:val="000000"/>
          <w:sz w:val="24"/>
        </w:rPr>
        <w:t xml:space="preserve">by </w:t>
      </w:r>
      <w:r>
        <w:rPr>
          <w:rFonts w:ascii="Arial"/>
          <w:color w:val="000000"/>
          <w:sz w:val="24"/>
        </w:rPr>
        <w:t xml:space="preserve">the Applicant in </w:t>
      </w:r>
      <w:r>
        <w:rPr>
          <w:rFonts w:ascii="Arial"/>
          <w:color w:val="000000"/>
          <w:sz w:val="24"/>
        </w:rPr>
        <w:t xml:space="preserve">proposed </w:t>
      </w:r>
      <w:r>
        <w:rPr>
          <w:rFonts w:ascii="Arial"/>
          <w:color w:val="000000"/>
          <w:sz w:val="24"/>
        </w:rPr>
        <w:t xml:space="preserve">Condition 16 </w:t>
      </w:r>
      <w:r>
        <w:rPr>
          <w:rFonts w:ascii="Arial"/>
          <w:color w:val="000000"/>
          <w:sz w:val="24"/>
        </w:rPr>
        <w:t>may not</w:t>
      </w:r>
      <w:r>
        <w:rPr>
          <w:rFonts w:ascii="Arial"/>
          <w:color w:val="000000"/>
          <w:sz w:val="24"/>
        </w:rPr>
        <w:t xml:space="preserve"> </w:t>
      </w:r>
      <w:r>
        <w:rPr>
          <w:rFonts w:ascii="Arial"/>
          <w:color w:val="000000"/>
          <w:sz w:val="24"/>
        </w:rPr>
        <w:t xml:space="preserve">be achieved without </w:t>
      </w:r>
      <w:r>
        <w:rPr>
          <w:rFonts w:ascii="Arial"/>
          <w:color w:val="000000"/>
          <w:sz w:val="24"/>
        </w:rPr>
        <w:t xml:space="preserve">some </w:t>
      </w:r>
      <w:r>
        <w:rPr>
          <w:rFonts w:ascii="Arial"/>
          <w:color w:val="000000"/>
          <w:sz w:val="24"/>
        </w:rPr>
        <w:t xml:space="preserve">consequent changes to the design and layout </w:t>
      </w:r>
      <w:r>
        <w:rPr>
          <w:rFonts w:ascii="Arial"/>
          <w:color w:val="000000"/>
          <w:sz w:val="24"/>
        </w:rPr>
        <w:t xml:space="preserve">of the proposed development, </w:t>
      </w:r>
      <w:r>
        <w:rPr>
          <w:rFonts w:ascii="Arial"/>
          <w:color w:val="000000"/>
          <w:sz w:val="24"/>
        </w:rPr>
        <w:t>which will in turn may require a further iteration of changes to the proposed development.</w:t>
      </w:r>
    </w:p>
    <w:p>
      <w:pPr>
        <w:pStyle w:val="CaselawNumbered10"/>
        <w:numPr>
          <w:ilvl w:val="0"/>
          <w:numId w:val="66"/>
        </w:numPr>
        <w:spacing w:before="150" w:after="0"/>
        <w:ind w:left="600" w:hanging="600"/>
      </w:pPr>
      <w:r>
        <w:rPr>
          <w:rFonts w:ascii="Arial"/>
          <w:color w:val="000000"/>
          <w:sz w:val="24"/>
        </w:rPr>
        <w:t xml:space="preserve">Given the </w:t>
      </w:r>
      <w:r>
        <w:rPr>
          <w:rFonts w:ascii="Arial"/>
          <w:color w:val="000000"/>
          <w:sz w:val="24"/>
        </w:rPr>
        <w:t xml:space="preserve">extent of the </w:t>
      </w:r>
      <w:r>
        <w:rPr>
          <w:rFonts w:ascii="Arial"/>
          <w:color w:val="000000"/>
          <w:sz w:val="24"/>
        </w:rPr>
        <w:t>design changes proposed</w:t>
      </w:r>
      <w:r>
        <w:rPr>
          <w:rFonts w:ascii="Arial"/>
          <w:color w:val="000000"/>
          <w:sz w:val="24"/>
        </w:rPr>
        <w:t xml:space="preserve"> </w:t>
      </w:r>
      <w:r>
        <w:rPr>
          <w:rFonts w:ascii="Arial"/>
          <w:color w:val="000000"/>
          <w:sz w:val="24"/>
        </w:rPr>
        <w:t>by the Applicant</w:t>
      </w:r>
      <w:r>
        <w:rPr>
          <w:rFonts w:ascii="Arial"/>
          <w:color w:val="000000"/>
          <w:sz w:val="24"/>
        </w:rPr>
        <w:t>,</w:t>
      </w:r>
      <w:r>
        <w:rPr>
          <w:rFonts w:ascii="Arial"/>
          <w:color w:val="000000"/>
          <w:sz w:val="24"/>
        </w:rPr>
        <w:t xml:space="preserve"> </w:t>
      </w:r>
      <w:r>
        <w:rPr>
          <w:rFonts w:ascii="Arial"/>
          <w:color w:val="000000"/>
          <w:sz w:val="24"/>
        </w:rPr>
        <w:t xml:space="preserve">I do not </w:t>
      </w:r>
      <w:r>
        <w:rPr>
          <w:rFonts w:ascii="Arial"/>
          <w:color w:val="000000"/>
          <w:sz w:val="24"/>
        </w:rPr>
        <w:t xml:space="preserve">consider that I can </w:t>
      </w:r>
      <w:r>
        <w:rPr>
          <w:rFonts w:ascii="Arial"/>
          <w:color w:val="000000"/>
          <w:sz w:val="24"/>
        </w:rPr>
        <w:t>make a decision</w:t>
      </w:r>
      <w:r>
        <w:rPr>
          <w:rFonts w:ascii="Arial"/>
          <w:color w:val="000000"/>
          <w:sz w:val="24"/>
        </w:rPr>
        <w:t xml:space="preserve"> </w:t>
      </w:r>
      <w:r>
        <w:rPr>
          <w:rFonts w:ascii="Arial"/>
          <w:color w:val="000000"/>
          <w:sz w:val="24"/>
        </w:rPr>
        <w:t>supporting the</w:t>
      </w:r>
      <w:r>
        <w:rPr>
          <w:rFonts w:ascii="Arial"/>
          <w:color w:val="000000"/>
          <w:sz w:val="24"/>
        </w:rPr>
        <w:t>se</w:t>
      </w:r>
      <w:r>
        <w:rPr>
          <w:rFonts w:ascii="Arial"/>
          <w:color w:val="000000"/>
          <w:sz w:val="24"/>
        </w:rPr>
        <w:t xml:space="preserve"> </w:t>
      </w:r>
      <w:r>
        <w:rPr>
          <w:rFonts w:ascii="Arial"/>
          <w:color w:val="000000"/>
          <w:sz w:val="24"/>
        </w:rPr>
        <w:t xml:space="preserve">changes </w:t>
      </w:r>
      <w:r>
        <w:rPr>
          <w:rFonts w:ascii="Arial"/>
          <w:color w:val="000000"/>
          <w:sz w:val="24"/>
        </w:rPr>
        <w:t xml:space="preserve">to the residential buildings </w:t>
      </w:r>
      <w:r>
        <w:rPr>
          <w:rFonts w:ascii="Arial"/>
          <w:color w:val="000000"/>
          <w:sz w:val="24"/>
        </w:rPr>
        <w:t xml:space="preserve">as </w:t>
      </w:r>
      <w:r>
        <w:rPr>
          <w:rFonts w:ascii="Arial"/>
          <w:color w:val="000000"/>
          <w:sz w:val="24"/>
        </w:rPr>
        <w:t xml:space="preserve">proposed </w:t>
      </w:r>
      <w:r>
        <w:rPr>
          <w:rFonts w:ascii="Arial"/>
          <w:color w:val="000000"/>
          <w:sz w:val="24"/>
        </w:rPr>
        <w:t xml:space="preserve">in Condition 16 </w:t>
      </w:r>
      <w:r>
        <w:rPr>
          <w:rFonts w:ascii="Arial"/>
          <w:color w:val="000000"/>
          <w:sz w:val="24"/>
        </w:rPr>
        <w:t xml:space="preserve">by the Applicant. </w:t>
      </w:r>
      <w:r>
        <w:rPr>
          <w:rFonts w:ascii="Arial"/>
          <w:color w:val="000000"/>
          <w:sz w:val="24"/>
        </w:rPr>
        <w:t xml:space="preserve">My findings on the </w:t>
      </w:r>
      <w:r>
        <w:rPr>
          <w:rFonts w:ascii="Arial"/>
          <w:color w:val="000000"/>
          <w:sz w:val="24"/>
        </w:rPr>
        <w:t xml:space="preserve">commercial building </w:t>
      </w:r>
      <w:r>
        <w:rPr>
          <w:rFonts w:ascii="Arial"/>
          <w:color w:val="000000"/>
          <w:sz w:val="24"/>
        </w:rPr>
        <w:t xml:space="preserve">loading facilities and access below will require </w:t>
      </w:r>
      <w:r>
        <w:rPr>
          <w:rFonts w:ascii="Arial"/>
          <w:color w:val="000000"/>
          <w:sz w:val="24"/>
        </w:rPr>
        <w:t>some</w:t>
      </w:r>
      <w:r>
        <w:rPr>
          <w:rFonts w:ascii="Arial"/>
          <w:color w:val="000000"/>
          <w:sz w:val="24"/>
        </w:rPr>
        <w:t xml:space="preserve"> </w:t>
      </w:r>
      <w:r>
        <w:rPr>
          <w:rFonts w:ascii="Arial"/>
          <w:color w:val="000000"/>
          <w:sz w:val="24"/>
        </w:rPr>
        <w:t>redesign of the proposed development.</w:t>
      </w:r>
      <w:r>
        <w:rPr>
          <w:rFonts w:ascii="Arial"/>
          <w:color w:val="000000"/>
          <w:sz w:val="24"/>
        </w:rPr>
        <w:t xml:space="preserve"> </w:t>
      </w:r>
    </w:p>
    <w:p>
      <w:pPr>
        <w:pStyle w:val="CaselawNumbered10"/>
        <w:numPr>
          <w:ilvl w:val="0"/>
          <w:numId w:val="66"/>
        </w:numPr>
        <w:spacing w:before="150" w:after="0"/>
        <w:ind w:left="600" w:hanging="600"/>
      </w:pPr>
      <w:r>
        <w:rPr>
          <w:rFonts w:ascii="Arial"/>
          <w:color w:val="000000"/>
          <w:sz w:val="24"/>
        </w:rPr>
        <w:t>I would observe that given the green fi</w:t>
      </w:r>
      <w:r>
        <w:rPr>
          <w:rFonts w:ascii="Arial"/>
          <w:color w:val="000000"/>
          <w:sz w:val="24"/>
        </w:rPr>
        <w:t>el</w:t>
      </w:r>
      <w:r>
        <w:rPr>
          <w:rFonts w:ascii="Arial"/>
          <w:color w:val="000000"/>
          <w:sz w:val="24"/>
        </w:rPr>
        <w:t xml:space="preserve">d nature </w:t>
      </w:r>
      <w:r>
        <w:rPr>
          <w:rFonts w:ascii="Arial"/>
          <w:color w:val="000000"/>
          <w:sz w:val="24"/>
        </w:rPr>
        <w:t xml:space="preserve">and the size </w:t>
      </w:r>
      <w:r>
        <w:rPr>
          <w:rFonts w:ascii="Arial"/>
          <w:color w:val="000000"/>
          <w:sz w:val="24"/>
        </w:rPr>
        <w:t xml:space="preserve">of the site, it should be possible to design a residential development </w:t>
      </w:r>
      <w:r>
        <w:rPr>
          <w:rFonts w:ascii="Arial"/>
          <w:color w:val="000000"/>
          <w:sz w:val="24"/>
        </w:rPr>
        <w:t xml:space="preserve">on the site </w:t>
      </w:r>
      <w:r>
        <w:rPr>
          <w:rFonts w:ascii="Arial"/>
          <w:color w:val="000000"/>
          <w:sz w:val="24"/>
        </w:rPr>
        <w:t>which</w:t>
      </w:r>
      <w:r>
        <w:rPr>
          <w:rFonts w:ascii="Arial"/>
          <w:color w:val="000000"/>
          <w:sz w:val="24"/>
        </w:rPr>
        <w:t xml:space="preserve"> </w:t>
      </w:r>
      <w:r>
        <w:rPr>
          <w:rFonts w:ascii="Arial"/>
          <w:color w:val="000000"/>
          <w:sz w:val="24"/>
        </w:rPr>
        <w:t>achieves</w:t>
      </w:r>
      <w:r>
        <w:rPr>
          <w:rFonts w:ascii="Arial"/>
          <w:color w:val="000000"/>
          <w:sz w:val="24"/>
        </w:rPr>
        <w:t xml:space="preserve"> </w:t>
      </w:r>
      <w:r>
        <w:rPr>
          <w:rFonts w:ascii="Arial"/>
          <w:color w:val="000000"/>
          <w:sz w:val="24"/>
        </w:rPr>
        <w:t xml:space="preserve">the </w:t>
      </w:r>
      <w:r>
        <w:rPr>
          <w:rFonts w:ascii="Arial"/>
          <w:color w:val="000000"/>
          <w:sz w:val="24"/>
        </w:rPr>
        <w:t xml:space="preserve">built form and scale and amenity outcomes contained in the </w:t>
      </w:r>
      <w:r>
        <w:rPr>
          <w:rFonts w:ascii="Arial"/>
          <w:color w:val="000000"/>
          <w:sz w:val="24"/>
        </w:rPr>
        <w:t>Design Principles for residential apartment design in Schedule 9 of the Housing SEPP</w:t>
      </w:r>
      <w:r>
        <w:rPr>
          <w:rFonts w:ascii="Arial"/>
          <w:color w:val="000000"/>
          <w:sz w:val="24"/>
        </w:rPr>
        <w:t xml:space="preserve">, including </w:t>
      </w:r>
      <w:r>
        <w:rPr>
          <w:rFonts w:ascii="Arial"/>
          <w:color w:val="000000"/>
          <w:sz w:val="24"/>
        </w:rPr>
        <w:t xml:space="preserve">for </w:t>
      </w:r>
      <w:r>
        <w:rPr>
          <w:rFonts w:ascii="Arial"/>
          <w:color w:val="000000"/>
          <w:sz w:val="24"/>
        </w:rPr>
        <w:t>Bu</w:t>
      </w:r>
      <w:r>
        <w:rPr>
          <w:rFonts w:ascii="Arial"/>
          <w:color w:val="000000"/>
          <w:sz w:val="24"/>
        </w:rPr>
        <w:t>i</w:t>
      </w:r>
      <w:r>
        <w:rPr>
          <w:rFonts w:ascii="Arial"/>
          <w:color w:val="000000"/>
          <w:sz w:val="24"/>
        </w:rPr>
        <w:t>lding</w:t>
      </w:r>
      <w:r>
        <w:rPr>
          <w:rFonts w:ascii="Arial"/>
          <w:color w:val="000000"/>
          <w:sz w:val="24"/>
        </w:rPr>
        <w:t xml:space="preserve"> </w:t>
      </w:r>
      <w:r>
        <w:rPr>
          <w:rFonts w:ascii="Arial"/>
          <w:color w:val="000000"/>
          <w:sz w:val="24"/>
        </w:rPr>
        <w:t>C</w:t>
      </w:r>
      <w:r>
        <w:rPr>
          <w:rFonts w:ascii="Arial"/>
          <w:color w:val="000000"/>
          <w:sz w:val="24"/>
        </w:rPr>
        <w:t>.</w:t>
      </w:r>
      <w:r>
        <w:rPr>
          <w:rFonts w:ascii="Arial"/>
          <w:color w:val="000000"/>
          <w:sz w:val="24"/>
        </w:rPr>
        <w:t xml:space="preserve"> </w:t>
      </w:r>
      <w:r>
        <w:rPr>
          <w:rFonts w:ascii="Arial"/>
          <w:color w:val="000000"/>
          <w:sz w:val="24"/>
        </w:rPr>
        <w:t xml:space="preserve">This is notwithstanding whether </w:t>
      </w:r>
      <w:r>
        <w:rPr>
          <w:rFonts w:ascii="Arial"/>
          <w:color w:val="000000"/>
          <w:sz w:val="24"/>
        </w:rPr>
        <w:t xml:space="preserve">(as submitted by the Respondent) </w:t>
      </w:r>
      <w:r>
        <w:rPr>
          <w:rFonts w:ascii="Arial"/>
          <w:color w:val="000000"/>
          <w:sz w:val="24"/>
        </w:rPr>
        <w:t xml:space="preserve">Building C is </w:t>
      </w:r>
      <w:r>
        <w:rPr>
          <w:rFonts w:ascii="Arial"/>
          <w:color w:val="000000"/>
          <w:sz w:val="24"/>
        </w:rPr>
        <w:t xml:space="preserve">considered to </w:t>
      </w:r>
      <w:r>
        <w:rPr>
          <w:rFonts w:ascii="Arial"/>
          <w:color w:val="000000"/>
          <w:sz w:val="24"/>
        </w:rPr>
        <w:t xml:space="preserve">be </w:t>
      </w:r>
      <w:r>
        <w:rPr>
          <w:rFonts w:ascii="Arial"/>
          <w:color w:val="000000"/>
          <w:sz w:val="24"/>
        </w:rPr>
        <w:t xml:space="preserve">subject to </w:t>
      </w:r>
      <w:r>
        <w:rPr>
          <w:rFonts w:ascii="Arial"/>
          <w:color w:val="000000"/>
          <w:sz w:val="24"/>
        </w:rPr>
        <w:t xml:space="preserve">Ch 4 of the </w:t>
      </w:r>
      <w:r>
        <w:rPr>
          <w:rFonts w:ascii="Arial"/>
          <w:color w:val="000000"/>
          <w:sz w:val="24"/>
        </w:rPr>
        <w:t xml:space="preserve">Housing SEPP (as part of the wider development scheme), or </w:t>
      </w:r>
      <w:r>
        <w:rPr>
          <w:rFonts w:ascii="Arial"/>
          <w:color w:val="000000"/>
          <w:sz w:val="24"/>
        </w:rPr>
        <w:t xml:space="preserve">if (as submitted by the Applicant) </w:t>
      </w:r>
      <w:r>
        <w:rPr>
          <w:rFonts w:ascii="Arial"/>
          <w:color w:val="000000"/>
          <w:sz w:val="24"/>
        </w:rPr>
        <w:t>the Housing SEPP does not apply to Building C</w:t>
      </w:r>
      <w:r>
        <w:rPr>
          <w:rFonts w:ascii="Arial"/>
          <w:color w:val="000000"/>
          <w:sz w:val="24"/>
        </w:rPr>
        <w:t xml:space="preserve"> </w:t>
      </w:r>
      <w:r>
        <w:rPr>
          <w:rFonts w:ascii="Arial"/>
          <w:color w:val="000000"/>
          <w:sz w:val="24"/>
        </w:rPr>
        <w:t xml:space="preserve">pursuant to s144 (3)(b) as the </w:t>
      </w:r>
      <w:r>
        <w:rPr>
          <w:rFonts w:ascii="Arial"/>
          <w:color w:val="000000"/>
          <w:sz w:val="24"/>
        </w:rPr>
        <w:t xml:space="preserve">proposed </w:t>
      </w:r>
      <w:r>
        <w:rPr>
          <w:rFonts w:ascii="Arial"/>
          <w:color w:val="000000"/>
          <w:sz w:val="24"/>
        </w:rPr>
        <w:t>building is only 2 storeys above an underground car park.</w:t>
      </w:r>
    </w:p>
    <w:p>
      <w:pPr>
        <w:pStyle w:val="CaselawNumbered10"/>
        <w:numPr>
          <w:ilvl w:val="0"/>
          <w:numId w:val="66"/>
        </w:numPr>
        <w:spacing w:before="150" w:after="0"/>
        <w:ind w:left="600" w:hanging="600"/>
      </w:pPr>
      <w:r>
        <w:rPr>
          <w:rFonts w:ascii="Arial"/>
          <w:color w:val="000000"/>
          <w:sz w:val="24"/>
        </w:rPr>
        <w:t>Given the extent of the design changes proposed by the Applicant</w:t>
      </w:r>
      <w:r>
        <w:rPr>
          <w:rFonts w:ascii="Arial"/>
          <w:color w:val="000000"/>
          <w:sz w:val="24"/>
        </w:rPr>
        <w:t xml:space="preserve"> </w:t>
      </w:r>
      <w:r>
        <w:rPr>
          <w:rFonts w:ascii="Arial"/>
          <w:color w:val="000000"/>
          <w:sz w:val="24"/>
        </w:rPr>
        <w:t>to the residential component of the proposed development, and as submitted after the Hearing was completed</w:t>
      </w:r>
      <w:r>
        <w:rPr>
          <w:rFonts w:ascii="Arial"/>
          <w:color w:val="000000"/>
          <w:sz w:val="24"/>
        </w:rPr>
        <w:t xml:space="preserve">, I do not consider that I can </w:t>
      </w:r>
      <w:r>
        <w:rPr>
          <w:rFonts w:ascii="Arial"/>
          <w:color w:val="000000"/>
          <w:sz w:val="24"/>
        </w:rPr>
        <w:t>support</w:t>
      </w:r>
      <w:r>
        <w:rPr>
          <w:rFonts w:ascii="Arial"/>
          <w:color w:val="000000"/>
          <w:sz w:val="24"/>
        </w:rPr>
        <w:t xml:space="preserve"> </w:t>
      </w:r>
      <w:r>
        <w:rPr>
          <w:rFonts w:ascii="Arial"/>
          <w:color w:val="000000"/>
          <w:sz w:val="24"/>
        </w:rPr>
        <w:t xml:space="preserve">the changes to the residential buildings as proposed in Condition 16 by the Applicant. </w:t>
      </w:r>
    </w:p>
    <w:p>
      <w:pPr>
        <w:pStyle w:val="CaselawNumbered10"/>
        <w:numPr>
          <w:ilvl w:val="0"/>
          <w:numId w:val="66"/>
        </w:numPr>
        <w:spacing w:before="150" w:after="0"/>
        <w:ind w:left="600" w:hanging="600"/>
      </w:pPr>
      <w:r>
        <w:rPr>
          <w:rFonts w:ascii="Arial"/>
          <w:color w:val="000000"/>
          <w:sz w:val="24"/>
        </w:rPr>
        <w:t>In any case, m</w:t>
      </w:r>
      <w:r>
        <w:rPr>
          <w:rFonts w:ascii="Arial"/>
          <w:color w:val="000000"/>
          <w:sz w:val="24"/>
        </w:rPr>
        <w:t>y findings on the commercial building loading facilities and access below will require some redesign of the proposed development</w:t>
      </w:r>
      <w:r>
        <w:rPr>
          <w:rFonts w:ascii="Arial"/>
          <w:color w:val="000000"/>
          <w:sz w:val="24"/>
        </w:rPr>
        <w:t xml:space="preserve"> </w:t>
      </w:r>
      <w:r>
        <w:rPr>
          <w:rFonts w:ascii="Arial"/>
          <w:color w:val="000000"/>
          <w:sz w:val="24"/>
        </w:rPr>
        <w:t>and an opportunity to address the design changes already proposed by the Applicant</w:t>
      </w:r>
      <w:r>
        <w:rPr>
          <w:rFonts w:ascii="Arial"/>
          <w:color w:val="000000"/>
          <w:sz w:val="24"/>
        </w:rPr>
        <w:t xml:space="preserve">. </w:t>
      </w:r>
    </w:p>
    <w:p>
      <w:pPr>
        <w:pStyle w:val="CaselawHeading3"/>
        <w:keepNext/>
        <w:spacing w:before="150" w:after="150" w:line="264"/>
        <w:ind w:left="0"/>
        <w:jc w:val="left"/>
      </w:pPr>
      <w:r>
        <w:rPr>
          <w:rFonts w:ascii="Arial"/>
        </w:rPr>
        <w:t xml:space="preserve">Proposed </w:t>
      </w:r>
      <w:r>
        <w:rPr>
          <w:rFonts w:ascii="Arial"/>
        </w:rPr>
        <w:t>Commercial Building Loading Facilities and Access</w:t>
      </w:r>
    </w:p>
    <w:p>
      <w:pPr>
        <w:pStyle w:val="CaselawNumbered10"/>
        <w:numPr>
          <w:ilvl w:val="0"/>
          <w:numId w:val="67"/>
        </w:numPr>
        <w:spacing w:before="150" w:after="0"/>
        <w:ind w:left="600" w:hanging="600"/>
      </w:pPr>
      <w:r>
        <w:rPr>
          <w:rFonts w:ascii="Arial"/>
          <w:color w:val="000000"/>
          <w:sz w:val="24"/>
        </w:rPr>
        <w:t>A contention raised by the Respondent consistently through the process is that t</w:t>
      </w:r>
      <w:r>
        <w:rPr>
          <w:rFonts w:ascii="Arial"/>
          <w:color w:val="000000"/>
          <w:sz w:val="24"/>
        </w:rPr>
        <w:t xml:space="preserve">he </w:t>
      </w:r>
      <w:r>
        <w:rPr>
          <w:rFonts w:ascii="Arial"/>
          <w:color w:val="000000"/>
          <w:sz w:val="24"/>
        </w:rPr>
        <w:t xml:space="preserve">proposed </w:t>
      </w:r>
      <w:r>
        <w:rPr>
          <w:rFonts w:ascii="Arial"/>
          <w:color w:val="000000"/>
          <w:sz w:val="24"/>
        </w:rPr>
        <w:t xml:space="preserve">commercial </w:t>
      </w:r>
      <w:r>
        <w:rPr>
          <w:rFonts w:ascii="Arial"/>
          <w:color w:val="000000"/>
          <w:sz w:val="24"/>
        </w:rPr>
        <w:t xml:space="preserve">loading facilities </w:t>
      </w:r>
      <w:r>
        <w:rPr>
          <w:rFonts w:ascii="Arial"/>
          <w:color w:val="000000"/>
          <w:sz w:val="24"/>
        </w:rPr>
        <w:t xml:space="preserve">and access </w:t>
      </w:r>
      <w:r>
        <w:rPr>
          <w:rFonts w:ascii="Arial"/>
          <w:color w:val="000000"/>
          <w:sz w:val="24"/>
        </w:rPr>
        <w:t>are poorly designed and inadequate for the propo</w:t>
      </w:r>
      <w:r>
        <w:rPr>
          <w:rFonts w:ascii="Arial"/>
          <w:color w:val="000000"/>
          <w:sz w:val="24"/>
        </w:rPr>
        <w:t>sed</w:t>
      </w:r>
      <w:r>
        <w:rPr>
          <w:rFonts w:ascii="Arial"/>
          <w:color w:val="000000"/>
          <w:sz w:val="24"/>
        </w:rPr>
        <w:t xml:space="preserve"> </w:t>
      </w:r>
      <w:r>
        <w:rPr>
          <w:rFonts w:ascii="Arial"/>
          <w:color w:val="000000"/>
          <w:sz w:val="24"/>
        </w:rPr>
        <w:t xml:space="preserve">commercial buildings in the </w:t>
      </w:r>
      <w:r>
        <w:rPr>
          <w:rFonts w:ascii="Arial"/>
          <w:color w:val="000000"/>
          <w:sz w:val="24"/>
        </w:rPr>
        <w:t>v</w:t>
      </w:r>
      <w:r>
        <w:rPr>
          <w:rFonts w:ascii="Arial"/>
          <w:color w:val="000000"/>
          <w:sz w:val="24"/>
        </w:rPr>
        <w:t xml:space="preserve">illage </w:t>
      </w:r>
      <w:r>
        <w:rPr>
          <w:rFonts w:ascii="Arial"/>
          <w:color w:val="000000"/>
          <w:sz w:val="24"/>
        </w:rPr>
        <w:t xml:space="preserve">centre </w:t>
      </w:r>
      <w:r>
        <w:rPr>
          <w:rFonts w:ascii="Arial"/>
          <w:color w:val="000000"/>
          <w:sz w:val="24"/>
        </w:rPr>
        <w:t>area of the site.</w:t>
      </w:r>
    </w:p>
    <w:p>
      <w:pPr>
        <w:pStyle w:val="CaselawNumbered10"/>
        <w:numPr>
          <w:ilvl w:val="0"/>
          <w:numId w:val="67"/>
        </w:numPr>
        <w:spacing w:before="150" w:after="0"/>
        <w:ind w:left="600" w:hanging="600"/>
      </w:pPr>
      <w:r>
        <w:rPr>
          <w:rFonts w:ascii="Arial"/>
          <w:color w:val="000000"/>
          <w:sz w:val="24"/>
        </w:rPr>
        <w:t xml:space="preserve">The Respondent stated in </w:t>
      </w:r>
      <w:r>
        <w:rPr>
          <w:rFonts w:ascii="Arial"/>
          <w:color w:val="000000"/>
          <w:sz w:val="24"/>
        </w:rPr>
        <w:t xml:space="preserve">their </w:t>
      </w:r>
      <w:r>
        <w:rPr>
          <w:rFonts w:ascii="Arial"/>
          <w:color w:val="000000"/>
          <w:sz w:val="24"/>
        </w:rPr>
        <w:t xml:space="preserve">final submission that the commercial loading dock is located within building B1. </w:t>
      </w:r>
    </w:p>
    <w:p>
      <w:pPr>
        <w:pStyle w:val="CaselawQuote"/>
        <w:spacing w:before="150" w:after="150"/>
        <w:ind w:left="1350"/>
        <w:jc w:val="left"/>
      </w:pPr>
      <w:r>
        <w:rPr>
          <w:rFonts w:ascii="Arial"/>
          <w:color w:val="000000"/>
          <w:sz w:val="22"/>
        </w:rPr>
        <w:t>“A simple look at the plan raises the question as to how the tenants in commercial premises 03, 04, and 05, will access the loading dock and move their deliveries from the loading dock. There is no direct access”.</w:t>
      </w:r>
    </w:p>
    <w:p>
      <w:pPr>
        <w:pStyle w:val="CaselawNumbered10"/>
        <w:numPr>
          <w:ilvl w:val="0"/>
          <w:numId w:val="68"/>
        </w:numPr>
        <w:spacing w:before="150" w:after="0"/>
        <w:ind w:left="600" w:hanging="600"/>
      </w:pPr>
      <w:r>
        <w:rPr>
          <w:rFonts w:ascii="Arial"/>
          <w:color w:val="000000"/>
          <w:sz w:val="24"/>
        </w:rPr>
        <w:t xml:space="preserve">Further, the </w:t>
      </w:r>
      <w:r>
        <w:rPr>
          <w:rFonts w:ascii="Arial"/>
          <w:color w:val="000000"/>
          <w:sz w:val="24"/>
        </w:rPr>
        <w:t>R</w:t>
      </w:r>
      <w:r>
        <w:rPr>
          <w:rFonts w:ascii="Arial"/>
          <w:color w:val="000000"/>
          <w:sz w:val="24"/>
        </w:rPr>
        <w:t>espondent pointed out that</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“the</w:t>
      </w:r>
      <w:r>
        <w:rPr>
          <w:rFonts w:ascii="Arial"/>
          <w:color w:val="000000"/>
          <w:sz w:val="22"/>
        </w:rPr>
        <w:t xml:space="preserve"> evidence is that it requires a walk of about 115 metres around the perimeter of the property, to the tenancies. Not only is that suboptimal and inconvenient, but the impacts of it on the residents along that route (for example in terms of acoustic privacy), have not been assessed</w:t>
      </w:r>
      <w:r>
        <w:rPr>
          <w:rFonts w:ascii="Arial"/>
          <w:color w:val="000000"/>
          <w:sz w:val="22"/>
        </w:rPr>
        <w:t>”.</w:t>
      </w:r>
    </w:p>
    <w:p>
      <w:pPr>
        <w:pStyle w:val="CaselawNumbered10"/>
        <w:numPr>
          <w:ilvl w:val="0"/>
          <w:numId w:val="69"/>
        </w:numPr>
        <w:spacing w:before="150" w:after="0"/>
        <w:ind w:left="600" w:hanging="600"/>
      </w:pPr>
      <w:r>
        <w:rPr>
          <w:rFonts w:ascii="Arial"/>
          <w:color w:val="000000"/>
          <w:sz w:val="24"/>
        </w:rPr>
        <w:t>The Applicant</w:t>
      </w:r>
      <w:r>
        <w:rPr>
          <w:rFonts w:ascii="Arial"/>
          <w:color w:val="000000"/>
          <w:sz w:val="24"/>
        </w:rPr>
        <w:t>’</w:t>
      </w:r>
      <w:r>
        <w:rPr>
          <w:rFonts w:ascii="Arial"/>
          <w:color w:val="000000"/>
          <w:sz w:val="24"/>
        </w:rPr>
        <w:t xml:space="preserve">s response (in </w:t>
      </w:r>
      <w:r>
        <w:rPr>
          <w:rFonts w:ascii="Arial"/>
          <w:color w:val="000000"/>
          <w:sz w:val="24"/>
        </w:rPr>
        <w:t xml:space="preserve">their </w:t>
      </w:r>
      <w:r>
        <w:rPr>
          <w:rFonts w:ascii="Arial"/>
          <w:color w:val="000000"/>
          <w:sz w:val="24"/>
        </w:rPr>
        <w:t>final submission) is that</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“the</w:t>
      </w:r>
      <w:r>
        <w:rPr>
          <w:rFonts w:ascii="Arial"/>
          <w:color w:val="000000"/>
          <w:sz w:val="22"/>
        </w:rPr>
        <w:t xml:space="preserve"> amended plans now provide access from the loading dock directly into the common area of the commercial premises in Building B2. It is noted that the commercial units are relatively </w:t>
      </w:r>
      <w:r>
        <w:rPr>
          <w:rFonts w:ascii="Arial"/>
          <w:color w:val="000000"/>
          <w:sz w:val="22"/>
        </w:rPr>
        <w:t>small</w:t>
      </w:r>
      <w:r>
        <w:rPr>
          <w:rFonts w:ascii="Arial"/>
          <w:color w:val="000000"/>
          <w:sz w:val="22"/>
        </w:rPr>
        <w:t xml:space="preserve"> and the largest commercial unit is nearest to the loading dock. When vehicles use the </w:t>
      </w:r>
      <w:r>
        <w:rPr>
          <w:rFonts w:ascii="Arial"/>
          <w:color w:val="000000"/>
          <w:sz w:val="22"/>
        </w:rPr>
        <w:t>loading dock trolley access is provided for goods delivery through the colonnade on the site thereafter”.</w:t>
      </w:r>
    </w:p>
    <w:p>
      <w:pPr>
        <w:pStyle w:val="CaselawNumbered10"/>
        <w:numPr>
          <w:ilvl w:val="0"/>
          <w:numId w:val="70"/>
        </w:numPr>
        <w:spacing w:before="150" w:after="0"/>
        <w:ind w:left="600" w:hanging="600"/>
      </w:pPr>
      <w:r>
        <w:rPr>
          <w:rFonts w:ascii="Arial"/>
          <w:color w:val="000000"/>
          <w:sz w:val="24"/>
        </w:rPr>
        <w:t>The Applicant submits that</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“in</w:t>
      </w:r>
      <w:r>
        <w:rPr>
          <w:rFonts w:ascii="Arial"/>
          <w:color w:val="000000"/>
          <w:sz w:val="22"/>
        </w:rPr>
        <w:t xml:space="preserve"> the circumstances where the commercial units are small in nature, the access is reasonable and efficient</w:t>
      </w:r>
      <w:r>
        <w:rPr>
          <w:rFonts w:ascii="Arial"/>
          <w:color w:val="000000"/>
          <w:sz w:val="22"/>
        </w:rPr>
        <w:t>.”</w:t>
      </w:r>
    </w:p>
    <w:p>
      <w:pPr>
        <w:pStyle w:val="CaselawNumbered10"/>
        <w:numPr>
          <w:ilvl w:val="0"/>
          <w:numId w:val="71"/>
        </w:numPr>
        <w:spacing w:before="150" w:after="0"/>
        <w:ind w:left="600" w:hanging="600"/>
      </w:pPr>
      <w:r>
        <w:rPr>
          <w:rFonts w:ascii="Arial"/>
          <w:color w:val="000000"/>
          <w:sz w:val="24"/>
        </w:rPr>
        <w:t xml:space="preserve">No </w:t>
      </w:r>
      <w:r>
        <w:rPr>
          <w:rFonts w:ascii="Arial"/>
          <w:color w:val="000000"/>
          <w:sz w:val="24"/>
        </w:rPr>
        <w:t xml:space="preserve">detailed </w:t>
      </w:r>
      <w:r>
        <w:rPr>
          <w:rFonts w:ascii="Arial"/>
          <w:color w:val="000000"/>
          <w:sz w:val="24"/>
        </w:rPr>
        <w:t xml:space="preserve">evidence was put forward by the Applicant to support the proposed loading </w:t>
      </w:r>
      <w:r>
        <w:rPr>
          <w:rFonts w:ascii="Arial"/>
          <w:color w:val="000000"/>
          <w:sz w:val="24"/>
        </w:rPr>
        <w:t xml:space="preserve">facilities and </w:t>
      </w:r>
      <w:r>
        <w:rPr>
          <w:rFonts w:ascii="Arial"/>
          <w:color w:val="000000"/>
          <w:sz w:val="24"/>
        </w:rPr>
        <w:t>access to the commercial premises</w:t>
      </w:r>
      <w:r>
        <w:rPr>
          <w:rFonts w:ascii="Arial"/>
          <w:color w:val="000000"/>
          <w:sz w:val="24"/>
        </w:rPr>
        <w:t xml:space="preserve"> </w:t>
      </w:r>
      <w:r>
        <w:rPr>
          <w:rFonts w:ascii="Arial"/>
          <w:color w:val="000000"/>
          <w:sz w:val="24"/>
        </w:rPr>
        <w:t>in Buildings B1 and B2</w:t>
      </w:r>
      <w:r>
        <w:rPr>
          <w:rFonts w:ascii="Arial"/>
          <w:color w:val="000000"/>
          <w:sz w:val="24"/>
        </w:rPr>
        <w:t xml:space="preserve">. </w:t>
      </w:r>
      <w:r>
        <w:rPr>
          <w:rFonts w:ascii="Arial"/>
          <w:color w:val="000000"/>
          <w:sz w:val="24"/>
        </w:rPr>
        <w:t>The Respondent</w:t>
      </w:r>
      <w:r>
        <w:rPr>
          <w:rFonts w:ascii="Arial"/>
          <w:color w:val="000000"/>
          <w:sz w:val="24"/>
        </w:rPr>
        <w:t>’</w:t>
      </w:r>
      <w:r>
        <w:rPr>
          <w:rFonts w:ascii="Arial"/>
          <w:color w:val="000000"/>
          <w:sz w:val="24"/>
        </w:rPr>
        <w:t>s expert Town Planner</w:t>
      </w:r>
      <w:r>
        <w:rPr>
          <w:rFonts w:ascii="Arial"/>
          <w:color w:val="000000"/>
          <w:sz w:val="24"/>
        </w:rPr>
        <w:t>,</w:t>
      </w:r>
      <w:r>
        <w:rPr>
          <w:rFonts w:ascii="Arial"/>
          <w:color w:val="000000"/>
          <w:sz w:val="24"/>
        </w:rPr>
        <w:t xml:space="preserve"> </w:t>
      </w:r>
      <w:r>
        <w:rPr>
          <w:rFonts w:ascii="Arial"/>
          <w:color w:val="000000"/>
          <w:sz w:val="24"/>
        </w:rPr>
        <w:t xml:space="preserve">Mr G </w:t>
      </w:r>
      <w:r>
        <w:rPr>
          <w:rFonts w:ascii="Arial"/>
          <w:color w:val="000000"/>
          <w:sz w:val="24"/>
        </w:rPr>
        <w:t>Turrisi</w:t>
      </w:r>
      <w:r>
        <w:rPr>
          <w:rFonts w:ascii="Arial"/>
          <w:color w:val="000000"/>
          <w:sz w:val="24"/>
        </w:rPr>
        <w:t>,</w:t>
      </w:r>
      <w:r>
        <w:rPr>
          <w:rFonts w:ascii="Arial"/>
          <w:color w:val="000000"/>
          <w:sz w:val="24"/>
        </w:rPr>
        <w:t xml:space="preserve"> </w:t>
      </w:r>
      <w:r>
        <w:rPr>
          <w:rFonts w:ascii="Arial"/>
          <w:color w:val="000000"/>
          <w:sz w:val="24"/>
        </w:rPr>
        <w:t>stated at paragraph 41 of the J</w:t>
      </w:r>
      <w:r>
        <w:rPr>
          <w:rFonts w:ascii="Arial"/>
          <w:color w:val="000000"/>
          <w:sz w:val="24"/>
        </w:rPr>
        <w:t>oint Experts</w:t>
      </w:r>
      <w:r>
        <w:rPr>
          <w:rFonts w:ascii="Arial"/>
          <w:color w:val="000000"/>
          <w:sz w:val="24"/>
        </w:rPr>
        <w:t xml:space="preserve">’ </w:t>
      </w:r>
      <w:r>
        <w:rPr>
          <w:rFonts w:ascii="Arial"/>
          <w:color w:val="000000"/>
          <w:sz w:val="24"/>
        </w:rPr>
        <w:t xml:space="preserve">Report </w:t>
      </w:r>
      <w:r>
        <w:rPr>
          <w:rFonts w:ascii="Arial"/>
          <w:color w:val="000000"/>
          <w:sz w:val="24"/>
        </w:rPr>
        <w:t xml:space="preserve">– </w:t>
      </w:r>
      <w:r>
        <w:rPr>
          <w:rFonts w:ascii="Arial"/>
          <w:color w:val="000000"/>
          <w:sz w:val="24"/>
        </w:rPr>
        <w:t xml:space="preserve">Town Planning </w:t>
      </w:r>
      <w:r>
        <w:rPr>
          <w:rFonts w:ascii="Arial"/>
          <w:color w:val="000000"/>
          <w:sz w:val="24"/>
        </w:rPr>
        <w:t xml:space="preserve">dated </w:t>
      </w:r>
      <w:r>
        <w:rPr>
          <w:rFonts w:ascii="Arial"/>
          <w:color w:val="000000"/>
          <w:sz w:val="24"/>
        </w:rPr>
        <w:t>24 May 2024</w:t>
      </w:r>
      <w:r>
        <w:rPr>
          <w:rFonts w:ascii="Arial"/>
          <w:color w:val="000000"/>
          <w:sz w:val="24"/>
        </w:rPr>
        <w:t xml:space="preserve"> </w:t>
      </w:r>
      <w:r>
        <w:rPr>
          <w:rFonts w:ascii="Arial"/>
          <w:color w:val="000000"/>
          <w:sz w:val="24"/>
        </w:rPr>
        <w:t>that</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“what</w:t>
      </w:r>
      <w:r>
        <w:rPr>
          <w:rFonts w:ascii="Arial"/>
          <w:color w:val="000000"/>
          <w:sz w:val="22"/>
        </w:rPr>
        <w:t xml:space="preserve"> remains unresolved is a concern as to how one loading dock can service both buildings [Buildings B1 and B2] as there is no practical connection between the two buildings”. </w:t>
      </w:r>
    </w:p>
    <w:p>
      <w:pPr>
        <w:pStyle w:val="CaselawNumbered10"/>
        <w:numPr>
          <w:ilvl w:val="0"/>
          <w:numId w:val="72"/>
        </w:numPr>
        <w:spacing w:before="150" w:after="0"/>
        <w:ind w:left="600" w:hanging="600"/>
      </w:pPr>
      <w:r>
        <w:rPr>
          <w:rFonts w:ascii="Arial"/>
          <w:color w:val="000000"/>
          <w:sz w:val="24"/>
        </w:rPr>
        <w:t>I</w:t>
      </w:r>
      <w:r>
        <w:rPr>
          <w:rFonts w:ascii="Arial"/>
          <w:color w:val="000000"/>
          <w:sz w:val="24"/>
        </w:rPr>
        <w:t xml:space="preserve"> </w:t>
      </w:r>
      <w:r>
        <w:rPr>
          <w:rFonts w:ascii="Arial"/>
          <w:color w:val="000000"/>
          <w:sz w:val="24"/>
        </w:rPr>
        <w:t>also no</w:t>
      </w:r>
      <w:r>
        <w:rPr>
          <w:rFonts w:ascii="Arial"/>
          <w:color w:val="000000"/>
          <w:sz w:val="24"/>
        </w:rPr>
        <w:t>te</w:t>
      </w:r>
      <w:r>
        <w:rPr>
          <w:rFonts w:ascii="Arial"/>
          <w:color w:val="000000"/>
          <w:sz w:val="24"/>
        </w:rPr>
        <w:t xml:space="preserve"> </w:t>
      </w:r>
      <w:r>
        <w:rPr>
          <w:rFonts w:ascii="Arial"/>
          <w:color w:val="000000"/>
          <w:sz w:val="24"/>
        </w:rPr>
        <w:t xml:space="preserve">that the proposed </w:t>
      </w:r>
      <w:r>
        <w:rPr>
          <w:rFonts w:ascii="Arial"/>
          <w:color w:val="000000"/>
          <w:sz w:val="24"/>
        </w:rPr>
        <w:t xml:space="preserve">commercial </w:t>
      </w:r>
      <w:r>
        <w:rPr>
          <w:rFonts w:ascii="Arial"/>
          <w:color w:val="000000"/>
          <w:sz w:val="24"/>
        </w:rPr>
        <w:t xml:space="preserve">loading </w:t>
      </w:r>
      <w:r>
        <w:rPr>
          <w:rFonts w:ascii="Arial"/>
          <w:color w:val="000000"/>
          <w:sz w:val="24"/>
        </w:rPr>
        <w:t xml:space="preserve">facilities and </w:t>
      </w:r>
      <w:r>
        <w:rPr>
          <w:rFonts w:ascii="Arial"/>
          <w:color w:val="000000"/>
          <w:sz w:val="24"/>
        </w:rPr>
        <w:t xml:space="preserve">access to Building B1 </w:t>
      </w:r>
      <w:r>
        <w:rPr>
          <w:rFonts w:ascii="Arial"/>
          <w:color w:val="000000"/>
          <w:sz w:val="24"/>
        </w:rPr>
        <w:t>are</w:t>
      </w:r>
      <w:r>
        <w:rPr>
          <w:rFonts w:ascii="Arial"/>
          <w:color w:val="000000"/>
          <w:sz w:val="24"/>
        </w:rPr>
        <w:t xml:space="preserve"> </w:t>
      </w:r>
      <w:r>
        <w:rPr>
          <w:rFonts w:ascii="Arial"/>
          <w:color w:val="000000"/>
          <w:sz w:val="24"/>
        </w:rPr>
        <w:t xml:space="preserve">at grade, </w:t>
      </w:r>
      <w:r>
        <w:rPr>
          <w:rFonts w:ascii="Arial"/>
          <w:color w:val="000000"/>
          <w:sz w:val="24"/>
        </w:rPr>
        <w:t xml:space="preserve">with truck movements </w:t>
      </w:r>
      <w:r>
        <w:rPr>
          <w:rFonts w:ascii="Arial"/>
          <w:color w:val="000000"/>
          <w:sz w:val="24"/>
        </w:rPr>
        <w:t xml:space="preserve">potentially impacting on </w:t>
      </w:r>
      <w:r>
        <w:rPr>
          <w:rFonts w:ascii="Arial"/>
          <w:color w:val="000000"/>
          <w:sz w:val="24"/>
        </w:rPr>
        <w:t xml:space="preserve">the residential components of Building A3 and the upper levels of Building B1. </w:t>
      </w:r>
      <w:r>
        <w:rPr>
          <w:rFonts w:ascii="Arial"/>
          <w:color w:val="000000"/>
          <w:sz w:val="24"/>
        </w:rPr>
        <w:t>N</w:t>
      </w:r>
      <w:r>
        <w:rPr>
          <w:rFonts w:ascii="Arial"/>
          <w:color w:val="000000"/>
          <w:sz w:val="24"/>
        </w:rPr>
        <w:t xml:space="preserve">o attempt </w:t>
      </w:r>
      <w:r>
        <w:rPr>
          <w:rFonts w:ascii="Arial"/>
          <w:color w:val="000000"/>
          <w:sz w:val="24"/>
        </w:rPr>
        <w:t>has been</w:t>
      </w:r>
      <w:r>
        <w:rPr>
          <w:rFonts w:ascii="Arial"/>
          <w:color w:val="000000"/>
          <w:sz w:val="24"/>
        </w:rPr>
        <w:t xml:space="preserve"> </w:t>
      </w:r>
      <w:r>
        <w:rPr>
          <w:rFonts w:ascii="Arial"/>
          <w:color w:val="000000"/>
          <w:sz w:val="24"/>
        </w:rPr>
        <w:t xml:space="preserve">made to utilise the basement area underneath Building </w:t>
      </w:r>
      <w:r>
        <w:rPr>
          <w:rFonts w:ascii="Arial"/>
          <w:color w:val="000000"/>
          <w:sz w:val="24"/>
        </w:rPr>
        <w:t>B1</w:t>
      </w:r>
      <w:r>
        <w:rPr>
          <w:rFonts w:ascii="Arial"/>
          <w:color w:val="000000"/>
          <w:sz w:val="24"/>
        </w:rPr>
        <w:t xml:space="preserve"> </w:t>
      </w:r>
      <w:r>
        <w:rPr>
          <w:rFonts w:ascii="Arial"/>
          <w:color w:val="000000"/>
          <w:sz w:val="24"/>
        </w:rPr>
        <w:t>and Building B2</w:t>
      </w:r>
      <w:r>
        <w:rPr>
          <w:rFonts w:ascii="Arial"/>
          <w:color w:val="000000"/>
          <w:sz w:val="24"/>
        </w:rPr>
        <w:t xml:space="preserve"> </w:t>
      </w:r>
      <w:r>
        <w:rPr>
          <w:rFonts w:ascii="Arial"/>
          <w:color w:val="000000"/>
          <w:sz w:val="24"/>
        </w:rPr>
        <w:t xml:space="preserve">for </w:t>
      </w:r>
      <w:r>
        <w:rPr>
          <w:rFonts w:ascii="Arial"/>
          <w:color w:val="000000"/>
          <w:sz w:val="24"/>
        </w:rPr>
        <w:t xml:space="preserve">loading facilities and </w:t>
      </w:r>
      <w:r>
        <w:rPr>
          <w:rFonts w:ascii="Arial"/>
          <w:color w:val="000000"/>
          <w:sz w:val="24"/>
        </w:rPr>
        <w:t xml:space="preserve">access to service </w:t>
      </w:r>
      <w:r>
        <w:rPr>
          <w:rFonts w:ascii="Arial"/>
          <w:color w:val="000000"/>
          <w:sz w:val="24"/>
        </w:rPr>
        <w:t xml:space="preserve">commercial spaces in </w:t>
      </w:r>
      <w:r>
        <w:rPr>
          <w:rFonts w:ascii="Arial"/>
          <w:color w:val="000000"/>
          <w:sz w:val="24"/>
        </w:rPr>
        <w:t xml:space="preserve">these </w:t>
      </w:r>
      <w:r>
        <w:rPr>
          <w:rFonts w:ascii="Arial"/>
          <w:color w:val="000000"/>
          <w:sz w:val="24"/>
        </w:rPr>
        <w:t>buildings</w:t>
      </w:r>
      <w:r>
        <w:rPr>
          <w:rFonts w:ascii="Arial"/>
          <w:color w:val="000000"/>
          <w:sz w:val="24"/>
        </w:rPr>
        <w:t xml:space="preserve">. </w:t>
      </w:r>
    </w:p>
    <w:p>
      <w:pPr>
        <w:pStyle w:val="CaselawNumbered10"/>
        <w:numPr>
          <w:ilvl w:val="0"/>
          <w:numId w:val="72"/>
        </w:numPr>
        <w:spacing w:before="150" w:after="0"/>
        <w:ind w:left="600" w:hanging="600"/>
      </w:pPr>
      <w:r>
        <w:rPr>
          <w:rFonts w:ascii="Arial"/>
          <w:color w:val="000000"/>
          <w:sz w:val="24"/>
        </w:rPr>
        <w:t xml:space="preserve">I consider that the </w:t>
      </w:r>
      <w:r>
        <w:rPr>
          <w:rFonts w:ascii="Arial"/>
          <w:color w:val="000000"/>
          <w:sz w:val="24"/>
        </w:rPr>
        <w:t xml:space="preserve">design of the </w:t>
      </w:r>
      <w:r>
        <w:rPr>
          <w:rFonts w:ascii="Arial"/>
          <w:color w:val="000000"/>
          <w:sz w:val="24"/>
        </w:rPr>
        <w:t xml:space="preserve">commercial </w:t>
      </w:r>
      <w:r>
        <w:rPr>
          <w:rFonts w:ascii="Arial"/>
          <w:color w:val="000000"/>
          <w:sz w:val="24"/>
        </w:rPr>
        <w:t xml:space="preserve">loading </w:t>
      </w:r>
      <w:r>
        <w:rPr>
          <w:rFonts w:ascii="Arial"/>
          <w:color w:val="000000"/>
          <w:sz w:val="24"/>
        </w:rPr>
        <w:t xml:space="preserve">facilities and </w:t>
      </w:r>
      <w:r>
        <w:rPr>
          <w:rFonts w:ascii="Arial"/>
          <w:color w:val="000000"/>
          <w:sz w:val="24"/>
        </w:rPr>
        <w:t xml:space="preserve">access to the commercial area in the village centre have not been satisfactorily resolved. </w:t>
      </w:r>
      <w:r>
        <w:rPr>
          <w:rFonts w:ascii="Arial"/>
          <w:color w:val="000000"/>
          <w:sz w:val="24"/>
        </w:rPr>
        <w:t>To do so will require design changes</w:t>
      </w:r>
      <w:r>
        <w:rPr>
          <w:rFonts w:ascii="Arial"/>
          <w:color w:val="000000"/>
          <w:sz w:val="24"/>
        </w:rPr>
        <w:t xml:space="preserve"> </w:t>
      </w:r>
      <w:r>
        <w:rPr>
          <w:rFonts w:ascii="Arial"/>
          <w:color w:val="000000"/>
          <w:sz w:val="24"/>
        </w:rPr>
        <w:t xml:space="preserve">to </w:t>
      </w:r>
      <w:r>
        <w:rPr>
          <w:rFonts w:ascii="Arial"/>
          <w:color w:val="000000"/>
          <w:sz w:val="24"/>
        </w:rPr>
        <w:t xml:space="preserve">access to and layout of </w:t>
      </w:r>
      <w:r>
        <w:rPr>
          <w:rFonts w:ascii="Arial"/>
          <w:color w:val="000000"/>
          <w:sz w:val="24"/>
        </w:rPr>
        <w:t>the basement carpark</w:t>
      </w:r>
      <w:r>
        <w:rPr>
          <w:rFonts w:ascii="Arial"/>
          <w:color w:val="000000"/>
          <w:sz w:val="24"/>
        </w:rPr>
        <w:t xml:space="preserve"> </w:t>
      </w:r>
      <w:r>
        <w:rPr>
          <w:rFonts w:ascii="Arial"/>
          <w:color w:val="000000"/>
          <w:sz w:val="24"/>
        </w:rPr>
        <w:t xml:space="preserve">servicing </w:t>
      </w:r>
      <w:r>
        <w:rPr>
          <w:rFonts w:ascii="Arial"/>
          <w:color w:val="000000"/>
          <w:sz w:val="24"/>
        </w:rPr>
        <w:t>the village centre</w:t>
      </w:r>
      <w:r>
        <w:rPr>
          <w:rFonts w:ascii="Arial"/>
          <w:color w:val="000000"/>
          <w:sz w:val="24"/>
        </w:rPr>
        <w:t>, and will affect various components of the development proposal, which is subject to one development application.</w:t>
      </w:r>
    </w:p>
    <w:p>
      <w:pPr>
        <w:pStyle w:val="CaselawHeading2"/>
        <w:keepNext/>
        <w:spacing w:before="150" w:after="150" w:line="264"/>
        <w:ind w:left="0"/>
        <w:jc w:val="left"/>
      </w:pPr>
      <w:r>
        <w:rPr>
          <w:rFonts w:ascii="Arial"/>
        </w:rPr>
        <w:t>Conclusion</w:t>
      </w:r>
    </w:p>
    <w:p>
      <w:pPr>
        <w:pStyle w:val="CaselawNumbered10"/>
        <w:numPr>
          <w:ilvl w:val="0"/>
          <w:numId w:val="73"/>
        </w:numPr>
        <w:spacing w:before="150" w:after="0"/>
        <w:ind w:left="600" w:hanging="600"/>
      </w:pPr>
      <w:r>
        <w:rPr>
          <w:rFonts w:ascii="Arial"/>
          <w:color w:val="000000"/>
          <w:sz w:val="24"/>
        </w:rPr>
        <w:t xml:space="preserve">The proposed development is clearly consistent with the </w:t>
      </w:r>
      <w:r>
        <w:rPr>
          <w:rFonts w:ascii="Arial"/>
          <w:color w:val="000000"/>
          <w:sz w:val="24"/>
        </w:rPr>
        <w:t xml:space="preserve">adopted </w:t>
      </w:r>
      <w:r>
        <w:rPr>
          <w:rFonts w:ascii="Arial"/>
          <w:color w:val="000000"/>
          <w:sz w:val="24"/>
        </w:rPr>
        <w:t>strategic planning for the Edmondson Park precinct, as expressed in Part 2.11 of the DCP.</w:t>
      </w:r>
    </w:p>
    <w:p>
      <w:pPr>
        <w:pStyle w:val="CaselawNumbered10"/>
        <w:numPr>
          <w:ilvl w:val="0"/>
          <w:numId w:val="73"/>
        </w:numPr>
        <w:spacing w:before="150" w:after="0"/>
        <w:ind w:left="600" w:hanging="600"/>
      </w:pPr>
      <w:r>
        <w:rPr>
          <w:rFonts w:ascii="Arial"/>
          <w:color w:val="000000"/>
          <w:sz w:val="24"/>
        </w:rPr>
        <w:t>However, there remain numerous detailed design issue</w:t>
      </w:r>
      <w:r>
        <w:rPr>
          <w:rFonts w:ascii="Arial"/>
          <w:color w:val="000000"/>
          <w:sz w:val="24"/>
        </w:rPr>
        <w:t>s</w:t>
      </w:r>
      <w:r>
        <w:rPr>
          <w:rFonts w:ascii="Arial"/>
          <w:color w:val="000000"/>
          <w:sz w:val="24"/>
        </w:rPr>
        <w:t xml:space="preserve"> </w:t>
      </w:r>
      <w:r>
        <w:rPr>
          <w:rFonts w:ascii="Arial"/>
          <w:color w:val="000000"/>
          <w:sz w:val="24"/>
        </w:rPr>
        <w:t xml:space="preserve">yet to be fully resolved. </w:t>
      </w:r>
      <w:r>
        <w:rPr>
          <w:rFonts w:ascii="Arial"/>
          <w:color w:val="000000"/>
          <w:sz w:val="24"/>
        </w:rPr>
        <w:t>The parties have worked towards resolving these issues</w:t>
      </w:r>
      <w:r>
        <w:rPr>
          <w:rFonts w:ascii="Arial"/>
          <w:color w:val="000000"/>
          <w:sz w:val="24"/>
        </w:rPr>
        <w:t xml:space="preserve"> </w:t>
      </w:r>
      <w:r>
        <w:rPr>
          <w:rFonts w:ascii="Arial"/>
          <w:color w:val="000000"/>
          <w:sz w:val="24"/>
        </w:rPr>
        <w:t>for the residential component</w:t>
      </w:r>
      <w:r>
        <w:rPr>
          <w:rFonts w:ascii="Arial"/>
          <w:color w:val="000000"/>
          <w:sz w:val="24"/>
        </w:rPr>
        <w:t xml:space="preserve">, </w:t>
      </w:r>
      <w:r>
        <w:rPr>
          <w:rFonts w:ascii="Arial"/>
          <w:color w:val="000000"/>
          <w:sz w:val="24"/>
        </w:rPr>
        <w:t>and a</w:t>
      </w:r>
      <w:r>
        <w:rPr>
          <w:rFonts w:ascii="Arial"/>
          <w:color w:val="000000"/>
          <w:sz w:val="24"/>
        </w:rPr>
        <w:t>fter th</w:t>
      </w:r>
      <w:r>
        <w:rPr>
          <w:rFonts w:ascii="Arial"/>
          <w:color w:val="000000"/>
          <w:sz w:val="24"/>
        </w:rPr>
        <w:t>is</w:t>
      </w:r>
      <w:r>
        <w:rPr>
          <w:rFonts w:ascii="Arial"/>
          <w:color w:val="000000"/>
          <w:sz w:val="24"/>
        </w:rPr>
        <w:t xml:space="preserve"> </w:t>
      </w:r>
      <w:r>
        <w:rPr>
          <w:rFonts w:ascii="Arial"/>
          <w:color w:val="000000"/>
          <w:sz w:val="24"/>
        </w:rPr>
        <w:t>H</w:t>
      </w:r>
      <w:r>
        <w:rPr>
          <w:rFonts w:ascii="Arial"/>
          <w:color w:val="000000"/>
          <w:sz w:val="24"/>
        </w:rPr>
        <w:t xml:space="preserve">earing had been completed </w:t>
      </w:r>
      <w:r>
        <w:rPr>
          <w:rFonts w:ascii="Arial"/>
          <w:color w:val="000000"/>
          <w:sz w:val="24"/>
        </w:rPr>
        <w:t>further amendments were proposed by the Applicant</w:t>
      </w:r>
      <w:r>
        <w:rPr>
          <w:rFonts w:ascii="Arial"/>
          <w:color w:val="000000"/>
          <w:sz w:val="24"/>
        </w:rPr>
        <w:t xml:space="preserve"> </w:t>
      </w:r>
      <w:r>
        <w:rPr>
          <w:rFonts w:ascii="Arial"/>
          <w:color w:val="000000"/>
          <w:sz w:val="24"/>
        </w:rPr>
        <w:t>in an extensive amended plans condition.</w:t>
      </w:r>
    </w:p>
    <w:p>
      <w:pPr>
        <w:pStyle w:val="CaselawNumbered10"/>
        <w:numPr>
          <w:ilvl w:val="0"/>
          <w:numId w:val="73"/>
        </w:numPr>
        <w:spacing w:before="150" w:after="0"/>
        <w:ind w:left="600" w:hanging="600"/>
      </w:pPr>
      <w:r>
        <w:rPr>
          <w:rFonts w:ascii="Arial"/>
          <w:color w:val="000000"/>
          <w:sz w:val="24"/>
        </w:rPr>
        <w:t xml:space="preserve">However, </w:t>
      </w:r>
      <w:r>
        <w:rPr>
          <w:rFonts w:ascii="Arial"/>
          <w:color w:val="000000"/>
          <w:sz w:val="24"/>
        </w:rPr>
        <w:t>I am satisfied that the scope of the amendments required</w:t>
      </w:r>
      <w:r>
        <w:rPr>
          <w:rFonts w:ascii="Arial"/>
          <w:color w:val="000000"/>
          <w:sz w:val="24"/>
        </w:rPr>
        <w:t xml:space="preserve"> </w:t>
      </w:r>
      <w:r>
        <w:rPr>
          <w:rFonts w:ascii="Arial"/>
          <w:color w:val="000000"/>
          <w:sz w:val="24"/>
        </w:rPr>
        <w:t xml:space="preserve">to the proposed development </w:t>
      </w:r>
      <w:r>
        <w:rPr>
          <w:rFonts w:ascii="Arial"/>
          <w:color w:val="000000"/>
          <w:sz w:val="24"/>
        </w:rPr>
        <w:t xml:space="preserve">cannot be dealt with through an amending plans condition, </w:t>
      </w:r>
      <w:r>
        <w:rPr>
          <w:rFonts w:ascii="Arial"/>
          <w:color w:val="000000"/>
          <w:sz w:val="24"/>
        </w:rPr>
        <w:t>as the impacts of the latest proposed changes to the residential component</w:t>
      </w:r>
      <w:r>
        <w:rPr>
          <w:rFonts w:ascii="Arial"/>
          <w:color w:val="000000"/>
          <w:sz w:val="24"/>
        </w:rPr>
        <w:t>’</w:t>
      </w:r>
      <w:r>
        <w:rPr>
          <w:rFonts w:ascii="Arial"/>
          <w:color w:val="000000"/>
          <w:sz w:val="24"/>
        </w:rPr>
        <w:t xml:space="preserve">s design need to be fully assessed. </w:t>
      </w:r>
    </w:p>
    <w:p>
      <w:pPr>
        <w:pStyle w:val="CaselawNumbered10"/>
        <w:numPr>
          <w:ilvl w:val="0"/>
          <w:numId w:val="73"/>
        </w:numPr>
        <w:spacing w:before="150" w:after="0"/>
        <w:ind w:left="600" w:hanging="600"/>
      </w:pPr>
      <w:r>
        <w:rPr>
          <w:rFonts w:ascii="Arial"/>
          <w:color w:val="000000"/>
          <w:sz w:val="24"/>
        </w:rPr>
        <w:t>The proposed commercial loading facilities and access to the commercial area in the village centre (Buildings B1 And B2) have no</w:t>
      </w:r>
      <w:r>
        <w:rPr>
          <w:rFonts w:ascii="Arial"/>
          <w:color w:val="000000"/>
          <w:sz w:val="24"/>
        </w:rPr>
        <w:t>t</w:t>
      </w:r>
      <w:r>
        <w:rPr>
          <w:rFonts w:ascii="Arial"/>
          <w:color w:val="000000"/>
          <w:sz w:val="24"/>
        </w:rPr>
        <w:t xml:space="preserve"> </w:t>
      </w:r>
      <w:r>
        <w:rPr>
          <w:rFonts w:ascii="Arial"/>
          <w:color w:val="000000"/>
          <w:sz w:val="24"/>
        </w:rPr>
        <w:t xml:space="preserve">been satisfactorily resolved. </w:t>
      </w:r>
      <w:r>
        <w:rPr>
          <w:rFonts w:ascii="Arial"/>
          <w:color w:val="000000"/>
          <w:sz w:val="24"/>
        </w:rPr>
        <w:t>C</w:t>
      </w:r>
      <w:r>
        <w:rPr>
          <w:rFonts w:ascii="Arial"/>
          <w:color w:val="000000"/>
          <w:sz w:val="24"/>
        </w:rPr>
        <w:t xml:space="preserve">hanges </w:t>
      </w:r>
      <w:r>
        <w:rPr>
          <w:rFonts w:ascii="Arial"/>
          <w:color w:val="000000"/>
          <w:sz w:val="24"/>
        </w:rPr>
        <w:t xml:space="preserve">to the </w:t>
      </w:r>
      <w:r>
        <w:rPr>
          <w:rFonts w:ascii="Arial"/>
          <w:color w:val="000000"/>
          <w:sz w:val="24"/>
        </w:rPr>
        <w:t xml:space="preserve">location and operation of the village centre </w:t>
      </w:r>
      <w:r>
        <w:rPr>
          <w:rFonts w:ascii="Arial"/>
          <w:color w:val="000000"/>
          <w:sz w:val="24"/>
        </w:rPr>
        <w:t>commercial buildings</w:t>
      </w:r>
      <w:r>
        <w:rPr>
          <w:rFonts w:ascii="Arial"/>
          <w:color w:val="000000"/>
          <w:sz w:val="24"/>
        </w:rPr>
        <w:t xml:space="preserve">’ </w:t>
      </w:r>
      <w:r>
        <w:rPr>
          <w:rFonts w:ascii="Arial"/>
          <w:color w:val="000000"/>
          <w:sz w:val="24"/>
        </w:rPr>
        <w:t>loading facilities and access</w:t>
      </w:r>
      <w:r>
        <w:rPr>
          <w:rFonts w:ascii="Arial"/>
          <w:color w:val="000000"/>
          <w:sz w:val="24"/>
        </w:rPr>
        <w:t xml:space="preserve"> </w:t>
      </w:r>
      <w:r>
        <w:rPr>
          <w:rFonts w:ascii="Arial"/>
          <w:color w:val="000000"/>
          <w:sz w:val="24"/>
        </w:rPr>
        <w:t xml:space="preserve">will </w:t>
      </w:r>
      <w:r>
        <w:rPr>
          <w:rFonts w:ascii="Arial"/>
          <w:color w:val="000000"/>
          <w:sz w:val="24"/>
        </w:rPr>
        <w:t xml:space="preserve">also </w:t>
      </w:r>
      <w:r>
        <w:rPr>
          <w:rFonts w:ascii="Arial"/>
          <w:color w:val="000000"/>
          <w:sz w:val="24"/>
        </w:rPr>
        <w:t xml:space="preserve">lead to </w:t>
      </w:r>
      <w:r>
        <w:rPr>
          <w:rFonts w:ascii="Arial"/>
          <w:color w:val="000000"/>
          <w:sz w:val="24"/>
        </w:rPr>
        <w:t xml:space="preserve">further </w:t>
      </w:r>
      <w:r>
        <w:rPr>
          <w:rFonts w:ascii="Arial"/>
          <w:color w:val="000000"/>
          <w:sz w:val="24"/>
        </w:rPr>
        <w:t xml:space="preserve">changes </w:t>
      </w:r>
      <w:r>
        <w:rPr>
          <w:rFonts w:ascii="Arial"/>
          <w:color w:val="000000"/>
          <w:sz w:val="24"/>
        </w:rPr>
        <w:t xml:space="preserve">being required </w:t>
      </w:r>
      <w:r>
        <w:rPr>
          <w:rFonts w:ascii="Arial"/>
          <w:color w:val="000000"/>
          <w:sz w:val="24"/>
        </w:rPr>
        <w:t xml:space="preserve">to the </w:t>
      </w:r>
      <w:r>
        <w:rPr>
          <w:rFonts w:ascii="Arial"/>
          <w:color w:val="000000"/>
          <w:sz w:val="24"/>
        </w:rPr>
        <w:t>proposed development o</w:t>
      </w:r>
      <w:r>
        <w:rPr>
          <w:rFonts w:ascii="Arial"/>
          <w:color w:val="000000"/>
          <w:sz w:val="24"/>
        </w:rPr>
        <w:t>f</w:t>
      </w:r>
      <w:r>
        <w:rPr>
          <w:rFonts w:ascii="Arial"/>
          <w:color w:val="000000"/>
          <w:sz w:val="24"/>
        </w:rPr>
        <w:t xml:space="preserve"> </w:t>
      </w:r>
      <w:r>
        <w:rPr>
          <w:rFonts w:ascii="Arial"/>
          <w:color w:val="000000"/>
          <w:sz w:val="24"/>
        </w:rPr>
        <w:t>the site.</w:t>
      </w:r>
    </w:p>
    <w:p>
      <w:pPr>
        <w:pStyle w:val="CaselawHeading2"/>
        <w:keepNext/>
        <w:spacing w:before="150" w:after="150" w:line="264"/>
        <w:ind w:left="0"/>
        <w:jc w:val="left"/>
      </w:pPr>
      <w:r>
        <w:rPr>
          <w:rFonts w:ascii="Arial"/>
        </w:rPr>
        <w:t>Orders</w:t>
      </w:r>
    </w:p>
    <w:p>
      <w:pPr>
        <w:pStyle w:val="CaselawNumbered10"/>
        <w:numPr>
          <w:ilvl w:val="0"/>
          <w:numId w:val="74"/>
        </w:numPr>
        <w:spacing w:before="150" w:after="0"/>
        <w:ind w:left="600" w:hanging="600"/>
      </w:pPr>
      <w:r>
        <w:rPr>
          <w:rFonts w:ascii="Arial"/>
          <w:color w:val="000000"/>
          <w:sz w:val="24"/>
        </w:rPr>
        <w:t>The Court orders:</w:t>
      </w:r>
    </w:p>
    <w:p>
      <w:pPr>
        <w:pStyle w:val="CaselawNumbered1"/>
        <w:numPr>
          <w:ilvl w:val="0"/>
          <w:numId w:val="75"/>
        </w:numPr>
        <w:spacing w:before="150" w:after="0"/>
        <w:ind w:left="1350" w:hanging="750"/>
      </w:pPr>
      <w:r>
        <w:rPr>
          <w:rFonts w:ascii="Arial"/>
          <w:color w:val="000000"/>
          <w:sz w:val="24"/>
        </w:rPr>
        <w:t>The Applicant is to pay the Respondent</w:t>
      </w:r>
      <w:r>
        <w:rPr>
          <w:rFonts w:ascii="Arial"/>
          <w:color w:val="000000"/>
          <w:sz w:val="24"/>
        </w:rPr>
        <w:t>’</w:t>
      </w:r>
      <w:r>
        <w:rPr>
          <w:rFonts w:ascii="Arial"/>
          <w:color w:val="000000"/>
          <w:sz w:val="24"/>
        </w:rPr>
        <w:t xml:space="preserve">s costs thrown away as agreed or assessed resulting from the amending of the development application, pursuant to s 8.15(3) of the </w:t>
      </w:r>
      <w:r>
        <w:rPr>
          <w:rFonts w:ascii="Arial"/>
          <w:i/>
          <w:color w:val="000000"/>
          <w:sz w:val="24"/>
        </w:rPr>
        <w:t>Environmental Planning and Assessment Act 1979</w:t>
      </w:r>
      <w:r>
        <w:rPr>
          <w:rFonts w:ascii="Arial"/>
          <w:color w:val="000000"/>
          <w:sz w:val="24"/>
        </w:rPr>
        <w:t>.</w:t>
      </w:r>
    </w:p>
    <w:p>
      <w:pPr>
        <w:pStyle w:val="CaselawNumbered1"/>
        <w:numPr>
          <w:ilvl w:val="0"/>
          <w:numId w:val="75"/>
        </w:numPr>
        <w:spacing w:before="150" w:after="0"/>
        <w:ind w:left="1350" w:hanging="750"/>
      </w:pPr>
      <w:r>
        <w:rPr>
          <w:rFonts w:ascii="Arial"/>
          <w:color w:val="000000"/>
          <w:sz w:val="24"/>
        </w:rPr>
        <w:t xml:space="preserve">The appeal is </w:t>
      </w:r>
      <w:r>
        <w:rPr>
          <w:rFonts w:ascii="Arial"/>
          <w:color w:val="000000"/>
          <w:sz w:val="24"/>
        </w:rPr>
        <w:t>dismissed</w:t>
      </w:r>
      <w:r>
        <w:rPr>
          <w:rFonts w:ascii="Arial"/>
          <w:color w:val="000000"/>
          <w:sz w:val="24"/>
        </w:rPr>
        <w:t>.</w:t>
      </w:r>
    </w:p>
    <w:p>
      <w:pPr>
        <w:pStyle w:val="CaselawNumbered1"/>
        <w:numPr>
          <w:ilvl w:val="0"/>
          <w:numId w:val="75"/>
        </w:numPr>
        <w:spacing w:before="150" w:after="0"/>
        <w:ind w:left="1350" w:hanging="750"/>
      </w:pPr>
      <w:r>
        <w:rPr>
          <w:rFonts w:ascii="Arial"/>
          <w:color w:val="000000"/>
          <w:sz w:val="24"/>
        </w:rPr>
        <w:t>Development Application DA-267/2022 seeking development consent for the construction of 6 residential flat buildings (including affordable housing), 2 shop top housing developments above basement parking and associated works on land legally described as lot 20 in DP12</w:t>
      </w:r>
      <w:r>
        <w:rPr>
          <w:rFonts w:ascii="Arial"/>
          <w:color w:val="000000"/>
          <w:sz w:val="24"/>
        </w:rPr>
        <w:t>2</w:t>
      </w:r>
      <w:r>
        <w:rPr>
          <w:rFonts w:ascii="Arial"/>
          <w:color w:val="000000"/>
          <w:sz w:val="24"/>
        </w:rPr>
        <w:t>8502, being 225 Croatia Avenue, Edmondson Park, 2174 is refused.</w:t>
      </w:r>
    </w:p>
    <w:p>
      <w:pPr>
        <w:pStyle w:val="CaselawHeading2"/>
        <w:keepNext/>
        <w:spacing w:before="150" w:after="150" w:line="264"/>
        <w:ind w:left="0"/>
        <w:jc w:val="left"/>
      </w:pPr>
      <w:r>
        <w:rPr>
          <w:rFonts w:ascii="Arial"/>
        </w:rPr>
        <w:t>G Kullen</w:t>
      </w:r>
    </w:p>
    <w:p>
      <w:pPr>
        <w:pStyle w:val="CaselawHeading2"/>
        <w:keepNext/>
        <w:spacing w:before="150" w:after="150" w:line="264"/>
        <w:ind w:left="0"/>
        <w:jc w:val="left"/>
      </w:pPr>
      <w:r>
        <w:rPr>
          <w:rFonts w:ascii="Arial"/>
        </w:rPr>
        <w:t xml:space="preserve">Acting </w:t>
      </w:r>
      <w:r>
        <w:rPr>
          <w:rFonts w:ascii="Arial"/>
        </w:rPr>
        <w:t>Commissioner</w:t>
      </w:r>
      <w:r>
        <w:rPr>
          <w:rFonts w:ascii="Arial"/>
        </w:rPr>
        <w:t xml:space="preserve"> of the Court</w:t>
      </w:r>
    </w:p>
    <w:p>
      <w:pPr>
        <w:pStyle w:val="CaselawNormal"/>
        <w:spacing w:before="150" w:after="150"/>
        <w:ind w:left="600"/>
        <w:jc w:val="left"/>
      </w:pPr>
      <w:r>
        <w:rPr>
          <w:rFonts w:ascii="Arial"/>
          <w:color w:val="000000"/>
          <w:sz w:val="24"/>
        </w:rPr>
        <w:t>**********</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3"/>
    </w:lvlOverride>
  </w:num>
  <w:num w:numId="24">
    <w:abstractNumId w:val="16"/>
    <w:lvlOverride w:ilvl="0">
      <w:startOverride w:val="10"/>
    </w:lvlOverride>
  </w:num>
  <w:num w:numId="25">
    <w:abstractNumId w:val="16"/>
    <w:lvlOverride w:ilvl="0">
      <w:startOverride w:val="16"/>
    </w:lvlOverride>
  </w:num>
  <w:num w:numId="26">
    <w:abstractNumId w:val="16"/>
    <w:lvlOverride w:ilvl="0">
      <w:startOverride w:val="20"/>
    </w:lvlOverride>
  </w:num>
  <w:num w:numId="27">
    <w:abstractNumId w:val="10"/>
    <w:lvlOverride w:ilvl="0">
      <w:startOverride w:val="1"/>
    </w:lvlOverride>
  </w:num>
  <w:num w:numId="28">
    <w:abstractNumId w:val="16"/>
    <w:lvlOverride w:ilvl="0">
      <w:startOverride w:val="23"/>
    </w:lvlOverride>
  </w:num>
  <w:num w:numId="29">
    <w:abstractNumId w:val="16"/>
    <w:lvlOverride w:ilvl="0">
      <w:startOverride w:val="27"/>
    </w:lvlOverride>
  </w:num>
  <w:num w:numId="30">
    <w:abstractNumId w:val="16"/>
    <w:lvlOverride w:ilvl="0">
      <w:startOverride w:val="33"/>
    </w:lvlOverride>
  </w:num>
  <w:num w:numId="31">
    <w:abstractNumId w:val="16"/>
    <w:lvlOverride w:ilvl="0">
      <w:startOverride w:val="35"/>
    </w:lvlOverride>
  </w:num>
  <w:num w:numId="32">
    <w:abstractNumId w:val="10"/>
    <w:lvlOverride w:ilvl="0">
      <w:startOverride w:val="1"/>
    </w:lvlOverride>
  </w:num>
  <w:num w:numId="33">
    <w:abstractNumId w:val="16"/>
    <w:lvlOverride w:ilvl="0">
      <w:startOverride w:val="36"/>
    </w:lvlOverride>
  </w:num>
  <w:num w:numId="34">
    <w:abstractNumId w:val="16"/>
    <w:lvlOverride w:ilvl="0">
      <w:startOverride w:val="45"/>
    </w:lvlOverride>
  </w:num>
  <w:num w:numId="35">
    <w:abstractNumId w:val="16"/>
    <w:lvlOverride w:ilvl="0">
      <w:startOverride w:val="48"/>
    </w:lvlOverride>
  </w:num>
  <w:num w:numId="36">
    <w:abstractNumId w:val="16"/>
    <w:lvlOverride w:ilvl="0">
      <w:startOverride w:val="56"/>
    </w:lvlOverride>
  </w:num>
  <w:num w:numId="37">
    <w:abstractNumId w:val="10"/>
    <w:lvlOverride w:ilvl="0">
      <w:startOverride w:val="1"/>
    </w:lvlOverride>
  </w:num>
  <w:num w:numId="38">
    <w:abstractNumId w:val="16"/>
    <w:lvlOverride w:ilvl="0">
      <w:startOverride w:val="62"/>
    </w:lvlOverride>
  </w:num>
  <w:num w:numId="39">
    <w:abstractNumId w:val="16"/>
    <w:lvlOverride w:ilvl="0">
      <w:startOverride w:val="63"/>
    </w:lvlOverride>
  </w:num>
  <w:num w:numId="40">
    <w:abstractNumId w:val="10"/>
    <w:lvlOverride w:ilvl="0">
      <w:startOverride w:val="1"/>
    </w:lvlOverride>
  </w:num>
  <w:num w:numId="41">
    <w:abstractNumId w:val="15"/>
    <w:lvlOverride w:ilvl="0">
      <w:startOverride w:val="1"/>
    </w:lvlOverride>
  </w:num>
  <w:num w:numId="42">
    <w:abstractNumId w:val="10"/>
    <w:lvlOverride w:ilvl="0">
      <w:startOverride w:val="2"/>
    </w:lvlOverride>
  </w:num>
  <w:num w:numId="43">
    <w:abstractNumId w:val="15"/>
    <w:lvlOverride w:ilvl="0">
      <w:startOverride w:val="1"/>
    </w:lvlOverride>
  </w:num>
  <w:num w:numId="44">
    <w:abstractNumId w:val="10"/>
    <w:lvlOverride w:ilvl="0">
      <w:startOverride w:val="3"/>
    </w:lvlOverride>
  </w:num>
  <w:num w:numId="45">
    <w:abstractNumId w:val="15"/>
    <w:lvlOverride w:ilvl="0">
      <w:startOverride w:val="1"/>
    </w:lvlOverride>
  </w:num>
  <w:num w:numId="46">
    <w:abstractNumId w:val="16"/>
    <w:lvlOverride w:ilvl="0">
      <w:startOverride w:val="64"/>
    </w:lvlOverride>
  </w:num>
  <w:num w:numId="47">
    <w:abstractNumId w:val="16"/>
    <w:lvlOverride w:ilvl="0">
      <w:startOverride w:val="65"/>
    </w:lvlOverride>
  </w:num>
  <w:num w:numId="48">
    <w:abstractNumId w:val="16"/>
    <w:lvlOverride w:ilvl="0">
      <w:startOverride w:val="66"/>
    </w:lvlOverride>
  </w:num>
  <w:num w:numId="49">
    <w:abstractNumId w:val="16"/>
    <w:lvlOverride w:ilvl="0">
      <w:startOverride w:val="67"/>
    </w:lvlOverride>
  </w:num>
  <w:num w:numId="50">
    <w:abstractNumId w:val="10"/>
    <w:lvlOverride w:ilvl="0">
      <w:startOverride w:val="1"/>
    </w:lvlOverride>
  </w:num>
  <w:num w:numId="51">
    <w:abstractNumId w:val="15"/>
    <w:lvlOverride w:ilvl="0">
      <w:startOverride w:val="1"/>
    </w:lvlOverride>
  </w:num>
  <w:num w:numId="52">
    <w:abstractNumId w:val="10"/>
    <w:lvlOverride w:ilvl="0">
      <w:startOverride w:val="2"/>
    </w:lvlOverride>
  </w:num>
  <w:num w:numId="53">
    <w:abstractNumId w:val="15"/>
    <w:lvlOverride w:ilvl="0">
      <w:startOverride w:val="1"/>
    </w:lvlOverride>
  </w:num>
  <w:num w:numId="54">
    <w:abstractNumId w:val="10"/>
    <w:lvlOverride w:ilvl="0">
      <w:startOverride w:val="3"/>
    </w:lvlOverride>
  </w:num>
  <w:num w:numId="55">
    <w:abstractNumId w:val="15"/>
    <w:lvlOverride w:ilvl="0">
      <w:startOverride w:val="1"/>
    </w:lvlOverride>
  </w:num>
  <w:num w:numId="56">
    <w:abstractNumId w:val="10"/>
    <w:lvlOverride w:ilvl="0">
      <w:startOverride w:val="4"/>
    </w:lvlOverride>
  </w:num>
  <w:num w:numId="57">
    <w:abstractNumId w:val="16"/>
    <w:lvlOverride w:ilvl="0">
      <w:startOverride w:val="68"/>
    </w:lvlOverride>
  </w:num>
  <w:num w:numId="58">
    <w:abstractNumId w:val="10"/>
    <w:lvlOverride w:ilvl="0">
      <w:startOverride w:val="1"/>
    </w:lvlOverride>
  </w:num>
  <w:num w:numId="59">
    <w:abstractNumId w:val="15"/>
    <w:lvlOverride w:ilvl="0">
      <w:startOverride w:val="1"/>
    </w:lvlOverride>
  </w:num>
  <w:num w:numId="60">
    <w:abstractNumId w:val="10"/>
    <w:lvlOverride w:ilvl="0">
      <w:startOverride w:val="4"/>
    </w:lvlOverride>
  </w:num>
  <w:num w:numId="61">
    <w:abstractNumId w:val="15"/>
    <w:lvlOverride w:ilvl="0">
      <w:startOverride w:val="1"/>
    </w:lvlOverride>
  </w:num>
  <w:num w:numId="62">
    <w:abstractNumId w:val="10"/>
    <w:lvlOverride w:ilvl="0">
      <w:startOverride w:val="10"/>
    </w:lvlOverride>
  </w:num>
  <w:num w:numId="63">
    <w:abstractNumId w:val="15"/>
    <w:lvlOverride w:ilvl="0">
      <w:startOverride w:val="1"/>
    </w:lvlOverride>
  </w:num>
  <w:num w:numId="64">
    <w:abstractNumId w:val="16"/>
    <w:lvlOverride w:ilvl="0">
      <w:startOverride w:val="69"/>
    </w:lvlOverride>
  </w:num>
  <w:num w:numId="65">
    <w:abstractNumId w:val="16"/>
    <w:lvlOverride w:ilvl="0">
      <w:startOverride w:val="71"/>
    </w:lvlOverride>
  </w:num>
  <w:num w:numId="66">
    <w:abstractNumId w:val="16"/>
    <w:lvlOverride w:ilvl="0">
      <w:startOverride w:val="72"/>
    </w:lvlOverride>
  </w:num>
  <w:num w:numId="67">
    <w:abstractNumId w:val="16"/>
    <w:lvlOverride w:ilvl="0">
      <w:startOverride w:val="79"/>
    </w:lvlOverride>
  </w:num>
  <w:num w:numId="68">
    <w:abstractNumId w:val="16"/>
    <w:lvlOverride w:ilvl="0">
      <w:startOverride w:val="81"/>
    </w:lvlOverride>
  </w:num>
  <w:num w:numId="69">
    <w:abstractNumId w:val="16"/>
    <w:lvlOverride w:ilvl="0">
      <w:startOverride w:val="82"/>
    </w:lvlOverride>
  </w:num>
  <w:num w:numId="70">
    <w:abstractNumId w:val="16"/>
    <w:lvlOverride w:ilvl="0">
      <w:startOverride w:val="83"/>
    </w:lvlOverride>
  </w:num>
  <w:num w:numId="71">
    <w:abstractNumId w:val="16"/>
    <w:lvlOverride w:ilvl="0">
      <w:startOverride w:val="84"/>
    </w:lvlOverride>
  </w:num>
  <w:num w:numId="72">
    <w:abstractNumId w:val="16"/>
    <w:lvlOverride w:ilvl="0">
      <w:startOverride w:val="85"/>
    </w:lvlOverride>
  </w:num>
  <w:num w:numId="73">
    <w:abstractNumId w:val="16"/>
    <w:lvlOverride w:ilvl="0">
      <w:startOverride w:val="87"/>
    </w:lvlOverride>
  </w:num>
  <w:num w:numId="74">
    <w:abstractNumId w:val="16"/>
    <w:lvlOverride w:ilvl="0">
      <w:startOverride w:val="91"/>
    </w:lvlOverride>
  </w:num>
  <w:num w:numId="75">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