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37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Land and Environment Court</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Petersham High Pty Ltd v Inner West Council</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[2024] NSWLEC 1749</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15-16 October 2024: final submissions 30 October 2024</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22 November 2024</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22 November 2024</w:t>
                </w:r>
              </w:sdtContent>
            </w:sdt>
          </w:p>
        </w:tc>
      </w:tr>
      <w:tr w:rsidR="00251EE4" w:rsidTr="00AC2B81">
        <w:trPr>
          <w:trHeight w:val="365"/>
        </w:trPr>
        <w:tc>
          <w:tcPr>
            <w:tcW w:w="1669" w:type="pct"/>
          </w:tcPr>
          <w:p w:rsidRPr="00EF4519" w:rsidR="00251EE4" w:rsidP="00E827DB" w:rsidRDefault="000A6DFA">
            <w:r>
              <w:t>Jurisdiction</w:t>
            </w:r>
            <w:r w:rsidRPr="00EF4519" w:rsidR="00251EE4">
              <w:t>:</w:t>
            </w:r>
            <w:r w:rsidRPr="00EF4519" w:rsidR="00B914EB">
              <w:t xml:space="preserve"> </w:t>
            </w:r>
          </w:p>
        </w:tc>
        <w:sdt>
          <w:sdtPr>
            <w:alias w:val="Jurisdiction"/>
            <w:tag w:val="jurisdiction"/>
            <w:id w:val="207232766"/>
            <w:placeholder>
              <w:docPart w:val="5D455C8DB3370C429E683BD45AAD2263"/>
            </w:placeholder>
            <w:showingPlcHdr/>
            <w:text/>
          </w:sdtPr>
          <w:sdtEndPr/>
          <w:sdtContent>
            <w:tc>
              <w:tcPr>
                <w:tcW w:w="3331" w:type="pct"/>
              </w:tcPr>
              <w:p w:rsidR="00251EE4" w:rsidP="001B7A55" w:rsidRDefault="001B7A55">
                <w:r>
                  <w:t xml:space="preserve">Class 1</w:t>
                </w:r>
              </w:p>
            </w:tc>
          </w:sdtContent>
        </w:sdt>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Horton C</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The Court orders that:</w:t>
                </w:r>
                <w:r>
                  <w:br/>
                </w:r>
                <w:r>
                  <w:t xml:space="preserve">(1) The appeal is upheld. </w:t>
                </w:r>
                <w:r>
                  <w:br/>
                </w:r>
                <w:r>
                  <w:t xml:space="preserve">(2) Development application DA/2023/0811 for partial demolition of the existing structures and alterations and additions to the former Salvation Army Citadel and adjoining two-storey building and adaptive reuse as a co-living housing development incorporating 18 rooms, communal areas and parking for 4 cars, 3 motorcycles and 6 bicycles at premises known as 8-10 Charles Street, Petersham is determined by the grant of consent, subject to conditions of consent at Annexure A.</w:t>
                </w:r>
                <w:r>
                  <w:br/>
                </w:r>
                <w:r>
                  <w:t xml:space="preserve">(3) All Exhibits are returned, except for Exhibits A and B.</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DEVELOPMENT APPLICATION – Co-living housing in R2 Low Density Residential zone – alterations and additions to heritage item – whether permissible development – heritage conservation – landscaped area – maximum number of rooms exceeded</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Environmental Planning and Assessment Act 1979, ss 4.15, 8.7</w:t>
                </w:r>
                <w:r>
                  <w:br/>
                </w:r>
                <w:r>
                  <w:t xml:space="preserve">Land and Environment Court Act 1979, s 39</w:t>
                </w:r>
                <w:r>
                  <w:br/>
                </w:r>
                <w:r>
                  <w:t xml:space="preserve"> </w:t>
                </w:r>
                <w:r>
                  <w:br/>
                </w:r>
                <w:r>
                  <w:t xml:space="preserve">Inner West Local Environmental Plan 2022, cll 4.3, 4.4, 4.6, 5.10, 6.3, 6.12</w:t>
                </w:r>
                <w:r>
                  <w:br/>
                </w:r>
                <w:r>
                  <w:t xml:space="preserve">State Environmental Planning Policy (Housing) 2021, ss 67, 68, 69</w:t>
                </w:r>
                <w:r>
                  <w:br/>
                </w:r>
                <w:r>
                  <w:t xml:space="preserve">State Environmental Planning Policy (Resilience and Hazards) 2021, s 4.6</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193 Liverpool Road Pty Ltd v Inner West Council [2017] NSWLEC 13</w:t>
                </w:r>
                <w:r>
                  <w:br/>
                </w:r>
                <w:r>
                  <w:t xml:space="preserve">Goldin v Minister for Transport Administering the Ports Corporatisation and Waterways Management Act 1995 (2002) 121 LGERA 101; [2002] NSWLEC 75</w:t>
                </w:r>
                <w:r>
                  <w:br/>
                </w:r>
                <w:r>
                  <w:t xml:space="preserve">Nakhoul v Canterbury-Bankstown Council [2020] NSWLEC 1320</w:t>
                </w:r>
                <w:r>
                  <w:br/>
                </w:r>
                <w:r>
                  <w:t xml:space="preserve">Telstra Corporation Limited v Hornsby Shire Council (2006) 146 LGERA 10; [2006] NSWLEC 133</w:t>
                </w:r>
                <w:r>
                  <w:br/>
                </w:r>
                <w:r>
                  <w:t xml:space="preserve">Wehbe v Pittwater Council (2007) 156 LGERA 446; [2007] NSWLEC 827</w:t>
                </w:r>
              </w:sdtContent>
            </w:sdt>
          </w:p>
        </w:tc>
      </w:tr>
      <w:tr w:rsidR="00251EE4" w:rsidTr="00AC2B81">
        <w:trPr>
          <w:trHeight w:val="381"/>
        </w:trPr>
        <w:tc>
          <w:tcPr>
            <w:tcW w:w="1669" w:type="pct"/>
          </w:tcPr>
          <w:p w:rsidRPr="00EF4519" w:rsidR="00251EE4" w:rsidP="00E827DB" w:rsidRDefault="00251EE4">
            <w:r>
              <w:t>Texts Cited:</w:t>
            </w:r>
            <w:r w:rsidRPr="00EF4519" w:rsidR="00B914EB">
              <w:t xml:space="preserve"> </w:t>
            </w:r>
          </w:p>
        </w:tc>
        <w:tc>
          <w:tcPr>
            <w:tcW w:w="3331" w:type="pct"/>
          </w:tcPr>
          <w:p w:rsidR="00251EE4" w:rsidP="00856777" w:rsidRDefault="00882F5B">
            <w:sdt>
              <w:sdtPr>
                <w:alias w:val="Texts Cited"/>
                <w:tag w:val="textsCited"/>
                <w:id w:val="-368456736"/>
                <w:placeholder>
                  <w:docPart w:val="060452A863326F40B8E9CC07DB6917FD"/>
                </w:placeholder>
                <w:showingPlcHdr/>
                <w:text w:multiLine="true"/>
              </w:sdtPr>
              <w:sdtEndPr/>
              <w:sdtContent>
                <w:r>
                  <w:t xml:space="preserve">Australia ICOMOS, The Burra Charter: The Australian ICOMOS Charter for Places of Cultural Significance, 2013</w:t>
                </w:r>
                <w:r>
                  <w:br/>
                </w:r>
                <w:r>
                  <w:t xml:space="preserve">Department of Planning and Environment, ‘Assessing heritage significance Guidelines for assessing places and objects against the Heritage Council of NSW criteria’</w:t>
                </w:r>
                <w:r>
                  <w:br/>
                </w:r>
                <w:r>
                  <w:t xml:space="preserve">Marrickville Development Control Plan 2011</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Principal judgment</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Petersham High Pty Ltd (Applicant)</w:t>
                </w:r>
                <w:r>
                  <w:br/>
                </w:r>
                <w:r>
                  <w:t xml:space="preserve">Inner West Council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Counsel:</w:t>
                </w:r>
                <w:r>
                  <w:br/>
                </w:r>
                <w:r>
                  <w:t xml:space="preserve">A Pickles SC (Applicant)</w:t>
                </w:r>
                <w:r>
                  <w:br/>
                </w:r>
                <w:r>
                  <w:t xml:space="preserve">T Poisel (Respondent)</w:t>
                </w:r>
                <w:r>
                  <w:br/>
                </w:r>
                <w:r>
                  <w:t xml:space="preserve"/>
                </w:r>
                <w:r>
                  <w:br/>
                </w:r>
                <w:r>
                  <w:t xml:space="preserve">Solicitors:</w:t>
                </w:r>
                <w:r>
                  <w:br/>
                </w:r>
                <w:r>
                  <w:t xml:space="preserve">Conomos Legal (Applicant)</w:t>
                </w:r>
                <w:r>
                  <w:br/>
                </w:r>
                <w:r>
                  <w:t xml:space="preserve">Sparke Helmore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2023/419205</w:t>
                </w:r>
              </w:sdtContent>
            </w:sdt>
          </w:p>
        </w:tc>
      </w:tr>
      <w:tr w:rsidR="00277342" w:rsidTr="00AC2B81">
        <w:trPr>
          <w:trHeight w:val="361"/>
        </w:trPr>
        <w:tc>
          <w:tcPr>
            <w:tcW w:w="1669" w:type="pct"/>
          </w:tcPr>
          <w:p w:rsidRPr="00EF4519" w:rsidR="00277342" w:rsidP="00E827DB" w:rsidRDefault="00277342">
            <w:r>
              <w:t>Publication Restriction:</w:t>
            </w:r>
            <w:r w:rsidRPr="00EF4519" w:rsidR="00B914EB">
              <w:t xml:space="preserve"> </w:t>
            </w:r>
          </w:p>
        </w:tc>
        <w:tc>
          <w:tcPr>
            <w:tcW w:w="3331" w:type="pct"/>
          </w:tcPr>
          <w:p w:rsidR="00277342" w:rsidP="001B7A55" w:rsidRDefault="00882F5B">
            <w:sdt>
              <w:sdtPr>
                <w:alias w:val="Publication Restriction"/>
                <w:tag w:val="publicationRestriction"/>
                <w:id w:val="-1536037816"/>
                <w:placeholder>
                  <w:docPart w:val="A7B47E2D68429748B46F94DAB4579B86"/>
                </w:placeholder>
                <w:showingPlcHdr/>
                <w:text w:multiLine="true"/>
              </w:sdtPr>
              <w:sdtEndPr/>
              <w:sdtContent>
                <w:r>
                  <w:t xml:space="preserve">Nil</w:t>
                </w:r>
              </w:sdtContent>
            </w:sdt>
          </w:p>
        </w:tc>
      </w:tr>
    </w:tbl>
    <w:p>
      <w:pPr>
        <w:pStyle w:val="CaselawHeading1"/>
        <w:keepNext/>
        <w:spacing w:before="150" w:after="150" w:line="264"/>
        <w:ind w:left="0"/>
      </w:pPr>
      <w:r>
        <w:rPr>
          <w:rFonts w:ascii="Arial"/>
        </w:rPr>
        <w:t>Judgment</w:t>
      </w:r>
    </w:p>
    <w:p>
      <w:pPr>
        <w:pStyle w:val="CaselawNumbered10"/>
        <w:numPr>
          <w:ilvl w:val="0"/>
          <w:numId w:val="22"/>
        </w:numPr>
        <w:spacing w:before="150" w:after="0"/>
        <w:ind w:left="600" w:hanging="600"/>
      </w:pPr>
      <w:r>
        <w:rPr>
          <w:rFonts w:ascii="Arial"/>
          <w:b/>
          <w:color w:val="000000"/>
          <w:sz w:val="24"/>
        </w:rPr>
        <w:t>COMMISSIONER</w:t>
      </w:r>
      <w:r>
        <w:rPr>
          <w:rFonts w:ascii="Arial"/>
          <w:color w:val="000000"/>
          <w:sz w:val="24"/>
        </w:rPr>
        <w:t xml:space="preserve">: </w:t>
      </w:r>
      <w:r>
        <w:rPr>
          <w:rFonts w:ascii="Arial"/>
          <w:color w:val="000000"/>
          <w:sz w:val="24"/>
        </w:rPr>
        <w:t>A</w:t>
      </w:r>
      <w:r>
        <w:rPr>
          <w:rFonts w:ascii="Arial"/>
          <w:color w:val="000000"/>
          <w:sz w:val="24"/>
        </w:rPr>
        <w:t xml:space="preserve"> </w:t>
      </w:r>
      <w:r>
        <w:rPr>
          <w:rFonts w:ascii="Arial"/>
          <w:color w:val="000000"/>
          <w:sz w:val="24"/>
        </w:rPr>
        <w:t>site</w:t>
      </w:r>
      <w:r>
        <w:rPr>
          <w:rFonts w:ascii="Arial"/>
          <w:color w:val="000000"/>
          <w:sz w:val="24"/>
        </w:rPr>
        <w:t xml:space="preserve"> </w:t>
      </w:r>
      <w:r>
        <w:rPr>
          <w:rFonts w:ascii="Arial"/>
          <w:color w:val="000000"/>
          <w:sz w:val="24"/>
        </w:rPr>
        <w:t>in</w:t>
      </w:r>
      <w:r>
        <w:rPr>
          <w:rFonts w:ascii="Arial"/>
          <w:color w:val="000000"/>
          <w:sz w:val="24"/>
        </w:rPr>
        <w:t xml:space="preserve"> </w:t>
      </w:r>
      <w:r>
        <w:rPr>
          <w:rFonts w:ascii="Arial"/>
          <w:color w:val="000000"/>
          <w:sz w:val="24"/>
        </w:rPr>
        <w:t>the Sydney suburb of Petersham is</w:t>
      </w:r>
      <w:r>
        <w:rPr>
          <w:rFonts w:ascii="Arial"/>
          <w:color w:val="000000"/>
          <w:sz w:val="24"/>
        </w:rPr>
        <w:t xml:space="preserve"> </w:t>
      </w:r>
      <w:r>
        <w:rPr>
          <w:rFonts w:ascii="Arial"/>
          <w:color w:val="000000"/>
          <w:sz w:val="24"/>
        </w:rPr>
        <w:t xml:space="preserve">proposed </w:t>
      </w:r>
      <w:r>
        <w:rPr>
          <w:rFonts w:ascii="Arial"/>
          <w:color w:val="000000"/>
          <w:sz w:val="24"/>
        </w:rPr>
        <w:t xml:space="preserve">for </w:t>
      </w:r>
      <w:r>
        <w:rPr>
          <w:rFonts w:ascii="Arial"/>
          <w:color w:val="000000"/>
          <w:sz w:val="24"/>
        </w:rPr>
        <w:t xml:space="preserve">development </w:t>
      </w:r>
      <w:r>
        <w:rPr>
          <w:rFonts w:ascii="Arial"/>
          <w:color w:val="000000"/>
          <w:sz w:val="24"/>
        </w:rPr>
        <w:t>involving the</w:t>
      </w:r>
      <w:r>
        <w:rPr>
          <w:rFonts w:ascii="Arial"/>
          <w:color w:val="000000"/>
          <w:sz w:val="24"/>
        </w:rPr>
        <w:t xml:space="preserve"> </w:t>
      </w:r>
      <w:r>
        <w:rPr>
          <w:rFonts w:ascii="Arial"/>
          <w:color w:val="000000"/>
          <w:sz w:val="24"/>
        </w:rPr>
        <w:t xml:space="preserve">partial demolition </w:t>
      </w:r>
      <w:r>
        <w:rPr>
          <w:rFonts w:ascii="Arial"/>
          <w:color w:val="000000"/>
          <w:sz w:val="24"/>
        </w:rPr>
        <w:t xml:space="preserve">of </w:t>
      </w:r>
      <w:r>
        <w:rPr>
          <w:rFonts w:ascii="Arial"/>
          <w:color w:val="000000"/>
          <w:sz w:val="24"/>
        </w:rPr>
        <w:t>an existing building</w:t>
      </w:r>
      <w:r>
        <w:rPr>
          <w:rFonts w:ascii="Arial"/>
          <w:color w:val="000000"/>
          <w:sz w:val="24"/>
        </w:rPr>
        <w:t xml:space="preserve">, </w:t>
      </w:r>
      <w:r>
        <w:rPr>
          <w:rFonts w:ascii="Arial"/>
          <w:color w:val="000000"/>
          <w:sz w:val="24"/>
        </w:rPr>
        <w:t xml:space="preserve">and alterations and additions for the purposes of co-living housing. </w:t>
      </w:r>
    </w:p>
    <w:p>
      <w:pPr>
        <w:pStyle w:val="CaselawNumbered10"/>
        <w:numPr>
          <w:ilvl w:val="0"/>
          <w:numId w:val="22"/>
        </w:numPr>
        <w:spacing w:before="150" w:after="0"/>
        <w:ind w:left="600" w:hanging="600"/>
      </w:pPr>
      <w:r>
        <w:rPr>
          <w:rFonts w:ascii="Arial"/>
          <w:color w:val="000000"/>
          <w:sz w:val="24"/>
        </w:rPr>
        <w:t>The</w:t>
      </w:r>
      <w:r>
        <w:rPr>
          <w:rFonts w:ascii="Arial"/>
          <w:color w:val="000000"/>
          <w:sz w:val="24"/>
        </w:rPr>
        <w:t xml:space="preserve"> </w:t>
      </w:r>
      <w:r>
        <w:rPr>
          <w:rFonts w:ascii="Arial"/>
          <w:color w:val="000000"/>
          <w:sz w:val="24"/>
        </w:rPr>
        <w:t>existing</w:t>
      </w:r>
      <w:r>
        <w:rPr>
          <w:rFonts w:ascii="Arial"/>
          <w:color w:val="000000"/>
          <w:sz w:val="24"/>
        </w:rPr>
        <w:t xml:space="preserve"> </w:t>
      </w:r>
      <w:r>
        <w:rPr>
          <w:rFonts w:ascii="Arial"/>
          <w:color w:val="000000"/>
          <w:sz w:val="24"/>
        </w:rPr>
        <w:t xml:space="preserve">building </w:t>
      </w:r>
      <w:r>
        <w:rPr>
          <w:rFonts w:ascii="Arial"/>
          <w:color w:val="000000"/>
          <w:sz w:val="24"/>
        </w:rPr>
        <w:t xml:space="preserve">on the site </w:t>
      </w:r>
      <w:r>
        <w:rPr>
          <w:rFonts w:ascii="Arial"/>
          <w:color w:val="000000"/>
          <w:sz w:val="24"/>
        </w:rPr>
        <w:t xml:space="preserve">is known as </w:t>
      </w:r>
      <w:r>
        <w:rPr>
          <w:rFonts w:ascii="Arial"/>
          <w:color w:val="000000"/>
          <w:sz w:val="24"/>
        </w:rPr>
        <w:t>the former Salvation Army Citadel (former Citadel building) that originally dates from 1926 with additions of later origin, and hardstand car park accessed from Charles Street</w:t>
      </w:r>
      <w:r>
        <w:rPr>
          <w:rFonts w:ascii="Arial"/>
          <w:color w:val="000000"/>
          <w:sz w:val="24"/>
        </w:rPr>
        <w:t xml:space="preserve"> </w:t>
      </w:r>
      <w:r>
        <w:rPr>
          <w:rFonts w:ascii="Arial"/>
          <w:color w:val="000000"/>
          <w:sz w:val="24"/>
        </w:rPr>
        <w:t xml:space="preserve">– </w:t>
      </w:r>
      <w:r>
        <w:rPr>
          <w:rFonts w:ascii="Arial"/>
          <w:color w:val="000000"/>
          <w:sz w:val="24"/>
        </w:rPr>
        <w:t>a street that</w:t>
      </w:r>
      <w:r>
        <w:rPr>
          <w:rFonts w:ascii="Arial"/>
          <w:color w:val="000000"/>
          <w:sz w:val="24"/>
        </w:rPr>
        <w:t xml:space="preserve"> </w:t>
      </w:r>
      <w:r>
        <w:rPr>
          <w:rFonts w:ascii="Arial"/>
          <w:color w:val="000000"/>
          <w:sz w:val="24"/>
        </w:rPr>
        <w:t>runs perpendicular to Parramatta Road in Petersham</w:t>
      </w:r>
      <w:r>
        <w:rPr>
          <w:rFonts w:ascii="Arial"/>
          <w:color w:val="000000"/>
          <w:sz w:val="24"/>
        </w:rPr>
        <w:t>.</w:t>
      </w:r>
    </w:p>
    <w:p>
      <w:pPr>
        <w:pStyle w:val="CaselawNumbered10"/>
        <w:numPr>
          <w:ilvl w:val="0"/>
          <w:numId w:val="22"/>
        </w:numPr>
        <w:spacing w:before="150" w:after="0"/>
        <w:ind w:left="600" w:hanging="600"/>
      </w:pPr>
      <w:r>
        <w:rPr>
          <w:rFonts w:ascii="Arial"/>
          <w:color w:val="000000"/>
          <w:sz w:val="24"/>
        </w:rPr>
        <w:t>While the</w:t>
      </w:r>
      <w:r>
        <w:rPr>
          <w:rFonts w:ascii="Arial"/>
          <w:color w:val="000000"/>
          <w:sz w:val="24"/>
        </w:rPr>
        <w:t xml:space="preserve"> </w:t>
      </w:r>
      <w:r>
        <w:rPr>
          <w:rFonts w:ascii="Arial"/>
          <w:color w:val="000000"/>
          <w:sz w:val="24"/>
        </w:rPr>
        <w:t>existing</w:t>
      </w:r>
      <w:r>
        <w:rPr>
          <w:rFonts w:ascii="Arial"/>
          <w:color w:val="000000"/>
          <w:sz w:val="24"/>
        </w:rPr>
        <w:t xml:space="preserve"> </w:t>
      </w:r>
      <w:r>
        <w:rPr>
          <w:rFonts w:ascii="Arial"/>
          <w:color w:val="000000"/>
          <w:sz w:val="24"/>
        </w:rPr>
        <w:t xml:space="preserve">built form on the site presents as a series of connected spaces comprising one building, it is helpful at this stage to distinguish the former Citadel building as what I will call the </w:t>
      </w:r>
      <w:r>
        <w:rPr>
          <w:rFonts w:ascii="Arial"/>
          <w:color w:val="000000"/>
          <w:sz w:val="24"/>
        </w:rPr>
        <w:t>‘</w:t>
      </w:r>
      <w:r>
        <w:rPr>
          <w:rFonts w:ascii="Arial"/>
          <w:color w:val="000000"/>
          <w:sz w:val="24"/>
        </w:rPr>
        <w:t>primary hall</w:t>
      </w:r>
      <w:r>
        <w:rPr>
          <w:rFonts w:ascii="Arial"/>
          <w:color w:val="000000"/>
          <w:sz w:val="24"/>
        </w:rPr>
        <w:t>’</w:t>
      </w:r>
      <w:r>
        <w:rPr>
          <w:rFonts w:ascii="Arial"/>
          <w:color w:val="000000"/>
          <w:sz w:val="24"/>
        </w:rPr>
        <w:t xml:space="preserve">, and later additions as </w:t>
      </w:r>
      <w:r>
        <w:rPr>
          <w:rFonts w:ascii="Arial"/>
          <w:color w:val="000000"/>
          <w:sz w:val="24"/>
        </w:rPr>
        <w:t>‘</w:t>
      </w:r>
      <w:r>
        <w:rPr>
          <w:rFonts w:ascii="Arial"/>
          <w:color w:val="000000"/>
          <w:sz w:val="24"/>
        </w:rPr>
        <w:t>additions</w:t>
      </w:r>
      <w:r>
        <w:rPr>
          <w:rFonts w:ascii="Arial"/>
          <w:color w:val="000000"/>
          <w:sz w:val="24"/>
        </w:rPr>
        <w:t>’</w:t>
      </w:r>
      <w:r>
        <w:rPr>
          <w:rFonts w:ascii="Arial"/>
          <w:color w:val="000000"/>
          <w:sz w:val="24"/>
        </w:rPr>
        <w:t xml:space="preserve">. </w:t>
      </w:r>
    </w:p>
    <w:p>
      <w:pPr>
        <w:pStyle w:val="CaselawNumbered10"/>
        <w:numPr>
          <w:ilvl w:val="0"/>
          <w:numId w:val="22"/>
        </w:numPr>
        <w:spacing w:before="150" w:after="0"/>
        <w:ind w:left="600" w:hanging="600"/>
      </w:pPr>
      <w:r>
        <w:rPr>
          <w:rFonts w:ascii="Arial"/>
          <w:color w:val="000000"/>
          <w:sz w:val="24"/>
        </w:rPr>
        <w:t xml:space="preserve">To the north of the site stands a </w:t>
      </w:r>
      <w:r>
        <w:rPr>
          <w:rFonts w:ascii="Arial"/>
          <w:color w:val="000000"/>
          <w:sz w:val="24"/>
        </w:rPr>
        <w:t>two-storey</w:t>
      </w:r>
      <w:r>
        <w:rPr>
          <w:rFonts w:ascii="Arial"/>
          <w:color w:val="000000"/>
          <w:sz w:val="24"/>
        </w:rPr>
        <w:t xml:space="preserve"> </w:t>
      </w:r>
      <w:r>
        <w:rPr>
          <w:rFonts w:ascii="Arial"/>
          <w:color w:val="000000"/>
          <w:sz w:val="24"/>
        </w:rPr>
        <w:t xml:space="preserve">terrace, adjoining a laneway that provides access to a Council carpark, and to the rear of development fronting Parramatta Road. Beyond that, development located closer to Parramatta Road is two and </w:t>
      </w:r>
      <w:r>
        <w:rPr>
          <w:rFonts w:ascii="Arial"/>
          <w:color w:val="000000"/>
          <w:sz w:val="24"/>
        </w:rPr>
        <w:t>three-</w:t>
      </w:r>
      <w:r>
        <w:rPr>
          <w:rFonts w:ascii="Arial"/>
          <w:color w:val="000000"/>
          <w:sz w:val="24"/>
        </w:rPr>
        <w:t>storey commercial development.</w:t>
      </w:r>
    </w:p>
    <w:p>
      <w:pPr>
        <w:pStyle w:val="CaselawNumbered10"/>
        <w:numPr>
          <w:ilvl w:val="0"/>
          <w:numId w:val="22"/>
        </w:numPr>
        <w:spacing w:before="150" w:after="0"/>
        <w:ind w:left="600" w:hanging="600"/>
      </w:pPr>
      <w:r>
        <w:rPr>
          <w:rFonts w:ascii="Arial"/>
          <w:color w:val="000000"/>
          <w:sz w:val="24"/>
        </w:rPr>
        <w:t>To the south of the site stand</w:t>
      </w:r>
      <w:r>
        <w:rPr>
          <w:rFonts w:ascii="Arial"/>
          <w:color w:val="000000"/>
          <w:sz w:val="24"/>
        </w:rPr>
        <w:t>s</w:t>
      </w:r>
      <w:r>
        <w:rPr>
          <w:rFonts w:ascii="Arial"/>
          <w:color w:val="000000"/>
          <w:sz w:val="24"/>
        </w:rPr>
        <w:t xml:space="preserve"> </w:t>
      </w:r>
      <w:r>
        <w:rPr>
          <w:rFonts w:ascii="Arial"/>
          <w:color w:val="000000"/>
          <w:sz w:val="24"/>
        </w:rPr>
        <w:t>predominantly single storey semi</w:t>
      </w:r>
      <w:r>
        <w:rPr>
          <w:rFonts w:ascii="Arial"/>
          <w:color w:val="000000"/>
          <w:sz w:val="24"/>
        </w:rPr>
        <w:t>-</w:t>
      </w:r>
      <w:r>
        <w:rPr>
          <w:rFonts w:ascii="Arial"/>
          <w:color w:val="000000"/>
          <w:sz w:val="24"/>
        </w:rPr>
        <w:t>detached dwelling</w:t>
      </w:r>
      <w:r>
        <w:rPr>
          <w:rFonts w:ascii="Arial"/>
          <w:color w:val="000000"/>
          <w:sz w:val="24"/>
        </w:rPr>
        <w:t>s</w:t>
      </w:r>
      <w:r>
        <w:rPr>
          <w:rFonts w:ascii="Arial"/>
          <w:color w:val="000000"/>
          <w:sz w:val="24"/>
        </w:rPr>
        <w:t xml:space="preserve"> </w:t>
      </w:r>
      <w:r>
        <w:rPr>
          <w:rFonts w:ascii="Arial"/>
          <w:color w:val="000000"/>
          <w:sz w:val="24"/>
        </w:rPr>
        <w:t xml:space="preserve">and </w:t>
      </w:r>
      <w:r>
        <w:rPr>
          <w:rFonts w:ascii="Arial"/>
          <w:color w:val="000000"/>
          <w:sz w:val="24"/>
        </w:rPr>
        <w:t>two-</w:t>
      </w:r>
      <w:r>
        <w:rPr>
          <w:rFonts w:ascii="Arial"/>
          <w:color w:val="000000"/>
          <w:sz w:val="24"/>
        </w:rPr>
        <w:t>storey terraces.</w:t>
      </w:r>
    </w:p>
    <w:p>
      <w:pPr>
        <w:pStyle w:val="CaselawNumbered10"/>
        <w:numPr>
          <w:ilvl w:val="0"/>
          <w:numId w:val="22"/>
        </w:numPr>
        <w:spacing w:before="150" w:after="0"/>
        <w:ind w:left="600" w:hanging="600"/>
      </w:pPr>
      <w:r>
        <w:rPr>
          <w:rFonts w:ascii="Arial"/>
          <w:color w:val="000000"/>
          <w:sz w:val="24"/>
        </w:rPr>
        <w:t xml:space="preserve">While the </w:t>
      </w:r>
      <w:r>
        <w:rPr>
          <w:rFonts w:ascii="Arial"/>
          <w:color w:val="000000"/>
          <w:sz w:val="24"/>
        </w:rPr>
        <w:t>f</w:t>
      </w:r>
      <w:r>
        <w:rPr>
          <w:rFonts w:ascii="Arial"/>
          <w:color w:val="000000"/>
          <w:sz w:val="24"/>
        </w:rPr>
        <w:t xml:space="preserve">ormer Citadel building dates from 1926, it is not listed for its heritage significance and is not located within a heritage conservation area. </w:t>
      </w:r>
    </w:p>
    <w:p>
      <w:pPr>
        <w:pStyle w:val="CaselawNumbered10"/>
        <w:numPr>
          <w:ilvl w:val="0"/>
          <w:numId w:val="22"/>
        </w:numPr>
        <w:spacing w:before="150" w:after="0"/>
        <w:ind w:left="600" w:hanging="600"/>
      </w:pPr>
      <w:r>
        <w:rPr>
          <w:rFonts w:ascii="Arial"/>
          <w:color w:val="000000"/>
          <w:sz w:val="24"/>
        </w:rPr>
        <w:t xml:space="preserve">Development application DA/2023/0811 (the DA) proposes alterations and additions to the existing building on the site </w:t>
      </w:r>
      <w:r>
        <w:rPr>
          <w:rFonts w:ascii="Arial"/>
          <w:color w:val="000000"/>
          <w:sz w:val="24"/>
        </w:rPr>
        <w:t>that includes demolition of internal fabric</w:t>
      </w:r>
      <w:r>
        <w:rPr>
          <w:rFonts w:ascii="Arial"/>
          <w:color w:val="000000"/>
          <w:sz w:val="24"/>
        </w:rPr>
        <w:t>, and construction</w:t>
      </w:r>
      <w:r>
        <w:rPr>
          <w:rFonts w:ascii="Arial"/>
          <w:color w:val="000000"/>
          <w:sz w:val="24"/>
        </w:rPr>
        <w:t xml:space="preserve"> </w:t>
      </w:r>
      <w:r>
        <w:rPr>
          <w:rFonts w:ascii="Arial"/>
          <w:color w:val="000000"/>
          <w:sz w:val="24"/>
        </w:rPr>
        <w:t xml:space="preserve">of 18 rooms, communal areas, </w:t>
      </w:r>
      <w:r>
        <w:rPr>
          <w:rFonts w:ascii="Arial"/>
          <w:color w:val="000000"/>
          <w:sz w:val="24"/>
        </w:rPr>
        <w:t>parking</w:t>
      </w:r>
      <w:r>
        <w:rPr>
          <w:rFonts w:ascii="Arial"/>
          <w:color w:val="000000"/>
          <w:sz w:val="24"/>
        </w:rPr>
        <w:t xml:space="preserve"> </w:t>
      </w:r>
      <w:r>
        <w:rPr>
          <w:rFonts w:ascii="Arial"/>
          <w:color w:val="000000"/>
          <w:sz w:val="24"/>
        </w:rPr>
        <w:t>and landscaping</w:t>
      </w:r>
      <w:r>
        <w:rPr>
          <w:rFonts w:ascii="Arial"/>
          <w:color w:val="000000"/>
          <w:sz w:val="24"/>
        </w:rPr>
        <w:t xml:space="preserve"> </w:t>
      </w:r>
      <w:r>
        <w:rPr>
          <w:rFonts w:ascii="Arial"/>
          <w:color w:val="000000"/>
          <w:sz w:val="24"/>
        </w:rPr>
        <w:t>at 8-10 Charles Street in Petersham.</w:t>
      </w:r>
    </w:p>
    <w:p>
      <w:pPr>
        <w:pStyle w:val="CaselawNumbered10"/>
        <w:numPr>
          <w:ilvl w:val="0"/>
          <w:numId w:val="22"/>
        </w:numPr>
        <w:spacing w:before="150" w:after="0"/>
        <w:ind w:left="600" w:hanging="600"/>
      </w:pPr>
      <w:r>
        <w:rPr>
          <w:rFonts w:ascii="Arial"/>
          <w:color w:val="000000"/>
          <w:sz w:val="24"/>
        </w:rPr>
        <w:t xml:space="preserve">The DA was lodged by the Applicant in these proceedings, Petersham High Pty Ltd (Petersham High), with Inner West Council </w:t>
      </w:r>
      <w:r>
        <w:rPr>
          <w:rFonts w:ascii="Arial"/>
          <w:color w:val="000000"/>
          <w:sz w:val="24"/>
        </w:rPr>
        <w:t xml:space="preserve">(the Council) </w:t>
      </w:r>
      <w:r>
        <w:rPr>
          <w:rFonts w:ascii="Arial"/>
          <w:color w:val="000000"/>
          <w:sz w:val="24"/>
        </w:rPr>
        <w:t>on 19 October 2023.</w:t>
      </w:r>
    </w:p>
    <w:p>
      <w:pPr>
        <w:pStyle w:val="CaselawNumbered10"/>
        <w:numPr>
          <w:ilvl w:val="0"/>
          <w:numId w:val="22"/>
        </w:numPr>
        <w:spacing w:before="150" w:after="0"/>
        <w:ind w:left="600" w:hanging="600"/>
      </w:pPr>
      <w:r>
        <w:rPr>
          <w:rFonts w:ascii="Arial"/>
          <w:color w:val="000000"/>
          <w:sz w:val="24"/>
        </w:rPr>
        <w:t xml:space="preserve">As the DA was otherwise undetermined, Petersham High filed an appeal </w:t>
      </w:r>
      <w:r>
        <w:rPr>
          <w:rFonts w:ascii="Arial"/>
          <w:color w:val="000000"/>
          <w:sz w:val="24"/>
        </w:rPr>
        <w:t>in Class 1 of the Court</w:t>
      </w:r>
      <w:r>
        <w:rPr>
          <w:rFonts w:ascii="Arial"/>
          <w:color w:val="000000"/>
          <w:sz w:val="24"/>
        </w:rPr>
        <w:t>’</w:t>
      </w:r>
      <w:r>
        <w:rPr>
          <w:rFonts w:ascii="Arial"/>
          <w:color w:val="000000"/>
          <w:sz w:val="24"/>
        </w:rPr>
        <w:t xml:space="preserve">s jurisdiction </w:t>
      </w:r>
      <w:r>
        <w:rPr>
          <w:rFonts w:ascii="Arial"/>
          <w:color w:val="000000"/>
          <w:sz w:val="24"/>
        </w:rPr>
        <w:t xml:space="preserve">on 22 November 2023, </w:t>
      </w:r>
      <w:r>
        <w:rPr>
          <w:rFonts w:ascii="Arial"/>
          <w:color w:val="000000"/>
          <w:sz w:val="24"/>
        </w:rPr>
        <w:t xml:space="preserve">pursuant to s 8.7 of the </w:t>
      </w:r>
      <w:r>
        <w:rPr>
          <w:rFonts w:ascii="Arial"/>
          <w:i/>
          <w:color w:val="000000"/>
          <w:sz w:val="24"/>
        </w:rPr>
        <w:t>Environmental Planning and Assessment Act 1979</w:t>
      </w:r>
      <w:r>
        <w:rPr>
          <w:rFonts w:ascii="Arial"/>
          <w:color w:val="000000"/>
          <w:sz w:val="24"/>
        </w:rPr>
        <w:t xml:space="preserve"> </w:t>
      </w:r>
      <w:r>
        <w:rPr>
          <w:rFonts w:ascii="Arial"/>
          <w:color w:val="000000"/>
          <w:sz w:val="24"/>
        </w:rPr>
        <w:t>(EPA Act)</w:t>
      </w:r>
      <w:r>
        <w:rPr>
          <w:rFonts w:ascii="Arial"/>
          <w:color w:val="000000"/>
          <w:sz w:val="24"/>
        </w:rPr>
        <w:t>.</w:t>
      </w:r>
    </w:p>
    <w:p>
      <w:pPr>
        <w:pStyle w:val="CaselawNumbered10"/>
        <w:numPr>
          <w:ilvl w:val="0"/>
          <w:numId w:val="22"/>
        </w:numPr>
        <w:spacing w:before="150" w:after="0"/>
        <w:ind w:left="600" w:hanging="600"/>
      </w:pPr>
      <w:r>
        <w:rPr>
          <w:rFonts w:ascii="Arial"/>
          <w:color w:val="000000"/>
          <w:sz w:val="24"/>
        </w:rPr>
        <w:t xml:space="preserve">On </w:t>
      </w:r>
      <w:r>
        <w:rPr>
          <w:rFonts w:ascii="Arial"/>
          <w:color w:val="000000"/>
          <w:sz w:val="24"/>
        </w:rPr>
        <w:t>8 August 2024, the Court granted Petersham High leave to rely on amended plans and other documents</w:t>
      </w:r>
      <w:r>
        <w:rPr>
          <w:rFonts w:ascii="Arial"/>
          <w:color w:val="000000"/>
          <w:sz w:val="24"/>
        </w:rPr>
        <w:t xml:space="preserve"> </w:t>
      </w:r>
      <w:r>
        <w:rPr>
          <w:rFonts w:ascii="Arial"/>
          <w:color w:val="000000"/>
          <w:sz w:val="24"/>
        </w:rPr>
        <w:t>so as to amend the DA.</w:t>
      </w:r>
    </w:p>
    <w:p>
      <w:pPr>
        <w:pStyle w:val="CaselawNumbered10"/>
        <w:numPr>
          <w:ilvl w:val="0"/>
          <w:numId w:val="22"/>
        </w:numPr>
        <w:spacing w:before="150" w:after="0"/>
        <w:ind w:left="600" w:hanging="600"/>
      </w:pPr>
      <w:r>
        <w:rPr>
          <w:rFonts w:ascii="Arial"/>
          <w:color w:val="000000"/>
          <w:sz w:val="24"/>
        </w:rPr>
        <w:t xml:space="preserve">On 30 August 2024, the Council filed an Amended Statement of Facts and Contentions (Exhibit </w:t>
      </w:r>
      <w:r>
        <w:rPr>
          <w:rFonts w:ascii="Arial"/>
          <w:color w:val="000000"/>
          <w:sz w:val="24"/>
        </w:rPr>
        <w:t>1</w:t>
      </w:r>
      <w:r>
        <w:rPr>
          <w:rFonts w:ascii="Arial"/>
          <w:color w:val="000000"/>
          <w:sz w:val="24"/>
        </w:rPr>
        <w:t>)</w:t>
      </w:r>
      <w:r>
        <w:rPr>
          <w:rFonts w:ascii="Arial"/>
          <w:color w:val="000000"/>
          <w:sz w:val="24"/>
        </w:rPr>
        <w:t xml:space="preserve"> </w:t>
      </w:r>
      <w:r>
        <w:rPr>
          <w:rFonts w:ascii="Arial"/>
          <w:color w:val="000000"/>
          <w:sz w:val="24"/>
        </w:rPr>
        <w:t xml:space="preserve">setting out the contentions </w:t>
      </w:r>
      <w:r>
        <w:rPr>
          <w:rFonts w:ascii="Arial"/>
          <w:color w:val="000000"/>
          <w:sz w:val="24"/>
        </w:rPr>
        <w:t>at play in this matter. However, at the outset of the hearing, the parties identified the following as remaining for the Court to decide:</w:t>
      </w:r>
    </w:p>
    <w:p>
      <w:pPr>
        <w:pStyle w:val="CaselawNumbered1"/>
        <w:numPr>
          <w:ilvl w:val="0"/>
          <w:numId w:val="23"/>
        </w:numPr>
        <w:spacing w:before="150" w:after="0"/>
        <w:ind w:left="1350" w:hanging="750"/>
      </w:pPr>
      <w:r>
        <w:rPr>
          <w:rFonts w:ascii="Arial"/>
          <w:color w:val="000000"/>
          <w:sz w:val="24"/>
        </w:rPr>
        <w:t>The development is not for a permissible use in the R2 Low Density Residential zone.</w:t>
      </w:r>
    </w:p>
    <w:p>
      <w:pPr>
        <w:pStyle w:val="CaselawNumbered1"/>
        <w:numPr>
          <w:ilvl w:val="0"/>
          <w:numId w:val="23"/>
        </w:numPr>
        <w:spacing w:before="150" w:after="0"/>
        <w:ind w:left="1350" w:hanging="750"/>
      </w:pPr>
      <w:r>
        <w:rPr>
          <w:rFonts w:ascii="Arial"/>
          <w:color w:val="000000"/>
          <w:sz w:val="24"/>
        </w:rPr>
        <w:t xml:space="preserve">An insufficient area of landscaping is proposed. </w:t>
      </w:r>
    </w:p>
    <w:p>
      <w:pPr>
        <w:pStyle w:val="CaselawNumbered1"/>
        <w:numPr>
          <w:ilvl w:val="0"/>
          <w:numId w:val="23"/>
        </w:numPr>
        <w:spacing w:before="150" w:after="0"/>
        <w:ind w:left="1350" w:hanging="750"/>
      </w:pPr>
      <w:r>
        <w:rPr>
          <w:rFonts w:ascii="Arial"/>
          <w:color w:val="000000"/>
          <w:sz w:val="24"/>
        </w:rPr>
        <w:t xml:space="preserve">While the </w:t>
      </w:r>
      <w:r>
        <w:rPr>
          <w:rFonts w:ascii="Arial"/>
          <w:color w:val="000000"/>
          <w:sz w:val="24"/>
        </w:rPr>
        <w:t xml:space="preserve">area of communal open space </w:t>
      </w:r>
      <w:r>
        <w:rPr>
          <w:rFonts w:ascii="Arial"/>
          <w:color w:val="000000"/>
          <w:sz w:val="24"/>
        </w:rPr>
        <w:t>proposed complies, it has poor amenity.</w:t>
      </w:r>
    </w:p>
    <w:p>
      <w:pPr>
        <w:pStyle w:val="CaselawNumbered1"/>
        <w:numPr>
          <w:ilvl w:val="0"/>
          <w:numId w:val="23"/>
        </w:numPr>
        <w:spacing w:before="150" w:after="0"/>
        <w:ind w:left="1350" w:hanging="750"/>
      </w:pPr>
      <w:r>
        <w:rPr>
          <w:rFonts w:ascii="Arial"/>
          <w:color w:val="000000"/>
          <w:sz w:val="24"/>
        </w:rPr>
        <w:t xml:space="preserve">Unsatisfactory </w:t>
      </w:r>
      <w:r>
        <w:rPr>
          <w:rFonts w:ascii="Arial"/>
          <w:color w:val="000000"/>
          <w:sz w:val="24"/>
        </w:rPr>
        <w:t xml:space="preserve">energy efficiency and thermal comfort is afforded to residents. </w:t>
      </w:r>
    </w:p>
    <w:p>
      <w:pPr>
        <w:pStyle w:val="CaselawNumbered1"/>
        <w:numPr>
          <w:ilvl w:val="0"/>
          <w:numId w:val="23"/>
        </w:numPr>
        <w:spacing w:before="150" w:after="0"/>
        <w:ind w:left="1350" w:hanging="750"/>
      </w:pPr>
      <w:r>
        <w:rPr>
          <w:rFonts w:ascii="Arial"/>
          <w:color w:val="000000"/>
          <w:sz w:val="24"/>
        </w:rPr>
        <w:t xml:space="preserve">The site </w:t>
      </w:r>
      <w:r>
        <w:rPr>
          <w:rFonts w:ascii="Arial"/>
          <w:color w:val="000000"/>
          <w:sz w:val="24"/>
        </w:rPr>
        <w:t xml:space="preserve">is unsuitable for the development proposed. </w:t>
      </w:r>
    </w:p>
    <w:p>
      <w:pPr>
        <w:pStyle w:val="CaselawNumbered1"/>
        <w:numPr>
          <w:ilvl w:val="0"/>
          <w:numId w:val="23"/>
        </w:numPr>
        <w:spacing w:before="150" w:after="0"/>
        <w:ind w:left="1350" w:hanging="750"/>
      </w:pPr>
      <w:r>
        <w:rPr>
          <w:rFonts w:ascii="Arial"/>
          <w:color w:val="000000"/>
          <w:sz w:val="24"/>
        </w:rPr>
        <w:t>The proposal exceeds the maximum number of rooms permitted.</w:t>
      </w:r>
    </w:p>
    <w:p>
      <w:pPr>
        <w:pStyle w:val="CaselawNumbered10"/>
        <w:numPr>
          <w:ilvl w:val="0"/>
          <w:numId w:val="24"/>
        </w:numPr>
        <w:spacing w:before="150" w:after="0"/>
        <w:ind w:left="600" w:hanging="600"/>
      </w:pPr>
      <w:r>
        <w:rPr>
          <w:rFonts w:ascii="Arial"/>
          <w:color w:val="000000"/>
          <w:sz w:val="24"/>
        </w:rPr>
        <w:t xml:space="preserve">The proceedings commenced with an onsite view at which the Court, in the company of the legal representatives </w:t>
      </w:r>
      <w:r>
        <w:rPr>
          <w:rFonts w:ascii="Arial"/>
          <w:color w:val="000000"/>
          <w:sz w:val="24"/>
        </w:rPr>
        <w:t>and experts</w:t>
      </w:r>
      <w:r>
        <w:rPr>
          <w:rFonts w:ascii="Arial"/>
          <w:color w:val="000000"/>
          <w:sz w:val="24"/>
        </w:rPr>
        <w:t>,</w:t>
      </w:r>
      <w:r>
        <w:rPr>
          <w:rFonts w:ascii="Arial"/>
          <w:color w:val="000000"/>
          <w:sz w:val="24"/>
        </w:rPr>
        <w:t xml:space="preserve"> </w:t>
      </w:r>
      <w:r>
        <w:rPr>
          <w:rFonts w:ascii="Arial"/>
          <w:color w:val="000000"/>
          <w:sz w:val="24"/>
        </w:rPr>
        <w:t xml:space="preserve">heard oral submissions from residents of the area. Those concerns </w:t>
      </w:r>
      <w:r>
        <w:rPr>
          <w:rFonts w:ascii="Arial"/>
          <w:color w:val="000000"/>
          <w:sz w:val="24"/>
        </w:rPr>
        <w:t xml:space="preserve">are noted in Exhibit </w:t>
      </w:r>
      <w:r>
        <w:rPr>
          <w:rFonts w:ascii="Arial"/>
          <w:color w:val="000000"/>
          <w:sz w:val="24"/>
        </w:rPr>
        <w:t>4</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include:</w:t>
      </w:r>
    </w:p>
    <w:p>
      <w:pPr>
        <w:pStyle w:val="CaselawNumbered1"/>
        <w:numPr>
          <w:ilvl w:val="0"/>
          <w:numId w:val="25"/>
        </w:numPr>
        <w:spacing w:before="150" w:after="0"/>
        <w:ind w:left="1350" w:hanging="750"/>
      </w:pPr>
      <w:r>
        <w:rPr>
          <w:rFonts w:ascii="Arial"/>
          <w:color w:val="000000"/>
          <w:sz w:val="24"/>
        </w:rPr>
        <w:t>Overdevelopmen</w:t>
      </w:r>
      <w:r>
        <w:rPr>
          <w:rFonts w:ascii="Arial"/>
          <w:color w:val="000000"/>
          <w:sz w:val="24"/>
        </w:rPr>
        <w:t>t and excessive density.</w:t>
      </w:r>
    </w:p>
    <w:p>
      <w:pPr>
        <w:pStyle w:val="CaselawNumbered1"/>
        <w:numPr>
          <w:ilvl w:val="0"/>
          <w:numId w:val="25"/>
        </w:numPr>
        <w:spacing w:before="150" w:after="0"/>
        <w:ind w:left="1350" w:hanging="750"/>
      </w:pPr>
      <w:r>
        <w:rPr>
          <w:rFonts w:ascii="Arial"/>
          <w:color w:val="000000"/>
          <w:sz w:val="24"/>
        </w:rPr>
        <w:t>Traffic and parking impacts.</w:t>
      </w:r>
    </w:p>
    <w:p>
      <w:pPr>
        <w:pStyle w:val="CaselawNumbered1"/>
        <w:numPr>
          <w:ilvl w:val="0"/>
          <w:numId w:val="25"/>
        </w:numPr>
        <w:spacing w:before="150" w:after="0"/>
        <w:ind w:left="1350" w:hanging="750"/>
      </w:pPr>
      <w:r>
        <w:rPr>
          <w:rFonts w:ascii="Arial"/>
          <w:color w:val="000000"/>
          <w:sz w:val="24"/>
        </w:rPr>
        <w:t>Adverse impact on streetscape and character</w:t>
      </w:r>
      <w:r>
        <w:rPr>
          <w:rFonts w:ascii="Arial"/>
          <w:color w:val="000000"/>
          <w:sz w:val="24"/>
        </w:rPr>
        <w:t>.</w:t>
      </w:r>
    </w:p>
    <w:p>
      <w:pPr>
        <w:pStyle w:val="CaselawNumbered1"/>
        <w:numPr>
          <w:ilvl w:val="0"/>
          <w:numId w:val="25"/>
        </w:numPr>
        <w:spacing w:before="150" w:after="0"/>
        <w:ind w:left="1350" w:hanging="750"/>
      </w:pPr>
      <w:r>
        <w:rPr>
          <w:rFonts w:ascii="Arial"/>
          <w:color w:val="000000"/>
          <w:sz w:val="24"/>
        </w:rPr>
        <w:t xml:space="preserve">Potential for </w:t>
      </w:r>
      <w:r>
        <w:rPr>
          <w:rFonts w:ascii="Arial"/>
          <w:color w:val="000000"/>
          <w:sz w:val="24"/>
        </w:rPr>
        <w:t>anti-social</w:t>
      </w:r>
      <w:r>
        <w:rPr>
          <w:rFonts w:ascii="Arial"/>
          <w:color w:val="000000"/>
          <w:sz w:val="24"/>
        </w:rPr>
        <w:t xml:space="preserve"> </w:t>
      </w:r>
      <w:r>
        <w:rPr>
          <w:rFonts w:ascii="Arial"/>
          <w:color w:val="000000"/>
          <w:sz w:val="24"/>
        </w:rPr>
        <w:t>behaviour and disturbance due to noise.</w:t>
      </w:r>
    </w:p>
    <w:p>
      <w:pPr>
        <w:pStyle w:val="CaselawNumbered1"/>
        <w:numPr>
          <w:ilvl w:val="0"/>
          <w:numId w:val="25"/>
        </w:numPr>
        <w:spacing w:before="150" w:after="0"/>
        <w:ind w:left="1350" w:hanging="750"/>
      </w:pPr>
      <w:r>
        <w:rPr>
          <w:rFonts w:ascii="Arial"/>
          <w:color w:val="000000"/>
          <w:sz w:val="24"/>
        </w:rPr>
        <w:t>Additional burdening of local services and infrastructure that is already stretched due to development in the area.</w:t>
      </w:r>
    </w:p>
    <w:p>
      <w:pPr>
        <w:pStyle w:val="CaselawNumbered1"/>
        <w:numPr>
          <w:ilvl w:val="0"/>
          <w:numId w:val="25"/>
        </w:numPr>
        <w:spacing w:before="150" w:after="0"/>
        <w:ind w:left="1350" w:hanging="750"/>
      </w:pPr>
      <w:r>
        <w:rPr>
          <w:rFonts w:ascii="Arial"/>
          <w:color w:val="000000"/>
          <w:sz w:val="24"/>
        </w:rPr>
        <w:t>A doubling of the resident population of Charles Street without additional services to cater to the increase in population.</w:t>
      </w:r>
    </w:p>
    <w:p>
      <w:pPr>
        <w:pStyle w:val="CaselawHeading2"/>
        <w:keepNext/>
        <w:spacing w:before="150" w:after="150" w:line="264"/>
        <w:ind w:left="0"/>
        <w:jc w:val="left"/>
      </w:pPr>
      <w:r>
        <w:rPr>
          <w:rFonts w:ascii="Arial"/>
        </w:rPr>
        <w:t>Whether the use is permitted in the R2 zone</w:t>
      </w:r>
    </w:p>
    <w:p>
      <w:pPr>
        <w:pStyle w:val="CaselawNumbered10"/>
        <w:numPr>
          <w:ilvl w:val="0"/>
          <w:numId w:val="26"/>
        </w:numPr>
        <w:spacing w:before="150" w:after="0"/>
        <w:ind w:left="600" w:hanging="600"/>
      </w:pPr>
      <w:r>
        <w:rPr>
          <w:rFonts w:ascii="Arial"/>
          <w:color w:val="000000"/>
          <w:sz w:val="24"/>
        </w:rPr>
        <w:t xml:space="preserve">The </w:t>
      </w:r>
      <w:r>
        <w:rPr>
          <w:rFonts w:ascii="Arial"/>
          <w:color w:val="000000"/>
          <w:sz w:val="24"/>
        </w:rPr>
        <w:t xml:space="preserve">site is located within an area identified by the Inner West Local Environmental Plan 2022 (IWLEP) as R2 Low Density Residential, in which </w:t>
      </w:r>
      <w:r>
        <w:rPr>
          <w:rFonts w:ascii="Arial"/>
          <w:color w:val="000000"/>
          <w:sz w:val="24"/>
        </w:rPr>
        <w:t xml:space="preserve">residential accommodation is </w:t>
      </w:r>
      <w:r>
        <w:rPr>
          <w:rFonts w:ascii="Arial"/>
          <w:color w:val="000000"/>
          <w:sz w:val="24"/>
        </w:rPr>
        <w:t>prohibited</w:t>
      </w:r>
      <w:r>
        <w:rPr>
          <w:rFonts w:ascii="Arial"/>
          <w:color w:val="000000"/>
          <w:sz w:val="24"/>
        </w:rPr>
        <w:t xml:space="preserve">. </w:t>
      </w:r>
    </w:p>
    <w:p>
      <w:pPr>
        <w:pStyle w:val="CaselawNumbered10"/>
        <w:numPr>
          <w:ilvl w:val="0"/>
          <w:numId w:val="26"/>
        </w:numPr>
        <w:spacing w:before="150" w:after="0"/>
        <w:ind w:left="600" w:hanging="600"/>
      </w:pPr>
      <w:r>
        <w:rPr>
          <w:rFonts w:ascii="Arial"/>
          <w:color w:val="000000"/>
          <w:sz w:val="24"/>
        </w:rPr>
        <w:t>The</w:t>
      </w:r>
      <w:r>
        <w:rPr>
          <w:rFonts w:ascii="Arial"/>
          <w:color w:val="000000"/>
          <w:sz w:val="24"/>
        </w:rPr>
        <w:t xml:space="preserve"> </w:t>
      </w:r>
      <w:r>
        <w:rPr>
          <w:rFonts w:ascii="Arial"/>
          <w:color w:val="000000"/>
          <w:sz w:val="24"/>
        </w:rPr>
        <w:t xml:space="preserve">definition of </w:t>
      </w:r>
      <w:r>
        <w:rPr>
          <w:rFonts w:ascii="Arial"/>
          <w:color w:val="000000"/>
          <w:sz w:val="24"/>
        </w:rPr>
        <w:t>“</w:t>
      </w:r>
      <w:r>
        <w:rPr>
          <w:rFonts w:ascii="Arial"/>
          <w:color w:val="000000"/>
          <w:sz w:val="24"/>
        </w:rPr>
        <w:t>residential accommodation</w:t>
      </w:r>
      <w:r>
        <w:rPr>
          <w:rFonts w:ascii="Arial"/>
          <w:color w:val="000000"/>
          <w:sz w:val="24"/>
        </w:rPr>
        <w:t>”</w:t>
      </w:r>
      <w:r>
        <w:rPr>
          <w:rFonts w:ascii="Arial"/>
          <w:color w:val="000000"/>
          <w:sz w:val="24"/>
        </w:rPr>
        <w:t xml:space="preserve"> </w:t>
      </w:r>
      <w:r>
        <w:rPr>
          <w:rFonts w:ascii="Arial"/>
          <w:color w:val="000000"/>
          <w:sz w:val="24"/>
        </w:rPr>
        <w:t>in the Dictionary of the IWLEP embraces co-living housing</w:t>
      </w:r>
      <w:r>
        <w:rPr>
          <w:rFonts w:ascii="Arial"/>
          <w:color w:val="000000"/>
          <w:sz w:val="24"/>
        </w:rPr>
        <w:t>. As such, co-li</w:t>
      </w:r>
      <w:r>
        <w:rPr>
          <w:rFonts w:ascii="Arial"/>
          <w:color w:val="000000"/>
          <w:sz w:val="24"/>
        </w:rPr>
        <w:t>ving housing development is prohibited in the R2 zone.</w:t>
      </w:r>
    </w:p>
    <w:p>
      <w:pPr>
        <w:pStyle w:val="CaselawNumbered10"/>
        <w:numPr>
          <w:ilvl w:val="0"/>
          <w:numId w:val="26"/>
        </w:numPr>
        <w:spacing w:before="150" w:after="0"/>
        <w:ind w:left="600" w:hanging="600"/>
      </w:pPr>
      <w:r>
        <w:rPr>
          <w:rFonts w:ascii="Arial"/>
          <w:color w:val="000000"/>
          <w:sz w:val="24"/>
        </w:rPr>
        <w:t xml:space="preserve">However, </w:t>
      </w:r>
      <w:r>
        <w:rPr>
          <w:rFonts w:ascii="Arial"/>
          <w:color w:val="000000"/>
          <w:sz w:val="24"/>
        </w:rPr>
        <w:t xml:space="preserve">according to Petersham High, </w:t>
      </w:r>
      <w:r>
        <w:rPr>
          <w:rFonts w:ascii="Arial"/>
          <w:color w:val="000000"/>
          <w:sz w:val="24"/>
        </w:rPr>
        <w:t>s 67 of State Environmental Planning Policy (Housing) 2021 (Housing SEPP)</w:t>
      </w:r>
      <w:r>
        <w:rPr>
          <w:rFonts w:ascii="Arial"/>
          <w:color w:val="000000"/>
          <w:sz w:val="24"/>
        </w:rPr>
        <w:t xml:space="preserve"> </w:t>
      </w:r>
      <w:r>
        <w:rPr>
          <w:rFonts w:ascii="Arial"/>
          <w:color w:val="000000"/>
          <w:sz w:val="24"/>
        </w:rPr>
        <w:t xml:space="preserve">provides a pathway </w:t>
      </w:r>
      <w:r>
        <w:rPr>
          <w:rFonts w:ascii="Arial"/>
          <w:color w:val="000000"/>
          <w:sz w:val="24"/>
        </w:rPr>
        <w:t>by which consent may be granted. That pathway is described, in summary, as follows:</w:t>
      </w:r>
    </w:p>
    <w:p>
      <w:pPr>
        <w:pStyle w:val="CaselawNumbered1"/>
        <w:numPr>
          <w:ilvl w:val="0"/>
          <w:numId w:val="27"/>
        </w:numPr>
        <w:spacing w:before="150" w:after="0"/>
        <w:ind w:left="1350" w:hanging="750"/>
      </w:pPr>
      <w:r>
        <w:rPr>
          <w:rFonts w:ascii="Arial"/>
          <w:color w:val="000000"/>
          <w:sz w:val="24"/>
        </w:rPr>
        <w:t>Section 67</w:t>
      </w:r>
      <w:r>
        <w:rPr>
          <w:rFonts w:ascii="Arial"/>
          <w:color w:val="000000"/>
          <w:sz w:val="24"/>
        </w:rPr>
        <w:t xml:space="preserve"> </w:t>
      </w:r>
      <w:r>
        <w:rPr>
          <w:rFonts w:ascii="Arial"/>
          <w:color w:val="000000"/>
          <w:sz w:val="24"/>
        </w:rPr>
        <w:t xml:space="preserve">of the Housing SEPP provides </w:t>
      </w:r>
      <w:r>
        <w:rPr>
          <w:rFonts w:ascii="Arial"/>
          <w:color w:val="000000"/>
          <w:sz w:val="24"/>
        </w:rPr>
        <w:t>that co-</w:t>
      </w:r>
      <w:r>
        <w:rPr>
          <w:rFonts w:ascii="Arial"/>
          <w:color w:val="000000"/>
          <w:sz w:val="24"/>
        </w:rPr>
        <w:t>living</w:t>
      </w:r>
      <w:r>
        <w:rPr>
          <w:rFonts w:ascii="Arial"/>
          <w:color w:val="000000"/>
          <w:sz w:val="24"/>
        </w:rPr>
        <w:t xml:space="preserve"> </w:t>
      </w:r>
      <w:r>
        <w:rPr>
          <w:rFonts w:ascii="Arial"/>
          <w:color w:val="000000"/>
          <w:sz w:val="24"/>
        </w:rPr>
        <w:t>housing may be carried out on land in a zone in</w:t>
      </w:r>
      <w:r>
        <w:rPr>
          <w:rFonts w:ascii="Arial"/>
          <w:color w:val="000000"/>
          <w:sz w:val="24"/>
        </w:rPr>
        <w:t xml:space="preserve"> </w:t>
      </w:r>
      <w:r>
        <w:rPr>
          <w:rFonts w:ascii="Arial"/>
          <w:color w:val="000000"/>
          <w:sz w:val="24"/>
        </w:rPr>
        <w:t xml:space="preserve">which </w:t>
      </w:r>
      <w:r>
        <w:rPr>
          <w:rFonts w:ascii="Arial"/>
          <w:color w:val="000000"/>
          <w:sz w:val="24"/>
        </w:rPr>
        <w:t>development for the purposes of co-li</w:t>
      </w:r>
      <w:r>
        <w:rPr>
          <w:rFonts w:ascii="Arial"/>
          <w:color w:val="000000"/>
          <w:sz w:val="24"/>
        </w:rPr>
        <w:t>vin</w:t>
      </w:r>
      <w:r>
        <w:rPr>
          <w:rFonts w:ascii="Arial"/>
          <w:color w:val="000000"/>
          <w:sz w:val="24"/>
        </w:rPr>
        <w:t xml:space="preserve">g housing, residential flat buildings or shop top </w:t>
      </w:r>
      <w:r>
        <w:rPr>
          <w:rFonts w:ascii="Arial"/>
          <w:color w:val="000000"/>
          <w:sz w:val="24"/>
        </w:rPr>
        <w:t>housing</w:t>
      </w:r>
      <w:r>
        <w:rPr>
          <w:rFonts w:ascii="Arial"/>
          <w:color w:val="000000"/>
          <w:sz w:val="24"/>
        </w:rPr>
        <w:t xml:space="preserve"> </w:t>
      </w:r>
      <w:r>
        <w:rPr>
          <w:rFonts w:ascii="Arial"/>
          <w:color w:val="000000"/>
          <w:sz w:val="24"/>
        </w:rPr>
        <w:t xml:space="preserve">is permitted under another environmental </w:t>
      </w:r>
      <w:r>
        <w:rPr>
          <w:rFonts w:ascii="Arial"/>
          <w:color w:val="000000"/>
          <w:sz w:val="24"/>
        </w:rPr>
        <w:t>planning</w:t>
      </w:r>
      <w:r>
        <w:rPr>
          <w:rFonts w:ascii="Arial"/>
          <w:color w:val="000000"/>
          <w:sz w:val="24"/>
        </w:rPr>
        <w:t xml:space="preserve"> </w:t>
      </w:r>
      <w:r>
        <w:rPr>
          <w:rFonts w:ascii="Arial"/>
          <w:color w:val="000000"/>
          <w:sz w:val="24"/>
        </w:rPr>
        <w:t>instrument</w:t>
      </w:r>
      <w:r>
        <w:rPr>
          <w:rFonts w:ascii="Arial"/>
          <w:color w:val="000000"/>
          <w:sz w:val="24"/>
        </w:rPr>
        <w:t>.</w:t>
      </w:r>
    </w:p>
    <w:p>
      <w:pPr>
        <w:pStyle w:val="CaselawNumbered1"/>
        <w:numPr>
          <w:ilvl w:val="0"/>
          <w:numId w:val="27"/>
        </w:numPr>
        <w:spacing w:before="150" w:after="0"/>
        <w:ind w:left="1350" w:hanging="750"/>
      </w:pPr>
      <w:r>
        <w:rPr>
          <w:rFonts w:ascii="Arial"/>
          <w:color w:val="000000"/>
          <w:sz w:val="24"/>
        </w:rPr>
        <w:t>According to Petersham High, cl</w:t>
      </w:r>
      <w:r>
        <w:rPr>
          <w:rFonts w:ascii="Arial"/>
          <w:color w:val="000000"/>
          <w:sz w:val="24"/>
        </w:rPr>
        <w:t xml:space="preserve"> </w:t>
      </w:r>
      <w:r>
        <w:rPr>
          <w:rFonts w:ascii="Arial"/>
          <w:color w:val="000000"/>
          <w:sz w:val="24"/>
        </w:rPr>
        <w:t>6</w:t>
      </w:r>
      <w:r>
        <w:rPr>
          <w:rFonts w:ascii="Arial"/>
          <w:color w:val="000000"/>
          <w:sz w:val="24"/>
        </w:rPr>
        <w:t>.1</w:t>
      </w:r>
      <w:r>
        <w:rPr>
          <w:rFonts w:ascii="Arial"/>
          <w:color w:val="000000"/>
          <w:sz w:val="24"/>
        </w:rPr>
        <w:t>2 of the IWLEP</w:t>
      </w:r>
      <w:r>
        <w:rPr>
          <w:rFonts w:ascii="Arial"/>
          <w:color w:val="000000"/>
          <w:sz w:val="24"/>
        </w:rPr>
        <w:t xml:space="preserve"> </w:t>
      </w:r>
      <w:r>
        <w:rPr>
          <w:rFonts w:ascii="Arial"/>
          <w:color w:val="000000"/>
          <w:sz w:val="24"/>
        </w:rPr>
        <w:t xml:space="preserve">has the effect of permitting residential flat </w:t>
      </w:r>
      <w:r>
        <w:rPr>
          <w:rFonts w:ascii="Arial"/>
          <w:color w:val="000000"/>
          <w:sz w:val="24"/>
        </w:rPr>
        <w:t>buildings</w:t>
      </w:r>
      <w:r>
        <w:rPr>
          <w:rFonts w:ascii="Arial"/>
          <w:color w:val="000000"/>
          <w:sz w:val="24"/>
        </w:rPr>
        <w:t xml:space="preserve"> </w:t>
      </w:r>
      <w:r>
        <w:rPr>
          <w:rFonts w:ascii="Arial"/>
          <w:color w:val="000000"/>
          <w:sz w:val="24"/>
        </w:rPr>
        <w:t xml:space="preserve">in the R2 zone by operation of </w:t>
      </w:r>
      <w:r>
        <w:rPr>
          <w:rFonts w:ascii="Arial"/>
          <w:color w:val="000000"/>
          <w:sz w:val="24"/>
        </w:rPr>
        <w:t>subcl</w:t>
      </w:r>
      <w:r>
        <w:rPr>
          <w:rFonts w:ascii="Arial"/>
          <w:color w:val="000000"/>
          <w:sz w:val="24"/>
        </w:rPr>
        <w:t>l</w:t>
      </w:r>
      <w:r>
        <w:rPr>
          <w:rFonts w:ascii="Arial"/>
          <w:color w:val="000000"/>
          <w:sz w:val="24"/>
        </w:rPr>
        <w:t xml:space="preserve"> </w:t>
      </w:r>
      <w:r>
        <w:rPr>
          <w:rFonts w:ascii="Arial"/>
          <w:color w:val="000000"/>
          <w:sz w:val="24"/>
        </w:rPr>
        <w:t>(3) and</w:t>
      </w:r>
      <w:r>
        <w:rPr>
          <w:rFonts w:ascii="Arial"/>
          <w:color w:val="000000"/>
          <w:sz w:val="24"/>
        </w:rPr>
        <w:t xml:space="preserve"> </w:t>
      </w:r>
      <w:r>
        <w:rPr>
          <w:rFonts w:ascii="Arial"/>
          <w:color w:val="000000"/>
          <w:sz w:val="24"/>
        </w:rPr>
        <w:t xml:space="preserve">(4) </w:t>
      </w:r>
      <w:r>
        <w:rPr>
          <w:rFonts w:ascii="Arial"/>
          <w:color w:val="000000"/>
          <w:sz w:val="24"/>
        </w:rPr>
        <w:t>that are</w:t>
      </w:r>
      <w:r>
        <w:rPr>
          <w:rFonts w:ascii="Arial"/>
          <w:color w:val="000000"/>
          <w:sz w:val="24"/>
        </w:rPr>
        <w:t xml:space="preserve"> </w:t>
      </w:r>
      <w:r>
        <w:rPr>
          <w:rFonts w:ascii="Arial"/>
          <w:color w:val="000000"/>
          <w:sz w:val="24"/>
        </w:rPr>
        <w:t>in the following terms:</w:t>
      </w:r>
    </w:p>
    <w:p>
      <w:pPr>
        <w:pStyle w:val="CaselawQuote"/>
        <w:spacing w:before="150" w:after="150"/>
        <w:ind w:left="1350"/>
        <w:jc w:val="left"/>
      </w:pPr>
      <w:r>
        <w:rPr>
          <w:rFonts w:ascii="Arial"/>
          <w:color w:val="000000"/>
          <w:sz w:val="22"/>
        </w:rPr>
        <w:t>(3)  Development consent must not be granted to a change of use to the following—</w:t>
      </w:r>
    </w:p>
    <w:p>
      <w:pPr>
        <w:pStyle w:val="CaselawQuote0"/>
        <w:spacing w:before="150" w:after="150"/>
        <w:ind w:left="2100"/>
        <w:jc w:val="left"/>
      </w:pPr>
      <w:r>
        <w:rPr>
          <w:rFonts w:ascii="Arial"/>
          <w:color w:val="000000"/>
          <w:sz w:val="22"/>
        </w:rPr>
        <w:t>(a)  multi dwelling housing on land other than in Zone R2 Low Density Residential,</w:t>
      </w:r>
    </w:p>
    <w:p>
      <w:pPr>
        <w:pStyle w:val="CaselawQuote0"/>
        <w:spacing w:before="150" w:after="150"/>
        <w:ind w:left="2100"/>
        <w:jc w:val="left"/>
      </w:pPr>
      <w:r>
        <w:rPr>
          <w:rFonts w:ascii="Arial"/>
          <w:color w:val="000000"/>
          <w:sz w:val="22"/>
        </w:rPr>
        <w:t>(b)  residential flat buildings on land other than land in Zone R2 Low Density Residential or Zone R3 Medium Density Residential.</w:t>
      </w:r>
    </w:p>
    <w:p>
      <w:pPr>
        <w:pStyle w:val="CaselawQuote"/>
        <w:spacing w:before="150" w:after="150"/>
        <w:ind w:left="1350"/>
        <w:jc w:val="left"/>
      </w:pPr>
      <w:r>
        <w:rPr>
          <w:rFonts w:ascii="Arial"/>
          <w:color w:val="000000"/>
          <w:sz w:val="22"/>
        </w:rPr>
        <w:t>(4)  Development consent must not be granted to a change of use to residential accommodation of a building on land to which this clause applies unless the consent authority is satisfied—</w:t>
      </w:r>
    </w:p>
    <w:p>
      <w:pPr>
        <w:pStyle w:val="CaselawQuote0"/>
        <w:spacing w:before="150" w:after="150"/>
        <w:ind w:left="2100"/>
        <w:jc w:val="left"/>
      </w:pPr>
      <w:r>
        <w:rPr>
          <w:rFonts w:ascii="Arial"/>
          <w:color w:val="000000"/>
          <w:sz w:val="22"/>
        </w:rPr>
        <w:t xml:space="preserve">(a)  the development will not adversely affect the streetscape, </w:t>
      </w:r>
      <w:r>
        <w:rPr>
          <w:rFonts w:ascii="Arial"/>
          <w:color w:val="000000"/>
          <w:sz w:val="22"/>
        </w:rPr>
        <w:t>character</w:t>
      </w:r>
      <w:r>
        <w:rPr>
          <w:rFonts w:ascii="Arial"/>
          <w:color w:val="000000"/>
          <w:sz w:val="22"/>
        </w:rPr>
        <w:t xml:space="preserve"> or amenity of the surrounding area, and</w:t>
      </w:r>
    </w:p>
    <w:p>
      <w:pPr>
        <w:pStyle w:val="CaselawQuote0"/>
        <w:spacing w:before="150" w:after="150"/>
        <w:ind w:left="2100"/>
        <w:jc w:val="left"/>
      </w:pPr>
      <w:r>
        <w:rPr>
          <w:rFonts w:ascii="Arial"/>
          <w:color w:val="000000"/>
          <w:sz w:val="22"/>
        </w:rPr>
        <w:t xml:space="preserve">(b)  the development will retain the form, significant </w:t>
      </w:r>
      <w:r>
        <w:rPr>
          <w:rFonts w:ascii="Arial"/>
          <w:color w:val="000000"/>
          <w:sz w:val="22"/>
        </w:rPr>
        <w:t>fabric</w:t>
      </w:r>
      <w:r>
        <w:rPr>
          <w:rFonts w:ascii="Arial"/>
          <w:color w:val="000000"/>
          <w:sz w:val="22"/>
        </w:rPr>
        <w:t xml:space="preserve"> and features of the architectural or historic features of the existing building, and</w:t>
      </w:r>
    </w:p>
    <w:p>
      <w:pPr>
        <w:pStyle w:val="CaselawQuote0"/>
        <w:spacing w:before="150" w:after="150"/>
        <w:ind w:left="2100"/>
        <w:jc w:val="left"/>
      </w:pPr>
      <w:r>
        <w:rPr>
          <w:rFonts w:ascii="Arial"/>
          <w:color w:val="000000"/>
          <w:sz w:val="22"/>
        </w:rPr>
        <w:t>(c)  any increase in the floor space ratio will be contained in the envelope of the existing building, and</w:t>
      </w:r>
    </w:p>
    <w:p>
      <w:pPr>
        <w:pStyle w:val="CaselawQuote0"/>
        <w:spacing w:before="150" w:after="150"/>
        <w:ind w:left="2100"/>
        <w:jc w:val="left"/>
      </w:pPr>
      <w:r>
        <w:rPr>
          <w:rFonts w:ascii="Arial"/>
          <w:color w:val="000000"/>
          <w:sz w:val="22"/>
        </w:rPr>
        <w:t>(d)  the building was constructed before the commencement of this Plan.</w:t>
      </w:r>
    </w:p>
    <w:p>
      <w:pPr>
        <w:pStyle w:val="CaselawNumbered10"/>
        <w:numPr>
          <w:ilvl w:val="0"/>
          <w:numId w:val="28"/>
        </w:numPr>
        <w:spacing w:before="150" w:after="0"/>
        <w:ind w:left="600" w:hanging="600"/>
      </w:pPr>
      <w:r>
        <w:rPr>
          <w:rFonts w:ascii="Arial"/>
          <w:color w:val="000000"/>
          <w:sz w:val="24"/>
        </w:rPr>
        <w:t xml:space="preserve">The effect of </w:t>
      </w:r>
      <w:r>
        <w:rPr>
          <w:rFonts w:ascii="Arial"/>
          <w:color w:val="000000"/>
          <w:sz w:val="24"/>
        </w:rPr>
        <w:t>subcl</w:t>
      </w:r>
      <w:r>
        <w:rPr>
          <w:rFonts w:ascii="Arial"/>
          <w:color w:val="000000"/>
          <w:sz w:val="24"/>
        </w:rPr>
        <w:t xml:space="preserve"> </w:t>
      </w:r>
      <w:r>
        <w:rPr>
          <w:rFonts w:ascii="Arial"/>
          <w:color w:val="000000"/>
          <w:sz w:val="24"/>
        </w:rPr>
        <w:t xml:space="preserve">(3) is to </w:t>
      </w:r>
      <w:r>
        <w:rPr>
          <w:rFonts w:ascii="Arial"/>
          <w:color w:val="000000"/>
          <w:sz w:val="24"/>
        </w:rPr>
        <w:t xml:space="preserve">permit </w:t>
      </w:r>
      <w:r>
        <w:rPr>
          <w:rFonts w:ascii="Arial"/>
          <w:color w:val="000000"/>
          <w:sz w:val="24"/>
        </w:rPr>
        <w:t xml:space="preserve">development consent </w:t>
      </w:r>
      <w:r>
        <w:rPr>
          <w:rFonts w:ascii="Arial"/>
          <w:color w:val="000000"/>
          <w:sz w:val="24"/>
        </w:rPr>
        <w:t>for</w:t>
      </w:r>
      <w:r>
        <w:rPr>
          <w:rFonts w:ascii="Arial"/>
          <w:color w:val="000000"/>
          <w:sz w:val="24"/>
        </w:rPr>
        <w:t xml:space="preserve"> </w:t>
      </w:r>
      <w:r>
        <w:rPr>
          <w:rFonts w:ascii="Arial"/>
          <w:color w:val="000000"/>
          <w:sz w:val="24"/>
        </w:rPr>
        <w:t xml:space="preserve">the adaptive reuse of </w:t>
      </w:r>
      <w:r>
        <w:rPr>
          <w:rFonts w:ascii="Arial"/>
          <w:color w:val="000000"/>
          <w:sz w:val="24"/>
        </w:rPr>
        <w:t xml:space="preserve">certain </w:t>
      </w:r>
      <w:r>
        <w:rPr>
          <w:rFonts w:ascii="Arial"/>
          <w:color w:val="000000"/>
          <w:sz w:val="24"/>
        </w:rPr>
        <w:t>existing buildings for the purpose of residential flat buildings in the R2 zone</w:t>
      </w:r>
      <w:r>
        <w:rPr>
          <w:rFonts w:ascii="Arial"/>
          <w:color w:val="000000"/>
          <w:sz w:val="24"/>
        </w:rPr>
        <w:t xml:space="preserve">, and the effect of </w:t>
      </w:r>
      <w:r>
        <w:rPr>
          <w:rFonts w:ascii="Arial"/>
          <w:color w:val="000000"/>
          <w:sz w:val="24"/>
        </w:rPr>
        <w:t>subcl</w:t>
      </w:r>
      <w:r>
        <w:rPr>
          <w:rFonts w:ascii="Arial"/>
          <w:color w:val="000000"/>
          <w:sz w:val="24"/>
        </w:rPr>
        <w:t xml:space="preserve"> </w:t>
      </w:r>
      <w:r>
        <w:rPr>
          <w:rFonts w:ascii="Arial"/>
          <w:color w:val="000000"/>
          <w:sz w:val="24"/>
        </w:rPr>
        <w:t>(4)</w:t>
      </w:r>
      <w:r>
        <w:rPr>
          <w:rFonts w:ascii="Arial"/>
          <w:color w:val="000000"/>
          <w:sz w:val="24"/>
        </w:rPr>
        <w:t xml:space="preserve"> </w:t>
      </w:r>
      <w:r>
        <w:rPr>
          <w:rFonts w:ascii="Arial"/>
          <w:color w:val="000000"/>
          <w:sz w:val="24"/>
        </w:rPr>
        <w:t xml:space="preserve">is to </w:t>
      </w:r>
      <w:r>
        <w:rPr>
          <w:rFonts w:ascii="Arial"/>
          <w:color w:val="000000"/>
          <w:sz w:val="24"/>
        </w:rPr>
        <w:t xml:space="preserve">provide terms </w:t>
      </w:r>
      <w:r>
        <w:rPr>
          <w:rFonts w:ascii="Arial"/>
          <w:color w:val="000000"/>
          <w:sz w:val="24"/>
        </w:rPr>
        <w:t xml:space="preserve">about which the consent authority, or the Court on appeal, must be satisfied </w:t>
      </w:r>
      <w:r>
        <w:rPr>
          <w:rFonts w:ascii="Arial"/>
          <w:color w:val="000000"/>
          <w:sz w:val="24"/>
        </w:rPr>
        <w:t xml:space="preserve">for the grant of consent to be enlivened. </w:t>
      </w:r>
    </w:p>
    <w:p>
      <w:pPr>
        <w:pStyle w:val="CaselawNumbered10"/>
        <w:numPr>
          <w:ilvl w:val="0"/>
          <w:numId w:val="28"/>
        </w:numPr>
        <w:spacing w:before="150" w:after="0"/>
        <w:ind w:left="600" w:hanging="600"/>
      </w:pPr>
      <w:r>
        <w:rPr>
          <w:rFonts w:ascii="Arial"/>
          <w:color w:val="000000"/>
          <w:sz w:val="24"/>
        </w:rPr>
        <w:t xml:space="preserve">Planning expert for the Council, Mr </w:t>
      </w:r>
      <w:r>
        <w:rPr>
          <w:rFonts w:ascii="Arial"/>
          <w:color w:val="000000"/>
          <w:sz w:val="24"/>
        </w:rPr>
        <w:t xml:space="preserve">George </w:t>
      </w:r>
      <w:r>
        <w:rPr>
          <w:rFonts w:ascii="Arial"/>
          <w:color w:val="000000"/>
          <w:sz w:val="24"/>
        </w:rPr>
        <w:t>Youhanna</w:t>
      </w:r>
      <w:r>
        <w:rPr>
          <w:rFonts w:ascii="Arial"/>
          <w:color w:val="000000"/>
          <w:sz w:val="24"/>
        </w:rPr>
        <w:t xml:space="preserve"> </w:t>
      </w:r>
      <w:r>
        <w:rPr>
          <w:rFonts w:ascii="Arial"/>
          <w:color w:val="000000"/>
          <w:sz w:val="24"/>
        </w:rPr>
        <w:t xml:space="preserve">appears unconvinced that the effect of cl 6.12 of the IWLEP is to provide an alternative pathway for consent. </w:t>
      </w:r>
    </w:p>
    <w:p>
      <w:pPr>
        <w:pStyle w:val="CaselawNumbered10"/>
        <w:numPr>
          <w:ilvl w:val="0"/>
          <w:numId w:val="28"/>
        </w:numPr>
        <w:spacing w:before="150" w:after="0"/>
        <w:ind w:left="600" w:hanging="600"/>
      </w:pPr>
      <w:r>
        <w:rPr>
          <w:rFonts w:ascii="Arial"/>
          <w:color w:val="000000"/>
          <w:sz w:val="24"/>
        </w:rPr>
        <w:t xml:space="preserve">At a fundamental level, Mr </w:t>
      </w:r>
      <w:r>
        <w:rPr>
          <w:rFonts w:ascii="Arial"/>
          <w:color w:val="000000"/>
          <w:sz w:val="24"/>
        </w:rPr>
        <w:t>Youhanna</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written evidence is that his understanding of s 67 is to only permit development of co-living housing in those zones where co-living housing is permitted under the </w:t>
      </w:r>
      <w:r>
        <w:rPr>
          <w:rFonts w:ascii="Arial"/>
          <w:color w:val="000000"/>
          <w:sz w:val="24"/>
        </w:rPr>
        <w:t>Land Use Table</w:t>
      </w:r>
      <w:r>
        <w:rPr>
          <w:rFonts w:ascii="Arial"/>
          <w:color w:val="000000"/>
          <w:sz w:val="24"/>
        </w:rPr>
        <w:t xml:space="preserve">. </w:t>
      </w:r>
    </w:p>
    <w:p>
      <w:pPr>
        <w:pStyle w:val="CaselawNumbered10"/>
        <w:numPr>
          <w:ilvl w:val="0"/>
          <w:numId w:val="28"/>
        </w:numPr>
        <w:spacing w:before="150" w:after="0"/>
        <w:ind w:left="600" w:hanging="600"/>
      </w:pPr>
      <w:r>
        <w:rPr>
          <w:rFonts w:ascii="Arial"/>
          <w:color w:val="000000"/>
          <w:sz w:val="24"/>
        </w:rPr>
        <w:t>However, e</w:t>
      </w:r>
      <w:r>
        <w:rPr>
          <w:rFonts w:ascii="Arial"/>
          <w:color w:val="000000"/>
          <w:sz w:val="24"/>
        </w:rPr>
        <w:t xml:space="preserve">ven if the Court accepts the pathway to permissibility set out by Petersham High, Mr </w:t>
      </w:r>
      <w:r>
        <w:rPr>
          <w:rFonts w:ascii="Arial"/>
          <w:color w:val="000000"/>
          <w:sz w:val="24"/>
        </w:rPr>
        <w:t>Youhanna</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view is the Court could not be satisfied that the proposal retains the form, significant </w:t>
      </w:r>
      <w:r>
        <w:rPr>
          <w:rFonts w:ascii="Arial"/>
          <w:color w:val="000000"/>
          <w:sz w:val="24"/>
        </w:rPr>
        <w:t>fabric</w:t>
      </w:r>
      <w:r>
        <w:rPr>
          <w:rFonts w:ascii="Arial"/>
          <w:color w:val="000000"/>
          <w:sz w:val="24"/>
        </w:rPr>
        <w:t xml:space="preserve"> </w:t>
      </w:r>
      <w:r>
        <w:rPr>
          <w:rFonts w:ascii="Arial"/>
          <w:color w:val="000000"/>
          <w:sz w:val="24"/>
        </w:rPr>
        <w:t>and features of the architectural or historic features of the existing building (</w:t>
      </w:r>
      <w:r>
        <w:rPr>
          <w:rFonts w:ascii="Arial"/>
          <w:color w:val="000000"/>
          <w:sz w:val="24"/>
        </w:rPr>
        <w:t>subcl</w:t>
      </w:r>
      <w:r>
        <w:rPr>
          <w:rFonts w:ascii="Arial"/>
          <w:color w:val="000000"/>
          <w:sz w:val="24"/>
        </w:rPr>
        <w:t xml:space="preserve"> </w:t>
      </w:r>
      <w:r>
        <w:rPr>
          <w:rFonts w:ascii="Arial"/>
          <w:color w:val="000000"/>
          <w:sz w:val="24"/>
        </w:rPr>
        <w:t xml:space="preserve">(4)(b)). This is because the removal of significant historic architectural fabric would appear to run counter to the conservation of cultural significance sought by the </w:t>
      </w:r>
      <w:r>
        <w:rPr>
          <w:rFonts w:ascii="Arial"/>
          <w:color w:val="000000"/>
          <w:sz w:val="24"/>
        </w:rPr>
        <w:t xml:space="preserve">Australia ICOMOS, </w:t>
      </w:r>
      <w:r>
        <w:rPr>
          <w:rFonts w:ascii="Arial"/>
          <w:color w:val="000000"/>
          <w:sz w:val="24"/>
        </w:rPr>
        <w:t>The Burra Charter: The Australian ICOMOS Charter for Places of Cultural Significance, 2013 (</w:t>
      </w:r>
      <w:r>
        <w:rPr>
          <w:rFonts w:ascii="Arial"/>
          <w:color w:val="000000"/>
          <w:sz w:val="24"/>
        </w:rPr>
        <w:t>Burra Charter</w:t>
      </w:r>
      <w:r>
        <w:rPr>
          <w:rFonts w:ascii="Arial"/>
          <w:color w:val="000000"/>
          <w:sz w:val="24"/>
        </w:rPr>
        <w:t>)</w:t>
      </w:r>
      <w:r>
        <w:rPr>
          <w:rFonts w:ascii="Arial"/>
          <w:color w:val="000000"/>
          <w:sz w:val="24"/>
        </w:rPr>
        <w:t xml:space="preserve">, as the invocation of the term </w:t>
      </w:r>
      <w:r>
        <w:rPr>
          <w:rFonts w:ascii="Arial"/>
          <w:color w:val="000000"/>
          <w:sz w:val="24"/>
        </w:rPr>
        <w:t>‘</w:t>
      </w:r>
      <w:r>
        <w:rPr>
          <w:rFonts w:ascii="Arial"/>
          <w:color w:val="000000"/>
          <w:sz w:val="24"/>
        </w:rPr>
        <w:t>significance</w:t>
      </w:r>
      <w:r>
        <w:rPr>
          <w:rFonts w:ascii="Arial"/>
          <w:color w:val="000000"/>
          <w:sz w:val="24"/>
        </w:rPr>
        <w:t xml:space="preserve">’ </w:t>
      </w:r>
      <w:r>
        <w:rPr>
          <w:rFonts w:ascii="Arial"/>
          <w:color w:val="000000"/>
          <w:sz w:val="24"/>
        </w:rPr>
        <w:t xml:space="preserve">in </w:t>
      </w:r>
      <w:r>
        <w:rPr>
          <w:rFonts w:ascii="Arial"/>
          <w:color w:val="000000"/>
          <w:sz w:val="24"/>
        </w:rPr>
        <w:t>subcl</w:t>
      </w:r>
      <w:r>
        <w:rPr>
          <w:rFonts w:ascii="Arial"/>
          <w:color w:val="000000"/>
          <w:sz w:val="24"/>
        </w:rPr>
        <w:t xml:space="preserve"> </w:t>
      </w:r>
      <w:r>
        <w:rPr>
          <w:rFonts w:ascii="Arial"/>
          <w:color w:val="000000"/>
          <w:sz w:val="24"/>
        </w:rPr>
        <w:t xml:space="preserve">(4)(b) does not appear to Mr </w:t>
      </w:r>
      <w:r>
        <w:rPr>
          <w:rFonts w:ascii="Arial"/>
          <w:color w:val="000000"/>
          <w:sz w:val="24"/>
        </w:rPr>
        <w:t>Youhanna</w:t>
      </w:r>
      <w:r>
        <w:rPr>
          <w:rFonts w:ascii="Arial"/>
          <w:color w:val="000000"/>
          <w:sz w:val="24"/>
        </w:rPr>
        <w:t xml:space="preserve"> </w:t>
      </w:r>
      <w:r>
        <w:rPr>
          <w:rFonts w:ascii="Arial"/>
          <w:color w:val="000000"/>
          <w:sz w:val="24"/>
        </w:rPr>
        <w:t xml:space="preserve">to be limited to that fabric that is listed for its heritage significance in Sch 5 of the IWLEP. Instead, the removal of fabric significant to an understanding of the </w:t>
      </w:r>
      <w:r>
        <w:rPr>
          <w:rFonts w:ascii="Arial"/>
          <w:color w:val="000000"/>
          <w:sz w:val="24"/>
        </w:rPr>
        <w:t>f</w:t>
      </w:r>
      <w:r>
        <w:rPr>
          <w:rFonts w:ascii="Arial"/>
          <w:color w:val="000000"/>
          <w:sz w:val="24"/>
        </w:rPr>
        <w:t xml:space="preserve">ormer Citadel building </w:t>
      </w:r>
      <w:r>
        <w:rPr>
          <w:rFonts w:ascii="Arial"/>
          <w:color w:val="000000"/>
          <w:sz w:val="24"/>
        </w:rPr>
        <w:t>adversely affect</w:t>
      </w:r>
      <w:r>
        <w:rPr>
          <w:rFonts w:ascii="Arial"/>
          <w:color w:val="000000"/>
          <w:sz w:val="24"/>
        </w:rPr>
        <w:t>s</w:t>
      </w:r>
      <w:r>
        <w:rPr>
          <w:rFonts w:ascii="Arial"/>
          <w:color w:val="000000"/>
          <w:sz w:val="24"/>
        </w:rPr>
        <w:t xml:space="preserve"> </w:t>
      </w:r>
      <w:r>
        <w:rPr>
          <w:rFonts w:ascii="Arial"/>
          <w:color w:val="000000"/>
          <w:sz w:val="24"/>
        </w:rPr>
        <w:t>the quality or amenity of existing buildings in the area</w:t>
      </w:r>
      <w:r>
        <w:rPr>
          <w:rFonts w:ascii="Arial"/>
          <w:color w:val="000000"/>
          <w:sz w:val="24"/>
        </w:rPr>
        <w:t xml:space="preserve">, and so contradicts objective (1)(d) of the provision at cl 6.12 of the </w:t>
      </w:r>
      <w:r>
        <w:rPr>
          <w:rFonts w:ascii="Arial"/>
          <w:color w:val="000000"/>
          <w:sz w:val="24"/>
        </w:rPr>
        <w:t>IWLEP</w:t>
      </w:r>
      <w:r>
        <w:rPr>
          <w:rFonts w:ascii="Arial"/>
          <w:color w:val="000000"/>
          <w:sz w:val="24"/>
        </w:rPr>
        <w:t>.</w:t>
      </w:r>
    </w:p>
    <w:p>
      <w:pPr>
        <w:pStyle w:val="CaselawNumbered10"/>
        <w:numPr>
          <w:ilvl w:val="0"/>
          <w:numId w:val="28"/>
        </w:numPr>
        <w:spacing w:before="150" w:after="0"/>
        <w:ind w:left="600" w:hanging="600"/>
      </w:pPr>
      <w:r>
        <w:rPr>
          <w:rFonts w:ascii="Arial"/>
          <w:color w:val="000000"/>
          <w:sz w:val="24"/>
        </w:rPr>
        <w:t>T</w:t>
      </w:r>
      <w:r>
        <w:rPr>
          <w:rFonts w:ascii="Arial"/>
          <w:color w:val="000000"/>
          <w:sz w:val="24"/>
        </w:rPr>
        <w:t>he proposal removes</w:t>
      </w:r>
      <w:r>
        <w:rPr>
          <w:rFonts w:ascii="Arial"/>
          <w:color w:val="000000"/>
          <w:sz w:val="24"/>
        </w:rPr>
        <w:t xml:space="preserve"> </w:t>
      </w:r>
      <w:r>
        <w:rPr>
          <w:rFonts w:ascii="Arial"/>
          <w:color w:val="000000"/>
          <w:sz w:val="24"/>
        </w:rPr>
        <w:t>original</w:t>
      </w:r>
      <w:r>
        <w:rPr>
          <w:rFonts w:ascii="Arial"/>
          <w:color w:val="000000"/>
          <w:sz w:val="24"/>
        </w:rPr>
        <w:t xml:space="preserve"> </w:t>
      </w:r>
      <w:r>
        <w:rPr>
          <w:rFonts w:ascii="Arial"/>
          <w:color w:val="000000"/>
          <w:sz w:val="24"/>
        </w:rPr>
        <w:t>internal fabric including architectural features</w:t>
      </w:r>
      <w:r>
        <w:rPr>
          <w:rFonts w:ascii="Arial"/>
          <w:color w:val="000000"/>
          <w:sz w:val="24"/>
        </w:rPr>
        <w:t xml:space="preserve"> </w:t>
      </w:r>
      <w:r>
        <w:rPr>
          <w:rFonts w:ascii="Arial"/>
          <w:color w:val="000000"/>
          <w:sz w:val="24"/>
        </w:rPr>
        <w:t xml:space="preserve">such as timber roof trusses, decorative </w:t>
      </w:r>
      <w:r>
        <w:rPr>
          <w:rFonts w:ascii="Arial"/>
          <w:color w:val="000000"/>
          <w:sz w:val="24"/>
        </w:rPr>
        <w:t>ceilings</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 xml:space="preserve">a substantial portion of the existing roof of the former Citadel building, creating a void that will be visible from locations on Charles Street and from the laneway to the north of the site. </w:t>
      </w:r>
    </w:p>
    <w:p>
      <w:pPr>
        <w:pStyle w:val="CaselawNumbered10"/>
        <w:numPr>
          <w:ilvl w:val="0"/>
          <w:numId w:val="28"/>
        </w:numPr>
        <w:spacing w:before="150" w:after="0"/>
        <w:ind w:left="600" w:hanging="600"/>
      </w:pPr>
      <w:r>
        <w:rPr>
          <w:rFonts w:ascii="Arial"/>
          <w:color w:val="000000"/>
          <w:sz w:val="24"/>
        </w:rPr>
        <w:t>The architect for Petersham High prepared photomontage views of the opening in the roof of the former Citadel (Exhibit F)</w:t>
      </w:r>
      <w:r>
        <w:rPr>
          <w:rFonts w:ascii="Arial"/>
          <w:color w:val="000000"/>
          <w:sz w:val="24"/>
        </w:rPr>
        <w:t>. The images did not demonstrate conformity with the Court</w:t>
      </w:r>
      <w:r>
        <w:rPr>
          <w:rFonts w:ascii="Arial"/>
          <w:color w:val="000000"/>
          <w:sz w:val="24"/>
        </w:rPr>
        <w:t>’</w:t>
      </w:r>
      <w:r>
        <w:rPr>
          <w:rFonts w:ascii="Arial"/>
          <w:color w:val="000000"/>
          <w:sz w:val="24"/>
        </w:rPr>
        <w:t xml:space="preserve">s photomontage policy, and Mr </w:t>
      </w:r>
      <w:r>
        <w:rPr>
          <w:rFonts w:ascii="Arial"/>
          <w:color w:val="000000"/>
          <w:sz w:val="24"/>
        </w:rPr>
        <w:t>Youhanna</w:t>
      </w:r>
      <w:r>
        <w:rPr>
          <w:rFonts w:ascii="Arial"/>
          <w:color w:val="000000"/>
          <w:sz w:val="24"/>
        </w:rPr>
        <w:t xml:space="preserve"> </w:t>
      </w:r>
      <w:r>
        <w:rPr>
          <w:rFonts w:ascii="Arial"/>
          <w:color w:val="000000"/>
          <w:sz w:val="24"/>
        </w:rPr>
        <w:t xml:space="preserve">identified concerns at the manner in which the images at Exhibit F were prepared. </w:t>
      </w:r>
    </w:p>
    <w:p>
      <w:pPr>
        <w:pStyle w:val="CaselawNumbered10"/>
        <w:numPr>
          <w:ilvl w:val="0"/>
          <w:numId w:val="28"/>
        </w:numPr>
        <w:spacing w:before="150" w:after="0"/>
        <w:ind w:left="600" w:hanging="600"/>
      </w:pPr>
      <w:r>
        <w:rPr>
          <w:rFonts w:ascii="Arial"/>
          <w:color w:val="000000"/>
          <w:sz w:val="24"/>
        </w:rPr>
        <w:t xml:space="preserve">Mr </w:t>
      </w:r>
      <w:r>
        <w:rPr>
          <w:rFonts w:ascii="Arial"/>
          <w:color w:val="000000"/>
          <w:sz w:val="24"/>
        </w:rPr>
        <w:t>Youhanna</w:t>
      </w:r>
      <w:r>
        <w:rPr>
          <w:rFonts w:ascii="Arial"/>
          <w:color w:val="000000"/>
          <w:sz w:val="24"/>
        </w:rPr>
        <w:t xml:space="preserve"> </w:t>
      </w:r>
      <w:r>
        <w:rPr>
          <w:rFonts w:ascii="Arial"/>
          <w:color w:val="000000"/>
          <w:sz w:val="24"/>
        </w:rPr>
        <w:t>believes s</w:t>
      </w:r>
      <w:r>
        <w:rPr>
          <w:rFonts w:ascii="Arial"/>
          <w:color w:val="000000"/>
          <w:sz w:val="24"/>
        </w:rPr>
        <w:t xml:space="preserve">uch an outcome is uncharacteristic in the streetscape and at odds with the local character. </w:t>
      </w:r>
    </w:p>
    <w:p>
      <w:pPr>
        <w:pStyle w:val="CaselawNumbered10"/>
        <w:numPr>
          <w:ilvl w:val="0"/>
          <w:numId w:val="28"/>
        </w:numPr>
        <w:spacing w:before="150" w:after="0"/>
        <w:ind w:left="600" w:hanging="600"/>
      </w:pPr>
      <w:r>
        <w:rPr>
          <w:rFonts w:ascii="Arial"/>
          <w:color w:val="000000"/>
          <w:sz w:val="24"/>
        </w:rPr>
        <w:t xml:space="preserve">I am satisfied that the development as proposed will not adversely affect the streetscape, </w:t>
      </w:r>
      <w:r>
        <w:rPr>
          <w:rFonts w:ascii="Arial"/>
          <w:color w:val="000000"/>
          <w:sz w:val="24"/>
        </w:rPr>
        <w:t>character</w:t>
      </w:r>
      <w:r>
        <w:rPr>
          <w:rFonts w:ascii="Arial"/>
          <w:color w:val="000000"/>
          <w:sz w:val="24"/>
        </w:rPr>
        <w:t xml:space="preserve"> </w:t>
      </w:r>
      <w:r>
        <w:rPr>
          <w:rFonts w:ascii="Arial"/>
          <w:color w:val="000000"/>
          <w:sz w:val="24"/>
        </w:rPr>
        <w:t xml:space="preserve">or amenity of the surrounding area </w:t>
      </w:r>
      <w:r>
        <w:rPr>
          <w:rFonts w:ascii="Arial"/>
          <w:color w:val="000000"/>
          <w:sz w:val="24"/>
        </w:rPr>
        <w:t xml:space="preserve">when the building on the land to which the clause applies is properly understood. </w:t>
      </w:r>
    </w:p>
    <w:p>
      <w:pPr>
        <w:pStyle w:val="CaselawNumbered10"/>
        <w:numPr>
          <w:ilvl w:val="0"/>
          <w:numId w:val="28"/>
        </w:numPr>
        <w:spacing w:before="150" w:after="0"/>
        <w:ind w:left="600" w:hanging="600"/>
      </w:pPr>
      <w:r>
        <w:rPr>
          <w:rFonts w:ascii="Arial"/>
          <w:color w:val="000000"/>
          <w:sz w:val="24"/>
        </w:rPr>
        <w:t xml:space="preserve">The </w:t>
      </w:r>
      <w:r>
        <w:rPr>
          <w:rFonts w:ascii="Arial"/>
          <w:color w:val="000000"/>
          <w:sz w:val="24"/>
        </w:rPr>
        <w:t>f</w:t>
      </w:r>
      <w:r>
        <w:rPr>
          <w:rFonts w:ascii="Arial"/>
          <w:color w:val="000000"/>
          <w:sz w:val="24"/>
        </w:rPr>
        <w:t>ormer Citadel building</w:t>
      </w:r>
      <w:r>
        <w:rPr>
          <w:rFonts w:ascii="Arial"/>
          <w:color w:val="000000"/>
          <w:sz w:val="24"/>
        </w:rPr>
        <w:t xml:space="preserve"> </w:t>
      </w:r>
      <w:r>
        <w:rPr>
          <w:rFonts w:ascii="Arial"/>
          <w:color w:val="000000"/>
          <w:sz w:val="24"/>
        </w:rPr>
        <w:t xml:space="preserve">has not been identified by the Council for its heritage significance. This means the </w:t>
      </w:r>
      <w:r>
        <w:rPr>
          <w:rFonts w:ascii="Arial"/>
          <w:color w:val="000000"/>
          <w:sz w:val="24"/>
        </w:rPr>
        <w:t>well established</w:t>
      </w:r>
      <w:r>
        <w:rPr>
          <w:rFonts w:ascii="Arial"/>
          <w:color w:val="000000"/>
          <w:sz w:val="24"/>
        </w:rPr>
        <w:t xml:space="preserve"> </w:t>
      </w:r>
      <w:r>
        <w:rPr>
          <w:rFonts w:ascii="Arial"/>
          <w:color w:val="000000"/>
          <w:sz w:val="24"/>
        </w:rPr>
        <w:t xml:space="preserve">heritage conservation regime </w:t>
      </w:r>
      <w:r>
        <w:rPr>
          <w:rFonts w:ascii="Arial"/>
          <w:color w:val="000000"/>
          <w:sz w:val="24"/>
        </w:rPr>
        <w:t xml:space="preserve">at cl 5.10 of the IWLEP </w:t>
      </w:r>
      <w:r>
        <w:rPr>
          <w:rFonts w:ascii="Arial"/>
          <w:color w:val="000000"/>
          <w:sz w:val="24"/>
        </w:rPr>
        <w:t>does</w:t>
      </w:r>
      <w:r>
        <w:rPr>
          <w:rFonts w:ascii="Arial"/>
          <w:color w:val="000000"/>
          <w:sz w:val="24"/>
        </w:rPr>
        <w:t xml:space="preserve"> </w:t>
      </w:r>
      <w:r>
        <w:rPr>
          <w:rFonts w:ascii="Arial"/>
          <w:color w:val="000000"/>
          <w:sz w:val="24"/>
        </w:rPr>
        <w:t xml:space="preserve">not apply </w:t>
      </w:r>
      <w:r>
        <w:rPr>
          <w:rFonts w:ascii="Arial"/>
          <w:color w:val="000000"/>
          <w:sz w:val="24"/>
        </w:rPr>
        <w:t xml:space="preserve">to the site. </w:t>
      </w:r>
      <w:r>
        <w:rPr>
          <w:rFonts w:ascii="Arial"/>
          <w:color w:val="000000"/>
          <w:sz w:val="24"/>
        </w:rPr>
        <w:t>W</w:t>
      </w:r>
      <w:r>
        <w:rPr>
          <w:rFonts w:ascii="Arial"/>
          <w:color w:val="000000"/>
          <w:sz w:val="24"/>
        </w:rPr>
        <w:t>here a site is identified for its heritage significance</w:t>
      </w:r>
      <w:r>
        <w:rPr>
          <w:rFonts w:ascii="Arial"/>
          <w:color w:val="000000"/>
          <w:sz w:val="24"/>
        </w:rPr>
        <w:t>, the regime provides for</w:t>
      </w:r>
      <w:r>
        <w:rPr>
          <w:rFonts w:ascii="Arial"/>
          <w:color w:val="000000"/>
          <w:sz w:val="24"/>
        </w:rPr>
        <w:t xml:space="preserve"> </w:t>
      </w:r>
      <w:r>
        <w:rPr>
          <w:rFonts w:ascii="Arial"/>
          <w:color w:val="000000"/>
          <w:sz w:val="24"/>
        </w:rPr>
        <w:t xml:space="preserve">an assessment of the particular </w:t>
      </w:r>
      <w:r>
        <w:rPr>
          <w:rFonts w:ascii="Arial"/>
          <w:color w:val="000000"/>
          <w:sz w:val="24"/>
        </w:rPr>
        <w:t xml:space="preserve">aspects, </w:t>
      </w:r>
      <w:r>
        <w:rPr>
          <w:rFonts w:ascii="Arial"/>
          <w:color w:val="000000"/>
          <w:sz w:val="24"/>
        </w:rPr>
        <w:t>features</w:t>
      </w:r>
      <w:r>
        <w:rPr>
          <w:rFonts w:ascii="Arial"/>
          <w:color w:val="000000"/>
          <w:sz w:val="24"/>
        </w:rPr>
        <w:t xml:space="preserve"> </w:t>
      </w:r>
      <w:r>
        <w:rPr>
          <w:rFonts w:ascii="Arial"/>
          <w:color w:val="000000"/>
          <w:sz w:val="24"/>
        </w:rPr>
        <w:t xml:space="preserve">or elements of significance, in accordance with </w:t>
      </w:r>
      <w:r>
        <w:rPr>
          <w:rFonts w:ascii="Arial"/>
          <w:color w:val="000000"/>
          <w:sz w:val="24"/>
        </w:rPr>
        <w:t xml:space="preserve">a document published by the Department of Planning and Environment titled </w:t>
      </w:r>
      <w:r>
        <w:rPr>
          <w:rFonts w:ascii="Arial"/>
          <w:color w:val="000000"/>
          <w:sz w:val="24"/>
        </w:rPr>
        <w:t>‘</w:t>
      </w:r>
      <w:r>
        <w:rPr>
          <w:rFonts w:ascii="Arial"/>
          <w:color w:val="000000"/>
          <w:sz w:val="24"/>
        </w:rPr>
        <w:t>Assessing heritage significance Guidelines for assessing places and objects against the Heritage Council of NSW criteria</w:t>
      </w:r>
      <w:r>
        <w:rPr>
          <w:rFonts w:ascii="Arial"/>
          <w:color w:val="000000"/>
          <w:sz w:val="24"/>
        </w:rPr>
        <w:t>’</w:t>
      </w:r>
      <w:r>
        <w:rPr>
          <w:rFonts w:ascii="Arial"/>
          <w:color w:val="000000"/>
          <w:sz w:val="24"/>
        </w:rPr>
        <w:t>.</w:t>
      </w:r>
    </w:p>
    <w:p>
      <w:pPr>
        <w:pStyle w:val="CaselawNumbered10"/>
        <w:numPr>
          <w:ilvl w:val="0"/>
          <w:numId w:val="28"/>
        </w:numPr>
        <w:spacing w:before="150" w:after="0"/>
        <w:ind w:left="600" w:hanging="600"/>
      </w:pPr>
      <w:r>
        <w:rPr>
          <w:rFonts w:ascii="Arial"/>
          <w:color w:val="000000"/>
          <w:sz w:val="24"/>
        </w:rPr>
        <w:t xml:space="preserve">Absent </w:t>
      </w:r>
      <w:r>
        <w:rPr>
          <w:rFonts w:ascii="Arial"/>
          <w:color w:val="000000"/>
          <w:sz w:val="24"/>
        </w:rPr>
        <w:t xml:space="preserve">such an assessment, the significant fabric and features of the site are contested, in this case by planning experts engaged to assist the Court on </w:t>
      </w:r>
      <w:r>
        <w:rPr>
          <w:rFonts w:ascii="Arial"/>
          <w:color w:val="000000"/>
          <w:sz w:val="24"/>
        </w:rPr>
        <w:t>behalf</w:t>
      </w:r>
      <w:r>
        <w:rPr>
          <w:rFonts w:ascii="Arial"/>
          <w:color w:val="000000"/>
          <w:sz w:val="24"/>
        </w:rPr>
        <w:t xml:space="preserve"> </w:t>
      </w:r>
      <w:r>
        <w:rPr>
          <w:rFonts w:ascii="Arial"/>
          <w:color w:val="000000"/>
          <w:sz w:val="24"/>
        </w:rPr>
        <w:t xml:space="preserve">of the parties. </w:t>
      </w:r>
    </w:p>
    <w:p>
      <w:pPr>
        <w:pStyle w:val="CaselawNumbered10"/>
        <w:numPr>
          <w:ilvl w:val="0"/>
          <w:numId w:val="28"/>
        </w:numPr>
        <w:spacing w:before="150" w:after="0"/>
        <w:ind w:left="600" w:hanging="600"/>
      </w:pPr>
      <w:r>
        <w:rPr>
          <w:rFonts w:ascii="Arial"/>
          <w:color w:val="000000"/>
          <w:sz w:val="24"/>
        </w:rPr>
        <w:t xml:space="preserve">Mr </w:t>
      </w:r>
      <w:r>
        <w:rPr>
          <w:rFonts w:ascii="Arial"/>
          <w:color w:val="000000"/>
          <w:sz w:val="24"/>
        </w:rPr>
        <w:t>Youhanna</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focus</w:t>
      </w:r>
      <w:r>
        <w:rPr>
          <w:rFonts w:ascii="Arial"/>
          <w:color w:val="000000"/>
          <w:sz w:val="24"/>
        </w:rPr>
        <w:t xml:space="preserve"> </w:t>
      </w:r>
      <w:r>
        <w:rPr>
          <w:rFonts w:ascii="Arial"/>
          <w:color w:val="000000"/>
          <w:sz w:val="24"/>
        </w:rPr>
        <w:t xml:space="preserve">is on the removal of certain internal features such as timber trusses, decorative </w:t>
      </w:r>
      <w:r>
        <w:rPr>
          <w:rFonts w:ascii="Arial"/>
          <w:color w:val="000000"/>
          <w:sz w:val="24"/>
        </w:rPr>
        <w:t>ceiling</w:t>
      </w:r>
      <w:r>
        <w:rPr>
          <w:rFonts w:ascii="Arial"/>
          <w:color w:val="000000"/>
          <w:sz w:val="24"/>
        </w:rPr>
        <w:t xml:space="preserve"> </w:t>
      </w:r>
      <w:r>
        <w:rPr>
          <w:rFonts w:ascii="Arial"/>
          <w:color w:val="000000"/>
          <w:sz w:val="24"/>
        </w:rPr>
        <w:t xml:space="preserve">and </w:t>
      </w:r>
      <w:r>
        <w:rPr>
          <w:rFonts w:ascii="Arial"/>
          <w:color w:val="000000"/>
          <w:sz w:val="24"/>
        </w:rPr>
        <w:t>cornices within the</w:t>
      </w:r>
      <w:r>
        <w:rPr>
          <w:rFonts w:ascii="Arial"/>
          <w:color w:val="000000"/>
          <w:sz w:val="24"/>
        </w:rPr>
        <w:t xml:space="preserve"> </w:t>
      </w:r>
      <w:r>
        <w:rPr>
          <w:rFonts w:ascii="Arial"/>
          <w:color w:val="000000"/>
          <w:sz w:val="24"/>
        </w:rPr>
        <w:t>envelope of the</w:t>
      </w:r>
      <w:r>
        <w:rPr>
          <w:rFonts w:ascii="Arial"/>
          <w:color w:val="000000"/>
          <w:sz w:val="24"/>
        </w:rPr>
        <w:t xml:space="preserve"> </w:t>
      </w:r>
      <w:r>
        <w:rPr>
          <w:rFonts w:ascii="Arial"/>
          <w:color w:val="000000"/>
          <w:sz w:val="24"/>
        </w:rPr>
        <w:t xml:space="preserve">primary hall </w:t>
      </w:r>
      <w:r>
        <w:rPr>
          <w:rFonts w:ascii="Arial"/>
          <w:color w:val="000000"/>
          <w:sz w:val="24"/>
        </w:rPr>
        <w:t xml:space="preserve">opened in 1926. </w:t>
      </w:r>
      <w:r>
        <w:rPr>
          <w:rFonts w:ascii="Arial"/>
          <w:color w:val="000000"/>
          <w:sz w:val="24"/>
        </w:rPr>
        <w:t>The</w:t>
      </w:r>
      <w:r>
        <w:rPr>
          <w:rFonts w:ascii="Arial"/>
          <w:color w:val="000000"/>
          <w:sz w:val="24"/>
        </w:rPr>
        <w:t xml:space="preserve"> </w:t>
      </w:r>
      <w:r>
        <w:rPr>
          <w:rFonts w:ascii="Arial"/>
          <w:color w:val="000000"/>
          <w:sz w:val="24"/>
        </w:rPr>
        <w:t xml:space="preserve">removal of such fabric is caused by, or results from, the opening of the roof form </w:t>
      </w:r>
      <w:r>
        <w:rPr>
          <w:rFonts w:ascii="Arial"/>
          <w:color w:val="000000"/>
          <w:sz w:val="24"/>
        </w:rPr>
        <w:t xml:space="preserve">to provide sunlight to the communal open space at the uppermost level. </w:t>
      </w:r>
    </w:p>
    <w:p>
      <w:pPr>
        <w:pStyle w:val="CaselawNumbered10"/>
        <w:numPr>
          <w:ilvl w:val="0"/>
          <w:numId w:val="28"/>
        </w:numPr>
        <w:spacing w:before="150" w:after="0"/>
        <w:ind w:left="600" w:hanging="600"/>
      </w:pPr>
      <w:r>
        <w:rPr>
          <w:rFonts w:ascii="Arial"/>
          <w:color w:val="000000"/>
          <w:sz w:val="24"/>
        </w:rPr>
        <w:t xml:space="preserve">Mr </w:t>
      </w:r>
      <w:r>
        <w:rPr>
          <w:rFonts w:ascii="Arial"/>
          <w:color w:val="000000"/>
          <w:sz w:val="24"/>
        </w:rPr>
        <w:t>Youhanna</w:t>
      </w:r>
      <w:r>
        <w:rPr>
          <w:rFonts w:ascii="Arial"/>
          <w:color w:val="000000"/>
          <w:sz w:val="24"/>
        </w:rPr>
        <w:t xml:space="preserve"> </w:t>
      </w:r>
      <w:r>
        <w:rPr>
          <w:rFonts w:ascii="Arial"/>
          <w:color w:val="000000"/>
          <w:sz w:val="24"/>
        </w:rPr>
        <w:t xml:space="preserve">regards the </w:t>
      </w:r>
      <w:r>
        <w:rPr>
          <w:rFonts w:ascii="Arial"/>
          <w:color w:val="000000"/>
          <w:sz w:val="24"/>
        </w:rPr>
        <w:t xml:space="preserve">pitched roof as a significant feature of the </w:t>
      </w:r>
      <w:r>
        <w:rPr>
          <w:rFonts w:ascii="Arial"/>
          <w:color w:val="000000"/>
          <w:sz w:val="24"/>
        </w:rPr>
        <w:t>f</w:t>
      </w:r>
      <w:r>
        <w:rPr>
          <w:rFonts w:ascii="Arial"/>
          <w:color w:val="000000"/>
          <w:sz w:val="24"/>
        </w:rPr>
        <w:t>ormer Citadel building</w:t>
      </w:r>
      <w:r>
        <w:rPr>
          <w:rFonts w:ascii="Arial"/>
          <w:color w:val="000000"/>
          <w:sz w:val="24"/>
        </w:rPr>
        <w:t>. Failure to retain such fabric is a failure to ret</w:t>
      </w:r>
      <w:r>
        <w:rPr>
          <w:rFonts w:ascii="Arial"/>
          <w:color w:val="000000"/>
          <w:sz w:val="24"/>
        </w:rPr>
        <w:t xml:space="preserve">ain the form, significant </w:t>
      </w:r>
      <w:r>
        <w:rPr>
          <w:rFonts w:ascii="Arial"/>
          <w:color w:val="000000"/>
          <w:sz w:val="24"/>
        </w:rPr>
        <w:t>fabric</w:t>
      </w:r>
      <w:r>
        <w:rPr>
          <w:rFonts w:ascii="Arial"/>
          <w:color w:val="000000"/>
          <w:sz w:val="24"/>
        </w:rPr>
        <w:t xml:space="preserve"> </w:t>
      </w:r>
      <w:r>
        <w:rPr>
          <w:rFonts w:ascii="Arial"/>
          <w:color w:val="000000"/>
          <w:sz w:val="24"/>
        </w:rPr>
        <w:t>and features of the architectural or historic features of the existing building</w:t>
      </w:r>
      <w:r>
        <w:rPr>
          <w:rFonts w:ascii="Arial"/>
          <w:color w:val="000000"/>
          <w:sz w:val="24"/>
        </w:rPr>
        <w:t xml:space="preserve">. As such, the Court cannot be satisfied that </w:t>
      </w:r>
      <w:r>
        <w:rPr>
          <w:rFonts w:ascii="Arial"/>
          <w:color w:val="000000"/>
          <w:sz w:val="24"/>
        </w:rPr>
        <w:t>significant fabric and features of the architectural or historic features of the existing building</w:t>
      </w:r>
      <w:r>
        <w:rPr>
          <w:rFonts w:ascii="Arial"/>
          <w:color w:val="000000"/>
          <w:sz w:val="24"/>
        </w:rPr>
        <w:t xml:space="preserve"> </w:t>
      </w:r>
      <w:r>
        <w:rPr>
          <w:rFonts w:ascii="Arial"/>
          <w:color w:val="000000"/>
          <w:sz w:val="24"/>
        </w:rPr>
        <w:t xml:space="preserve">are retained as required by cl 6.12(4)(b) of the </w:t>
      </w:r>
      <w:r>
        <w:rPr>
          <w:rFonts w:ascii="Arial"/>
          <w:color w:val="000000"/>
          <w:sz w:val="24"/>
        </w:rPr>
        <w:t>IWLEP</w:t>
      </w:r>
      <w:r>
        <w:rPr>
          <w:rFonts w:ascii="Arial"/>
          <w:color w:val="000000"/>
          <w:sz w:val="24"/>
        </w:rPr>
        <w:t>.</w:t>
      </w:r>
    </w:p>
    <w:p>
      <w:pPr>
        <w:pStyle w:val="CaselawNumbered10"/>
        <w:numPr>
          <w:ilvl w:val="0"/>
          <w:numId w:val="28"/>
        </w:numPr>
        <w:spacing w:before="150" w:after="0"/>
        <w:ind w:left="600" w:hanging="600"/>
      </w:pPr>
      <w:r>
        <w:rPr>
          <w:rFonts w:ascii="Arial"/>
          <w:color w:val="000000"/>
          <w:sz w:val="24"/>
        </w:rPr>
        <w:t xml:space="preserve">In my view, the </w:t>
      </w:r>
      <w:r>
        <w:rPr>
          <w:rFonts w:ascii="Arial"/>
          <w:color w:val="000000"/>
          <w:sz w:val="24"/>
        </w:rPr>
        <w:t>f</w:t>
      </w:r>
      <w:r>
        <w:rPr>
          <w:rFonts w:ascii="Arial"/>
          <w:color w:val="000000"/>
          <w:sz w:val="24"/>
        </w:rPr>
        <w:t xml:space="preserve">ormer Citadel building is properly understood as an amalgam of eras that have </w:t>
      </w:r>
      <w:r>
        <w:rPr>
          <w:rFonts w:ascii="Arial"/>
          <w:color w:val="000000"/>
          <w:sz w:val="24"/>
        </w:rPr>
        <w:t xml:space="preserve">each left their mark on the site in the form of accretions </w:t>
      </w:r>
      <w:r>
        <w:rPr>
          <w:rFonts w:ascii="Arial"/>
          <w:color w:val="000000"/>
          <w:sz w:val="24"/>
        </w:rPr>
        <w:t>over ti</w:t>
      </w:r>
      <w:r>
        <w:rPr>
          <w:rFonts w:ascii="Arial"/>
          <w:color w:val="000000"/>
          <w:sz w:val="24"/>
        </w:rPr>
        <w:t>m</w:t>
      </w:r>
      <w:r>
        <w:rPr>
          <w:rFonts w:ascii="Arial"/>
          <w:color w:val="000000"/>
          <w:sz w:val="24"/>
        </w:rPr>
        <w:t xml:space="preserve">e </w:t>
      </w:r>
      <w:r>
        <w:rPr>
          <w:rFonts w:ascii="Arial"/>
          <w:color w:val="000000"/>
          <w:sz w:val="24"/>
        </w:rPr>
        <w:t>into one building that occupies the majority of the site</w:t>
      </w:r>
      <w:r>
        <w:rPr>
          <w:rFonts w:ascii="Arial"/>
          <w:color w:val="000000"/>
          <w:sz w:val="24"/>
        </w:rPr>
        <w:t xml:space="preserve">. The effect of these accretions </w:t>
      </w:r>
      <w:r>
        <w:rPr>
          <w:rFonts w:ascii="Arial"/>
          <w:color w:val="000000"/>
          <w:sz w:val="24"/>
        </w:rPr>
        <w:t>have</w:t>
      </w:r>
      <w:r>
        <w:rPr>
          <w:rFonts w:ascii="Arial"/>
          <w:color w:val="000000"/>
          <w:sz w:val="24"/>
        </w:rPr>
        <w:t xml:space="preserve"> </w:t>
      </w:r>
      <w:r>
        <w:rPr>
          <w:rFonts w:ascii="Arial"/>
          <w:color w:val="000000"/>
          <w:sz w:val="24"/>
        </w:rPr>
        <w:t>had the e</w:t>
      </w:r>
      <w:r>
        <w:rPr>
          <w:rFonts w:ascii="Arial"/>
          <w:color w:val="000000"/>
          <w:sz w:val="24"/>
        </w:rPr>
        <w:t xml:space="preserve">ffect of </w:t>
      </w:r>
      <w:r>
        <w:rPr>
          <w:rFonts w:ascii="Arial"/>
          <w:color w:val="000000"/>
          <w:sz w:val="24"/>
        </w:rPr>
        <w:t>substantially degrad</w:t>
      </w:r>
      <w:r>
        <w:rPr>
          <w:rFonts w:ascii="Arial"/>
          <w:color w:val="000000"/>
          <w:sz w:val="24"/>
        </w:rPr>
        <w:t>ing</w:t>
      </w:r>
      <w:r>
        <w:rPr>
          <w:rFonts w:ascii="Arial"/>
          <w:color w:val="000000"/>
          <w:sz w:val="24"/>
        </w:rPr>
        <w:t xml:space="preserve"> </w:t>
      </w:r>
      <w:r>
        <w:rPr>
          <w:rFonts w:ascii="Arial"/>
          <w:color w:val="000000"/>
          <w:sz w:val="24"/>
        </w:rPr>
        <w:t xml:space="preserve">an understanding of </w:t>
      </w:r>
      <w:r>
        <w:rPr>
          <w:rFonts w:ascii="Arial"/>
          <w:color w:val="000000"/>
          <w:sz w:val="24"/>
        </w:rPr>
        <w:t xml:space="preserve">the original form of the primary hall that </w:t>
      </w:r>
      <w:r>
        <w:rPr>
          <w:rFonts w:ascii="Arial"/>
          <w:color w:val="000000"/>
          <w:sz w:val="24"/>
        </w:rPr>
        <w:t>is the f</w:t>
      </w:r>
      <w:r>
        <w:rPr>
          <w:rFonts w:ascii="Arial"/>
          <w:color w:val="000000"/>
          <w:sz w:val="24"/>
        </w:rPr>
        <w:t>ormer Citadel building</w:t>
      </w:r>
      <w:r>
        <w:rPr>
          <w:rFonts w:ascii="Arial"/>
          <w:color w:val="000000"/>
          <w:sz w:val="24"/>
        </w:rPr>
        <w:t xml:space="preserve">, particularly to the </w:t>
      </w:r>
      <w:r>
        <w:rPr>
          <w:rFonts w:ascii="Arial"/>
          <w:color w:val="000000"/>
          <w:sz w:val="24"/>
        </w:rPr>
        <w:t>west</w:t>
      </w:r>
      <w:r>
        <w:rPr>
          <w:rFonts w:ascii="Arial"/>
          <w:color w:val="000000"/>
          <w:sz w:val="24"/>
        </w:rPr>
        <w:t xml:space="preserve"> </w:t>
      </w:r>
      <w:r>
        <w:rPr>
          <w:rFonts w:ascii="Arial"/>
          <w:color w:val="000000"/>
          <w:sz w:val="24"/>
        </w:rPr>
        <w:t>where the accretions adjoin</w:t>
      </w:r>
      <w:r>
        <w:rPr>
          <w:rFonts w:ascii="Arial"/>
          <w:color w:val="000000"/>
          <w:sz w:val="24"/>
        </w:rPr>
        <w:t>.</w:t>
      </w:r>
      <w:r>
        <w:rPr>
          <w:rFonts w:ascii="Arial"/>
          <w:color w:val="000000"/>
          <w:sz w:val="24"/>
        </w:rPr>
        <w:t xml:space="preserve"> </w:t>
      </w:r>
    </w:p>
    <w:p>
      <w:pPr>
        <w:pStyle w:val="CaselawNumbered10"/>
        <w:numPr>
          <w:ilvl w:val="0"/>
          <w:numId w:val="28"/>
        </w:numPr>
        <w:spacing w:before="150" w:after="0"/>
        <w:ind w:left="600" w:hanging="600"/>
      </w:pPr>
      <w:r>
        <w:rPr>
          <w:rFonts w:ascii="Arial"/>
          <w:color w:val="000000"/>
          <w:sz w:val="24"/>
        </w:rPr>
        <w:t xml:space="preserve">The </w:t>
      </w:r>
      <w:r>
        <w:rPr>
          <w:rFonts w:ascii="Arial"/>
          <w:color w:val="000000"/>
          <w:sz w:val="24"/>
        </w:rPr>
        <w:t xml:space="preserve">form, significant </w:t>
      </w:r>
      <w:r>
        <w:rPr>
          <w:rFonts w:ascii="Arial"/>
          <w:color w:val="000000"/>
          <w:sz w:val="24"/>
        </w:rPr>
        <w:t>fabric</w:t>
      </w:r>
      <w:r>
        <w:rPr>
          <w:rFonts w:ascii="Arial"/>
          <w:color w:val="000000"/>
          <w:sz w:val="24"/>
        </w:rPr>
        <w:t xml:space="preserve"> </w:t>
      </w:r>
      <w:r>
        <w:rPr>
          <w:rFonts w:ascii="Arial"/>
          <w:color w:val="000000"/>
          <w:sz w:val="24"/>
        </w:rPr>
        <w:t>and features of the</w:t>
      </w:r>
      <w:r>
        <w:rPr>
          <w:rFonts w:ascii="Arial"/>
          <w:color w:val="000000"/>
          <w:sz w:val="24"/>
        </w:rPr>
        <w:t xml:space="preserve"> </w:t>
      </w:r>
      <w:r>
        <w:rPr>
          <w:rFonts w:ascii="Arial"/>
          <w:color w:val="000000"/>
          <w:sz w:val="24"/>
        </w:rPr>
        <w:t>existing building, and its</w:t>
      </w:r>
      <w:r>
        <w:rPr>
          <w:rFonts w:ascii="Arial"/>
          <w:color w:val="000000"/>
          <w:sz w:val="24"/>
        </w:rPr>
        <w:t xml:space="preserve"> </w:t>
      </w:r>
      <w:r>
        <w:rPr>
          <w:rFonts w:ascii="Arial"/>
          <w:color w:val="000000"/>
          <w:sz w:val="24"/>
        </w:rPr>
        <w:t xml:space="preserve">architectural or historic </w:t>
      </w:r>
      <w:r>
        <w:rPr>
          <w:rFonts w:ascii="Arial"/>
          <w:color w:val="000000"/>
          <w:sz w:val="24"/>
        </w:rPr>
        <w:t xml:space="preserve">features are, </w:t>
      </w:r>
      <w:r>
        <w:rPr>
          <w:rFonts w:ascii="Arial"/>
          <w:color w:val="000000"/>
          <w:sz w:val="24"/>
        </w:rPr>
        <w:t xml:space="preserve">on any </w:t>
      </w:r>
      <w:r>
        <w:rPr>
          <w:rFonts w:ascii="Arial"/>
          <w:color w:val="000000"/>
          <w:sz w:val="24"/>
        </w:rPr>
        <w:t xml:space="preserve">view, </w:t>
      </w:r>
      <w:r>
        <w:rPr>
          <w:rFonts w:ascii="Arial"/>
          <w:color w:val="000000"/>
          <w:sz w:val="24"/>
        </w:rPr>
        <w:t xml:space="preserve">primarily </w:t>
      </w:r>
      <w:r>
        <w:rPr>
          <w:rFonts w:ascii="Arial"/>
          <w:color w:val="000000"/>
          <w:sz w:val="24"/>
        </w:rPr>
        <w:t>vested in the presentation</w:t>
      </w:r>
      <w:r>
        <w:rPr>
          <w:rFonts w:ascii="Arial"/>
          <w:color w:val="000000"/>
          <w:sz w:val="24"/>
        </w:rPr>
        <w:t xml:space="preserve"> </w:t>
      </w:r>
      <w:r>
        <w:rPr>
          <w:rFonts w:ascii="Arial"/>
          <w:color w:val="000000"/>
          <w:sz w:val="24"/>
        </w:rPr>
        <w:t>to Charles Street</w:t>
      </w:r>
      <w:r>
        <w:rPr>
          <w:rFonts w:ascii="Arial"/>
          <w:color w:val="000000"/>
          <w:sz w:val="24"/>
        </w:rPr>
        <w:t xml:space="preserve"> </w:t>
      </w:r>
      <w:r>
        <w:rPr>
          <w:rFonts w:ascii="Arial"/>
          <w:color w:val="000000"/>
          <w:sz w:val="24"/>
        </w:rPr>
        <w:t>of the primary hall opened in 1926. This comprises the brick and plaster frontage to Charles Street, including the</w:t>
      </w:r>
      <w:r>
        <w:rPr>
          <w:rFonts w:ascii="Arial"/>
          <w:color w:val="000000"/>
          <w:sz w:val="24"/>
        </w:rPr>
        <w:t xml:space="preserve"> </w:t>
      </w:r>
      <w:r>
        <w:rPr>
          <w:rFonts w:ascii="Arial"/>
          <w:color w:val="000000"/>
          <w:sz w:val="24"/>
        </w:rPr>
        <w:t>front stairs, and entry, along with the</w:t>
      </w:r>
      <w:r>
        <w:rPr>
          <w:rFonts w:ascii="Arial"/>
          <w:color w:val="000000"/>
          <w:sz w:val="24"/>
        </w:rPr>
        <w:t xml:space="preserve"> </w:t>
      </w:r>
      <w:r>
        <w:rPr>
          <w:rFonts w:ascii="Arial"/>
          <w:color w:val="000000"/>
          <w:sz w:val="24"/>
        </w:rPr>
        <w:t xml:space="preserve">ornamentation found in </w:t>
      </w:r>
      <w:r>
        <w:rPr>
          <w:rFonts w:ascii="Arial"/>
          <w:color w:val="000000"/>
          <w:sz w:val="24"/>
        </w:rPr>
        <w:t>lintels, parapets, entablatures and the like, and the side elevations</w:t>
      </w:r>
      <w:r>
        <w:rPr>
          <w:rFonts w:ascii="Arial"/>
          <w:color w:val="000000"/>
          <w:sz w:val="24"/>
        </w:rPr>
        <w:t xml:space="preserve"> </w:t>
      </w:r>
      <w:r>
        <w:rPr>
          <w:rFonts w:ascii="Arial"/>
          <w:color w:val="000000"/>
          <w:sz w:val="24"/>
        </w:rPr>
        <w:t xml:space="preserve">with its rhythm of </w:t>
      </w:r>
      <w:r>
        <w:rPr>
          <w:rFonts w:ascii="Arial"/>
          <w:color w:val="000000"/>
          <w:sz w:val="24"/>
        </w:rPr>
        <w:t>windows</w:t>
      </w:r>
      <w:r>
        <w:rPr>
          <w:rFonts w:ascii="Arial"/>
          <w:color w:val="000000"/>
          <w:sz w:val="24"/>
        </w:rPr>
        <w:t xml:space="preserve"> </w:t>
      </w:r>
      <w:r>
        <w:rPr>
          <w:rFonts w:ascii="Arial"/>
          <w:color w:val="000000"/>
          <w:sz w:val="24"/>
        </w:rPr>
        <w:t xml:space="preserve">and engaged piers, its </w:t>
      </w:r>
      <w:r>
        <w:rPr>
          <w:rFonts w:ascii="Arial"/>
          <w:color w:val="000000"/>
          <w:sz w:val="24"/>
        </w:rPr>
        <w:t>eaves and pitched roof that</w:t>
      </w:r>
      <w:r>
        <w:rPr>
          <w:rFonts w:ascii="Arial"/>
          <w:color w:val="000000"/>
          <w:sz w:val="24"/>
        </w:rPr>
        <w:t xml:space="preserve">, when taken together, represent </w:t>
      </w:r>
      <w:r>
        <w:rPr>
          <w:rFonts w:ascii="Arial"/>
          <w:color w:val="000000"/>
          <w:sz w:val="24"/>
        </w:rPr>
        <w:t>an</w:t>
      </w:r>
      <w:r>
        <w:rPr>
          <w:rFonts w:ascii="Arial"/>
          <w:color w:val="000000"/>
          <w:sz w:val="24"/>
        </w:rPr>
        <w:t xml:space="preserve"> </w:t>
      </w:r>
      <w:r>
        <w:rPr>
          <w:rFonts w:ascii="Arial"/>
          <w:color w:val="000000"/>
          <w:sz w:val="24"/>
        </w:rPr>
        <w:t xml:space="preserve">ecclesiastical </w:t>
      </w:r>
      <w:r>
        <w:rPr>
          <w:rFonts w:ascii="Arial"/>
          <w:color w:val="000000"/>
          <w:sz w:val="24"/>
        </w:rPr>
        <w:t xml:space="preserve">building </w:t>
      </w:r>
      <w:r>
        <w:rPr>
          <w:rFonts w:ascii="Arial"/>
          <w:color w:val="000000"/>
          <w:sz w:val="24"/>
        </w:rPr>
        <w:t xml:space="preserve">form </w:t>
      </w:r>
      <w:r>
        <w:rPr>
          <w:rFonts w:ascii="Arial"/>
          <w:color w:val="000000"/>
          <w:sz w:val="24"/>
        </w:rPr>
        <w:t>representative of</w:t>
      </w:r>
      <w:r>
        <w:rPr>
          <w:rFonts w:ascii="Arial"/>
          <w:color w:val="000000"/>
          <w:sz w:val="24"/>
        </w:rPr>
        <w:t xml:space="preserve"> </w:t>
      </w:r>
      <w:r>
        <w:rPr>
          <w:rFonts w:ascii="Arial"/>
          <w:color w:val="000000"/>
          <w:sz w:val="24"/>
        </w:rPr>
        <w:t>the civic function</w:t>
      </w:r>
      <w:r>
        <w:rPr>
          <w:rFonts w:ascii="Arial"/>
          <w:color w:val="000000"/>
          <w:sz w:val="24"/>
        </w:rPr>
        <w:t xml:space="preserve"> </w:t>
      </w:r>
      <w:r>
        <w:rPr>
          <w:rFonts w:ascii="Arial"/>
          <w:color w:val="000000"/>
          <w:sz w:val="24"/>
        </w:rPr>
        <w:t>of the former Citadel building</w:t>
      </w:r>
      <w:r>
        <w:rPr>
          <w:rFonts w:ascii="Arial"/>
          <w:color w:val="000000"/>
          <w:sz w:val="24"/>
        </w:rPr>
        <w:t>.</w:t>
      </w:r>
      <w:r>
        <w:rPr>
          <w:rFonts w:ascii="Arial"/>
          <w:color w:val="000000"/>
          <w:sz w:val="24"/>
        </w:rPr>
        <w:t xml:space="preserve"> </w:t>
      </w:r>
    </w:p>
    <w:p>
      <w:pPr>
        <w:pStyle w:val="CaselawNumbered10"/>
        <w:numPr>
          <w:ilvl w:val="0"/>
          <w:numId w:val="28"/>
        </w:numPr>
        <w:spacing w:before="150" w:after="0"/>
        <w:ind w:left="600" w:hanging="600"/>
      </w:pPr>
      <w:r>
        <w:rPr>
          <w:rFonts w:ascii="Arial"/>
          <w:color w:val="000000"/>
          <w:sz w:val="24"/>
        </w:rPr>
        <w:t xml:space="preserve">I do not consider the opening proposed in the northern pitch of the roof to do other than </w:t>
      </w:r>
      <w:r>
        <w:rPr>
          <w:rFonts w:ascii="Arial"/>
          <w:color w:val="000000"/>
          <w:sz w:val="24"/>
        </w:rPr>
        <w:t xml:space="preserve">retain the form, significant </w:t>
      </w:r>
      <w:r>
        <w:rPr>
          <w:rFonts w:ascii="Arial"/>
          <w:color w:val="000000"/>
          <w:sz w:val="24"/>
        </w:rPr>
        <w:t>fabric</w:t>
      </w:r>
      <w:r>
        <w:rPr>
          <w:rFonts w:ascii="Arial"/>
          <w:color w:val="000000"/>
          <w:sz w:val="24"/>
        </w:rPr>
        <w:t xml:space="preserve"> </w:t>
      </w:r>
      <w:r>
        <w:rPr>
          <w:rFonts w:ascii="Arial"/>
          <w:color w:val="000000"/>
          <w:sz w:val="24"/>
        </w:rPr>
        <w:t>and features of the architectural or historic features of the existing building</w:t>
      </w:r>
      <w:r>
        <w:rPr>
          <w:rFonts w:ascii="Arial"/>
          <w:color w:val="000000"/>
          <w:sz w:val="24"/>
        </w:rPr>
        <w:t>, because that portion that is retained that does not compromise the reading of th</w:t>
      </w:r>
      <w:r>
        <w:rPr>
          <w:rFonts w:ascii="Arial"/>
          <w:color w:val="000000"/>
          <w:sz w:val="24"/>
        </w:rPr>
        <w:t xml:space="preserve">e </w:t>
      </w:r>
      <w:r>
        <w:rPr>
          <w:rFonts w:ascii="Arial"/>
          <w:color w:val="000000"/>
          <w:sz w:val="24"/>
        </w:rPr>
        <w:t>f</w:t>
      </w:r>
      <w:r>
        <w:rPr>
          <w:rFonts w:ascii="Arial"/>
          <w:color w:val="000000"/>
          <w:sz w:val="24"/>
        </w:rPr>
        <w:t xml:space="preserve">ormer Citadel building by those elements and features set out above. </w:t>
      </w:r>
    </w:p>
    <w:p>
      <w:pPr>
        <w:pStyle w:val="CaselawNumbered10"/>
        <w:numPr>
          <w:ilvl w:val="0"/>
          <w:numId w:val="28"/>
        </w:numPr>
        <w:spacing w:before="150" w:after="0"/>
        <w:ind w:left="600" w:hanging="600"/>
      </w:pPr>
      <w:r>
        <w:rPr>
          <w:rFonts w:ascii="Arial"/>
          <w:color w:val="000000"/>
          <w:sz w:val="24"/>
        </w:rPr>
        <w:t>The roof itself sits behind and below the front fa</w:t>
      </w:r>
      <w:r>
        <w:rPr>
          <w:rFonts w:ascii="Arial"/>
          <w:color w:val="000000"/>
          <w:sz w:val="24"/>
        </w:rPr>
        <w:t>çade and those features at [</w:t>
      </w:r>
      <w:hyperlink r:id="rId13">
        <w:r>
          <w:rPr>
            <w:rFonts w:ascii="Arial"/>
            <w:color w:val="000000"/>
            <w:sz w:val="24"/>
            <w:u w:val="single"/>
          </w:rPr>
          <w:t/>
        </w:r>
        <w:r>
          <w:rPr>
            <w:rFonts w:ascii="Arial"/>
            <w:color w:val="000000"/>
            <w:sz w:val="24"/>
          </w:rPr>
          <w:t>29</w:t>
        </w:r>
      </w:hyperlink>
      <w:hyperlink r:id="rId14">
        <w:r>
          <w:rPr>
            <w:rFonts w:ascii="Arial"/>
            <w:color w:val="000000"/>
            <w:sz w:val="24"/>
          </w:rPr>
          <w:t/>
        </w:r>
      </w:hyperlink>
      <w:r>
        <w:rPr>
          <w:rFonts w:ascii="Arial"/>
          <w:color w:val="000000"/>
          <w:sz w:val="24"/>
        </w:rPr>
        <w:t xml:space="preserve">]. The </w:t>
      </w:r>
      <w:r>
        <w:rPr>
          <w:rFonts w:ascii="Arial"/>
          <w:color w:val="000000"/>
          <w:sz w:val="24"/>
        </w:rPr>
        <w:t xml:space="preserve">extent, pitch and material of the roof will be </w:t>
      </w:r>
      <w:r>
        <w:rPr>
          <w:rFonts w:ascii="Arial"/>
          <w:color w:val="000000"/>
          <w:sz w:val="24"/>
        </w:rPr>
        <w:t>remain</w:t>
      </w:r>
      <w:r>
        <w:rPr>
          <w:rFonts w:ascii="Arial"/>
          <w:color w:val="000000"/>
          <w:sz w:val="24"/>
        </w:rPr>
        <w:t xml:space="preserve"> </w:t>
      </w:r>
      <w:r>
        <w:rPr>
          <w:rFonts w:ascii="Arial"/>
          <w:color w:val="000000"/>
          <w:sz w:val="24"/>
        </w:rPr>
        <w:t xml:space="preserve">to be </w:t>
      </w:r>
      <w:r>
        <w:rPr>
          <w:rFonts w:ascii="Arial"/>
          <w:color w:val="000000"/>
          <w:sz w:val="24"/>
        </w:rPr>
        <w:t>understood when viewed from the public domain</w:t>
      </w:r>
      <w:r>
        <w:rPr>
          <w:rFonts w:ascii="Arial"/>
          <w:color w:val="000000"/>
          <w:sz w:val="24"/>
        </w:rPr>
        <w:t xml:space="preserve">. </w:t>
      </w:r>
      <w:r>
        <w:rPr>
          <w:rFonts w:ascii="Arial"/>
          <w:color w:val="000000"/>
          <w:sz w:val="24"/>
        </w:rPr>
        <w:t xml:space="preserve">I accept the submission of Petersham High that while fabric is removed, form is retained. </w:t>
      </w:r>
    </w:p>
    <w:p>
      <w:pPr>
        <w:pStyle w:val="CaselawNumbered10"/>
        <w:numPr>
          <w:ilvl w:val="0"/>
          <w:numId w:val="28"/>
        </w:numPr>
        <w:spacing w:before="150" w:after="0"/>
        <w:ind w:left="600" w:hanging="600"/>
      </w:pPr>
      <w:r>
        <w:rPr>
          <w:rFonts w:ascii="Arial"/>
          <w:color w:val="000000"/>
          <w:sz w:val="24"/>
        </w:rPr>
        <w:t xml:space="preserve">To the extent the opening in the roof is described as uncharacteristic, it must be said the </w:t>
      </w:r>
      <w:r>
        <w:rPr>
          <w:rFonts w:ascii="Arial"/>
          <w:color w:val="000000"/>
          <w:sz w:val="24"/>
        </w:rPr>
        <w:t>f</w:t>
      </w:r>
      <w:r>
        <w:rPr>
          <w:rFonts w:ascii="Arial"/>
          <w:color w:val="000000"/>
          <w:sz w:val="24"/>
        </w:rPr>
        <w:t xml:space="preserve">ormer Citadel building is itself, </w:t>
      </w:r>
      <w:r>
        <w:rPr>
          <w:rFonts w:ascii="Arial"/>
          <w:color w:val="000000"/>
          <w:sz w:val="24"/>
        </w:rPr>
        <w:t>highly</w:t>
      </w:r>
      <w:r>
        <w:rPr>
          <w:rFonts w:ascii="Arial"/>
          <w:color w:val="000000"/>
          <w:sz w:val="24"/>
        </w:rPr>
        <w:t xml:space="preserve"> </w:t>
      </w:r>
      <w:r>
        <w:rPr>
          <w:rFonts w:ascii="Arial"/>
          <w:color w:val="000000"/>
          <w:sz w:val="24"/>
        </w:rPr>
        <w:t>u</w:t>
      </w:r>
      <w:r>
        <w:rPr>
          <w:rFonts w:ascii="Arial"/>
          <w:color w:val="000000"/>
          <w:sz w:val="24"/>
        </w:rPr>
        <w:t>ncharacteristic in Charles Street.</w:t>
      </w:r>
      <w:r>
        <w:rPr>
          <w:rFonts w:ascii="Arial"/>
          <w:color w:val="000000"/>
          <w:sz w:val="24"/>
        </w:rPr>
        <w:t xml:space="preserve"> </w:t>
      </w:r>
      <w:r>
        <w:rPr>
          <w:rFonts w:ascii="Arial"/>
          <w:color w:val="000000"/>
          <w:sz w:val="24"/>
        </w:rPr>
        <w:t>The opening may</w:t>
      </w:r>
      <w:r>
        <w:rPr>
          <w:rFonts w:ascii="Arial"/>
          <w:color w:val="000000"/>
          <w:sz w:val="24"/>
        </w:rPr>
        <w:t xml:space="preserve"> </w:t>
      </w:r>
      <w:r>
        <w:rPr>
          <w:rFonts w:ascii="Arial"/>
          <w:color w:val="000000"/>
          <w:sz w:val="24"/>
        </w:rPr>
        <w:t>also</w:t>
      </w:r>
      <w:r>
        <w:rPr>
          <w:rFonts w:ascii="Arial"/>
          <w:color w:val="000000"/>
          <w:sz w:val="24"/>
        </w:rPr>
        <w:t xml:space="preserve"> </w:t>
      </w:r>
      <w:r>
        <w:rPr>
          <w:rFonts w:ascii="Arial"/>
          <w:color w:val="000000"/>
          <w:sz w:val="24"/>
        </w:rPr>
        <w:t xml:space="preserve">be uncharacteristic but it is not, in my view, </w:t>
      </w:r>
      <w:r>
        <w:rPr>
          <w:rFonts w:ascii="Arial"/>
          <w:color w:val="000000"/>
          <w:sz w:val="24"/>
        </w:rPr>
        <w:t xml:space="preserve">without a logic or rationale </w:t>
      </w:r>
      <w:r>
        <w:rPr>
          <w:rFonts w:ascii="Arial"/>
          <w:color w:val="000000"/>
          <w:sz w:val="24"/>
        </w:rPr>
        <w:t>which</w:t>
      </w:r>
      <w:r>
        <w:rPr>
          <w:rFonts w:ascii="Arial"/>
          <w:color w:val="000000"/>
          <w:sz w:val="24"/>
        </w:rPr>
        <w:t xml:space="preserve"> </w:t>
      </w:r>
      <w:r>
        <w:rPr>
          <w:rFonts w:ascii="Arial"/>
          <w:color w:val="000000"/>
          <w:sz w:val="24"/>
        </w:rPr>
        <w:t>is likely to be read as such from the public domain.</w:t>
      </w:r>
    </w:p>
    <w:p>
      <w:pPr>
        <w:pStyle w:val="CaselawNumbered10"/>
        <w:numPr>
          <w:ilvl w:val="0"/>
          <w:numId w:val="28"/>
        </w:numPr>
        <w:spacing w:before="150" w:after="0"/>
        <w:ind w:left="600" w:hanging="600"/>
      </w:pPr>
      <w:r>
        <w:rPr>
          <w:rFonts w:ascii="Arial"/>
          <w:color w:val="000000"/>
          <w:sz w:val="24"/>
        </w:rPr>
        <w:t xml:space="preserve">For these reasons, I am satisfied that </w:t>
      </w:r>
      <w:r>
        <w:rPr>
          <w:rFonts w:ascii="Arial"/>
          <w:color w:val="000000"/>
          <w:sz w:val="24"/>
        </w:rPr>
        <w:t xml:space="preserve">the development will retain the form, significant </w:t>
      </w:r>
      <w:r>
        <w:rPr>
          <w:rFonts w:ascii="Arial"/>
          <w:color w:val="000000"/>
          <w:sz w:val="24"/>
        </w:rPr>
        <w:t>fabric</w:t>
      </w:r>
      <w:r>
        <w:rPr>
          <w:rFonts w:ascii="Arial"/>
          <w:color w:val="000000"/>
          <w:sz w:val="24"/>
        </w:rPr>
        <w:t xml:space="preserve"> </w:t>
      </w:r>
      <w:r>
        <w:rPr>
          <w:rFonts w:ascii="Arial"/>
          <w:color w:val="000000"/>
          <w:sz w:val="24"/>
        </w:rPr>
        <w:t xml:space="preserve">and features of the architectural or historic features of the existing building, </w:t>
      </w:r>
      <w:r>
        <w:rPr>
          <w:rFonts w:ascii="Arial"/>
          <w:color w:val="000000"/>
          <w:sz w:val="24"/>
        </w:rPr>
        <w:t>in accordance with cl 6.12(4)(b) of the IWLEP.</w:t>
      </w:r>
    </w:p>
    <w:p>
      <w:pPr>
        <w:pStyle w:val="CaselawNumbered10"/>
        <w:numPr>
          <w:ilvl w:val="0"/>
          <w:numId w:val="28"/>
        </w:numPr>
        <w:spacing w:before="150" w:after="0"/>
        <w:ind w:left="600" w:hanging="600"/>
      </w:pPr>
      <w:r>
        <w:rPr>
          <w:rFonts w:ascii="Arial"/>
          <w:color w:val="000000"/>
          <w:sz w:val="24"/>
        </w:rPr>
        <w:t>Perhaps</w:t>
      </w:r>
      <w:r>
        <w:rPr>
          <w:rFonts w:ascii="Arial"/>
          <w:color w:val="000000"/>
          <w:sz w:val="24"/>
        </w:rPr>
        <w:t xml:space="preserve"> </w:t>
      </w:r>
      <w:r>
        <w:rPr>
          <w:rFonts w:ascii="Arial"/>
          <w:color w:val="000000"/>
          <w:sz w:val="24"/>
        </w:rPr>
        <w:t>as it is</w:t>
      </w:r>
      <w:r>
        <w:rPr>
          <w:rFonts w:ascii="Arial"/>
          <w:color w:val="000000"/>
          <w:sz w:val="24"/>
        </w:rPr>
        <w:t xml:space="preserve"> </w:t>
      </w:r>
      <w:r>
        <w:rPr>
          <w:rFonts w:ascii="Arial"/>
          <w:color w:val="000000"/>
          <w:sz w:val="24"/>
        </w:rPr>
        <w:t xml:space="preserve">not </w:t>
      </w:r>
      <w:r>
        <w:rPr>
          <w:rFonts w:ascii="Arial"/>
          <w:color w:val="000000"/>
          <w:sz w:val="24"/>
        </w:rPr>
        <w:t>itself an assessment required of the Court in cl 6.12(4) of the IWLEP, Mr</w:t>
      </w:r>
      <w:r>
        <w:rPr>
          <w:rFonts w:ascii="Arial"/>
          <w:color w:val="000000"/>
          <w:sz w:val="24"/>
        </w:rPr>
        <w:t xml:space="preserve"> </w:t>
      </w:r>
      <w:r>
        <w:rPr>
          <w:rFonts w:ascii="Arial"/>
          <w:color w:val="000000"/>
          <w:sz w:val="24"/>
        </w:rPr>
        <w:t>Youhanna</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assessment</w:t>
      </w:r>
      <w:r>
        <w:rPr>
          <w:rFonts w:ascii="Arial"/>
          <w:color w:val="000000"/>
          <w:sz w:val="24"/>
        </w:rPr>
        <w:t xml:space="preserve"> </w:t>
      </w:r>
      <w:r>
        <w:rPr>
          <w:rFonts w:ascii="Arial"/>
          <w:color w:val="000000"/>
          <w:sz w:val="24"/>
        </w:rPr>
        <w:t>omits</w:t>
      </w:r>
      <w:r>
        <w:rPr>
          <w:rFonts w:ascii="Arial"/>
          <w:color w:val="000000"/>
          <w:sz w:val="24"/>
        </w:rPr>
        <w:t xml:space="preserve"> </w:t>
      </w:r>
      <w:r>
        <w:rPr>
          <w:rFonts w:ascii="Arial"/>
          <w:color w:val="000000"/>
          <w:sz w:val="24"/>
        </w:rPr>
        <w:t>to consider those works that are</w:t>
      </w:r>
      <w:r>
        <w:rPr>
          <w:rFonts w:ascii="Arial"/>
          <w:color w:val="000000"/>
          <w:sz w:val="24"/>
        </w:rPr>
        <w:t xml:space="preserve"> </w:t>
      </w:r>
      <w:r>
        <w:rPr>
          <w:rFonts w:ascii="Arial"/>
          <w:color w:val="000000"/>
          <w:sz w:val="24"/>
        </w:rPr>
        <w:t xml:space="preserve">proposed to remove </w:t>
      </w:r>
      <w:r>
        <w:rPr>
          <w:rFonts w:ascii="Arial"/>
          <w:color w:val="000000"/>
          <w:sz w:val="24"/>
        </w:rPr>
        <w:t>accretions that have been permitted over time; some of which are proposed to be reversed</w:t>
      </w:r>
      <w:r>
        <w:rPr>
          <w:rFonts w:ascii="Arial"/>
          <w:color w:val="000000"/>
          <w:sz w:val="24"/>
        </w:rPr>
        <w:t xml:space="preserve"> </w:t>
      </w:r>
      <w:r>
        <w:rPr>
          <w:rFonts w:ascii="Arial"/>
          <w:color w:val="000000"/>
          <w:sz w:val="24"/>
        </w:rPr>
        <w:t>by this proposal</w:t>
      </w:r>
      <w:r>
        <w:rPr>
          <w:rFonts w:ascii="Arial"/>
          <w:color w:val="000000"/>
          <w:sz w:val="24"/>
        </w:rPr>
        <w:t>, including:</w:t>
      </w:r>
    </w:p>
    <w:p>
      <w:pPr>
        <w:pStyle w:val="CaselawNumbered1"/>
        <w:numPr>
          <w:ilvl w:val="0"/>
          <w:numId w:val="29"/>
        </w:numPr>
        <w:spacing w:before="150" w:after="0"/>
        <w:ind w:left="1350" w:hanging="750"/>
      </w:pPr>
      <w:r>
        <w:rPr>
          <w:rFonts w:ascii="Arial"/>
          <w:color w:val="000000"/>
          <w:sz w:val="24"/>
        </w:rPr>
        <w:t xml:space="preserve">The original steps leading to the front door of the primary hall of the </w:t>
      </w:r>
      <w:r>
        <w:rPr>
          <w:rFonts w:ascii="Arial"/>
          <w:color w:val="000000"/>
          <w:sz w:val="24"/>
        </w:rPr>
        <w:t xml:space="preserve">former </w:t>
      </w:r>
      <w:r>
        <w:rPr>
          <w:rFonts w:ascii="Arial"/>
          <w:color w:val="000000"/>
          <w:sz w:val="24"/>
        </w:rPr>
        <w:t xml:space="preserve">Citadel building </w:t>
      </w:r>
      <w:r>
        <w:rPr>
          <w:rFonts w:ascii="Arial"/>
          <w:color w:val="000000"/>
          <w:sz w:val="24"/>
        </w:rPr>
        <w:t xml:space="preserve">are proposed to be reinstated to the south of the front door in substitution of a large and winding concrete ramp that dominates </w:t>
      </w:r>
      <w:r>
        <w:rPr>
          <w:rFonts w:ascii="Arial"/>
          <w:color w:val="000000"/>
          <w:sz w:val="24"/>
        </w:rPr>
        <w:t xml:space="preserve">a hardstand car park. </w:t>
      </w:r>
    </w:p>
    <w:p>
      <w:pPr>
        <w:pStyle w:val="CaselawNumbered1"/>
        <w:numPr>
          <w:ilvl w:val="0"/>
          <w:numId w:val="29"/>
        </w:numPr>
        <w:spacing w:before="150" w:after="0"/>
        <w:ind w:left="1350" w:hanging="750"/>
      </w:pPr>
      <w:r>
        <w:rPr>
          <w:rFonts w:ascii="Arial"/>
          <w:color w:val="000000"/>
          <w:sz w:val="24"/>
        </w:rPr>
        <w:t>A lean-to</w:t>
      </w:r>
      <w:r>
        <w:rPr>
          <w:rFonts w:ascii="Arial"/>
          <w:color w:val="000000"/>
          <w:sz w:val="24"/>
        </w:rPr>
        <w:t xml:space="preserve"> </w:t>
      </w:r>
      <w:r>
        <w:rPr>
          <w:rFonts w:ascii="Arial"/>
          <w:color w:val="000000"/>
          <w:sz w:val="24"/>
        </w:rPr>
        <w:t xml:space="preserve">that protrudes from the </w:t>
      </w:r>
      <w:r>
        <w:rPr>
          <w:rFonts w:ascii="Arial"/>
          <w:color w:val="000000"/>
          <w:sz w:val="24"/>
        </w:rPr>
        <w:t>southwest</w:t>
      </w:r>
      <w:r>
        <w:rPr>
          <w:rFonts w:ascii="Arial"/>
          <w:color w:val="000000"/>
          <w:sz w:val="24"/>
        </w:rPr>
        <w:t xml:space="preserve"> </w:t>
      </w:r>
      <w:r>
        <w:rPr>
          <w:rFonts w:ascii="Arial"/>
          <w:color w:val="000000"/>
          <w:sz w:val="24"/>
        </w:rPr>
        <w:t xml:space="preserve">of the primary hall of the </w:t>
      </w:r>
      <w:r>
        <w:rPr>
          <w:rFonts w:ascii="Arial"/>
          <w:color w:val="000000"/>
          <w:sz w:val="24"/>
        </w:rPr>
        <w:t xml:space="preserve">former </w:t>
      </w:r>
      <w:r>
        <w:rPr>
          <w:rFonts w:ascii="Arial"/>
          <w:color w:val="000000"/>
          <w:sz w:val="24"/>
        </w:rPr>
        <w:t>Citadel building is to be removed</w:t>
      </w:r>
      <w:r>
        <w:rPr>
          <w:rFonts w:ascii="Arial"/>
          <w:color w:val="000000"/>
          <w:sz w:val="24"/>
        </w:rPr>
        <w:t>.</w:t>
      </w:r>
      <w:r>
        <w:rPr>
          <w:rFonts w:ascii="Arial"/>
          <w:color w:val="000000"/>
          <w:sz w:val="24"/>
        </w:rPr>
        <w:t xml:space="preserve"> </w:t>
      </w:r>
    </w:p>
    <w:p>
      <w:pPr>
        <w:pStyle w:val="CaselawNumbered1"/>
        <w:numPr>
          <w:ilvl w:val="0"/>
          <w:numId w:val="29"/>
        </w:numPr>
        <w:spacing w:before="150" w:after="0"/>
        <w:ind w:left="1350" w:hanging="750"/>
      </w:pPr>
      <w:r>
        <w:rPr>
          <w:rFonts w:ascii="Arial"/>
          <w:color w:val="000000"/>
          <w:sz w:val="24"/>
        </w:rPr>
        <w:t xml:space="preserve">A large, ageing air handling unit protruding the rear of the site that provides a backdrop to the former Citadel building is proposed to be decommissioned and removed. </w:t>
      </w:r>
    </w:p>
    <w:p>
      <w:pPr>
        <w:pStyle w:val="CaselawNumbered10"/>
        <w:numPr>
          <w:ilvl w:val="0"/>
          <w:numId w:val="30"/>
        </w:numPr>
        <w:spacing w:before="150" w:after="0"/>
        <w:ind w:left="600" w:hanging="600"/>
      </w:pPr>
      <w:r>
        <w:rPr>
          <w:rFonts w:ascii="Arial"/>
          <w:color w:val="000000"/>
          <w:sz w:val="24"/>
        </w:rPr>
        <w:t>At its broadest, the removal of such accretions would appear to achieve objective (1)(d) by ensuring the development does not adversely affect the quality or amenity of existing buildings in the area</w:t>
      </w:r>
      <w:r>
        <w:rPr>
          <w:rFonts w:ascii="Arial"/>
          <w:color w:val="000000"/>
          <w:sz w:val="24"/>
        </w:rPr>
        <w:t>, and also satisfies me that</w:t>
      </w:r>
      <w:r>
        <w:rPr>
          <w:rFonts w:ascii="Arial"/>
          <w:color w:val="000000"/>
          <w:sz w:val="24"/>
        </w:rPr>
        <w:t xml:space="preserve"> </w:t>
      </w:r>
      <w:r>
        <w:rPr>
          <w:rFonts w:ascii="Arial"/>
          <w:color w:val="000000"/>
          <w:sz w:val="24"/>
        </w:rPr>
        <w:t>the development will not adversely affect the streetscape, character or amenity of the surrounding area</w:t>
      </w:r>
      <w:r>
        <w:rPr>
          <w:rFonts w:ascii="Arial"/>
          <w:color w:val="000000"/>
          <w:sz w:val="24"/>
        </w:rPr>
        <w:t>, in accordance with cl 6.12(4)(a) of the IWLEP</w:t>
      </w:r>
      <w:r>
        <w:rPr>
          <w:rFonts w:ascii="Arial"/>
          <w:color w:val="000000"/>
          <w:sz w:val="24"/>
        </w:rPr>
        <w:t xml:space="preserve">, but </w:t>
      </w:r>
      <w:r>
        <w:rPr>
          <w:rFonts w:ascii="Arial"/>
          <w:color w:val="000000"/>
          <w:sz w:val="24"/>
        </w:rPr>
        <w:t>with such enhancements in presentation to the public domain,</w:t>
      </w:r>
      <w:r>
        <w:rPr>
          <w:rFonts w:ascii="Arial"/>
          <w:color w:val="000000"/>
          <w:sz w:val="24"/>
        </w:rPr>
        <w:t xml:space="preserve"> </w:t>
      </w:r>
      <w:r>
        <w:rPr>
          <w:rFonts w:ascii="Arial"/>
          <w:color w:val="000000"/>
          <w:sz w:val="24"/>
        </w:rPr>
        <w:t>may improve the streetscape</w:t>
      </w:r>
      <w:r>
        <w:rPr>
          <w:rFonts w:ascii="Arial"/>
          <w:color w:val="000000"/>
          <w:sz w:val="24"/>
        </w:rPr>
        <w:t>, character and amenity of the area.</w:t>
      </w:r>
    </w:p>
    <w:p>
      <w:pPr>
        <w:pStyle w:val="CaselawNumbered10"/>
        <w:numPr>
          <w:ilvl w:val="0"/>
          <w:numId w:val="30"/>
        </w:numPr>
        <w:spacing w:before="150" w:after="0"/>
        <w:ind w:left="600" w:hanging="600"/>
      </w:pPr>
      <w:r>
        <w:rPr>
          <w:rFonts w:ascii="Arial"/>
          <w:color w:val="000000"/>
          <w:sz w:val="24"/>
        </w:rPr>
        <w:t xml:space="preserve">I am also satisfied that the </w:t>
      </w:r>
      <w:r>
        <w:rPr>
          <w:rFonts w:ascii="Arial"/>
          <w:color w:val="000000"/>
          <w:sz w:val="24"/>
        </w:rPr>
        <w:t>increase in the floor space ratio</w:t>
      </w:r>
      <w:r>
        <w:rPr>
          <w:rFonts w:ascii="Arial"/>
          <w:color w:val="000000"/>
          <w:sz w:val="24"/>
        </w:rPr>
        <w:t xml:space="preserve"> </w:t>
      </w:r>
      <w:r>
        <w:rPr>
          <w:rFonts w:ascii="Arial"/>
          <w:color w:val="000000"/>
          <w:sz w:val="24"/>
        </w:rPr>
        <w:t>(FSR)</w:t>
      </w:r>
      <w:r>
        <w:rPr>
          <w:rFonts w:ascii="Arial"/>
          <w:color w:val="000000"/>
          <w:sz w:val="24"/>
        </w:rPr>
        <w:t xml:space="preserve"> </w:t>
      </w:r>
      <w:r>
        <w:rPr>
          <w:rFonts w:ascii="Arial"/>
          <w:color w:val="000000"/>
          <w:sz w:val="24"/>
        </w:rPr>
        <w:t>proposed on the site</w:t>
      </w:r>
      <w:r>
        <w:rPr>
          <w:rFonts w:ascii="Arial"/>
          <w:color w:val="000000"/>
          <w:sz w:val="24"/>
        </w:rPr>
        <w:t xml:space="preserve"> </w:t>
      </w:r>
      <w:r>
        <w:rPr>
          <w:rFonts w:ascii="Arial"/>
          <w:color w:val="000000"/>
          <w:sz w:val="24"/>
        </w:rPr>
        <w:t>will be contained in the envelope of the existing building</w:t>
      </w:r>
      <w:r>
        <w:rPr>
          <w:rFonts w:ascii="Arial"/>
          <w:color w:val="000000"/>
          <w:sz w:val="24"/>
        </w:rPr>
        <w:t>, with the exception of the lift overrun that will extend beyond the envelope, in accordance with cl 6.12(4)(c) of the IWLEP, but which does not of itself represent FSR.</w:t>
      </w:r>
    </w:p>
    <w:p>
      <w:pPr>
        <w:pStyle w:val="CaselawNumbered10"/>
        <w:numPr>
          <w:ilvl w:val="0"/>
          <w:numId w:val="30"/>
        </w:numPr>
        <w:spacing w:before="150" w:after="0"/>
        <w:ind w:left="600" w:hanging="600"/>
      </w:pPr>
      <w:r>
        <w:rPr>
          <w:rFonts w:ascii="Arial"/>
          <w:color w:val="000000"/>
          <w:sz w:val="24"/>
        </w:rPr>
        <w:t>For completeness,</w:t>
      </w:r>
      <w:r>
        <w:rPr>
          <w:rFonts w:ascii="Arial"/>
          <w:color w:val="000000"/>
          <w:sz w:val="24"/>
        </w:rPr>
        <w:t xml:space="preserve"> </w:t>
      </w:r>
      <w:r>
        <w:rPr>
          <w:rFonts w:ascii="Arial"/>
          <w:color w:val="000000"/>
          <w:sz w:val="24"/>
        </w:rPr>
        <w:t xml:space="preserve">on the basis of the </w:t>
      </w:r>
      <w:r>
        <w:rPr>
          <w:rFonts w:ascii="Arial"/>
          <w:color w:val="000000"/>
          <w:sz w:val="24"/>
        </w:rPr>
        <w:t>Statement of Environmental Effects prepared by APRS</w:t>
      </w:r>
      <w:r>
        <w:rPr>
          <w:rFonts w:ascii="Arial"/>
          <w:color w:val="000000"/>
          <w:sz w:val="24"/>
        </w:rPr>
        <w:t xml:space="preserve"> </w:t>
      </w:r>
      <w:r>
        <w:rPr>
          <w:rFonts w:ascii="Arial"/>
          <w:color w:val="000000"/>
          <w:sz w:val="24"/>
        </w:rPr>
        <w:t xml:space="preserve">(Exhibit </w:t>
      </w:r>
      <w:r>
        <w:rPr>
          <w:rFonts w:ascii="Arial"/>
          <w:color w:val="000000"/>
          <w:sz w:val="24"/>
        </w:rPr>
        <w:t>B</w:t>
      </w:r>
      <w:r>
        <w:rPr>
          <w:rFonts w:ascii="Arial"/>
          <w:color w:val="000000"/>
          <w:sz w:val="24"/>
        </w:rPr>
        <w:t xml:space="preserve"> </w:t>
      </w:r>
      <w:r>
        <w:rPr>
          <w:rFonts w:ascii="Arial"/>
          <w:color w:val="000000"/>
          <w:sz w:val="24"/>
        </w:rPr>
        <w:t xml:space="preserve">Tab </w:t>
      </w:r>
      <w:r>
        <w:rPr>
          <w:rFonts w:ascii="Arial"/>
          <w:color w:val="000000"/>
          <w:sz w:val="24"/>
        </w:rPr>
        <w:t>3</w:t>
      </w:r>
      <w:r>
        <w:rPr>
          <w:rFonts w:ascii="Arial"/>
          <w:color w:val="000000"/>
          <w:sz w:val="24"/>
        </w:rPr>
        <w:t>), which is unchallenged by the Council,</w:t>
      </w:r>
      <w:r>
        <w:rPr>
          <w:rFonts w:ascii="Arial"/>
          <w:color w:val="000000"/>
          <w:sz w:val="24"/>
        </w:rPr>
        <w:t xml:space="preserve"> </w:t>
      </w:r>
      <w:r>
        <w:rPr>
          <w:rFonts w:ascii="Arial"/>
          <w:color w:val="000000"/>
          <w:sz w:val="24"/>
        </w:rPr>
        <w:t>I am also satisfied that</w:t>
      </w:r>
      <w:r>
        <w:rPr>
          <w:rFonts w:ascii="Arial"/>
          <w:color w:val="000000"/>
          <w:sz w:val="24"/>
        </w:rPr>
        <w:t xml:space="preserve"> </w:t>
      </w:r>
      <w:r>
        <w:rPr>
          <w:rFonts w:ascii="Arial"/>
          <w:color w:val="000000"/>
          <w:sz w:val="24"/>
        </w:rPr>
        <w:t>the building was constructed before the commencement of this Plan</w:t>
      </w:r>
      <w:r>
        <w:rPr>
          <w:rFonts w:ascii="Arial"/>
          <w:color w:val="000000"/>
          <w:sz w:val="24"/>
        </w:rPr>
        <w:t>, in accordance with cl 6.12(4)(d) of the IWLEP.</w:t>
      </w:r>
    </w:p>
    <w:p>
      <w:pPr>
        <w:pStyle w:val="CaselawNumbered10"/>
        <w:numPr>
          <w:ilvl w:val="0"/>
          <w:numId w:val="30"/>
        </w:numPr>
        <w:spacing w:before="150" w:after="0"/>
        <w:ind w:left="600" w:hanging="600"/>
      </w:pPr>
      <w:r>
        <w:rPr>
          <w:rFonts w:ascii="Arial"/>
          <w:color w:val="000000"/>
          <w:sz w:val="24"/>
        </w:rPr>
        <w:t>The Council argues that</w:t>
      </w:r>
      <w:r>
        <w:rPr>
          <w:rFonts w:ascii="Arial"/>
          <w:color w:val="000000"/>
          <w:sz w:val="24"/>
        </w:rPr>
        <w:t>, should the Court find the proposed development permissible by virtue of cl 6.12(3) and (4)</w:t>
      </w:r>
      <w:r>
        <w:rPr>
          <w:rFonts w:ascii="Arial"/>
          <w:color w:val="000000"/>
          <w:sz w:val="24"/>
        </w:rPr>
        <w:t xml:space="preserve">, the Court must then determine the effect of </w:t>
      </w:r>
      <w:r>
        <w:rPr>
          <w:rFonts w:ascii="Arial"/>
          <w:color w:val="000000"/>
          <w:sz w:val="24"/>
        </w:rPr>
        <w:t>subcl</w:t>
      </w:r>
      <w:r>
        <w:rPr>
          <w:rFonts w:ascii="Arial"/>
          <w:color w:val="000000"/>
          <w:sz w:val="24"/>
        </w:rPr>
        <w:t xml:space="preserve"> </w:t>
      </w:r>
      <w:r>
        <w:rPr>
          <w:rFonts w:ascii="Arial"/>
          <w:color w:val="000000"/>
          <w:sz w:val="24"/>
        </w:rPr>
        <w:t xml:space="preserve">(5) which is </w:t>
      </w:r>
      <w:r>
        <w:rPr>
          <w:rFonts w:ascii="Arial"/>
          <w:color w:val="000000"/>
          <w:sz w:val="24"/>
        </w:rPr>
        <w:t>in the following terms:</w:t>
      </w:r>
    </w:p>
    <w:p>
      <w:pPr>
        <w:pStyle w:val="CaselawQuote"/>
        <w:spacing w:before="150" w:after="150"/>
        <w:ind w:left="1350"/>
        <w:jc w:val="left"/>
      </w:pPr>
      <w:r>
        <w:rPr>
          <w:rFonts w:ascii="Arial"/>
          <w:color w:val="000000"/>
          <w:sz w:val="22"/>
        </w:rPr>
        <w:t>The maximum building height and maximum floor space ratio shown for the land on the </w:t>
      </w:r>
      <w:r>
        <w:rPr>
          <w:rFonts w:ascii="Arial"/>
          <w:i/>
          <w:color w:val="000000"/>
          <w:sz w:val="22"/>
        </w:rPr>
        <w:t>Height of Buildings Map</w:t>
      </w:r>
      <w:r>
        <w:rPr>
          <w:rFonts w:ascii="Arial"/>
          <w:color w:val="000000"/>
          <w:sz w:val="22"/>
        </w:rPr>
        <w:t> or the </w:t>
      </w:r>
      <w:r>
        <w:rPr>
          <w:rFonts w:ascii="Arial"/>
          <w:i/>
          <w:color w:val="000000"/>
          <w:sz w:val="22"/>
        </w:rPr>
        <w:t>Floor Space Ratio Map</w:t>
      </w:r>
      <w:r>
        <w:rPr>
          <w:rFonts w:ascii="Arial"/>
          <w:color w:val="000000"/>
          <w:sz w:val="22"/>
        </w:rPr>
        <w:t> do not apply to a building to which this clause applies.</w:t>
      </w:r>
    </w:p>
    <w:p>
      <w:pPr>
        <w:pStyle w:val="CaselawNumbered10"/>
        <w:numPr>
          <w:ilvl w:val="0"/>
          <w:numId w:val="31"/>
        </w:numPr>
        <w:spacing w:before="150" w:after="0"/>
        <w:ind w:left="600" w:hanging="600"/>
      </w:pPr>
      <w:r>
        <w:rPr>
          <w:rFonts w:ascii="Arial"/>
          <w:color w:val="000000"/>
          <w:sz w:val="24"/>
        </w:rPr>
        <w:t>The Council</w:t>
      </w:r>
      <w:r>
        <w:rPr>
          <w:rFonts w:ascii="Arial"/>
          <w:color w:val="000000"/>
          <w:sz w:val="24"/>
        </w:rPr>
        <w:t>’</w:t>
      </w:r>
      <w:r>
        <w:rPr>
          <w:rFonts w:ascii="Arial"/>
          <w:color w:val="000000"/>
          <w:sz w:val="24"/>
        </w:rPr>
        <w:t xml:space="preserve">s primary submission is that the controls governing FSR </w:t>
      </w:r>
      <w:r>
        <w:rPr>
          <w:rFonts w:ascii="Arial"/>
          <w:color w:val="000000"/>
          <w:sz w:val="24"/>
        </w:rPr>
        <w:t xml:space="preserve">at </w:t>
      </w:r>
      <w:r>
        <w:rPr>
          <w:rFonts w:ascii="Arial"/>
          <w:color w:val="000000"/>
          <w:sz w:val="24"/>
        </w:rPr>
        <w:t>cl</w:t>
      </w:r>
      <w:r>
        <w:rPr>
          <w:rFonts w:ascii="Arial"/>
          <w:color w:val="000000"/>
          <w:sz w:val="24"/>
        </w:rPr>
        <w:t> </w:t>
      </w:r>
      <w:r>
        <w:rPr>
          <w:rFonts w:ascii="Arial"/>
          <w:color w:val="000000"/>
          <w:sz w:val="24"/>
        </w:rPr>
        <w:t xml:space="preserve">6.12(5) of the IWLEP </w:t>
      </w:r>
      <w:r>
        <w:rPr>
          <w:rFonts w:ascii="Arial"/>
          <w:color w:val="000000"/>
          <w:sz w:val="24"/>
        </w:rPr>
        <w:t xml:space="preserve">are at odds </w:t>
      </w:r>
      <w:r>
        <w:rPr>
          <w:rFonts w:ascii="Arial"/>
          <w:color w:val="000000"/>
          <w:sz w:val="24"/>
        </w:rPr>
        <w:t>with those at s 68(2)(a) of the Housing SEPP and that</w:t>
      </w:r>
      <w:r>
        <w:rPr>
          <w:rFonts w:ascii="Arial"/>
          <w:color w:val="000000"/>
          <w:sz w:val="24"/>
        </w:rPr>
        <w:t xml:space="preserve"> </w:t>
      </w:r>
      <w:r>
        <w:rPr>
          <w:rFonts w:ascii="Arial"/>
          <w:color w:val="000000"/>
          <w:sz w:val="24"/>
        </w:rPr>
        <w:t>accordingly, the provisions of the Housing SEPP prevail to the extent of such an inconsistency.</w:t>
      </w:r>
    </w:p>
    <w:p>
      <w:pPr>
        <w:pStyle w:val="CaselawNumbered10"/>
        <w:numPr>
          <w:ilvl w:val="0"/>
          <w:numId w:val="31"/>
        </w:numPr>
        <w:spacing w:before="150" w:after="0"/>
        <w:ind w:left="600" w:hanging="600"/>
      </w:pPr>
      <w:r>
        <w:rPr>
          <w:rFonts w:ascii="Arial"/>
          <w:color w:val="000000"/>
          <w:sz w:val="24"/>
        </w:rPr>
        <w:t xml:space="preserve">In the alternative, the Council submits that </w:t>
      </w:r>
      <w:r>
        <w:rPr>
          <w:rFonts w:ascii="Arial"/>
          <w:color w:val="000000"/>
          <w:sz w:val="24"/>
        </w:rPr>
        <w:t xml:space="preserve">just as the pathway to permissibility </w:t>
      </w:r>
      <w:r>
        <w:rPr>
          <w:rFonts w:ascii="Arial"/>
          <w:color w:val="000000"/>
          <w:sz w:val="24"/>
        </w:rPr>
        <w:t>advanced</w:t>
      </w:r>
      <w:r>
        <w:rPr>
          <w:rFonts w:ascii="Arial"/>
          <w:color w:val="000000"/>
          <w:sz w:val="24"/>
        </w:rPr>
        <w:t xml:space="preserve"> </w:t>
      </w:r>
      <w:r>
        <w:rPr>
          <w:rFonts w:ascii="Arial"/>
          <w:color w:val="000000"/>
          <w:sz w:val="24"/>
        </w:rPr>
        <w:t>by Petersham High</w:t>
      </w:r>
      <w:r>
        <w:rPr>
          <w:rFonts w:ascii="Arial"/>
          <w:color w:val="000000"/>
          <w:sz w:val="24"/>
        </w:rPr>
        <w:t xml:space="preserve"> </w:t>
      </w:r>
      <w:r>
        <w:rPr>
          <w:rFonts w:ascii="Arial"/>
          <w:color w:val="000000"/>
          <w:sz w:val="24"/>
        </w:rPr>
        <w:t xml:space="preserve">would suggest development for the purposes of residential flat buildings is permitted in the R2 zone, </w:t>
      </w:r>
      <w:r>
        <w:rPr>
          <w:rFonts w:ascii="Arial"/>
          <w:color w:val="000000"/>
          <w:sz w:val="24"/>
        </w:rPr>
        <w:t xml:space="preserve">the </w:t>
      </w:r>
      <w:r>
        <w:rPr>
          <w:rFonts w:ascii="Arial"/>
          <w:color w:val="000000"/>
          <w:sz w:val="24"/>
        </w:rPr>
        <w:t>FSR</w:t>
      </w:r>
      <w:r>
        <w:rPr>
          <w:rFonts w:ascii="Arial"/>
          <w:color w:val="000000"/>
          <w:sz w:val="24"/>
        </w:rPr>
        <w:t xml:space="preserve"> </w:t>
      </w:r>
      <w:r>
        <w:rPr>
          <w:rFonts w:ascii="Arial"/>
          <w:color w:val="000000"/>
          <w:sz w:val="24"/>
        </w:rPr>
        <w:t>standard at s</w:t>
      </w:r>
      <w:r>
        <w:rPr>
          <w:rFonts w:ascii="Arial"/>
          <w:color w:val="000000"/>
          <w:sz w:val="24"/>
        </w:rPr>
        <w:t> </w:t>
      </w:r>
      <w:r>
        <w:rPr>
          <w:rFonts w:ascii="Arial"/>
          <w:color w:val="000000"/>
          <w:sz w:val="24"/>
        </w:rPr>
        <w:t>68</w:t>
      </w:r>
      <w:r>
        <w:rPr>
          <w:rFonts w:ascii="Arial"/>
          <w:color w:val="000000"/>
          <w:sz w:val="24"/>
        </w:rPr>
        <w:t>(2)(a)</w:t>
      </w:r>
      <w:r>
        <w:rPr>
          <w:rFonts w:ascii="Arial"/>
          <w:color w:val="000000"/>
          <w:sz w:val="24"/>
        </w:rPr>
        <w:t xml:space="preserve"> </w:t>
      </w:r>
      <w:r>
        <w:rPr>
          <w:rFonts w:ascii="Arial"/>
          <w:color w:val="000000"/>
          <w:sz w:val="24"/>
        </w:rPr>
        <w:t>of the Housing SEPP</w:t>
      </w:r>
      <w:r>
        <w:rPr>
          <w:rFonts w:ascii="Arial"/>
          <w:color w:val="000000"/>
          <w:sz w:val="24"/>
        </w:rPr>
        <w:t xml:space="preserve">, which invokes </w:t>
      </w:r>
      <w:r>
        <w:rPr>
          <w:rFonts w:ascii="Arial"/>
          <w:color w:val="000000"/>
          <w:sz w:val="24"/>
        </w:rPr>
        <w:t>development in a zone in which residential flat buildings are permitted,</w:t>
      </w:r>
      <w:r>
        <w:rPr>
          <w:rFonts w:ascii="Arial"/>
          <w:color w:val="000000"/>
          <w:sz w:val="24"/>
        </w:rPr>
        <w:t xml:space="preserve"> </w:t>
      </w:r>
      <w:r>
        <w:rPr>
          <w:rFonts w:ascii="Arial"/>
          <w:color w:val="000000"/>
          <w:sz w:val="24"/>
        </w:rPr>
        <w:t>must also apply.</w:t>
      </w:r>
    </w:p>
    <w:p>
      <w:pPr>
        <w:pStyle w:val="CaselawNumbered10"/>
        <w:numPr>
          <w:ilvl w:val="0"/>
          <w:numId w:val="31"/>
        </w:numPr>
        <w:spacing w:before="150" w:after="0"/>
        <w:ind w:left="600" w:hanging="600"/>
      </w:pPr>
      <w:r>
        <w:rPr>
          <w:rFonts w:ascii="Arial"/>
          <w:color w:val="000000"/>
          <w:sz w:val="24"/>
        </w:rPr>
        <w:t>Section 68(2)(a) of the Housing SEPP provides:</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(2)  The following are non-discretionary development standards in relation to development for the purposes of co-living housing—</w:t>
      </w:r>
    </w:p>
    <w:p>
      <w:pPr>
        <w:pStyle w:val="CaselawQuote0"/>
        <w:spacing w:before="150" w:after="150"/>
        <w:ind w:left="2100"/>
        <w:jc w:val="left"/>
      </w:pPr>
      <w:r>
        <w:rPr>
          <w:rFonts w:ascii="Arial"/>
          <w:color w:val="000000"/>
          <w:sz w:val="22"/>
        </w:rPr>
        <w:t>(a)  for development in a zone in which residential flat buildings are permitted—a floor space ratio that is not more than—</w:t>
      </w:r>
    </w:p>
    <w:p>
      <w:pPr>
        <w:pStyle w:val="CaselawQuote1"/>
        <w:spacing w:before="150" w:after="150"/>
        <w:ind w:left="2850"/>
        <w:jc w:val="left"/>
      </w:pPr>
      <w:r>
        <w:rPr>
          <w:rFonts w:ascii="Arial"/>
          <w:color w:val="000000"/>
          <w:sz w:val="22"/>
        </w:rPr>
        <w:t>(i)  the maximum permissible floor space ratio for residential accommodation on the land, and</w:t>
      </w:r>
    </w:p>
    <w:p>
      <w:pPr>
        <w:pStyle w:val="CaselawQuote1"/>
        <w:spacing w:before="150" w:after="150"/>
        <w:ind w:left="2850"/>
        <w:jc w:val="left"/>
      </w:pPr>
      <w:r>
        <w:rPr>
          <w:rFonts w:ascii="Arial"/>
          <w:color w:val="000000"/>
          <w:sz w:val="22"/>
        </w:rPr>
        <w:t>(ii)  an additional 10% of the maximum permissible floor space ratio if the additional floor space is used only for the purposes of co-living housing,</w:t>
      </w:r>
    </w:p>
    <w:p>
      <w:pPr>
        <w:pStyle w:val="CaselawQuote1"/>
        <w:spacing w:before="150" w:after="150"/>
        <w:ind w:left="2850"/>
        <w:jc w:val="left"/>
      </w:pPr>
      <w:r>
        <w:rPr>
          <w:rFonts w:ascii="Arial"/>
          <w:color w:val="000000"/>
          <w:sz w:val="22"/>
        </w:rPr>
        <w:t>…</w:t>
      </w:r>
    </w:p>
    <w:p>
      <w:pPr>
        <w:pStyle w:val="CaselawNumbered10"/>
        <w:numPr>
          <w:ilvl w:val="0"/>
          <w:numId w:val="32"/>
        </w:numPr>
        <w:spacing w:before="150" w:after="0"/>
        <w:ind w:left="600" w:hanging="600"/>
      </w:pPr>
      <w:r>
        <w:rPr>
          <w:rFonts w:ascii="Arial"/>
          <w:color w:val="000000"/>
          <w:sz w:val="24"/>
        </w:rPr>
        <w:t xml:space="preserve">The maximum FSR </w:t>
      </w:r>
      <w:r>
        <w:rPr>
          <w:rFonts w:ascii="Arial"/>
          <w:color w:val="000000"/>
          <w:sz w:val="24"/>
        </w:rPr>
        <w:t xml:space="preserve">permitted </w:t>
      </w:r>
      <w:r>
        <w:rPr>
          <w:rFonts w:ascii="Arial"/>
          <w:color w:val="000000"/>
          <w:sz w:val="24"/>
        </w:rPr>
        <w:t>for residential accommodation on the land</w:t>
      </w:r>
      <w:r>
        <w:rPr>
          <w:rFonts w:ascii="Arial"/>
          <w:color w:val="000000"/>
          <w:sz w:val="24"/>
        </w:rPr>
        <w:t xml:space="preserve"> </w:t>
      </w:r>
      <w:r>
        <w:rPr>
          <w:rFonts w:ascii="Arial"/>
          <w:color w:val="000000"/>
          <w:sz w:val="24"/>
        </w:rPr>
        <w:t xml:space="preserve">by </w:t>
      </w:r>
      <w:r>
        <w:rPr>
          <w:rFonts w:ascii="Arial"/>
          <w:color w:val="000000"/>
          <w:sz w:val="24"/>
        </w:rPr>
        <w:t>cl 4.4 of the IWLEP, is 0.6:1. Accordingly that is the FSR permitted on the site</w:t>
      </w:r>
      <w:r>
        <w:rPr>
          <w:rFonts w:ascii="Arial"/>
          <w:color w:val="000000"/>
          <w:sz w:val="24"/>
        </w:rPr>
        <w:t xml:space="preserve">, before an additional 10% is added for the purposes of co-living housing. </w:t>
      </w:r>
    </w:p>
    <w:p>
      <w:pPr>
        <w:pStyle w:val="CaselawNumbered10"/>
        <w:numPr>
          <w:ilvl w:val="0"/>
          <w:numId w:val="32"/>
        </w:numPr>
        <w:spacing w:before="150" w:after="0"/>
        <w:ind w:left="600" w:hanging="600"/>
      </w:pPr>
      <w:r>
        <w:rPr>
          <w:rFonts w:ascii="Arial"/>
          <w:color w:val="000000"/>
          <w:sz w:val="24"/>
        </w:rPr>
        <w:t>As the architectural plans indicate</w:t>
      </w:r>
      <w:r>
        <w:rPr>
          <w:rFonts w:ascii="Arial"/>
          <w:color w:val="000000"/>
          <w:sz w:val="24"/>
        </w:rPr>
        <w:t xml:space="preserve"> </w:t>
      </w:r>
      <w:r>
        <w:rPr>
          <w:rFonts w:ascii="Arial"/>
          <w:color w:val="000000"/>
          <w:sz w:val="24"/>
        </w:rPr>
        <w:t>the proposed development is for</w:t>
      </w:r>
      <w:r>
        <w:rPr>
          <w:rFonts w:ascii="Arial"/>
          <w:color w:val="000000"/>
          <w:sz w:val="24"/>
        </w:rPr>
        <w:t xml:space="preserve"> </w:t>
      </w:r>
      <w:r>
        <w:rPr>
          <w:rFonts w:ascii="Arial"/>
          <w:color w:val="000000"/>
          <w:sz w:val="24"/>
        </w:rPr>
        <w:t>a FSR of 0.9:1</w:t>
      </w:r>
      <w:r>
        <w:rPr>
          <w:rFonts w:ascii="Arial"/>
          <w:color w:val="000000"/>
          <w:sz w:val="24"/>
        </w:rPr>
        <w:t>, the FSR standard is exceeded, and for the Court</w:t>
      </w:r>
      <w:r>
        <w:rPr>
          <w:rFonts w:ascii="Arial"/>
          <w:color w:val="000000"/>
          <w:sz w:val="24"/>
        </w:rPr>
        <w:t>’</w:t>
      </w:r>
      <w:r>
        <w:rPr>
          <w:rFonts w:ascii="Arial"/>
          <w:color w:val="000000"/>
          <w:sz w:val="24"/>
        </w:rPr>
        <w:t xml:space="preserve">s power to grant consent to be enlivened, a written request must be prepared in accordance with cl 4.6 of the IWLEP. Absent such a written request, the appeal must be dismissed. </w:t>
      </w:r>
    </w:p>
    <w:p>
      <w:pPr>
        <w:pStyle w:val="CaselawNumbered10"/>
        <w:numPr>
          <w:ilvl w:val="0"/>
          <w:numId w:val="32"/>
        </w:numPr>
        <w:spacing w:before="150" w:after="0"/>
        <w:ind w:left="600" w:hanging="600"/>
      </w:pPr>
      <w:r>
        <w:rPr>
          <w:rFonts w:ascii="Arial"/>
          <w:color w:val="000000"/>
          <w:sz w:val="24"/>
        </w:rPr>
        <w:t xml:space="preserve">Petersham High submits that the </w:t>
      </w:r>
      <w:r>
        <w:rPr>
          <w:rFonts w:ascii="Arial"/>
          <w:color w:val="000000"/>
          <w:sz w:val="24"/>
        </w:rPr>
        <w:t xml:space="preserve">effect of cl 6.12(5) is </w:t>
      </w:r>
      <w:r>
        <w:rPr>
          <w:rFonts w:ascii="Arial"/>
          <w:color w:val="000000"/>
          <w:sz w:val="24"/>
        </w:rPr>
        <w:t>that b</w:t>
      </w:r>
      <w:r>
        <w:rPr>
          <w:rFonts w:ascii="Arial"/>
          <w:color w:val="000000"/>
          <w:sz w:val="24"/>
        </w:rPr>
        <w:t xml:space="preserve">oth </w:t>
      </w:r>
      <w:r>
        <w:rPr>
          <w:rFonts w:ascii="Arial"/>
          <w:color w:val="000000"/>
          <w:sz w:val="24"/>
        </w:rPr>
        <w:t>the</w:t>
      </w:r>
      <w:r>
        <w:rPr>
          <w:rFonts w:ascii="Arial"/>
          <w:color w:val="000000"/>
          <w:sz w:val="24"/>
        </w:rPr>
        <w:t xml:space="preserve"> </w:t>
      </w:r>
      <w:r>
        <w:rPr>
          <w:rFonts w:ascii="Arial"/>
          <w:color w:val="000000"/>
          <w:sz w:val="24"/>
        </w:rPr>
        <w:t>height of buildings standard, and FSR standard</w:t>
      </w:r>
      <w:r>
        <w:rPr>
          <w:rFonts w:ascii="Arial"/>
          <w:color w:val="000000"/>
          <w:sz w:val="24"/>
        </w:rPr>
        <w:t xml:space="preserve"> </w:t>
      </w:r>
      <w:r>
        <w:rPr>
          <w:rFonts w:ascii="Arial"/>
          <w:color w:val="000000"/>
          <w:sz w:val="24"/>
        </w:rPr>
        <w:t>are set aside</w:t>
      </w:r>
      <w:r>
        <w:rPr>
          <w:rFonts w:ascii="Arial"/>
          <w:color w:val="000000"/>
          <w:sz w:val="24"/>
        </w:rPr>
        <w:t xml:space="preserve"> </w:t>
      </w:r>
      <w:r>
        <w:rPr>
          <w:rFonts w:ascii="Arial"/>
          <w:color w:val="000000"/>
          <w:sz w:val="24"/>
        </w:rPr>
        <w:t>for a building to which cl 6.12 applies.</w:t>
      </w:r>
      <w:r>
        <w:rPr>
          <w:rFonts w:ascii="Arial"/>
          <w:color w:val="000000"/>
          <w:sz w:val="24"/>
        </w:rPr>
        <w:t xml:space="preserve"> </w:t>
      </w:r>
      <w:r>
        <w:rPr>
          <w:rFonts w:ascii="Arial"/>
          <w:color w:val="000000"/>
          <w:sz w:val="24"/>
        </w:rPr>
        <w:t>Simply put, no</w:t>
      </w:r>
      <w:r>
        <w:rPr>
          <w:rFonts w:ascii="Arial"/>
          <w:color w:val="000000"/>
          <w:sz w:val="24"/>
        </w:rPr>
        <w:t xml:space="preserve"> </w:t>
      </w:r>
      <w:r>
        <w:rPr>
          <w:rFonts w:ascii="Arial"/>
          <w:color w:val="000000"/>
          <w:sz w:val="24"/>
        </w:rPr>
        <w:t xml:space="preserve">FSR standard applies. </w:t>
      </w:r>
    </w:p>
    <w:p>
      <w:pPr>
        <w:pStyle w:val="CaselawNumbered10"/>
        <w:numPr>
          <w:ilvl w:val="0"/>
          <w:numId w:val="32"/>
        </w:numPr>
        <w:spacing w:before="150" w:after="0"/>
        <w:ind w:left="600" w:hanging="600"/>
      </w:pPr>
      <w:r>
        <w:rPr>
          <w:rFonts w:ascii="Arial"/>
          <w:color w:val="000000"/>
          <w:sz w:val="24"/>
        </w:rPr>
        <w:t>This</w:t>
      </w:r>
      <w:r>
        <w:rPr>
          <w:rFonts w:ascii="Arial"/>
          <w:color w:val="000000"/>
          <w:sz w:val="24"/>
        </w:rPr>
        <w:t xml:space="preserve"> </w:t>
      </w:r>
      <w:r>
        <w:rPr>
          <w:rFonts w:ascii="Arial"/>
          <w:color w:val="000000"/>
          <w:sz w:val="24"/>
        </w:rPr>
        <w:t>is not inconsistent with s 68(2)(a) of the Housing SEPP because</w:t>
      </w:r>
      <w:r>
        <w:rPr>
          <w:rFonts w:ascii="Arial"/>
          <w:color w:val="000000"/>
          <w:sz w:val="24"/>
        </w:rPr>
        <w:t xml:space="preserve"> </w:t>
      </w:r>
      <w:r>
        <w:rPr>
          <w:rFonts w:ascii="Arial"/>
          <w:color w:val="000000"/>
          <w:sz w:val="24"/>
        </w:rPr>
        <w:t xml:space="preserve">residential flat </w:t>
      </w:r>
      <w:r>
        <w:rPr>
          <w:rFonts w:ascii="Arial"/>
          <w:color w:val="000000"/>
          <w:sz w:val="24"/>
        </w:rPr>
        <w:t>buildings</w:t>
      </w:r>
      <w:r>
        <w:rPr>
          <w:rFonts w:ascii="Arial"/>
          <w:color w:val="000000"/>
          <w:sz w:val="24"/>
        </w:rPr>
        <w:t xml:space="preserve"> </w:t>
      </w:r>
      <w:r>
        <w:rPr>
          <w:rFonts w:ascii="Arial"/>
          <w:color w:val="000000"/>
          <w:sz w:val="24"/>
        </w:rPr>
        <w:t xml:space="preserve">are permitted on the land, by operation of </w:t>
      </w:r>
      <w:r>
        <w:rPr>
          <w:rFonts w:ascii="Arial"/>
          <w:color w:val="000000"/>
          <w:sz w:val="24"/>
        </w:rPr>
        <w:t>cl 6.12</w:t>
      </w:r>
      <w:r>
        <w:rPr>
          <w:rFonts w:ascii="Arial"/>
          <w:color w:val="000000"/>
          <w:sz w:val="24"/>
        </w:rPr>
        <w:t>(3)</w:t>
      </w:r>
      <w:r>
        <w:rPr>
          <w:rFonts w:ascii="Arial"/>
          <w:color w:val="000000"/>
          <w:sz w:val="24"/>
        </w:rPr>
        <w:t xml:space="preserve"> </w:t>
      </w:r>
      <w:r>
        <w:rPr>
          <w:rFonts w:ascii="Arial"/>
          <w:color w:val="000000"/>
          <w:sz w:val="24"/>
        </w:rPr>
        <w:t>of the IWLEP</w:t>
      </w:r>
      <w:r>
        <w:rPr>
          <w:rFonts w:ascii="Arial"/>
          <w:color w:val="000000"/>
          <w:sz w:val="24"/>
        </w:rPr>
        <w:t xml:space="preserve">, and no FSR applies to such development by virtue of </w:t>
      </w:r>
      <w:r>
        <w:rPr>
          <w:rFonts w:ascii="Arial"/>
          <w:color w:val="000000"/>
          <w:sz w:val="24"/>
        </w:rPr>
        <w:t>subcl</w:t>
      </w:r>
      <w:r>
        <w:rPr>
          <w:rFonts w:ascii="Arial"/>
          <w:color w:val="000000"/>
          <w:sz w:val="24"/>
        </w:rPr>
        <w:t xml:space="preserve"> </w:t>
      </w:r>
      <w:r>
        <w:rPr>
          <w:rFonts w:ascii="Arial"/>
          <w:color w:val="000000"/>
          <w:sz w:val="24"/>
        </w:rPr>
        <w:t xml:space="preserve">(5). Accordingly, </w:t>
      </w:r>
      <w:r>
        <w:rPr>
          <w:rFonts w:ascii="Arial"/>
          <w:color w:val="000000"/>
          <w:sz w:val="24"/>
        </w:rPr>
        <w:t xml:space="preserve">the maximum FSR permitted </w:t>
      </w:r>
      <w:r>
        <w:rPr>
          <w:rFonts w:ascii="Arial"/>
          <w:color w:val="000000"/>
          <w:sz w:val="24"/>
        </w:rPr>
        <w:t xml:space="preserve">for residential accommodation on the land is </w:t>
      </w:r>
      <w:r>
        <w:rPr>
          <w:rFonts w:ascii="Arial"/>
          <w:color w:val="000000"/>
          <w:sz w:val="24"/>
        </w:rPr>
        <w:t xml:space="preserve">either innominate or </w:t>
      </w:r>
      <w:r>
        <w:rPr>
          <w:rFonts w:ascii="Arial"/>
          <w:color w:val="000000"/>
          <w:sz w:val="24"/>
        </w:rPr>
        <w:t>infinite</w:t>
      </w:r>
      <w:r>
        <w:rPr>
          <w:rFonts w:ascii="Arial"/>
          <w:color w:val="000000"/>
          <w:sz w:val="24"/>
        </w:rPr>
        <w:t xml:space="preserve">. </w:t>
      </w:r>
    </w:p>
    <w:p>
      <w:pPr>
        <w:pStyle w:val="CaselawNumbered10"/>
        <w:numPr>
          <w:ilvl w:val="0"/>
          <w:numId w:val="32"/>
        </w:numPr>
        <w:spacing w:before="150" w:after="0"/>
        <w:ind w:left="600" w:hanging="600"/>
      </w:pPr>
      <w:r>
        <w:rPr>
          <w:rFonts w:ascii="Arial"/>
          <w:color w:val="000000"/>
          <w:sz w:val="24"/>
        </w:rPr>
        <w:t xml:space="preserve">According to Petersham High, such a position is consistent with the decision of the Court in </w:t>
      </w:r>
      <w:r>
        <w:rPr>
          <w:rFonts w:ascii="Arial"/>
          <w:color w:val="000000"/>
          <w:sz w:val="24"/>
        </w:rPr>
        <w:t>193 Liverpool Road Pty Ltd v Inner West Council</w:t>
      </w:r>
      <w:r>
        <w:rPr>
          <w:rFonts w:ascii="Arial"/>
          <w:color w:val="000000"/>
          <w:sz w:val="24"/>
        </w:rPr>
        <w:t> [2017] NSWLEC 13 to the effect that compliance with a must</w:t>
      </w:r>
      <w:r>
        <w:rPr>
          <w:rFonts w:ascii="Arial"/>
          <w:color w:val="000000"/>
          <w:sz w:val="24"/>
        </w:rPr>
        <w:t>-</w:t>
      </w:r>
      <w:r>
        <w:rPr>
          <w:rFonts w:ascii="Arial"/>
          <w:color w:val="000000"/>
          <w:sz w:val="24"/>
        </w:rPr>
        <w:t>not</w:t>
      </w:r>
      <w:r>
        <w:rPr>
          <w:rFonts w:ascii="Arial"/>
          <w:color w:val="000000"/>
          <w:sz w:val="24"/>
        </w:rPr>
        <w:t>-</w:t>
      </w:r>
      <w:r>
        <w:rPr>
          <w:rFonts w:ascii="Arial"/>
          <w:color w:val="000000"/>
          <w:sz w:val="24"/>
        </w:rPr>
        <w:t>refuse provision mandates that the Court must not refuse consent to the development</w:t>
      </w:r>
      <w:r>
        <w:rPr>
          <w:rFonts w:ascii="Arial"/>
          <w:color w:val="000000"/>
          <w:sz w:val="24"/>
        </w:rPr>
        <w:t xml:space="preserve"> </w:t>
      </w:r>
      <w:r>
        <w:rPr>
          <w:rFonts w:ascii="Arial"/>
          <w:color w:val="000000"/>
          <w:sz w:val="24"/>
        </w:rPr>
        <w:t>on the basis of a more onerous standard</w:t>
      </w:r>
      <w:r>
        <w:rPr>
          <w:rFonts w:ascii="Arial"/>
          <w:color w:val="000000"/>
          <w:sz w:val="24"/>
        </w:rPr>
        <w:t xml:space="preserve"> </w:t>
      </w:r>
      <w:r>
        <w:rPr>
          <w:rFonts w:ascii="Arial"/>
          <w:color w:val="000000"/>
          <w:sz w:val="24"/>
        </w:rPr>
        <w:t>as to FSR</w:t>
      </w:r>
      <w:r>
        <w:rPr>
          <w:rFonts w:ascii="Arial"/>
          <w:color w:val="000000"/>
          <w:sz w:val="24"/>
        </w:rPr>
        <w:t>.</w:t>
      </w:r>
      <w:r>
        <w:rPr>
          <w:rFonts w:ascii="Arial"/>
          <w:color w:val="000000"/>
          <w:sz w:val="24"/>
        </w:rPr>
        <w:t xml:space="preserve"> </w:t>
      </w:r>
      <w:r>
        <w:rPr>
          <w:rFonts w:ascii="Arial"/>
          <w:color w:val="000000"/>
          <w:sz w:val="24"/>
        </w:rPr>
        <w:t>In the circumstances of this case, the proposal complies with the maximum floor space</w:t>
      </w:r>
      <w:r>
        <w:rPr>
          <w:rFonts w:ascii="Arial"/>
          <w:color w:val="000000"/>
          <w:sz w:val="24"/>
        </w:rPr>
        <w:t xml:space="preserve"> </w:t>
      </w:r>
      <w:r>
        <w:rPr>
          <w:rFonts w:ascii="Arial"/>
          <w:color w:val="000000"/>
          <w:sz w:val="24"/>
        </w:rPr>
        <w:t>permitted</w:t>
      </w:r>
      <w:r>
        <w:rPr>
          <w:rFonts w:ascii="Arial"/>
          <w:color w:val="000000"/>
          <w:sz w:val="24"/>
        </w:rPr>
        <w:t xml:space="preserve"> </w:t>
      </w:r>
      <w:r>
        <w:rPr>
          <w:rFonts w:ascii="Arial"/>
          <w:color w:val="000000"/>
          <w:sz w:val="24"/>
        </w:rPr>
        <w:t xml:space="preserve">for residential accommodation on the land, being a residential flat building, where the maximum permissible </w:t>
      </w:r>
      <w:r>
        <w:rPr>
          <w:rFonts w:ascii="Arial"/>
          <w:color w:val="000000"/>
          <w:sz w:val="24"/>
        </w:rPr>
        <w:t>FSR</w:t>
      </w:r>
      <w:r>
        <w:rPr>
          <w:rFonts w:ascii="Arial"/>
          <w:color w:val="000000"/>
          <w:sz w:val="24"/>
        </w:rPr>
        <w:t xml:space="preserve"> </w:t>
      </w:r>
      <w:r>
        <w:rPr>
          <w:rFonts w:ascii="Arial"/>
          <w:color w:val="000000"/>
          <w:sz w:val="24"/>
        </w:rPr>
        <w:t>for a residential fat building is</w:t>
      </w:r>
      <w:r>
        <w:rPr>
          <w:rFonts w:ascii="Arial"/>
          <w:color w:val="000000"/>
          <w:sz w:val="24"/>
        </w:rPr>
        <w:t xml:space="preserve"> </w:t>
      </w:r>
      <w:r>
        <w:rPr>
          <w:rFonts w:ascii="Arial"/>
          <w:color w:val="000000"/>
          <w:sz w:val="24"/>
        </w:rPr>
        <w:t>innominate or</w:t>
      </w:r>
      <w:r>
        <w:rPr>
          <w:rFonts w:ascii="Arial"/>
          <w:color w:val="000000"/>
          <w:sz w:val="24"/>
        </w:rPr>
        <w:t xml:space="preserve"> </w:t>
      </w:r>
      <w:r>
        <w:rPr>
          <w:rFonts w:ascii="Arial"/>
          <w:color w:val="000000"/>
          <w:sz w:val="24"/>
        </w:rPr>
        <w:t>infinite</w:t>
      </w:r>
      <w:r>
        <w:rPr>
          <w:rFonts w:ascii="Arial"/>
          <w:color w:val="000000"/>
          <w:sz w:val="24"/>
        </w:rPr>
        <w:t>.</w:t>
      </w:r>
    </w:p>
    <w:p>
      <w:pPr>
        <w:pStyle w:val="CaselawNumbered10"/>
        <w:numPr>
          <w:ilvl w:val="0"/>
          <w:numId w:val="32"/>
        </w:numPr>
        <w:spacing w:before="150" w:after="0"/>
        <w:ind w:left="600" w:hanging="600"/>
      </w:pPr>
      <w:r>
        <w:rPr>
          <w:rFonts w:ascii="Arial"/>
          <w:color w:val="000000"/>
          <w:sz w:val="24"/>
        </w:rPr>
        <w:t xml:space="preserve">There is </w:t>
      </w:r>
      <w:r>
        <w:rPr>
          <w:rFonts w:ascii="Arial"/>
          <w:color w:val="000000"/>
          <w:sz w:val="24"/>
        </w:rPr>
        <w:t xml:space="preserve">also </w:t>
      </w:r>
      <w:r>
        <w:rPr>
          <w:rFonts w:ascii="Arial"/>
          <w:color w:val="000000"/>
          <w:sz w:val="24"/>
        </w:rPr>
        <w:t xml:space="preserve">a </w:t>
      </w:r>
      <w:r>
        <w:rPr>
          <w:rFonts w:ascii="Arial"/>
          <w:color w:val="000000"/>
          <w:sz w:val="24"/>
        </w:rPr>
        <w:t xml:space="preserve">broader </w:t>
      </w:r>
      <w:r>
        <w:rPr>
          <w:rFonts w:ascii="Arial"/>
          <w:color w:val="000000"/>
          <w:sz w:val="24"/>
        </w:rPr>
        <w:t>rationale to such a suspension of height and FSR standar</w:t>
      </w:r>
      <w:r>
        <w:rPr>
          <w:rFonts w:ascii="Arial"/>
          <w:color w:val="000000"/>
          <w:sz w:val="24"/>
        </w:rPr>
        <w:t>ds</w:t>
      </w:r>
      <w:r>
        <w:rPr>
          <w:rFonts w:ascii="Arial"/>
          <w:color w:val="000000"/>
          <w:sz w:val="24"/>
        </w:rPr>
        <w:t xml:space="preserve"> </w:t>
      </w:r>
      <w:r>
        <w:rPr>
          <w:rFonts w:ascii="Arial"/>
          <w:color w:val="000000"/>
          <w:sz w:val="24"/>
        </w:rPr>
        <w:t>given</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objectives of the provision at cl 6.12 </w:t>
      </w:r>
      <w:r>
        <w:rPr>
          <w:rFonts w:ascii="Arial"/>
          <w:color w:val="000000"/>
          <w:sz w:val="24"/>
        </w:rPr>
        <w:t>include to</w:t>
      </w:r>
      <w:r>
        <w:rPr>
          <w:rFonts w:ascii="Arial"/>
          <w:color w:val="000000"/>
          <w:sz w:val="24"/>
        </w:rPr>
        <w:t xml:space="preserve"> </w:t>
      </w:r>
      <w:r>
        <w:rPr>
          <w:rFonts w:ascii="Arial"/>
          <w:color w:val="000000"/>
          <w:sz w:val="24"/>
        </w:rPr>
        <w:t>provide for the adaptive reuse of existing buildings as dwellings, and to retain buildings contributing to the streetscape and character of Inner West</w:t>
      </w:r>
      <w:r>
        <w:rPr>
          <w:rFonts w:ascii="Arial"/>
          <w:color w:val="000000"/>
          <w:sz w:val="24"/>
        </w:rPr>
        <w:t xml:space="preserve">. </w:t>
      </w:r>
      <w:r>
        <w:rPr>
          <w:rFonts w:ascii="Arial"/>
          <w:color w:val="000000"/>
          <w:sz w:val="24"/>
        </w:rPr>
        <w:t>Those existing buildings</w:t>
      </w:r>
      <w:r>
        <w:rPr>
          <w:rFonts w:ascii="Arial"/>
          <w:color w:val="000000"/>
          <w:sz w:val="24"/>
        </w:rPr>
        <w:t xml:space="preserve"> </w:t>
      </w:r>
      <w:r>
        <w:rPr>
          <w:rFonts w:ascii="Arial"/>
          <w:color w:val="000000"/>
          <w:sz w:val="24"/>
        </w:rPr>
        <w:t>likely to be suited to adaptive reuse of the kind sought by cl 6.12 may exceed the height and FSR standards</w:t>
      </w:r>
      <w:r>
        <w:rPr>
          <w:rFonts w:ascii="Arial"/>
          <w:color w:val="000000"/>
          <w:sz w:val="24"/>
        </w:rPr>
        <w:t xml:space="preserve"> </w:t>
      </w:r>
      <w:r>
        <w:rPr>
          <w:rFonts w:ascii="Arial"/>
          <w:color w:val="000000"/>
          <w:sz w:val="24"/>
        </w:rPr>
        <w:t>that apply to new development.</w:t>
      </w:r>
    </w:p>
    <w:p>
      <w:pPr>
        <w:pStyle w:val="CaselawNumbered10"/>
        <w:numPr>
          <w:ilvl w:val="0"/>
          <w:numId w:val="32"/>
        </w:numPr>
        <w:spacing w:before="150" w:after="0"/>
        <w:ind w:left="600" w:hanging="600"/>
      </w:pPr>
      <w:r>
        <w:rPr>
          <w:rFonts w:ascii="Arial"/>
          <w:color w:val="000000"/>
          <w:sz w:val="24"/>
        </w:rPr>
        <w:t>I accept Petersham High</w:t>
      </w:r>
      <w:r>
        <w:rPr>
          <w:rFonts w:ascii="Arial"/>
          <w:color w:val="000000"/>
          <w:sz w:val="24"/>
        </w:rPr>
        <w:t>’</w:t>
      </w:r>
      <w:r>
        <w:rPr>
          <w:rFonts w:ascii="Arial"/>
          <w:color w:val="000000"/>
          <w:sz w:val="24"/>
        </w:rPr>
        <w:t xml:space="preserve">s submission that the provision </w:t>
      </w:r>
      <w:r>
        <w:rPr>
          <w:rFonts w:ascii="Arial"/>
          <w:color w:val="000000"/>
          <w:sz w:val="24"/>
        </w:rPr>
        <w:t xml:space="preserve">at cl 6.12(5) </w:t>
      </w:r>
      <w:r>
        <w:rPr>
          <w:rFonts w:ascii="Arial"/>
          <w:color w:val="000000"/>
          <w:sz w:val="24"/>
        </w:rPr>
        <w:t xml:space="preserve">of the IWLEP </w:t>
      </w:r>
      <w:r>
        <w:rPr>
          <w:rFonts w:ascii="Arial"/>
          <w:color w:val="000000"/>
          <w:sz w:val="24"/>
        </w:rPr>
        <w:t>has the effect of setting aside the FSR</w:t>
      </w:r>
      <w:r>
        <w:rPr>
          <w:rFonts w:ascii="Arial"/>
          <w:color w:val="000000"/>
          <w:sz w:val="24"/>
        </w:rPr>
        <w:t xml:space="preserve"> </w:t>
      </w:r>
      <w:r>
        <w:rPr>
          <w:rFonts w:ascii="Arial"/>
          <w:color w:val="000000"/>
          <w:sz w:val="24"/>
        </w:rPr>
        <w:t>shown for the land on the relevant FSR map</w:t>
      </w:r>
      <w:r>
        <w:rPr>
          <w:rFonts w:ascii="Arial"/>
          <w:color w:val="000000"/>
          <w:sz w:val="24"/>
        </w:rPr>
        <w:t xml:space="preserve">. As such, </w:t>
      </w:r>
      <w:r>
        <w:rPr>
          <w:rFonts w:ascii="Arial"/>
          <w:color w:val="000000"/>
          <w:sz w:val="24"/>
        </w:rPr>
        <w:t xml:space="preserve">the proposal is not inconsistent with the </w:t>
      </w:r>
      <w:r>
        <w:rPr>
          <w:rFonts w:ascii="Arial"/>
          <w:color w:val="000000"/>
          <w:sz w:val="24"/>
        </w:rPr>
        <w:t>non-discretionary standard at s 68(2)(a)(</w:t>
      </w:r>
      <w:r>
        <w:rPr>
          <w:rFonts w:ascii="Arial"/>
          <w:color w:val="000000"/>
          <w:sz w:val="24"/>
        </w:rPr>
        <w:t>i</w:t>
      </w:r>
      <w:r>
        <w:rPr>
          <w:rFonts w:ascii="Arial"/>
          <w:color w:val="000000"/>
          <w:sz w:val="24"/>
        </w:rPr>
        <w:t>) of the Housing SEPP</w:t>
      </w:r>
      <w:r>
        <w:rPr>
          <w:rFonts w:ascii="Arial"/>
          <w:color w:val="000000"/>
          <w:sz w:val="24"/>
        </w:rPr>
        <w:t>. Neither is the</w:t>
      </w:r>
      <w:r>
        <w:rPr>
          <w:rFonts w:ascii="Arial"/>
          <w:color w:val="000000"/>
          <w:sz w:val="24"/>
        </w:rPr>
        <w:t>re an inconsistency between the provisions at s 68(2)(a) of the Housing SEPP, and the provisions at cl 6.12(5) of the IWLEP</w:t>
      </w:r>
      <w:r>
        <w:rPr>
          <w:rFonts w:ascii="Arial"/>
          <w:color w:val="000000"/>
          <w:sz w:val="24"/>
        </w:rPr>
        <w:t xml:space="preserve"> </w:t>
      </w:r>
      <w:r>
        <w:rPr>
          <w:rFonts w:ascii="Arial"/>
          <w:color w:val="000000"/>
          <w:sz w:val="24"/>
        </w:rPr>
        <w:t>that requires curing.</w:t>
      </w:r>
    </w:p>
    <w:p>
      <w:pPr>
        <w:pStyle w:val="CaselawNumbered10"/>
        <w:numPr>
          <w:ilvl w:val="0"/>
          <w:numId w:val="32"/>
        </w:numPr>
        <w:spacing w:before="150" w:after="0"/>
        <w:ind w:left="600" w:hanging="600"/>
      </w:pPr>
      <w:r>
        <w:rPr>
          <w:rFonts w:ascii="Arial"/>
          <w:color w:val="000000"/>
          <w:sz w:val="24"/>
        </w:rPr>
        <w:t xml:space="preserve">As the FSR of the proposal is not inconsistent with the non-discretionary standard, there is no </w:t>
      </w:r>
      <w:r>
        <w:rPr>
          <w:rFonts w:ascii="Arial"/>
          <w:color w:val="000000"/>
          <w:sz w:val="24"/>
        </w:rPr>
        <w:t>contravention requiring justification</w:t>
      </w:r>
      <w:r>
        <w:rPr>
          <w:rFonts w:ascii="Arial"/>
          <w:color w:val="000000"/>
          <w:sz w:val="24"/>
        </w:rPr>
        <w:t xml:space="preserve"> </w:t>
      </w:r>
      <w:r>
        <w:rPr>
          <w:rFonts w:ascii="Arial"/>
          <w:color w:val="000000"/>
          <w:sz w:val="24"/>
        </w:rPr>
        <w:t>in terms such as those at cl 4.6 of the IWLEP.</w:t>
      </w:r>
    </w:p>
    <w:p>
      <w:pPr>
        <w:pStyle w:val="CaselawHeading2"/>
        <w:keepNext/>
        <w:spacing w:before="150" w:after="150" w:line="264"/>
        <w:ind w:left="0"/>
        <w:jc w:val="left"/>
      </w:pPr>
      <w:r>
        <w:rPr>
          <w:rFonts w:ascii="Arial"/>
        </w:rPr>
        <w:t xml:space="preserve">Landscape requirements are not </w:t>
      </w:r>
      <w:r>
        <w:rPr>
          <w:rFonts w:ascii="Arial"/>
        </w:rPr>
        <w:t>achieved</w:t>
      </w:r>
    </w:p>
    <w:p>
      <w:pPr>
        <w:pStyle w:val="CaselawNumbered10"/>
        <w:numPr>
          <w:ilvl w:val="0"/>
          <w:numId w:val="33"/>
        </w:numPr>
        <w:spacing w:before="150" w:after="0"/>
        <w:ind w:left="600" w:hanging="600"/>
      </w:pPr>
      <w:r>
        <w:rPr>
          <w:rFonts w:ascii="Arial"/>
          <w:color w:val="000000"/>
          <w:sz w:val="24"/>
        </w:rPr>
        <w:t xml:space="preserve">The Council </w:t>
      </w:r>
      <w:r>
        <w:rPr>
          <w:rFonts w:ascii="Arial"/>
          <w:color w:val="000000"/>
          <w:sz w:val="24"/>
        </w:rPr>
        <w:t>contends that the landscaping proposed on the site fails to comply with the non-discretionary standard contained at s 68</w:t>
      </w:r>
      <w:r>
        <w:rPr>
          <w:rFonts w:ascii="Arial"/>
          <w:color w:val="000000"/>
          <w:sz w:val="24"/>
        </w:rPr>
        <w:t>(2)</w:t>
      </w:r>
      <w:r>
        <w:rPr>
          <w:rFonts w:ascii="Arial"/>
          <w:color w:val="000000"/>
          <w:sz w:val="24"/>
        </w:rPr>
        <w:t>(f)</w:t>
      </w:r>
      <w:r>
        <w:rPr>
          <w:rFonts w:ascii="Arial"/>
          <w:color w:val="000000"/>
          <w:sz w:val="24"/>
        </w:rPr>
        <w:t xml:space="preserve"> </w:t>
      </w:r>
      <w:r>
        <w:rPr>
          <w:rFonts w:ascii="Arial"/>
          <w:color w:val="000000"/>
          <w:sz w:val="24"/>
        </w:rPr>
        <w:t>of Housing SEPP</w:t>
      </w:r>
      <w:r>
        <w:rPr>
          <w:rFonts w:ascii="Arial"/>
          <w:color w:val="000000"/>
          <w:sz w:val="24"/>
        </w:rPr>
        <w:t xml:space="preserve"> </w:t>
      </w:r>
      <w:r>
        <w:rPr>
          <w:rFonts w:ascii="Arial"/>
          <w:color w:val="000000"/>
          <w:sz w:val="24"/>
        </w:rPr>
        <w:t>that provides:</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(f)</w:t>
      </w:r>
      <w:r>
        <w:rPr>
          <w:rFonts w:ascii="Arial"/>
          <w:color w:val="000000"/>
          <w:sz w:val="22"/>
        </w:rPr>
        <w:t>  for development on land in Zone R2 Low Density Residential or Zone R3 Medium Density Residential—the minimum landscaping requirements for multi dwelling housing under a relevant planning instrument,</w:t>
      </w:r>
    </w:p>
    <w:p>
      <w:pPr>
        <w:pStyle w:val="CaselawQuote"/>
        <w:spacing w:before="150" w:after="150"/>
        <w:ind w:left="1350"/>
        <w:jc w:val="left"/>
      </w:pPr>
      <w:r>
        <w:rPr>
          <w:rFonts w:ascii="Arial"/>
          <w:color w:val="000000"/>
          <w:sz w:val="22"/>
        </w:rPr>
        <w:t>…</w:t>
      </w:r>
    </w:p>
    <w:p>
      <w:pPr>
        <w:pStyle w:val="CaselawNumbered10"/>
        <w:numPr>
          <w:ilvl w:val="0"/>
          <w:numId w:val="34"/>
        </w:numPr>
        <w:spacing w:before="150" w:after="0"/>
        <w:ind w:left="600" w:hanging="600"/>
      </w:pPr>
      <w:r>
        <w:rPr>
          <w:rFonts w:ascii="Arial"/>
          <w:color w:val="000000"/>
          <w:sz w:val="24"/>
        </w:rPr>
        <w:t xml:space="preserve">Landscaping requirements for </w:t>
      </w:r>
      <w:r>
        <w:rPr>
          <w:rFonts w:ascii="Arial"/>
          <w:color w:val="000000"/>
          <w:sz w:val="24"/>
        </w:rPr>
        <w:t>multi dwelling housing are</w:t>
      </w:r>
      <w:r>
        <w:rPr>
          <w:rFonts w:ascii="Arial"/>
          <w:color w:val="000000"/>
          <w:sz w:val="24"/>
        </w:rPr>
        <w:t xml:space="preserve"> </w:t>
      </w:r>
      <w:r>
        <w:rPr>
          <w:rFonts w:ascii="Arial"/>
          <w:color w:val="000000"/>
          <w:sz w:val="24"/>
        </w:rPr>
        <w:t>not found in the IWLEP, or the Housing SEPP. Instead, parties agree the requirements may be</w:t>
      </w:r>
      <w:r>
        <w:rPr>
          <w:rFonts w:ascii="Arial"/>
          <w:color w:val="000000"/>
          <w:sz w:val="24"/>
        </w:rPr>
        <w:t xml:space="preserve"> </w:t>
      </w:r>
      <w:r>
        <w:rPr>
          <w:rFonts w:ascii="Arial"/>
          <w:color w:val="000000"/>
          <w:sz w:val="24"/>
        </w:rPr>
        <w:t>found in Control C19 at Section 2.18.11.5 of the Marrickville Development Control Plan 201</w:t>
      </w:r>
      <w:r>
        <w:rPr>
          <w:rFonts w:ascii="Arial"/>
          <w:color w:val="000000"/>
          <w:sz w:val="24"/>
        </w:rPr>
        <w:t>1</w:t>
      </w:r>
      <w:r>
        <w:rPr>
          <w:rFonts w:ascii="Arial"/>
          <w:color w:val="000000"/>
          <w:sz w:val="24"/>
        </w:rPr>
        <w:t xml:space="preserve"> </w:t>
      </w:r>
      <w:r>
        <w:rPr>
          <w:rFonts w:ascii="Arial"/>
          <w:color w:val="000000"/>
          <w:sz w:val="24"/>
        </w:rPr>
        <w:t>(MDCP)</w:t>
      </w:r>
      <w:r>
        <w:rPr>
          <w:rFonts w:ascii="Arial"/>
          <w:color w:val="000000"/>
          <w:sz w:val="24"/>
        </w:rPr>
        <w:t xml:space="preserve">, </w:t>
      </w:r>
      <w:r>
        <w:rPr>
          <w:rFonts w:ascii="Arial"/>
          <w:color w:val="000000"/>
          <w:sz w:val="24"/>
        </w:rPr>
        <w:t>which relevantly provides:</w:t>
      </w:r>
    </w:p>
    <w:p>
      <w:pPr>
        <w:pStyle w:val="CaselawQuote"/>
        <w:spacing w:before="150" w:after="150"/>
        <w:ind w:left="1350"/>
        <w:jc w:val="left"/>
      </w:pPr>
      <w:r>
        <w:rPr>
          <w:rFonts w:ascii="Arial"/>
          <w:color w:val="000000"/>
          <w:sz w:val="22"/>
        </w:rPr>
        <w:t>“i</w:t>
      </w:r>
      <w:r>
        <w:rPr>
          <w:rFonts w:ascii="Arial"/>
          <w:color w:val="000000"/>
          <w:sz w:val="22"/>
        </w:rPr>
        <w:t xml:space="preserve">. The entire front setback must be of a pervious landscape with the exception of driveways and pathways. </w:t>
      </w:r>
    </w:p>
    <w:p>
      <w:pPr>
        <w:pStyle w:val="CaselawQuote"/>
        <w:spacing w:before="150" w:after="150"/>
        <w:ind w:left="1350"/>
        <w:jc w:val="left"/>
      </w:pPr>
      <w:r>
        <w:rPr>
          <w:rFonts w:ascii="Arial"/>
          <w:color w:val="000000"/>
          <w:sz w:val="22"/>
        </w:rPr>
        <w:t xml:space="preserve">ii. </w:t>
      </w:r>
      <w:r>
        <w:rPr>
          <w:rFonts w:ascii="Arial"/>
          <w:color w:val="000000"/>
          <w:sz w:val="22"/>
        </w:rPr>
        <w:t>In addition to front setback, a minimum 45% of the total site area must be a landscaped area at ground level.”</w:t>
      </w:r>
    </w:p>
    <w:p>
      <w:pPr>
        <w:pStyle w:val="CaselawNumbered10"/>
        <w:numPr>
          <w:ilvl w:val="0"/>
          <w:numId w:val="35"/>
        </w:numPr>
        <w:spacing w:before="150" w:after="0"/>
        <w:ind w:left="600" w:hanging="600"/>
      </w:pPr>
      <w:r>
        <w:rPr>
          <w:rFonts w:ascii="Arial"/>
          <w:color w:val="000000"/>
          <w:sz w:val="24"/>
        </w:rPr>
        <w:t xml:space="preserve">To comply with </w:t>
      </w:r>
      <w:r>
        <w:rPr>
          <w:rFonts w:ascii="Arial"/>
          <w:color w:val="000000"/>
          <w:sz w:val="24"/>
        </w:rPr>
        <w:t>the above provision</w:t>
      </w:r>
      <w:r>
        <w:rPr>
          <w:rFonts w:ascii="Arial"/>
          <w:color w:val="000000"/>
          <w:sz w:val="24"/>
        </w:rPr>
        <w:t>,</w:t>
      </w:r>
      <w:r>
        <w:rPr>
          <w:rFonts w:ascii="Arial"/>
          <w:color w:val="000000"/>
          <w:sz w:val="24"/>
        </w:rPr>
        <w:t xml:space="preserve"> </w:t>
      </w:r>
      <w:r>
        <w:rPr>
          <w:rFonts w:ascii="Arial"/>
          <w:color w:val="000000"/>
          <w:sz w:val="24"/>
        </w:rPr>
        <w:t>the site would be required to provide at least 315.</w:t>
      </w:r>
      <w:r>
        <w:rPr>
          <w:rFonts w:ascii="Arial"/>
          <w:color w:val="000000"/>
          <w:sz w:val="24"/>
        </w:rPr>
        <w:t>2m</w:t>
      </w:r>
      <w:r>
        <w:rPr>
          <w:rFonts w:ascii="Arial"/>
          <w:color w:val="000000"/>
          <w:sz w:val="24"/>
        </w:rPr>
        <w:t>2</w:t>
      </w:r>
      <w:r>
        <w:rPr>
          <w:rFonts w:ascii="Arial"/>
          <w:color w:val="000000"/>
          <w:sz w:val="24"/>
        </w:rPr>
        <w:t xml:space="preserve"> </w:t>
      </w:r>
      <w:r>
        <w:rPr>
          <w:rFonts w:ascii="Arial"/>
          <w:color w:val="000000"/>
          <w:sz w:val="24"/>
        </w:rPr>
        <w:t xml:space="preserve">of landscaped area at ground level in addition to the landscaping required under Control C19 </w:t>
      </w:r>
      <w:r>
        <w:rPr>
          <w:rFonts w:ascii="Arial"/>
          <w:color w:val="000000"/>
          <w:sz w:val="24"/>
        </w:rPr>
        <w:t>(</w:t>
      </w:r>
      <w:r>
        <w:rPr>
          <w:rFonts w:ascii="Arial"/>
          <w:color w:val="000000"/>
          <w:sz w:val="24"/>
        </w:rPr>
        <w:t>i</w:t>
      </w:r>
      <w:r>
        <w:rPr>
          <w:rFonts w:ascii="Arial"/>
          <w:color w:val="000000"/>
          <w:sz w:val="24"/>
        </w:rPr>
        <w:t>)</w:t>
      </w:r>
      <w:r>
        <w:rPr>
          <w:rFonts w:ascii="Arial"/>
          <w:color w:val="000000"/>
          <w:sz w:val="24"/>
        </w:rPr>
        <w:t>.</w:t>
      </w:r>
    </w:p>
    <w:p>
      <w:pPr>
        <w:pStyle w:val="CaselawNumbered10"/>
        <w:numPr>
          <w:ilvl w:val="0"/>
          <w:numId w:val="35"/>
        </w:numPr>
        <w:spacing w:before="150" w:after="0"/>
        <w:ind w:left="600" w:hanging="600"/>
      </w:pPr>
      <w:r>
        <w:rPr>
          <w:rFonts w:ascii="Arial"/>
          <w:color w:val="000000"/>
          <w:sz w:val="24"/>
        </w:rPr>
        <w:t xml:space="preserve">Petersham High acknowledges that the </w:t>
      </w:r>
      <w:r>
        <w:rPr>
          <w:rFonts w:ascii="Arial"/>
          <w:color w:val="000000"/>
          <w:sz w:val="24"/>
        </w:rPr>
        <w:t xml:space="preserve">non-discretionary standard at s 68(2)(f) of the Housing SEPP is not </w:t>
      </w:r>
      <w:r>
        <w:rPr>
          <w:rFonts w:ascii="Arial"/>
          <w:color w:val="000000"/>
          <w:sz w:val="24"/>
        </w:rPr>
        <w:t>achieved, and</w:t>
      </w:r>
      <w:r>
        <w:rPr>
          <w:rFonts w:ascii="Arial"/>
          <w:color w:val="000000"/>
          <w:sz w:val="24"/>
        </w:rPr>
        <w:t xml:space="preserve"> </w:t>
      </w:r>
      <w:r>
        <w:rPr>
          <w:rFonts w:ascii="Arial"/>
          <w:color w:val="000000"/>
          <w:sz w:val="24"/>
        </w:rPr>
        <w:t xml:space="preserve">relies on a written request prepared by </w:t>
      </w:r>
      <w:r>
        <w:rPr>
          <w:rFonts w:ascii="Arial"/>
          <w:color w:val="000000"/>
          <w:sz w:val="24"/>
        </w:rPr>
        <w:t xml:space="preserve">Mr Andrew Robinson dated </w:t>
      </w:r>
      <w:r>
        <w:rPr>
          <w:rFonts w:ascii="Arial"/>
          <w:color w:val="000000"/>
          <w:sz w:val="24"/>
        </w:rPr>
        <w:t xml:space="preserve">14 October </w:t>
      </w:r>
      <w:r>
        <w:rPr>
          <w:rFonts w:ascii="Arial"/>
          <w:color w:val="000000"/>
          <w:sz w:val="24"/>
        </w:rPr>
        <w:t xml:space="preserve">2024 in accordance with cl 4.6 of the </w:t>
      </w:r>
      <w:r>
        <w:rPr>
          <w:rFonts w:ascii="Arial"/>
          <w:color w:val="000000"/>
          <w:sz w:val="24"/>
        </w:rPr>
        <w:t>I</w:t>
      </w:r>
      <w:r>
        <w:rPr>
          <w:rFonts w:ascii="Arial"/>
          <w:color w:val="000000"/>
          <w:sz w:val="24"/>
        </w:rPr>
        <w:t>WLEP</w:t>
      </w:r>
      <w:r>
        <w:rPr>
          <w:rFonts w:ascii="Arial"/>
          <w:color w:val="000000"/>
          <w:sz w:val="24"/>
        </w:rPr>
        <w:t xml:space="preserve"> </w:t>
      </w:r>
      <w:r>
        <w:rPr>
          <w:rFonts w:ascii="Arial"/>
          <w:color w:val="000000"/>
          <w:sz w:val="24"/>
        </w:rPr>
        <w:t xml:space="preserve">(Exhibit </w:t>
      </w:r>
      <w:r>
        <w:rPr>
          <w:rFonts w:ascii="Arial"/>
          <w:color w:val="000000"/>
          <w:sz w:val="24"/>
        </w:rPr>
        <w:t>D)</w:t>
      </w:r>
      <w:r>
        <w:rPr>
          <w:rFonts w:ascii="Arial"/>
          <w:color w:val="000000"/>
          <w:sz w:val="24"/>
        </w:rPr>
        <w:t>.</w:t>
      </w:r>
    </w:p>
    <w:p>
      <w:pPr>
        <w:pStyle w:val="CaselawNumbered10"/>
        <w:numPr>
          <w:ilvl w:val="0"/>
          <w:numId w:val="35"/>
        </w:numPr>
        <w:spacing w:before="150" w:after="0"/>
        <w:ind w:left="600" w:hanging="600"/>
      </w:pPr>
      <w:r>
        <w:rPr>
          <w:rFonts w:ascii="Arial"/>
          <w:color w:val="000000"/>
          <w:sz w:val="24"/>
        </w:rPr>
        <w:t xml:space="preserve">The </w:t>
      </w:r>
      <w:r>
        <w:rPr>
          <w:rFonts w:ascii="Arial"/>
          <w:color w:val="000000"/>
          <w:sz w:val="24"/>
        </w:rPr>
        <w:t xml:space="preserve">written request on landscaped area </w:t>
      </w:r>
      <w:r>
        <w:rPr>
          <w:rFonts w:ascii="Arial"/>
          <w:color w:val="000000"/>
          <w:sz w:val="24"/>
        </w:rPr>
        <w:t xml:space="preserve">identifies a </w:t>
      </w:r>
      <w:r>
        <w:rPr>
          <w:rFonts w:ascii="Arial"/>
          <w:color w:val="000000"/>
          <w:sz w:val="24"/>
        </w:rPr>
        <w:t xml:space="preserve">landscaped area </w:t>
      </w:r>
      <w:r>
        <w:rPr>
          <w:rFonts w:ascii="Arial"/>
          <w:color w:val="000000"/>
          <w:sz w:val="24"/>
        </w:rPr>
        <w:t xml:space="preserve">of </w:t>
      </w:r>
      <w:r>
        <w:rPr>
          <w:rFonts w:ascii="Arial"/>
          <w:color w:val="000000"/>
          <w:sz w:val="24"/>
        </w:rPr>
        <w:t>17.63m</w:t>
      </w:r>
      <w:r>
        <w:rPr>
          <w:rFonts w:ascii="Arial"/>
          <w:color w:val="000000"/>
          <w:sz w:val="24"/>
        </w:rPr>
        <w:t>2</w:t>
      </w:r>
      <w:r>
        <w:rPr>
          <w:rFonts w:ascii="Arial"/>
          <w:color w:val="000000"/>
          <w:sz w:val="24"/>
        </w:rPr>
        <w:t xml:space="preserve"> </w:t>
      </w:r>
      <w:r>
        <w:rPr>
          <w:rFonts w:ascii="Arial"/>
          <w:color w:val="000000"/>
          <w:sz w:val="24"/>
        </w:rPr>
        <w:t>at ground level, which is 297.57m</w:t>
      </w:r>
      <w:r>
        <w:rPr>
          <w:rFonts w:ascii="Arial"/>
          <w:color w:val="000000"/>
          <w:sz w:val="24"/>
        </w:rPr>
        <w:t>2</w:t>
      </w:r>
      <w:r>
        <w:rPr>
          <w:rFonts w:ascii="Arial"/>
          <w:color w:val="000000"/>
          <w:sz w:val="24"/>
        </w:rPr>
        <w:t xml:space="preserve"> </w:t>
      </w:r>
      <w:r>
        <w:rPr>
          <w:rFonts w:ascii="Arial"/>
          <w:color w:val="000000"/>
          <w:sz w:val="24"/>
        </w:rPr>
        <w:t xml:space="preserve">less than that required by the non-discretionary </w:t>
      </w:r>
      <w:r>
        <w:rPr>
          <w:rFonts w:ascii="Arial"/>
          <w:color w:val="000000"/>
          <w:sz w:val="24"/>
        </w:rPr>
        <w:t xml:space="preserve">development </w:t>
      </w:r>
      <w:r>
        <w:rPr>
          <w:rFonts w:ascii="Arial"/>
          <w:color w:val="000000"/>
          <w:sz w:val="24"/>
        </w:rPr>
        <w:t>standard</w:t>
      </w:r>
      <w:r>
        <w:rPr>
          <w:rFonts w:ascii="Arial"/>
          <w:color w:val="000000"/>
          <w:sz w:val="24"/>
        </w:rPr>
        <w:t xml:space="preserve">. </w:t>
      </w:r>
      <w:r>
        <w:rPr>
          <w:rFonts w:ascii="Arial"/>
          <w:color w:val="000000"/>
          <w:sz w:val="24"/>
        </w:rPr>
        <w:t>It</w:t>
      </w:r>
      <w:r>
        <w:rPr>
          <w:rFonts w:ascii="Arial"/>
          <w:color w:val="000000"/>
          <w:sz w:val="24"/>
        </w:rPr>
        <w:t xml:space="preserve"> </w:t>
      </w:r>
      <w:r>
        <w:rPr>
          <w:rFonts w:ascii="Arial"/>
          <w:color w:val="000000"/>
          <w:sz w:val="24"/>
        </w:rPr>
        <w:t xml:space="preserve">is also said that </w:t>
      </w:r>
      <w:r>
        <w:rPr>
          <w:rFonts w:ascii="Arial"/>
          <w:color w:val="000000"/>
          <w:sz w:val="24"/>
        </w:rPr>
        <w:t>while less than the area required</w:t>
      </w:r>
      <w:r>
        <w:rPr>
          <w:rFonts w:ascii="Arial"/>
          <w:color w:val="000000"/>
          <w:sz w:val="24"/>
        </w:rPr>
        <w:t>, the landscape area pr</w:t>
      </w:r>
      <w:r>
        <w:rPr>
          <w:rFonts w:ascii="Arial"/>
          <w:color w:val="000000"/>
          <w:sz w:val="24"/>
        </w:rPr>
        <w:t xml:space="preserve">oposed is greater than </w:t>
      </w:r>
      <w:r>
        <w:rPr>
          <w:rFonts w:ascii="Arial"/>
          <w:color w:val="000000"/>
          <w:sz w:val="24"/>
        </w:rPr>
        <w:t xml:space="preserve">has </w:t>
      </w:r>
      <w:r>
        <w:rPr>
          <w:rFonts w:ascii="Arial"/>
          <w:color w:val="000000"/>
          <w:sz w:val="24"/>
        </w:rPr>
        <w:t xml:space="preserve">been evident </w:t>
      </w:r>
      <w:r>
        <w:rPr>
          <w:rFonts w:ascii="Arial"/>
          <w:color w:val="000000"/>
          <w:sz w:val="24"/>
        </w:rPr>
        <w:t>on</w:t>
      </w:r>
      <w:r>
        <w:rPr>
          <w:rFonts w:ascii="Arial"/>
          <w:color w:val="000000"/>
          <w:sz w:val="24"/>
        </w:rPr>
        <w:t xml:space="preserve"> </w:t>
      </w:r>
      <w:r>
        <w:rPr>
          <w:rFonts w:ascii="Arial"/>
          <w:color w:val="000000"/>
          <w:sz w:val="24"/>
        </w:rPr>
        <w:t>the site prior to now. This is partly due to its former use as a place of public worship</w:t>
      </w:r>
      <w:r>
        <w:rPr>
          <w:rFonts w:ascii="Arial"/>
          <w:color w:val="000000"/>
          <w:sz w:val="24"/>
        </w:rPr>
        <w:t xml:space="preserve"> </w:t>
      </w:r>
      <w:r>
        <w:rPr>
          <w:rFonts w:ascii="Arial"/>
          <w:color w:val="000000"/>
          <w:sz w:val="24"/>
        </w:rPr>
        <w:t>with associated car parking.</w:t>
      </w:r>
    </w:p>
    <w:p>
      <w:pPr>
        <w:pStyle w:val="CaselawNumbered10"/>
        <w:numPr>
          <w:ilvl w:val="0"/>
          <w:numId w:val="35"/>
        </w:numPr>
        <w:spacing w:before="150" w:after="0"/>
        <w:ind w:left="600" w:hanging="600"/>
      </w:pPr>
      <w:r>
        <w:rPr>
          <w:rFonts w:ascii="Arial"/>
          <w:color w:val="000000"/>
          <w:sz w:val="24"/>
        </w:rPr>
        <w:t>The written request on landscaped area</w:t>
      </w:r>
      <w:r>
        <w:rPr>
          <w:rFonts w:ascii="Arial"/>
          <w:color w:val="000000"/>
          <w:sz w:val="24"/>
        </w:rPr>
        <w:t xml:space="preserve"> </w:t>
      </w:r>
      <w:r>
        <w:rPr>
          <w:rFonts w:ascii="Arial"/>
          <w:color w:val="000000"/>
          <w:sz w:val="24"/>
        </w:rPr>
        <w:t>consider</w:t>
      </w:r>
      <w:r>
        <w:rPr>
          <w:rFonts w:ascii="Arial"/>
          <w:color w:val="000000"/>
          <w:sz w:val="24"/>
        </w:rPr>
        <w:t>s</w:t>
      </w:r>
      <w:r>
        <w:rPr>
          <w:rFonts w:ascii="Arial"/>
          <w:color w:val="000000"/>
          <w:sz w:val="24"/>
        </w:rPr>
        <w:t xml:space="preserve"> </w:t>
      </w:r>
      <w:r>
        <w:rPr>
          <w:rFonts w:ascii="Arial"/>
          <w:color w:val="000000"/>
          <w:sz w:val="24"/>
        </w:rPr>
        <w:t>compliance</w:t>
      </w:r>
      <w:r>
        <w:rPr>
          <w:rFonts w:ascii="Arial"/>
          <w:color w:val="000000"/>
          <w:sz w:val="24"/>
        </w:rPr>
        <w:t xml:space="preserve"> </w:t>
      </w:r>
      <w:r>
        <w:rPr>
          <w:rFonts w:ascii="Arial"/>
          <w:color w:val="000000"/>
          <w:sz w:val="24"/>
        </w:rPr>
        <w:t>with the standard to be</w:t>
      </w:r>
      <w:r>
        <w:rPr>
          <w:rFonts w:ascii="Arial"/>
          <w:color w:val="000000"/>
          <w:sz w:val="24"/>
        </w:rPr>
        <w:t xml:space="preserve"> </w:t>
      </w:r>
      <w:r>
        <w:rPr>
          <w:rFonts w:ascii="Arial"/>
          <w:color w:val="000000"/>
          <w:sz w:val="24"/>
        </w:rPr>
        <w:t>unreasonable or unnecessary</w:t>
      </w:r>
      <w:r>
        <w:rPr>
          <w:rFonts w:ascii="Arial"/>
          <w:color w:val="000000"/>
          <w:sz w:val="24"/>
        </w:rPr>
        <w:t xml:space="preserve"> </w:t>
      </w:r>
      <w:r>
        <w:rPr>
          <w:rFonts w:ascii="Arial"/>
          <w:color w:val="000000"/>
          <w:sz w:val="24"/>
        </w:rPr>
        <w:t>as</w:t>
      </w:r>
      <w:r>
        <w:rPr>
          <w:rFonts w:ascii="Arial"/>
          <w:color w:val="000000"/>
          <w:sz w:val="24"/>
        </w:rPr>
        <w:t xml:space="preserve"> </w:t>
      </w:r>
      <w:r>
        <w:rPr>
          <w:rFonts w:ascii="Arial"/>
          <w:color w:val="000000"/>
          <w:sz w:val="24"/>
        </w:rPr>
        <w:t>those objectives at Section 2.18 of the MDC</w:t>
      </w:r>
      <w:r>
        <w:rPr>
          <w:rFonts w:ascii="Arial"/>
          <w:color w:val="000000"/>
          <w:sz w:val="24"/>
        </w:rPr>
        <w:t>P</w:t>
      </w:r>
      <w:r>
        <w:rPr>
          <w:rFonts w:ascii="Arial"/>
          <w:color w:val="000000"/>
          <w:sz w:val="24"/>
        </w:rPr>
        <w:t xml:space="preserve"> </w:t>
      </w:r>
      <w:r>
        <w:rPr>
          <w:rFonts w:ascii="Arial"/>
          <w:color w:val="000000"/>
          <w:sz w:val="24"/>
        </w:rPr>
        <w:t>are</w:t>
      </w:r>
      <w:r>
        <w:rPr>
          <w:rFonts w:ascii="Arial"/>
          <w:color w:val="000000"/>
          <w:sz w:val="24"/>
        </w:rPr>
        <w:t xml:space="preserve"> </w:t>
      </w:r>
      <w:r>
        <w:rPr>
          <w:rFonts w:ascii="Arial"/>
          <w:color w:val="000000"/>
          <w:sz w:val="24"/>
        </w:rPr>
        <w:t>achieved notwithstanding the non-compliance</w:t>
      </w:r>
      <w:r>
        <w:rPr>
          <w:rFonts w:ascii="Arial"/>
          <w:color w:val="000000"/>
          <w:sz w:val="24"/>
        </w:rPr>
        <w:t>.</w:t>
      </w:r>
    </w:p>
    <w:p>
      <w:pPr>
        <w:pStyle w:val="CaselawNumbered10"/>
        <w:numPr>
          <w:ilvl w:val="0"/>
          <w:numId w:val="35"/>
        </w:numPr>
        <w:spacing w:before="150" w:after="0"/>
        <w:ind w:left="600" w:hanging="600"/>
      </w:pPr>
      <w:r>
        <w:rPr>
          <w:rFonts w:ascii="Arial"/>
          <w:color w:val="000000"/>
          <w:sz w:val="24"/>
        </w:rPr>
        <w:t>I am satisfied that the written request adequately addresses th</w:t>
      </w:r>
      <w:r>
        <w:rPr>
          <w:rFonts w:ascii="Arial"/>
          <w:color w:val="000000"/>
          <w:sz w:val="24"/>
        </w:rPr>
        <w:t xml:space="preserve">ose matters </w:t>
      </w:r>
      <w:r>
        <w:rPr>
          <w:rFonts w:ascii="Arial"/>
          <w:color w:val="000000"/>
          <w:sz w:val="24"/>
        </w:rPr>
        <w:t>to</w:t>
      </w:r>
      <w:r>
        <w:rPr>
          <w:rFonts w:ascii="Arial"/>
          <w:color w:val="000000"/>
          <w:sz w:val="24"/>
        </w:rPr>
        <w:t xml:space="preserve"> </w:t>
      </w:r>
      <w:r>
        <w:rPr>
          <w:rFonts w:ascii="Arial"/>
          <w:color w:val="000000"/>
          <w:sz w:val="24"/>
        </w:rPr>
        <w:t xml:space="preserve">be demonstrated at </w:t>
      </w:r>
      <w:r>
        <w:rPr>
          <w:rFonts w:ascii="Arial"/>
          <w:color w:val="000000"/>
          <w:sz w:val="24"/>
        </w:rPr>
        <w:t>cl 4.6(3) of the IWLEP for the reasons that follow:</w:t>
      </w:r>
    </w:p>
    <w:p>
      <w:pPr>
        <w:pStyle w:val="CaselawNumbered1"/>
        <w:numPr>
          <w:ilvl w:val="0"/>
          <w:numId w:val="36"/>
        </w:numPr>
        <w:spacing w:before="150" w:after="0"/>
        <w:ind w:left="1350" w:hanging="750"/>
      </w:pPr>
      <w:r>
        <w:rPr>
          <w:rFonts w:ascii="Arial"/>
          <w:color w:val="000000"/>
          <w:sz w:val="24"/>
        </w:rPr>
        <w:t xml:space="preserve">Firstly, I </w:t>
      </w:r>
      <w:r>
        <w:rPr>
          <w:rFonts w:ascii="Arial"/>
          <w:color w:val="000000"/>
          <w:sz w:val="24"/>
        </w:rPr>
        <w:t>accept that compliance wit</w:t>
      </w:r>
      <w:r>
        <w:rPr>
          <w:rFonts w:ascii="Arial"/>
          <w:color w:val="000000"/>
          <w:sz w:val="24"/>
        </w:rPr>
        <w:t>h</w:t>
      </w:r>
      <w:r>
        <w:rPr>
          <w:rFonts w:ascii="Arial"/>
          <w:color w:val="000000"/>
          <w:sz w:val="24"/>
        </w:rPr>
        <w:t xml:space="preserve"> </w:t>
      </w:r>
      <w:r>
        <w:rPr>
          <w:rFonts w:ascii="Arial"/>
          <w:color w:val="000000"/>
          <w:sz w:val="24"/>
        </w:rPr>
        <w:t xml:space="preserve">the standard is unreasonable or unnecessary </w:t>
      </w:r>
      <w:r>
        <w:rPr>
          <w:rFonts w:ascii="Arial"/>
          <w:color w:val="000000"/>
          <w:sz w:val="24"/>
        </w:rPr>
        <w:t xml:space="preserve">because the </w:t>
      </w:r>
      <w:r>
        <w:rPr>
          <w:rFonts w:ascii="Arial"/>
          <w:color w:val="000000"/>
          <w:sz w:val="24"/>
        </w:rPr>
        <w:t xml:space="preserve">relevant </w:t>
      </w:r>
      <w:r>
        <w:rPr>
          <w:rFonts w:ascii="Arial"/>
          <w:color w:val="000000"/>
          <w:sz w:val="24"/>
        </w:rPr>
        <w:t>objective</w:t>
      </w:r>
      <w:r>
        <w:rPr>
          <w:rFonts w:ascii="Arial"/>
          <w:color w:val="000000"/>
          <w:sz w:val="24"/>
        </w:rPr>
        <w:t>s</w:t>
      </w:r>
      <w:r>
        <w:rPr>
          <w:rFonts w:ascii="Arial"/>
          <w:color w:val="000000"/>
          <w:sz w:val="24"/>
        </w:rPr>
        <w:t xml:space="preserve"> </w:t>
      </w:r>
      <w:r>
        <w:rPr>
          <w:rFonts w:ascii="Arial"/>
          <w:color w:val="000000"/>
          <w:sz w:val="24"/>
        </w:rPr>
        <w:t xml:space="preserve">of the </w:t>
      </w:r>
      <w:r>
        <w:rPr>
          <w:rFonts w:ascii="Arial"/>
          <w:color w:val="000000"/>
          <w:sz w:val="24"/>
        </w:rPr>
        <w:t>relevant planning instrument at Section 2.18 of the MDCP</w:t>
      </w:r>
      <w:r>
        <w:rPr>
          <w:rFonts w:ascii="Arial"/>
          <w:color w:val="000000"/>
          <w:sz w:val="24"/>
        </w:rPr>
        <w:t xml:space="preserve"> </w:t>
      </w:r>
      <w:r>
        <w:rPr>
          <w:rFonts w:ascii="Arial"/>
          <w:color w:val="000000"/>
          <w:sz w:val="24"/>
        </w:rPr>
        <w:t xml:space="preserve">are </w:t>
      </w:r>
      <w:r>
        <w:rPr>
          <w:rFonts w:ascii="Arial"/>
          <w:color w:val="000000"/>
          <w:sz w:val="24"/>
        </w:rPr>
        <w:t>achieve</w:t>
      </w:r>
      <w:r>
        <w:rPr>
          <w:rFonts w:ascii="Arial"/>
          <w:color w:val="000000"/>
          <w:sz w:val="24"/>
        </w:rPr>
        <w:t>d</w:t>
      </w:r>
      <w:r>
        <w:rPr>
          <w:rFonts w:ascii="Arial"/>
          <w:color w:val="000000"/>
          <w:sz w:val="24"/>
        </w:rPr>
        <w:t xml:space="preserve"> </w:t>
      </w:r>
      <w:r>
        <w:rPr>
          <w:rFonts w:ascii="Arial"/>
          <w:color w:val="000000"/>
          <w:sz w:val="24"/>
        </w:rPr>
        <w:t>for the following reasons:</w:t>
      </w:r>
    </w:p>
    <w:p>
      <w:pPr>
        <w:pStyle w:val="CaselawNumbereda"/>
        <w:numPr>
          <w:ilvl w:val="0"/>
          <w:numId w:val="37"/>
        </w:numPr>
        <w:spacing w:before="150" w:after="0"/>
        <w:ind w:left="2100" w:hanging="750"/>
      </w:pPr>
      <w:r>
        <w:rPr>
          <w:rFonts w:ascii="Arial"/>
          <w:color w:val="000000"/>
          <w:sz w:val="24"/>
        </w:rPr>
        <w:t xml:space="preserve">In respect of objective </w:t>
      </w:r>
      <w:r>
        <w:rPr>
          <w:rFonts w:ascii="Arial"/>
          <w:color w:val="000000"/>
          <w:sz w:val="24"/>
        </w:rPr>
        <w:t>O1</w:t>
      </w:r>
      <w:r>
        <w:rPr>
          <w:rFonts w:ascii="Arial"/>
          <w:color w:val="000000"/>
          <w:sz w:val="24"/>
        </w:rPr>
        <w:t xml:space="preserve">, the character of the individual </w:t>
      </w:r>
      <w:r>
        <w:rPr>
          <w:rFonts w:ascii="Arial"/>
          <w:color w:val="000000"/>
          <w:sz w:val="24"/>
        </w:rPr>
        <w:t xml:space="preserve">building and the area </w:t>
      </w:r>
      <w:r>
        <w:rPr>
          <w:rFonts w:ascii="Arial"/>
          <w:color w:val="000000"/>
          <w:sz w:val="24"/>
        </w:rPr>
        <w:t>in this part of Charles Street displays little landscape</w:t>
      </w:r>
      <w:r>
        <w:rPr>
          <w:rFonts w:ascii="Arial"/>
          <w:color w:val="000000"/>
          <w:sz w:val="24"/>
        </w:rPr>
        <w:t xml:space="preserve"> </w:t>
      </w:r>
      <w:r>
        <w:rPr>
          <w:rFonts w:ascii="Arial"/>
          <w:color w:val="000000"/>
          <w:sz w:val="24"/>
        </w:rPr>
        <w:t>treatment</w:t>
      </w:r>
      <w:r>
        <w:rPr>
          <w:rFonts w:ascii="Arial"/>
          <w:color w:val="000000"/>
          <w:sz w:val="24"/>
        </w:rPr>
        <w:t xml:space="preserve"> </w:t>
      </w:r>
      <w:r>
        <w:rPr>
          <w:rFonts w:ascii="Arial"/>
          <w:color w:val="000000"/>
          <w:sz w:val="24"/>
        </w:rPr>
        <w:t>whatsoever</w:t>
      </w:r>
      <w:r>
        <w:rPr>
          <w:rFonts w:ascii="Arial"/>
          <w:color w:val="000000"/>
          <w:sz w:val="24"/>
        </w:rPr>
        <w:t>, other than street trees.</w:t>
      </w:r>
      <w:r>
        <w:rPr>
          <w:rFonts w:ascii="Arial"/>
          <w:color w:val="000000"/>
          <w:sz w:val="24"/>
        </w:rPr>
        <w:t xml:space="preserve"> </w:t>
      </w:r>
      <w:r>
        <w:rPr>
          <w:rFonts w:ascii="Arial"/>
          <w:color w:val="000000"/>
          <w:sz w:val="24"/>
        </w:rPr>
        <w:t xml:space="preserve">While the southern part of Charles Street includes some landscaping to the front setback of residential properties, this is </w:t>
      </w:r>
      <w:r>
        <w:rPr>
          <w:rFonts w:ascii="Arial"/>
          <w:color w:val="000000"/>
          <w:sz w:val="24"/>
        </w:rPr>
        <w:t>limited to a select few properties</w:t>
      </w:r>
      <w:r>
        <w:rPr>
          <w:rFonts w:ascii="Arial"/>
          <w:color w:val="000000"/>
          <w:sz w:val="24"/>
        </w:rPr>
        <w:t xml:space="preserve">, and where the majority of those appear to </w:t>
      </w:r>
      <w:r>
        <w:rPr>
          <w:rFonts w:ascii="Arial"/>
          <w:color w:val="000000"/>
          <w:sz w:val="24"/>
        </w:rPr>
        <w:t>have narrow garden beds similar to what is proposed in</w:t>
      </w:r>
      <w:r>
        <w:rPr>
          <w:rFonts w:ascii="Arial"/>
          <w:color w:val="000000"/>
          <w:sz w:val="24"/>
        </w:rPr>
        <w:t xml:space="preserve"> </w:t>
      </w:r>
      <w:r>
        <w:rPr>
          <w:rFonts w:ascii="Arial"/>
          <w:color w:val="000000"/>
          <w:sz w:val="24"/>
        </w:rPr>
        <w:t>the only part of the site with a front setback.</w:t>
      </w:r>
    </w:p>
    <w:p>
      <w:pPr>
        <w:pStyle w:val="CaselawNumbereda"/>
        <w:numPr>
          <w:ilvl w:val="0"/>
          <w:numId w:val="37"/>
        </w:numPr>
        <w:spacing w:before="150" w:after="0"/>
        <w:ind w:left="2100" w:hanging="750"/>
      </w:pPr>
      <w:r>
        <w:rPr>
          <w:rFonts w:ascii="Arial"/>
          <w:color w:val="000000"/>
          <w:sz w:val="24"/>
        </w:rPr>
        <w:t xml:space="preserve">In respect of objective </w:t>
      </w:r>
      <w:r>
        <w:rPr>
          <w:rFonts w:ascii="Arial"/>
          <w:color w:val="000000"/>
          <w:sz w:val="24"/>
        </w:rPr>
        <w:t>O3</w:t>
      </w:r>
      <w:r>
        <w:rPr>
          <w:rFonts w:ascii="Arial"/>
          <w:color w:val="000000"/>
          <w:sz w:val="24"/>
        </w:rPr>
        <w:t>, the proposal includes recreation space that I accept is outdoor</w:t>
      </w:r>
      <w:r>
        <w:rPr>
          <w:rFonts w:ascii="Arial"/>
          <w:color w:val="000000"/>
          <w:sz w:val="24"/>
        </w:rPr>
        <w:t xml:space="preserve"> </w:t>
      </w:r>
      <w:r>
        <w:rPr>
          <w:rFonts w:ascii="Arial"/>
          <w:color w:val="000000"/>
          <w:sz w:val="24"/>
        </w:rPr>
        <w:t>by virtue of it being exposed to the elements through the opening in the roof, and where a mix of paved and soft landscaping is proposed.</w:t>
      </w:r>
      <w:r>
        <w:rPr>
          <w:rFonts w:ascii="Arial"/>
          <w:color w:val="000000"/>
          <w:sz w:val="24"/>
        </w:rPr>
        <w:t xml:space="preserve"> </w:t>
      </w:r>
      <w:r>
        <w:rPr>
          <w:rFonts w:ascii="Arial"/>
          <w:color w:val="000000"/>
          <w:sz w:val="24"/>
        </w:rPr>
        <w:t xml:space="preserve">While this </w:t>
      </w:r>
      <w:r>
        <w:rPr>
          <w:rFonts w:ascii="Arial"/>
          <w:color w:val="000000"/>
          <w:sz w:val="24"/>
        </w:rPr>
        <w:t>communal open space, located on level 1, has an area of around 100m</w:t>
      </w:r>
      <w:r>
        <w:rPr>
          <w:rFonts w:ascii="Arial"/>
          <w:color w:val="000000"/>
          <w:sz w:val="24"/>
        </w:rPr>
        <w:t>2</w:t>
      </w:r>
      <w:r>
        <w:rPr>
          <w:rFonts w:ascii="Arial"/>
          <w:color w:val="000000"/>
          <w:sz w:val="24"/>
        </w:rPr>
        <w:t xml:space="preserve">, it is co-located with the communal living room, with access to facilities that </w:t>
      </w:r>
      <w:r>
        <w:rPr>
          <w:rFonts w:ascii="Arial"/>
          <w:color w:val="000000"/>
          <w:sz w:val="24"/>
        </w:rPr>
        <w:t xml:space="preserve">augment its function, such as laundry, kitchen, </w:t>
      </w:r>
      <w:r>
        <w:rPr>
          <w:rFonts w:ascii="Arial"/>
          <w:color w:val="000000"/>
          <w:sz w:val="24"/>
        </w:rPr>
        <w:t>clotheslines</w:t>
      </w:r>
      <w:r>
        <w:rPr>
          <w:rFonts w:ascii="Arial"/>
          <w:color w:val="000000"/>
          <w:sz w:val="24"/>
        </w:rPr>
        <w:t xml:space="preserve"> </w:t>
      </w:r>
      <w:r>
        <w:rPr>
          <w:rFonts w:ascii="Arial"/>
          <w:color w:val="000000"/>
          <w:sz w:val="24"/>
        </w:rPr>
        <w:t xml:space="preserve">and other amenities. </w:t>
      </w:r>
    </w:p>
    <w:p>
      <w:pPr>
        <w:pStyle w:val="CaselawNumbereda"/>
        <w:numPr>
          <w:ilvl w:val="0"/>
          <w:numId w:val="37"/>
        </w:numPr>
        <w:spacing w:before="150" w:after="0"/>
        <w:ind w:left="2100" w:hanging="750"/>
      </w:pPr>
      <w:r>
        <w:rPr>
          <w:rFonts w:ascii="Arial"/>
          <w:color w:val="000000"/>
          <w:sz w:val="24"/>
        </w:rPr>
        <w:t xml:space="preserve">In respect of objective </w:t>
      </w:r>
      <w:r>
        <w:rPr>
          <w:rFonts w:ascii="Arial"/>
          <w:color w:val="000000"/>
          <w:sz w:val="24"/>
        </w:rPr>
        <w:t>O4</w:t>
      </w:r>
      <w:r>
        <w:rPr>
          <w:rFonts w:ascii="Arial"/>
          <w:color w:val="000000"/>
          <w:sz w:val="24"/>
        </w:rPr>
        <w:t xml:space="preserve">, the </w:t>
      </w:r>
      <w:r>
        <w:rPr>
          <w:rFonts w:ascii="Arial"/>
          <w:color w:val="000000"/>
          <w:sz w:val="24"/>
        </w:rPr>
        <w:t>site</w:t>
      </w:r>
      <w:r>
        <w:rPr>
          <w:rFonts w:ascii="Arial"/>
          <w:color w:val="000000"/>
          <w:sz w:val="24"/>
        </w:rPr>
        <w:t xml:space="preserve"> </w:t>
      </w:r>
      <w:r>
        <w:rPr>
          <w:rFonts w:ascii="Arial"/>
          <w:color w:val="000000"/>
          <w:sz w:val="24"/>
        </w:rPr>
        <w:t>is currently</w:t>
      </w:r>
      <w:r>
        <w:rPr>
          <w:rFonts w:ascii="Arial"/>
          <w:color w:val="000000"/>
          <w:sz w:val="24"/>
        </w:rPr>
        <w:t xml:space="preserve"> </w:t>
      </w:r>
      <w:r>
        <w:rPr>
          <w:rFonts w:ascii="Arial"/>
          <w:color w:val="000000"/>
          <w:sz w:val="24"/>
        </w:rPr>
        <w:t>occupied</w:t>
      </w:r>
      <w:r>
        <w:rPr>
          <w:rFonts w:ascii="Arial"/>
          <w:color w:val="000000"/>
          <w:sz w:val="24"/>
        </w:rPr>
        <w:t xml:space="preserve"> </w:t>
      </w:r>
      <w:r>
        <w:rPr>
          <w:rFonts w:ascii="Arial"/>
          <w:color w:val="000000"/>
          <w:sz w:val="24"/>
        </w:rPr>
        <w:t>almost entirely</w:t>
      </w:r>
      <w:r>
        <w:rPr>
          <w:rFonts w:ascii="Arial"/>
          <w:color w:val="000000"/>
          <w:sz w:val="24"/>
        </w:rPr>
        <w:t xml:space="preserve"> </w:t>
      </w:r>
      <w:r>
        <w:rPr>
          <w:rFonts w:ascii="Arial"/>
          <w:color w:val="000000"/>
          <w:sz w:val="24"/>
        </w:rPr>
        <w:t>by either built form or concrete hardstand</w:t>
      </w:r>
      <w:r>
        <w:rPr>
          <w:rFonts w:ascii="Arial"/>
          <w:color w:val="000000"/>
          <w:sz w:val="24"/>
        </w:rPr>
        <w:t xml:space="preserve"> </w:t>
      </w:r>
      <w:r>
        <w:rPr>
          <w:rFonts w:ascii="Arial"/>
          <w:color w:val="000000"/>
          <w:sz w:val="24"/>
        </w:rPr>
        <w:t xml:space="preserve">that is proposed to be retained, either </w:t>
      </w:r>
      <w:r>
        <w:rPr>
          <w:rFonts w:ascii="Arial"/>
          <w:color w:val="000000"/>
          <w:sz w:val="24"/>
        </w:rPr>
        <w:t xml:space="preserve">to conform with the requirements of cl 6.12 of the IWLEP, or to satisfy the non-discretionary development standards in </w:t>
      </w:r>
      <w:r>
        <w:rPr>
          <w:rFonts w:ascii="Arial"/>
          <w:color w:val="000000"/>
          <w:sz w:val="24"/>
        </w:rPr>
        <w:t xml:space="preserve">respect of car parking on the site. Within this context, the area of permeable </w:t>
      </w:r>
      <w:r>
        <w:rPr>
          <w:rFonts w:ascii="Arial"/>
          <w:color w:val="000000"/>
          <w:sz w:val="24"/>
        </w:rPr>
        <w:t xml:space="preserve">landscaping is increased, and so the hardstand minimised. </w:t>
      </w:r>
    </w:p>
    <w:p>
      <w:pPr>
        <w:pStyle w:val="CaselawNumbereda"/>
        <w:numPr>
          <w:ilvl w:val="0"/>
          <w:numId w:val="37"/>
        </w:numPr>
        <w:spacing w:before="150" w:after="0"/>
        <w:ind w:left="2100" w:hanging="750"/>
      </w:pPr>
      <w:r>
        <w:rPr>
          <w:rFonts w:ascii="Arial"/>
          <w:color w:val="000000"/>
          <w:sz w:val="24"/>
        </w:rPr>
        <w:t xml:space="preserve">In respect of objective </w:t>
      </w:r>
      <w:r>
        <w:rPr>
          <w:rFonts w:ascii="Arial"/>
          <w:color w:val="000000"/>
          <w:sz w:val="24"/>
        </w:rPr>
        <w:t>O5</w:t>
      </w:r>
      <w:r>
        <w:rPr>
          <w:rFonts w:ascii="Arial"/>
          <w:color w:val="000000"/>
          <w:sz w:val="24"/>
        </w:rPr>
        <w:t xml:space="preserve">, I note the experts agree the modest landscape planting proposed at ground level will </w:t>
      </w:r>
      <w:r>
        <w:rPr>
          <w:rFonts w:ascii="Arial"/>
          <w:color w:val="000000"/>
          <w:sz w:val="24"/>
        </w:rPr>
        <w:t xml:space="preserve">improve the appearance and amenity, subject to </w:t>
      </w:r>
      <w:r>
        <w:rPr>
          <w:rFonts w:ascii="Arial"/>
          <w:color w:val="000000"/>
          <w:sz w:val="24"/>
        </w:rPr>
        <w:t>pruning and maintenance of the feature tree located in the ground level garden bed adjacent to the ground floor communal open space.</w:t>
      </w:r>
      <w:r>
        <w:rPr>
          <w:rFonts w:ascii="Arial"/>
          <w:color w:val="000000"/>
          <w:sz w:val="24"/>
        </w:rPr>
        <w:t xml:space="preserve"> </w:t>
      </w:r>
    </w:p>
    <w:p>
      <w:pPr>
        <w:pStyle w:val="CaselawNumbered1"/>
        <w:numPr>
          <w:ilvl w:val="0"/>
          <w:numId w:val="38"/>
        </w:numPr>
        <w:spacing w:before="150" w:after="0"/>
        <w:ind w:left="1350" w:hanging="750"/>
      </w:pPr>
      <w:r>
        <w:rPr>
          <w:rFonts w:ascii="Arial"/>
          <w:color w:val="000000"/>
          <w:sz w:val="24"/>
        </w:rPr>
        <w:t xml:space="preserve">Next, I accept </w:t>
      </w:r>
      <w:r>
        <w:rPr>
          <w:rFonts w:ascii="Arial"/>
          <w:color w:val="000000"/>
          <w:sz w:val="24"/>
        </w:rPr>
        <w:t xml:space="preserve">and am satisfied </w:t>
      </w:r>
      <w:r>
        <w:rPr>
          <w:rFonts w:ascii="Arial"/>
          <w:color w:val="000000"/>
          <w:sz w:val="24"/>
        </w:rPr>
        <w:t>th</w:t>
      </w:r>
      <w:r>
        <w:rPr>
          <w:rFonts w:ascii="Arial"/>
          <w:color w:val="000000"/>
          <w:sz w:val="24"/>
        </w:rPr>
        <w:t xml:space="preserve">at </w:t>
      </w:r>
      <w:r>
        <w:rPr>
          <w:rFonts w:ascii="Arial"/>
          <w:color w:val="000000"/>
          <w:sz w:val="24"/>
        </w:rPr>
        <w:t xml:space="preserve">the </w:t>
      </w:r>
      <w:r>
        <w:rPr>
          <w:rFonts w:ascii="Arial"/>
          <w:color w:val="000000"/>
          <w:sz w:val="24"/>
        </w:rPr>
        <w:t>environmental planning grounds relied on are sufficient to justify the contravening of the standard. The grounds relied on include the</w:t>
      </w:r>
      <w:r>
        <w:rPr>
          <w:rFonts w:ascii="Arial"/>
          <w:color w:val="000000"/>
          <w:sz w:val="24"/>
        </w:rPr>
        <w:t xml:space="preserve"> </w:t>
      </w:r>
      <w:r>
        <w:rPr>
          <w:rFonts w:ascii="Arial"/>
          <w:color w:val="000000"/>
          <w:sz w:val="24"/>
        </w:rPr>
        <w:t>difficulty in achieving the landscaped area because of the</w:t>
      </w:r>
      <w:r>
        <w:rPr>
          <w:rFonts w:ascii="Arial"/>
          <w:color w:val="000000"/>
          <w:sz w:val="24"/>
        </w:rPr>
        <w:t xml:space="preserve"> </w:t>
      </w:r>
      <w:r>
        <w:rPr>
          <w:rFonts w:ascii="Arial"/>
          <w:color w:val="000000"/>
          <w:sz w:val="24"/>
        </w:rPr>
        <w:t xml:space="preserve">substantial retention of the existing buildings and hardstand on the site in pursuit of </w:t>
      </w:r>
      <w:r>
        <w:rPr>
          <w:rFonts w:ascii="Arial"/>
          <w:color w:val="000000"/>
          <w:sz w:val="24"/>
        </w:rPr>
        <w:t xml:space="preserve">adaptive reuse </w:t>
      </w:r>
      <w:r>
        <w:rPr>
          <w:rFonts w:ascii="Arial"/>
          <w:color w:val="000000"/>
          <w:sz w:val="24"/>
        </w:rPr>
        <w:t>of the existing building</w:t>
      </w:r>
      <w:r>
        <w:rPr>
          <w:rFonts w:ascii="Arial"/>
          <w:color w:val="000000"/>
          <w:sz w:val="24"/>
        </w:rPr>
        <w:t xml:space="preserve">. </w:t>
      </w:r>
      <w:r>
        <w:rPr>
          <w:rFonts w:ascii="Arial"/>
          <w:color w:val="000000"/>
          <w:sz w:val="24"/>
        </w:rPr>
        <w:t>As such</w:t>
      </w:r>
      <w:r>
        <w:rPr>
          <w:rFonts w:ascii="Arial"/>
          <w:color w:val="000000"/>
          <w:sz w:val="24"/>
        </w:rPr>
        <w:t>,</w:t>
      </w:r>
      <w:r>
        <w:rPr>
          <w:rFonts w:ascii="Arial"/>
          <w:color w:val="000000"/>
          <w:sz w:val="24"/>
        </w:rPr>
        <w:t xml:space="preserve"> </w:t>
      </w:r>
      <w:r>
        <w:rPr>
          <w:rFonts w:ascii="Arial"/>
          <w:color w:val="000000"/>
          <w:sz w:val="24"/>
        </w:rPr>
        <w:t xml:space="preserve">there is limited opportunity to achieve compliance </w:t>
      </w:r>
      <w:r>
        <w:rPr>
          <w:rFonts w:ascii="Arial"/>
          <w:color w:val="000000"/>
          <w:sz w:val="24"/>
        </w:rPr>
        <w:t xml:space="preserve">with the standard </w:t>
      </w:r>
      <w:r>
        <w:rPr>
          <w:rFonts w:ascii="Arial"/>
          <w:color w:val="000000"/>
          <w:sz w:val="24"/>
        </w:rPr>
        <w:t>without substantial demolition of the existing building fabric</w:t>
      </w:r>
      <w:r>
        <w:rPr>
          <w:rFonts w:ascii="Arial"/>
          <w:color w:val="000000"/>
          <w:sz w:val="24"/>
        </w:rPr>
        <w:t>. In any event, the alternative location of landscaping proposed in the elevated communal open space provides the amenity otherwise expected to be delivered on the ground level</w:t>
      </w:r>
      <w:r>
        <w:rPr>
          <w:rFonts w:ascii="Arial"/>
          <w:color w:val="000000"/>
          <w:sz w:val="24"/>
        </w:rPr>
        <w:t>, while a degree of landscaping is provided on the ground level in the form of a small</w:t>
      </w:r>
      <w:r>
        <w:rPr>
          <w:rFonts w:ascii="Arial"/>
          <w:color w:val="000000"/>
          <w:sz w:val="24"/>
        </w:rPr>
        <w:t xml:space="preserve"> </w:t>
      </w:r>
      <w:r>
        <w:rPr>
          <w:rFonts w:ascii="Arial"/>
          <w:color w:val="000000"/>
          <w:sz w:val="24"/>
        </w:rPr>
        <w:t>green wall,</w:t>
      </w:r>
      <w:r>
        <w:rPr>
          <w:rFonts w:ascii="Arial"/>
          <w:color w:val="000000"/>
          <w:sz w:val="24"/>
        </w:rPr>
        <w:t xml:space="preserve"> </w:t>
      </w:r>
      <w:r>
        <w:rPr>
          <w:rFonts w:ascii="Arial"/>
          <w:color w:val="000000"/>
          <w:sz w:val="24"/>
        </w:rPr>
        <w:t>garden bed and feature tree.</w:t>
      </w:r>
      <w:r>
        <w:rPr>
          <w:rFonts w:ascii="Arial"/>
          <w:color w:val="000000"/>
          <w:sz w:val="24"/>
        </w:rPr>
        <w:t xml:space="preserve"> </w:t>
      </w:r>
    </w:p>
    <w:p>
      <w:pPr>
        <w:pStyle w:val="CaselawNumbered10"/>
        <w:numPr>
          <w:ilvl w:val="0"/>
          <w:numId w:val="39"/>
        </w:numPr>
        <w:spacing w:before="150" w:after="0"/>
        <w:ind w:left="600" w:hanging="600"/>
      </w:pPr>
      <w:r>
        <w:rPr>
          <w:rFonts w:ascii="Arial"/>
          <w:color w:val="000000"/>
          <w:sz w:val="24"/>
        </w:rPr>
        <w:t xml:space="preserve">Finally, the </w:t>
      </w:r>
      <w:r>
        <w:rPr>
          <w:rFonts w:ascii="Arial"/>
          <w:color w:val="000000"/>
          <w:sz w:val="24"/>
        </w:rPr>
        <w:t xml:space="preserve">written request on landscaped area </w:t>
      </w:r>
      <w:r>
        <w:rPr>
          <w:rFonts w:ascii="Arial"/>
          <w:color w:val="000000"/>
          <w:sz w:val="24"/>
        </w:rPr>
        <w:t xml:space="preserve">asserts that the proposed development will be in the public interest because it is consistent with </w:t>
      </w:r>
      <w:r>
        <w:rPr>
          <w:rFonts w:ascii="Arial"/>
          <w:color w:val="000000"/>
          <w:sz w:val="24"/>
        </w:rPr>
        <w:t xml:space="preserve">the general principles of the Housing SEPP, and with the objectives of the R2 zone. </w:t>
      </w:r>
    </w:p>
    <w:p>
      <w:pPr>
        <w:pStyle w:val="CaselawNumbered10"/>
        <w:numPr>
          <w:ilvl w:val="0"/>
          <w:numId w:val="39"/>
        </w:numPr>
        <w:spacing w:before="150" w:after="0"/>
        <w:ind w:left="600" w:hanging="600"/>
      </w:pPr>
      <w:r>
        <w:rPr>
          <w:rFonts w:ascii="Arial"/>
          <w:color w:val="000000"/>
          <w:sz w:val="24"/>
        </w:rPr>
        <w:t xml:space="preserve">Consistency with the </w:t>
      </w:r>
      <w:r>
        <w:rPr>
          <w:rFonts w:ascii="Arial"/>
          <w:color w:val="000000"/>
          <w:sz w:val="24"/>
        </w:rPr>
        <w:t xml:space="preserve">Principles </w:t>
      </w:r>
      <w:r>
        <w:rPr>
          <w:rFonts w:ascii="Arial"/>
          <w:color w:val="000000"/>
          <w:sz w:val="24"/>
        </w:rPr>
        <w:t xml:space="preserve">of </w:t>
      </w:r>
      <w:r>
        <w:rPr>
          <w:rFonts w:ascii="Arial"/>
          <w:color w:val="000000"/>
          <w:sz w:val="24"/>
        </w:rPr>
        <w:t xml:space="preserve">the Policy at s 3 of the Housing SEPP </w:t>
      </w:r>
      <w:r>
        <w:rPr>
          <w:rFonts w:ascii="Arial"/>
          <w:color w:val="000000"/>
          <w:sz w:val="24"/>
        </w:rPr>
        <w:t>is</w:t>
      </w:r>
      <w:r>
        <w:rPr>
          <w:rFonts w:ascii="Arial"/>
          <w:color w:val="000000"/>
          <w:sz w:val="24"/>
        </w:rPr>
        <w:t xml:space="preserve"> </w:t>
      </w:r>
      <w:r>
        <w:rPr>
          <w:rFonts w:ascii="Arial"/>
          <w:color w:val="000000"/>
          <w:sz w:val="24"/>
        </w:rPr>
        <w:t>set out in the written request on landscaped area, summarised as follows:</w:t>
      </w:r>
    </w:p>
    <w:p>
      <w:pPr>
        <w:pStyle w:val="CaselawNumbered1"/>
        <w:numPr>
          <w:ilvl w:val="0"/>
          <w:numId w:val="40"/>
        </w:numPr>
        <w:spacing w:before="150" w:after="0"/>
        <w:ind w:left="1350" w:hanging="750"/>
      </w:pPr>
      <w:r>
        <w:rPr>
          <w:rFonts w:ascii="Arial"/>
          <w:color w:val="000000"/>
          <w:sz w:val="24"/>
        </w:rPr>
        <w:t xml:space="preserve">Co-living housing is one form of affordable rental housing </w:t>
      </w:r>
      <w:r>
        <w:rPr>
          <w:rFonts w:ascii="Arial"/>
          <w:color w:val="000000"/>
          <w:sz w:val="24"/>
        </w:rPr>
        <w:t>that meets the needs of the community, including vulnerable members of the comm</w:t>
      </w:r>
      <w:r>
        <w:rPr>
          <w:rFonts w:ascii="Arial"/>
          <w:color w:val="000000"/>
          <w:sz w:val="24"/>
        </w:rPr>
        <w:t xml:space="preserve">unity, </w:t>
      </w:r>
      <w:r>
        <w:rPr>
          <w:rFonts w:ascii="Arial"/>
          <w:color w:val="000000"/>
          <w:sz w:val="24"/>
        </w:rPr>
        <w:t>low- and moderate-income</w:t>
      </w:r>
      <w:r>
        <w:rPr>
          <w:rFonts w:ascii="Arial"/>
          <w:color w:val="000000"/>
          <w:sz w:val="24"/>
        </w:rPr>
        <w:t xml:space="preserve"> </w:t>
      </w:r>
      <w:r>
        <w:rPr>
          <w:rFonts w:ascii="Arial"/>
          <w:color w:val="000000"/>
          <w:sz w:val="24"/>
        </w:rPr>
        <w:t xml:space="preserve">households, </w:t>
      </w:r>
      <w:r>
        <w:rPr>
          <w:rFonts w:ascii="Arial"/>
          <w:color w:val="000000"/>
          <w:sz w:val="24"/>
        </w:rPr>
        <w:t>seniors</w:t>
      </w:r>
      <w:r>
        <w:rPr>
          <w:rFonts w:ascii="Arial"/>
          <w:color w:val="000000"/>
          <w:sz w:val="24"/>
        </w:rPr>
        <w:t xml:space="preserve"> </w:t>
      </w:r>
      <w:r>
        <w:rPr>
          <w:rFonts w:ascii="Arial"/>
          <w:color w:val="000000"/>
          <w:sz w:val="24"/>
        </w:rPr>
        <w:t xml:space="preserve">and people with a disability. </w:t>
      </w:r>
    </w:p>
    <w:p>
      <w:pPr>
        <w:pStyle w:val="CaselawNumbered1"/>
        <w:numPr>
          <w:ilvl w:val="0"/>
          <w:numId w:val="40"/>
        </w:numPr>
        <w:spacing w:before="150" w:after="0"/>
        <w:ind w:left="1350" w:hanging="750"/>
      </w:pPr>
      <w:r>
        <w:rPr>
          <w:rFonts w:ascii="Arial"/>
          <w:color w:val="000000"/>
          <w:sz w:val="24"/>
        </w:rPr>
        <w:t xml:space="preserve">The </w:t>
      </w:r>
      <w:r>
        <w:rPr>
          <w:rFonts w:ascii="Arial"/>
          <w:color w:val="000000"/>
          <w:sz w:val="24"/>
        </w:rPr>
        <w:t>individual rooms and communal open space satisfy the requirements of the Housing SEPP</w:t>
      </w:r>
      <w:r>
        <w:rPr>
          <w:rFonts w:ascii="Arial"/>
          <w:color w:val="000000"/>
          <w:sz w:val="24"/>
        </w:rPr>
        <w:t>, and so achieve the level of amenity expected</w:t>
      </w:r>
      <w:r>
        <w:rPr>
          <w:rFonts w:ascii="Arial"/>
          <w:color w:val="000000"/>
          <w:sz w:val="24"/>
        </w:rPr>
        <w:t xml:space="preserve"> </w:t>
      </w:r>
      <w:r>
        <w:rPr>
          <w:rFonts w:ascii="Arial"/>
          <w:color w:val="000000"/>
          <w:sz w:val="24"/>
        </w:rPr>
        <w:t>by the Housing SEPP</w:t>
      </w:r>
      <w:r>
        <w:rPr>
          <w:rFonts w:ascii="Arial"/>
          <w:color w:val="000000"/>
          <w:sz w:val="24"/>
        </w:rPr>
        <w:t>.</w:t>
      </w:r>
    </w:p>
    <w:p>
      <w:pPr>
        <w:pStyle w:val="CaselawNumbered1"/>
        <w:numPr>
          <w:ilvl w:val="0"/>
          <w:numId w:val="40"/>
        </w:numPr>
        <w:spacing w:before="150" w:after="0"/>
        <w:ind w:left="1350" w:hanging="750"/>
      </w:pPr>
      <w:r>
        <w:rPr>
          <w:rFonts w:ascii="Arial"/>
          <w:color w:val="000000"/>
          <w:sz w:val="24"/>
        </w:rPr>
        <w:t>The delivery of housing via adaptive reuse</w:t>
      </w:r>
      <w:r>
        <w:rPr>
          <w:rFonts w:ascii="Arial"/>
          <w:color w:val="000000"/>
          <w:sz w:val="24"/>
        </w:rPr>
        <w:t xml:space="preserve"> </w:t>
      </w:r>
      <w:r>
        <w:rPr>
          <w:rFonts w:ascii="Arial"/>
          <w:color w:val="000000"/>
          <w:sz w:val="24"/>
        </w:rPr>
        <w:t xml:space="preserve">in this location </w:t>
      </w:r>
      <w:r>
        <w:rPr>
          <w:rFonts w:ascii="Arial"/>
          <w:color w:val="000000"/>
          <w:sz w:val="24"/>
        </w:rPr>
        <w:t xml:space="preserve">makes good use of the existing built form </w:t>
      </w:r>
      <w:r>
        <w:rPr>
          <w:rFonts w:ascii="Arial"/>
          <w:color w:val="000000"/>
          <w:sz w:val="24"/>
        </w:rPr>
        <w:t>on</w:t>
      </w:r>
      <w:r>
        <w:rPr>
          <w:rFonts w:ascii="Arial"/>
          <w:color w:val="000000"/>
          <w:sz w:val="24"/>
        </w:rPr>
        <w:t xml:space="preserve"> </w:t>
      </w:r>
      <w:r>
        <w:rPr>
          <w:rFonts w:ascii="Arial"/>
          <w:color w:val="000000"/>
          <w:sz w:val="24"/>
        </w:rPr>
        <w:t>the site,</w:t>
      </w:r>
      <w:r>
        <w:rPr>
          <w:rFonts w:ascii="Arial"/>
          <w:color w:val="000000"/>
          <w:sz w:val="24"/>
        </w:rPr>
        <w:t xml:space="preserve"> </w:t>
      </w:r>
      <w:r>
        <w:rPr>
          <w:rFonts w:ascii="Arial"/>
          <w:color w:val="000000"/>
          <w:sz w:val="24"/>
        </w:rPr>
        <w:t>minimises environmental impacts from demolition and waste,</w:t>
      </w:r>
      <w:r>
        <w:rPr>
          <w:rFonts w:ascii="Arial"/>
          <w:color w:val="000000"/>
          <w:sz w:val="24"/>
        </w:rPr>
        <w:t xml:space="preserve"> </w:t>
      </w:r>
      <w:r>
        <w:rPr>
          <w:rFonts w:ascii="Arial"/>
          <w:color w:val="000000"/>
          <w:sz w:val="24"/>
        </w:rPr>
        <w:t xml:space="preserve">preserves the existing streetscape character and </w:t>
      </w:r>
      <w:r>
        <w:rPr>
          <w:rFonts w:ascii="Arial"/>
          <w:color w:val="000000"/>
          <w:sz w:val="24"/>
        </w:rPr>
        <w:t>locates housing close to public transport, shops services and the like.</w:t>
      </w:r>
    </w:p>
    <w:p>
      <w:pPr>
        <w:pStyle w:val="CaselawNumbered1"/>
        <w:numPr>
          <w:ilvl w:val="0"/>
          <w:numId w:val="40"/>
        </w:numPr>
        <w:spacing w:before="150" w:after="0"/>
        <w:ind w:left="1350" w:hanging="750"/>
      </w:pPr>
      <w:r>
        <w:rPr>
          <w:rFonts w:ascii="Arial"/>
          <w:color w:val="000000"/>
          <w:sz w:val="24"/>
        </w:rPr>
        <w:t>Adaptive reuse of the existing building fabric</w:t>
      </w:r>
      <w:r>
        <w:rPr>
          <w:rFonts w:ascii="Arial"/>
          <w:color w:val="000000"/>
          <w:sz w:val="24"/>
        </w:rPr>
        <w:t xml:space="preserve"> </w:t>
      </w:r>
      <w:r>
        <w:rPr>
          <w:rFonts w:ascii="Arial"/>
          <w:color w:val="000000"/>
          <w:sz w:val="24"/>
        </w:rPr>
        <w:t>largely</w:t>
      </w:r>
      <w:r>
        <w:rPr>
          <w:rFonts w:ascii="Arial"/>
          <w:color w:val="000000"/>
          <w:sz w:val="24"/>
        </w:rPr>
        <w:t xml:space="preserve"> </w:t>
      </w:r>
      <w:r>
        <w:rPr>
          <w:rFonts w:ascii="Arial"/>
          <w:color w:val="000000"/>
          <w:sz w:val="24"/>
        </w:rPr>
        <w:t xml:space="preserve">maintains the </w:t>
      </w:r>
      <w:r>
        <w:rPr>
          <w:rFonts w:ascii="Arial"/>
          <w:color w:val="000000"/>
          <w:sz w:val="24"/>
        </w:rPr>
        <w:t>streetscape context that has reflected the local</w:t>
      </w:r>
      <w:r>
        <w:rPr>
          <w:rFonts w:ascii="Arial"/>
          <w:color w:val="000000"/>
          <w:sz w:val="24"/>
        </w:rPr>
        <w:t xml:space="preserve"> </w:t>
      </w:r>
      <w:r>
        <w:rPr>
          <w:rFonts w:ascii="Arial"/>
          <w:color w:val="000000"/>
          <w:sz w:val="24"/>
        </w:rPr>
        <w:t>character prior to now</w:t>
      </w:r>
      <w:r>
        <w:rPr>
          <w:rFonts w:ascii="Arial"/>
          <w:color w:val="000000"/>
          <w:sz w:val="24"/>
        </w:rPr>
        <w:t xml:space="preserve">, while also introducing </w:t>
      </w:r>
      <w:r>
        <w:rPr>
          <w:rFonts w:ascii="Arial"/>
          <w:color w:val="000000"/>
          <w:sz w:val="24"/>
        </w:rPr>
        <w:t>new residents to the area in an environment that will be managed via a Plan of Management</w:t>
      </w:r>
      <w:r>
        <w:rPr>
          <w:rFonts w:ascii="Arial"/>
          <w:color w:val="000000"/>
          <w:sz w:val="24"/>
        </w:rPr>
        <w:t xml:space="preserve"> </w:t>
      </w:r>
      <w:r>
        <w:rPr>
          <w:rFonts w:ascii="Arial"/>
          <w:color w:val="000000"/>
          <w:sz w:val="24"/>
        </w:rPr>
        <w:t xml:space="preserve">so as to </w:t>
      </w:r>
      <w:r>
        <w:rPr>
          <w:rFonts w:ascii="Arial"/>
          <w:color w:val="000000"/>
          <w:sz w:val="24"/>
        </w:rPr>
        <w:t>moderate</w:t>
      </w:r>
      <w:r>
        <w:rPr>
          <w:rFonts w:ascii="Arial"/>
          <w:color w:val="000000"/>
          <w:sz w:val="24"/>
        </w:rPr>
        <w:t xml:space="preserve"> </w:t>
      </w:r>
      <w:r>
        <w:rPr>
          <w:rFonts w:ascii="Arial"/>
          <w:color w:val="000000"/>
          <w:sz w:val="24"/>
        </w:rPr>
        <w:t>the social and environmental impacts of the development.</w:t>
      </w:r>
    </w:p>
    <w:p>
      <w:pPr>
        <w:pStyle w:val="CaselawNumbered10"/>
        <w:numPr>
          <w:ilvl w:val="0"/>
          <w:numId w:val="41"/>
        </w:numPr>
        <w:spacing w:before="150" w:after="0"/>
        <w:ind w:left="600" w:hanging="600"/>
      </w:pPr>
      <w:r>
        <w:rPr>
          <w:rFonts w:ascii="Arial"/>
          <w:color w:val="000000"/>
          <w:sz w:val="24"/>
        </w:rPr>
        <w:t>The objectives of the R2 zone are as follows:</w:t>
      </w:r>
    </w:p>
    <w:p>
      <w:pPr>
        <w:pStyle w:val="CaselawQuote"/>
        <w:spacing w:before="150" w:after="150"/>
        <w:ind w:left="1350"/>
        <w:jc w:val="left"/>
      </w:pPr>
      <w:r>
        <w:rPr>
          <w:rFonts w:ascii="Arial"/>
          <w:color w:val="000000"/>
          <w:sz w:val="22"/>
        </w:rPr>
        <w:t xml:space="preserve">•  To provide for the housing needs of the community within a </w:t>
      </w:r>
      <w:r>
        <w:rPr>
          <w:rFonts w:ascii="Arial"/>
          <w:color w:val="000000"/>
          <w:sz w:val="22"/>
        </w:rPr>
        <w:t>low density</w:t>
      </w:r>
      <w:r>
        <w:rPr>
          <w:rFonts w:ascii="Arial"/>
          <w:color w:val="000000"/>
          <w:sz w:val="22"/>
        </w:rPr>
        <w:t xml:space="preserve"> residential environment.</w:t>
      </w:r>
    </w:p>
    <w:p>
      <w:pPr>
        <w:pStyle w:val="CaselawQuote"/>
        <w:spacing w:before="150" w:after="150"/>
        <w:ind w:left="1350"/>
        <w:jc w:val="left"/>
      </w:pPr>
      <w:r>
        <w:rPr>
          <w:rFonts w:ascii="Arial"/>
          <w:color w:val="000000"/>
          <w:sz w:val="22"/>
        </w:rPr>
        <w:t>•  To enable other land uses that provide facilities or services to meet the day to day needs of residents.</w:t>
      </w:r>
    </w:p>
    <w:p>
      <w:pPr>
        <w:pStyle w:val="CaselawQuote"/>
        <w:spacing w:before="150" w:after="150"/>
        <w:ind w:left="1350"/>
        <w:jc w:val="left"/>
      </w:pPr>
      <w:r>
        <w:rPr>
          <w:rFonts w:ascii="Arial"/>
          <w:color w:val="000000"/>
          <w:sz w:val="22"/>
        </w:rPr>
        <w:t>•  To provide residential development that maintains the character of built and natural features in the surrounding area.</w:t>
      </w:r>
    </w:p>
    <w:p>
      <w:pPr>
        <w:pStyle w:val="CaselawNumbered10"/>
        <w:numPr>
          <w:ilvl w:val="0"/>
          <w:numId w:val="42"/>
        </w:numPr>
        <w:spacing w:before="150" w:after="0"/>
        <w:ind w:left="600" w:hanging="600"/>
      </w:pPr>
      <w:r>
        <w:rPr>
          <w:rFonts w:ascii="Arial"/>
          <w:color w:val="000000"/>
          <w:sz w:val="24"/>
        </w:rPr>
        <w:t xml:space="preserve">These objectives are </w:t>
      </w:r>
      <w:r>
        <w:rPr>
          <w:rFonts w:ascii="Arial"/>
          <w:color w:val="000000"/>
          <w:sz w:val="24"/>
        </w:rPr>
        <w:t xml:space="preserve">said to be achieved by the written request on landscaped area </w:t>
      </w:r>
      <w:r>
        <w:rPr>
          <w:rFonts w:ascii="Arial"/>
          <w:color w:val="000000"/>
          <w:sz w:val="24"/>
        </w:rPr>
        <w:t>because t</w:t>
      </w:r>
      <w:r>
        <w:rPr>
          <w:rFonts w:ascii="Arial"/>
          <w:color w:val="000000"/>
          <w:sz w:val="24"/>
        </w:rPr>
        <w:t xml:space="preserve">he proposal is for 18 new private rooms for </w:t>
      </w:r>
      <w:r>
        <w:rPr>
          <w:rFonts w:ascii="Arial"/>
          <w:color w:val="000000"/>
          <w:sz w:val="24"/>
        </w:rPr>
        <w:t>short-</w:t>
      </w:r>
      <w:r>
        <w:rPr>
          <w:rFonts w:ascii="Arial"/>
          <w:color w:val="000000"/>
          <w:sz w:val="24"/>
        </w:rPr>
        <w:t xml:space="preserve">term </w:t>
      </w:r>
      <w:r>
        <w:rPr>
          <w:rFonts w:ascii="Arial"/>
          <w:color w:val="000000"/>
          <w:sz w:val="24"/>
        </w:rPr>
        <w:t>accommodation</w:t>
      </w:r>
      <w:r>
        <w:rPr>
          <w:rFonts w:ascii="Arial"/>
          <w:color w:val="000000"/>
          <w:sz w:val="24"/>
        </w:rPr>
        <w:t xml:space="preserve"> </w:t>
      </w:r>
      <w:r>
        <w:rPr>
          <w:rFonts w:ascii="Arial"/>
          <w:color w:val="000000"/>
          <w:sz w:val="24"/>
        </w:rPr>
        <w:t>close to the Parramatta Road corridor</w:t>
      </w:r>
      <w:r>
        <w:rPr>
          <w:rFonts w:ascii="Arial"/>
          <w:color w:val="000000"/>
          <w:sz w:val="24"/>
        </w:rPr>
        <w:t xml:space="preserve"> </w:t>
      </w:r>
      <w:r>
        <w:rPr>
          <w:rFonts w:ascii="Arial"/>
          <w:color w:val="000000"/>
          <w:sz w:val="24"/>
        </w:rPr>
        <w:t>with minimal change t</w:t>
      </w:r>
      <w:r>
        <w:rPr>
          <w:rFonts w:ascii="Arial"/>
          <w:color w:val="000000"/>
          <w:sz w:val="24"/>
        </w:rPr>
        <w:t>o</w:t>
      </w:r>
      <w:r>
        <w:rPr>
          <w:rFonts w:ascii="Arial"/>
          <w:color w:val="000000"/>
          <w:sz w:val="24"/>
        </w:rPr>
        <w:t xml:space="preserve"> </w:t>
      </w:r>
      <w:r>
        <w:rPr>
          <w:rFonts w:ascii="Arial"/>
          <w:color w:val="000000"/>
          <w:sz w:val="24"/>
        </w:rPr>
        <w:t>the existing built form</w:t>
      </w:r>
      <w:r>
        <w:rPr>
          <w:rFonts w:ascii="Arial"/>
          <w:color w:val="000000"/>
          <w:sz w:val="24"/>
        </w:rPr>
        <w:t>.</w:t>
      </w:r>
      <w:r>
        <w:rPr>
          <w:rFonts w:ascii="Arial"/>
          <w:color w:val="000000"/>
          <w:sz w:val="24"/>
        </w:rPr>
        <w:t xml:space="preserve"> </w:t>
      </w:r>
      <w:r>
        <w:rPr>
          <w:rFonts w:ascii="Arial"/>
          <w:color w:val="000000"/>
          <w:sz w:val="24"/>
        </w:rPr>
        <w:t xml:space="preserve">Such accommodation supports other land uses in the area that meet the </w:t>
      </w:r>
      <w:r>
        <w:rPr>
          <w:rFonts w:ascii="Arial"/>
          <w:color w:val="000000"/>
          <w:sz w:val="24"/>
        </w:rPr>
        <w:t>day-to-</w:t>
      </w:r>
      <w:r>
        <w:rPr>
          <w:rFonts w:ascii="Arial"/>
          <w:color w:val="000000"/>
          <w:sz w:val="24"/>
        </w:rPr>
        <w:t>day needs of the residents</w:t>
      </w:r>
      <w:r>
        <w:rPr>
          <w:rFonts w:ascii="Arial"/>
          <w:color w:val="000000"/>
          <w:sz w:val="24"/>
        </w:rPr>
        <w:t>, by development that adapts an existing building that has an established character within the area</w:t>
      </w:r>
      <w:r>
        <w:rPr>
          <w:rFonts w:ascii="Arial"/>
          <w:color w:val="000000"/>
          <w:sz w:val="24"/>
        </w:rPr>
        <w:t xml:space="preserve"> </w:t>
      </w:r>
      <w:r>
        <w:rPr>
          <w:rFonts w:ascii="Arial"/>
          <w:color w:val="000000"/>
          <w:sz w:val="24"/>
        </w:rPr>
        <w:t>from 1926 onwards.</w:t>
      </w:r>
    </w:p>
    <w:p>
      <w:pPr>
        <w:pStyle w:val="CaselawNumbered10"/>
        <w:numPr>
          <w:ilvl w:val="0"/>
          <w:numId w:val="42"/>
        </w:numPr>
        <w:spacing w:before="150" w:after="0"/>
        <w:ind w:left="600" w:hanging="600"/>
      </w:pPr>
      <w:r>
        <w:rPr>
          <w:rFonts w:ascii="Arial"/>
          <w:color w:val="000000"/>
          <w:sz w:val="24"/>
        </w:rPr>
        <w:t xml:space="preserve">I am satisfied that the </w:t>
      </w:r>
      <w:r>
        <w:rPr>
          <w:rFonts w:ascii="Arial"/>
          <w:color w:val="000000"/>
          <w:sz w:val="24"/>
        </w:rPr>
        <w:t xml:space="preserve">development will be in the public interest because it is consistent with objectives of the landscape requirements at Section 2.18 of the MDCP, and with the objectives of the R2 zone. In arriving at such a state of satisfaction, I </w:t>
      </w:r>
      <w:r>
        <w:rPr>
          <w:rFonts w:ascii="Arial"/>
          <w:color w:val="000000"/>
          <w:sz w:val="24"/>
        </w:rPr>
        <w:t xml:space="preserve">firstly </w:t>
      </w:r>
      <w:r>
        <w:rPr>
          <w:rFonts w:ascii="Arial"/>
          <w:color w:val="000000"/>
          <w:sz w:val="24"/>
        </w:rPr>
        <w:t>consider the retention of the existing built form to be a matter deserving of some weight</w:t>
      </w:r>
      <w:r>
        <w:rPr>
          <w:rFonts w:ascii="Arial"/>
          <w:color w:val="000000"/>
          <w:sz w:val="24"/>
        </w:rPr>
        <w:t xml:space="preserve">. The existing built form occupies the overwhelming majority of the </w:t>
      </w:r>
      <w:r>
        <w:rPr>
          <w:rFonts w:ascii="Arial"/>
          <w:color w:val="000000"/>
          <w:sz w:val="24"/>
        </w:rPr>
        <w:t>site</w:t>
      </w:r>
      <w:r>
        <w:rPr>
          <w:rFonts w:ascii="Arial"/>
          <w:color w:val="000000"/>
          <w:sz w:val="24"/>
        </w:rPr>
        <w:t xml:space="preserve">, </w:t>
      </w:r>
      <w:r>
        <w:rPr>
          <w:rFonts w:ascii="Arial"/>
          <w:color w:val="000000"/>
          <w:sz w:val="24"/>
        </w:rPr>
        <w:t>when</w:t>
      </w:r>
      <w:r>
        <w:rPr>
          <w:rFonts w:ascii="Arial"/>
          <w:color w:val="000000"/>
          <w:sz w:val="24"/>
        </w:rPr>
        <w:t xml:space="preserve"> </w:t>
      </w:r>
      <w:r>
        <w:rPr>
          <w:rFonts w:ascii="Arial"/>
          <w:color w:val="000000"/>
          <w:sz w:val="24"/>
        </w:rPr>
        <w:t xml:space="preserve">the footprint of building and car parking </w:t>
      </w:r>
      <w:r>
        <w:rPr>
          <w:rFonts w:ascii="Arial"/>
          <w:color w:val="000000"/>
          <w:sz w:val="24"/>
        </w:rPr>
        <w:t xml:space="preserve">hardstand are considered. Secondly, while the area is zoned R2 Low Density Residential, it is a highly urbanised area with minimal setbacks </w:t>
      </w:r>
      <w:r>
        <w:rPr>
          <w:rFonts w:ascii="Arial"/>
          <w:color w:val="000000"/>
          <w:sz w:val="24"/>
        </w:rPr>
        <w:t>to those residential properties in the street</w:t>
      </w:r>
      <w:r>
        <w:rPr>
          <w:rFonts w:ascii="Arial"/>
          <w:color w:val="000000"/>
          <w:sz w:val="24"/>
        </w:rPr>
        <w:t xml:space="preserve">, presenting </w:t>
      </w:r>
      <w:r>
        <w:rPr>
          <w:rFonts w:ascii="Arial"/>
          <w:color w:val="000000"/>
          <w:sz w:val="24"/>
        </w:rPr>
        <w:t xml:space="preserve">little landscape planting </w:t>
      </w:r>
      <w:r>
        <w:rPr>
          <w:rFonts w:ascii="Arial"/>
          <w:color w:val="000000"/>
          <w:sz w:val="24"/>
        </w:rPr>
        <w:t xml:space="preserve">to Charles Street. Thirdly, I accept that the provision of both hard and soft landscaping to the communal open space on level 1 is </w:t>
      </w:r>
      <w:r>
        <w:rPr>
          <w:rFonts w:ascii="Arial"/>
          <w:color w:val="000000"/>
          <w:sz w:val="24"/>
        </w:rPr>
        <w:t>an appropriate alternative to landscape area at ground level when the site is understood in its highly urbanised context.</w:t>
      </w:r>
    </w:p>
    <w:p>
      <w:pPr>
        <w:pStyle w:val="CaselawNumbered10"/>
        <w:numPr>
          <w:ilvl w:val="0"/>
          <w:numId w:val="42"/>
        </w:numPr>
        <w:spacing w:before="150" w:after="0"/>
        <w:ind w:left="600" w:hanging="600"/>
      </w:pPr>
      <w:r>
        <w:rPr>
          <w:rFonts w:ascii="Arial"/>
          <w:color w:val="000000"/>
          <w:sz w:val="24"/>
        </w:rPr>
        <w:t>I have also considered whether the contravention of the development standard raises any matter of significance for State or regional environmental planning, and the public benefit of maintaining the development standard, pursuant to cl</w:t>
      </w:r>
      <w:r>
        <w:rPr>
          <w:rFonts w:ascii="Arial"/>
          <w:color w:val="000000"/>
          <w:sz w:val="24"/>
        </w:rPr>
        <w:t> </w:t>
      </w:r>
      <w:r>
        <w:rPr>
          <w:rFonts w:ascii="Arial"/>
          <w:color w:val="000000"/>
          <w:sz w:val="24"/>
        </w:rPr>
        <w:t xml:space="preserve">4.6(5) of the </w:t>
      </w:r>
      <w:r>
        <w:rPr>
          <w:rFonts w:ascii="Arial"/>
          <w:color w:val="000000"/>
          <w:sz w:val="24"/>
        </w:rPr>
        <w:t>I</w:t>
      </w:r>
      <w:r>
        <w:rPr>
          <w:rFonts w:ascii="Arial"/>
          <w:color w:val="000000"/>
          <w:sz w:val="24"/>
        </w:rPr>
        <w:t>WLEP and I</w:t>
      </w:r>
      <w:r>
        <w:rPr>
          <w:rFonts w:ascii="Arial"/>
          <w:color w:val="000000"/>
          <w:sz w:val="24"/>
        </w:rPr>
        <w:t xml:space="preserve"> </w:t>
      </w:r>
      <w:r>
        <w:rPr>
          <w:rFonts w:ascii="Arial"/>
          <w:color w:val="000000"/>
          <w:sz w:val="24"/>
        </w:rPr>
        <w:t>find</w:t>
      </w:r>
      <w:r>
        <w:rPr>
          <w:rFonts w:ascii="Arial"/>
          <w:color w:val="000000"/>
          <w:sz w:val="24"/>
        </w:rPr>
        <w:t xml:space="preserve"> </w:t>
      </w:r>
      <w:r>
        <w:rPr>
          <w:rFonts w:ascii="Arial"/>
          <w:color w:val="000000"/>
          <w:sz w:val="24"/>
        </w:rPr>
        <w:t>the Court should uphold the written request.</w:t>
      </w:r>
    </w:p>
    <w:p>
      <w:pPr>
        <w:pStyle w:val="CaselawHeading2"/>
        <w:keepNext/>
        <w:spacing w:before="150" w:after="150" w:line="264"/>
        <w:ind w:left="0"/>
        <w:jc w:val="left"/>
      </w:pPr>
      <w:r>
        <w:rPr>
          <w:rFonts w:ascii="Arial"/>
        </w:rPr>
        <w:t xml:space="preserve">The maximum number of rooms is </w:t>
      </w:r>
      <w:r>
        <w:rPr>
          <w:rFonts w:ascii="Arial"/>
        </w:rPr>
        <w:t>exceeded</w:t>
      </w:r>
    </w:p>
    <w:p>
      <w:pPr>
        <w:pStyle w:val="CaselawNumbered10"/>
        <w:numPr>
          <w:ilvl w:val="0"/>
          <w:numId w:val="43"/>
        </w:numPr>
        <w:spacing w:before="150" w:after="0"/>
        <w:ind w:left="600" w:hanging="600"/>
      </w:pPr>
      <w:r>
        <w:rPr>
          <w:rFonts w:ascii="Arial"/>
          <w:color w:val="000000"/>
          <w:sz w:val="24"/>
        </w:rPr>
        <w:t xml:space="preserve">The proposed development also </w:t>
      </w:r>
      <w:r>
        <w:rPr>
          <w:rFonts w:ascii="Arial"/>
          <w:color w:val="000000"/>
          <w:sz w:val="24"/>
        </w:rPr>
        <w:t xml:space="preserve">contravenes the number of private rooms permitted in co-living development by proposing </w:t>
      </w:r>
      <w:r>
        <w:rPr>
          <w:rFonts w:ascii="Arial"/>
          <w:color w:val="000000"/>
          <w:sz w:val="24"/>
        </w:rPr>
        <w:t xml:space="preserve">18 rooms. Section 69(1)(c) of the Housing SEPP </w:t>
      </w:r>
      <w:r>
        <w:rPr>
          <w:rFonts w:ascii="Arial"/>
          <w:color w:val="000000"/>
          <w:sz w:val="24"/>
        </w:rPr>
        <w:t>provides that such development in an R2 zone will not contain more than 12 private rooms</w:t>
      </w:r>
      <w:r>
        <w:rPr>
          <w:rFonts w:ascii="Arial"/>
          <w:color w:val="000000"/>
          <w:sz w:val="24"/>
        </w:rPr>
        <w:t>.</w:t>
      </w:r>
    </w:p>
    <w:p>
      <w:pPr>
        <w:pStyle w:val="CaselawNumbered10"/>
        <w:numPr>
          <w:ilvl w:val="0"/>
          <w:numId w:val="43"/>
        </w:numPr>
        <w:spacing w:before="150" w:after="0"/>
        <w:ind w:left="600" w:hanging="600"/>
      </w:pPr>
      <w:r>
        <w:rPr>
          <w:rFonts w:ascii="Arial"/>
          <w:color w:val="000000"/>
          <w:sz w:val="24"/>
        </w:rPr>
        <w:t>A written request prepared by Mr Andrew Robinson dated 14 October 2024</w:t>
      </w:r>
      <w:r>
        <w:rPr>
          <w:rFonts w:ascii="Arial"/>
          <w:color w:val="000000"/>
          <w:sz w:val="24"/>
        </w:rPr>
        <w:t xml:space="preserve"> </w:t>
      </w:r>
      <w:r>
        <w:rPr>
          <w:rFonts w:ascii="Arial"/>
          <w:color w:val="000000"/>
          <w:sz w:val="24"/>
        </w:rPr>
        <w:t xml:space="preserve">addresses the contravention of the maximum number of rooms </w:t>
      </w:r>
      <w:r>
        <w:rPr>
          <w:rFonts w:ascii="Arial"/>
          <w:color w:val="000000"/>
          <w:sz w:val="24"/>
        </w:rPr>
        <w:t>standard</w:t>
      </w:r>
      <w:r>
        <w:rPr>
          <w:rFonts w:ascii="Arial"/>
          <w:color w:val="000000"/>
          <w:sz w:val="24"/>
        </w:rPr>
        <w:t xml:space="preserve"> </w:t>
      </w:r>
      <w:r>
        <w:rPr>
          <w:rFonts w:ascii="Arial"/>
          <w:color w:val="000000"/>
          <w:sz w:val="24"/>
        </w:rPr>
        <w:t xml:space="preserve">in accordance with cl 4.6 of the IWLEP </w:t>
      </w:r>
      <w:r>
        <w:rPr>
          <w:rFonts w:ascii="Arial"/>
          <w:color w:val="000000"/>
          <w:sz w:val="24"/>
        </w:rPr>
        <w:t>(R</w:t>
      </w:r>
      <w:r>
        <w:rPr>
          <w:rFonts w:ascii="Arial"/>
          <w:color w:val="000000"/>
          <w:sz w:val="24"/>
        </w:rPr>
        <w:t xml:space="preserve">ooms request) </w:t>
      </w:r>
      <w:r>
        <w:rPr>
          <w:rFonts w:ascii="Arial"/>
          <w:color w:val="000000"/>
          <w:sz w:val="24"/>
        </w:rPr>
        <w:t xml:space="preserve">(Exhibit </w:t>
      </w:r>
      <w:r>
        <w:rPr>
          <w:rFonts w:ascii="Arial"/>
          <w:color w:val="000000"/>
          <w:sz w:val="24"/>
        </w:rPr>
        <w:t>E</w:t>
      </w:r>
      <w:r>
        <w:rPr>
          <w:rFonts w:ascii="Arial"/>
          <w:color w:val="000000"/>
          <w:sz w:val="24"/>
        </w:rPr>
        <w:t>).</w:t>
      </w:r>
    </w:p>
    <w:p>
      <w:pPr>
        <w:pStyle w:val="CaselawNumbered10"/>
        <w:numPr>
          <w:ilvl w:val="0"/>
          <w:numId w:val="43"/>
        </w:numPr>
        <w:spacing w:before="150" w:after="0"/>
        <w:ind w:left="600" w:hanging="600"/>
      </w:pPr>
      <w:r>
        <w:rPr>
          <w:rFonts w:ascii="Arial"/>
          <w:color w:val="000000"/>
          <w:sz w:val="24"/>
        </w:rPr>
        <w:t xml:space="preserve">The </w:t>
      </w:r>
      <w:r>
        <w:rPr>
          <w:rFonts w:ascii="Arial"/>
          <w:color w:val="000000"/>
          <w:sz w:val="24"/>
        </w:rPr>
        <w:t>R</w:t>
      </w:r>
      <w:r>
        <w:rPr>
          <w:rFonts w:ascii="Arial"/>
          <w:color w:val="000000"/>
          <w:sz w:val="24"/>
        </w:rPr>
        <w:t>ooms request</w:t>
      </w:r>
      <w:r>
        <w:rPr>
          <w:rFonts w:ascii="Arial"/>
          <w:color w:val="000000"/>
          <w:sz w:val="24"/>
        </w:rPr>
        <w:t xml:space="preserve"> </w:t>
      </w:r>
      <w:r>
        <w:rPr>
          <w:rFonts w:ascii="Arial"/>
          <w:color w:val="000000"/>
          <w:sz w:val="24"/>
        </w:rPr>
        <w:t xml:space="preserve">asserts that </w:t>
      </w:r>
      <w:r>
        <w:rPr>
          <w:rFonts w:ascii="Arial"/>
          <w:color w:val="000000"/>
          <w:sz w:val="24"/>
        </w:rPr>
        <w:t>as</w:t>
      </w:r>
      <w:r>
        <w:rPr>
          <w:rFonts w:ascii="Arial"/>
          <w:color w:val="000000"/>
          <w:sz w:val="24"/>
        </w:rPr>
        <w:t xml:space="preserve"> </w:t>
      </w:r>
      <w:r>
        <w:rPr>
          <w:rFonts w:ascii="Arial"/>
          <w:color w:val="000000"/>
          <w:sz w:val="24"/>
        </w:rPr>
        <w:t>the development standard at</w:t>
      </w:r>
      <w:r>
        <w:rPr>
          <w:rFonts w:ascii="Arial"/>
          <w:color w:val="000000"/>
          <w:sz w:val="24"/>
        </w:rPr>
        <w:t xml:space="preserve"> </w:t>
      </w:r>
      <w:r>
        <w:rPr>
          <w:rFonts w:ascii="Arial"/>
          <w:color w:val="000000"/>
          <w:sz w:val="24"/>
        </w:rPr>
        <w:t xml:space="preserve">s 69(1) of the Housing SEPP </w:t>
      </w:r>
      <w:r>
        <w:rPr>
          <w:rFonts w:ascii="Arial"/>
          <w:color w:val="000000"/>
          <w:sz w:val="24"/>
        </w:rPr>
        <w:t xml:space="preserve">lacks </w:t>
      </w:r>
      <w:r>
        <w:rPr>
          <w:rFonts w:ascii="Arial"/>
          <w:color w:val="000000"/>
          <w:sz w:val="24"/>
        </w:rPr>
        <w:t xml:space="preserve">objectives, </w:t>
      </w:r>
      <w:r>
        <w:rPr>
          <w:rFonts w:ascii="Arial"/>
          <w:color w:val="000000"/>
          <w:sz w:val="24"/>
        </w:rPr>
        <w:t xml:space="preserve">the </w:t>
      </w:r>
      <w:r>
        <w:rPr>
          <w:rFonts w:ascii="Arial"/>
          <w:color w:val="000000"/>
          <w:sz w:val="24"/>
        </w:rPr>
        <w:t>objective</w:t>
      </w:r>
      <w:r>
        <w:rPr>
          <w:rFonts w:ascii="Arial"/>
          <w:color w:val="000000"/>
          <w:sz w:val="24"/>
        </w:rPr>
        <w:t xml:space="preserve"> </w:t>
      </w:r>
      <w:r>
        <w:rPr>
          <w:rFonts w:ascii="Arial"/>
          <w:color w:val="000000"/>
          <w:sz w:val="24"/>
        </w:rPr>
        <w:t>can</w:t>
      </w:r>
      <w:r>
        <w:rPr>
          <w:rFonts w:ascii="Arial"/>
          <w:color w:val="000000"/>
          <w:sz w:val="24"/>
        </w:rPr>
        <w:t xml:space="preserve"> </w:t>
      </w:r>
      <w:r>
        <w:rPr>
          <w:rFonts w:ascii="Arial"/>
          <w:color w:val="000000"/>
          <w:sz w:val="24"/>
        </w:rPr>
        <w:t>be inferred from the terms of the standard</w:t>
      </w:r>
      <w:r>
        <w:rPr>
          <w:rFonts w:ascii="Arial"/>
          <w:color w:val="000000"/>
          <w:sz w:val="24"/>
        </w:rPr>
        <w:t xml:space="preserve">, which </w:t>
      </w:r>
      <w:r>
        <w:rPr>
          <w:rFonts w:ascii="Arial"/>
          <w:color w:val="000000"/>
          <w:sz w:val="24"/>
        </w:rPr>
        <w:t xml:space="preserve">is </w:t>
      </w:r>
      <w:r>
        <w:rPr>
          <w:rFonts w:ascii="Arial"/>
          <w:color w:val="000000"/>
          <w:sz w:val="24"/>
        </w:rPr>
        <w:t xml:space="preserve">to limit the total </w:t>
      </w:r>
      <w:r>
        <w:rPr>
          <w:rFonts w:ascii="Arial"/>
          <w:color w:val="000000"/>
          <w:sz w:val="24"/>
        </w:rPr>
        <w:t>room capacity or population density of such development and the scale of the built form</w:t>
      </w:r>
      <w:r>
        <w:rPr>
          <w:rFonts w:ascii="Arial"/>
          <w:color w:val="000000"/>
          <w:sz w:val="24"/>
        </w:rPr>
        <w:t xml:space="preserve"> </w:t>
      </w:r>
      <w:r>
        <w:rPr>
          <w:rFonts w:ascii="Arial"/>
          <w:color w:val="000000"/>
          <w:sz w:val="24"/>
        </w:rPr>
        <w:t>in order to achieve compatibility with the objectives of the R2 zone.</w:t>
      </w:r>
      <w:r>
        <w:rPr>
          <w:rFonts w:ascii="Arial"/>
          <w:color w:val="000000"/>
          <w:sz w:val="24"/>
        </w:rPr>
        <w:t xml:space="preserve"> </w:t>
      </w:r>
      <w:r>
        <w:rPr>
          <w:rFonts w:ascii="Arial"/>
          <w:color w:val="000000"/>
          <w:sz w:val="24"/>
        </w:rPr>
        <w:t>Those</w:t>
      </w:r>
      <w:r>
        <w:rPr>
          <w:rFonts w:ascii="Arial"/>
          <w:color w:val="000000"/>
          <w:sz w:val="24"/>
        </w:rPr>
        <w:t xml:space="preserve"> </w:t>
      </w:r>
      <w:r>
        <w:rPr>
          <w:rFonts w:ascii="Arial"/>
          <w:color w:val="000000"/>
          <w:sz w:val="24"/>
        </w:rPr>
        <w:t xml:space="preserve">limits are only reasonable where development of such scale might result in adverse impacts on the R2 zone </w:t>
      </w:r>
      <w:r>
        <w:rPr>
          <w:rFonts w:ascii="Arial"/>
          <w:color w:val="000000"/>
          <w:sz w:val="24"/>
        </w:rPr>
        <w:t>due to noise generation and acoustic amenity, or traffic and parking demand.</w:t>
      </w:r>
      <w:r>
        <w:rPr>
          <w:rFonts w:ascii="Arial"/>
          <w:color w:val="000000"/>
          <w:sz w:val="24"/>
        </w:rPr>
        <w:t xml:space="preserve"> </w:t>
      </w:r>
      <w:r>
        <w:rPr>
          <w:rFonts w:ascii="Arial"/>
          <w:color w:val="000000"/>
          <w:sz w:val="24"/>
        </w:rPr>
        <w:t xml:space="preserve">However, </w:t>
      </w:r>
      <w:r>
        <w:rPr>
          <w:rFonts w:ascii="Arial"/>
          <w:color w:val="000000"/>
          <w:sz w:val="24"/>
        </w:rPr>
        <w:t>in this case, the site is located on the edge of the R2 zone, and in close proximity to the Parramatta Road corridor</w:t>
      </w:r>
      <w:r>
        <w:rPr>
          <w:rFonts w:ascii="Arial"/>
          <w:color w:val="000000"/>
          <w:sz w:val="24"/>
        </w:rPr>
        <w:t>.</w:t>
      </w:r>
      <w:r>
        <w:rPr>
          <w:rFonts w:ascii="Arial"/>
          <w:color w:val="000000"/>
          <w:sz w:val="24"/>
        </w:rPr>
        <w:t xml:space="preserve"> </w:t>
      </w:r>
    </w:p>
    <w:p>
      <w:pPr>
        <w:pStyle w:val="CaselawNumbered10"/>
        <w:numPr>
          <w:ilvl w:val="0"/>
          <w:numId w:val="43"/>
        </w:numPr>
        <w:spacing w:before="150" w:after="0"/>
        <w:ind w:left="600" w:hanging="600"/>
      </w:pPr>
      <w:r>
        <w:rPr>
          <w:rFonts w:ascii="Arial"/>
          <w:color w:val="000000"/>
          <w:sz w:val="24"/>
        </w:rPr>
        <w:t>T</w:t>
      </w:r>
      <w:r>
        <w:rPr>
          <w:rFonts w:ascii="Arial"/>
          <w:color w:val="000000"/>
          <w:sz w:val="24"/>
        </w:rPr>
        <w:t xml:space="preserve">he Rooms request </w:t>
      </w:r>
      <w:r>
        <w:rPr>
          <w:rFonts w:ascii="Arial"/>
          <w:color w:val="000000"/>
          <w:sz w:val="24"/>
        </w:rPr>
        <w:t xml:space="preserve">also </w:t>
      </w:r>
      <w:r>
        <w:rPr>
          <w:rFonts w:ascii="Arial"/>
          <w:color w:val="000000"/>
          <w:sz w:val="24"/>
        </w:rPr>
        <w:t>surmise</w:t>
      </w:r>
      <w:r>
        <w:rPr>
          <w:rFonts w:ascii="Arial"/>
          <w:color w:val="000000"/>
          <w:sz w:val="24"/>
        </w:rPr>
        <w:t>s</w:t>
      </w:r>
      <w:r>
        <w:rPr>
          <w:rFonts w:ascii="Arial"/>
          <w:color w:val="000000"/>
          <w:sz w:val="24"/>
        </w:rPr>
        <w:t xml:space="preserve"> </w:t>
      </w:r>
      <w:r>
        <w:rPr>
          <w:rFonts w:ascii="Arial"/>
          <w:color w:val="000000"/>
          <w:sz w:val="24"/>
        </w:rPr>
        <w:t xml:space="preserve">that a development standard </w:t>
      </w:r>
      <w:r>
        <w:rPr>
          <w:rFonts w:ascii="Arial"/>
          <w:color w:val="000000"/>
          <w:sz w:val="24"/>
        </w:rPr>
        <w:t xml:space="preserve">limiting the scale of </w:t>
      </w:r>
      <w:r>
        <w:rPr>
          <w:rFonts w:ascii="Arial"/>
          <w:color w:val="000000"/>
          <w:sz w:val="24"/>
        </w:rPr>
        <w:t>co-living</w:t>
      </w:r>
      <w:r>
        <w:rPr>
          <w:rFonts w:ascii="Arial"/>
          <w:color w:val="000000"/>
          <w:sz w:val="24"/>
        </w:rPr>
        <w:t xml:space="preserve"> </w:t>
      </w:r>
      <w:r>
        <w:rPr>
          <w:rFonts w:ascii="Arial"/>
          <w:color w:val="000000"/>
          <w:sz w:val="24"/>
        </w:rPr>
        <w:t xml:space="preserve">development may </w:t>
      </w:r>
      <w:r>
        <w:rPr>
          <w:rFonts w:ascii="Arial"/>
          <w:color w:val="000000"/>
          <w:sz w:val="24"/>
        </w:rPr>
        <w:t xml:space="preserve">well assume </w:t>
      </w:r>
      <w:r>
        <w:rPr>
          <w:rFonts w:ascii="Arial"/>
          <w:color w:val="000000"/>
          <w:sz w:val="24"/>
        </w:rPr>
        <w:t>new development in an R2 zone</w:t>
      </w:r>
      <w:r>
        <w:rPr>
          <w:rFonts w:ascii="Arial"/>
          <w:color w:val="000000"/>
          <w:sz w:val="24"/>
        </w:rPr>
        <w:t xml:space="preserve"> </w:t>
      </w:r>
      <w:r>
        <w:rPr>
          <w:rFonts w:ascii="Arial"/>
          <w:color w:val="000000"/>
          <w:sz w:val="24"/>
        </w:rPr>
        <w:t xml:space="preserve">where </w:t>
      </w:r>
      <w:r>
        <w:rPr>
          <w:rFonts w:ascii="Arial"/>
          <w:color w:val="000000"/>
          <w:sz w:val="24"/>
        </w:rPr>
        <w:t>a</w:t>
      </w:r>
      <w:r>
        <w:rPr>
          <w:rFonts w:ascii="Arial"/>
          <w:color w:val="000000"/>
          <w:sz w:val="24"/>
        </w:rPr>
        <w:t xml:space="preserve"> </w:t>
      </w:r>
      <w:r>
        <w:rPr>
          <w:rFonts w:ascii="Arial"/>
          <w:color w:val="000000"/>
          <w:sz w:val="24"/>
        </w:rPr>
        <w:t>scale</w:t>
      </w:r>
      <w:r>
        <w:rPr>
          <w:rFonts w:ascii="Arial"/>
          <w:color w:val="000000"/>
          <w:sz w:val="24"/>
        </w:rPr>
        <w:t xml:space="preserve"> </w:t>
      </w:r>
      <w:r>
        <w:rPr>
          <w:rFonts w:ascii="Arial"/>
          <w:color w:val="000000"/>
          <w:sz w:val="24"/>
        </w:rPr>
        <w:t>greater</w:t>
      </w:r>
      <w:r>
        <w:rPr>
          <w:rFonts w:ascii="Arial"/>
          <w:color w:val="000000"/>
          <w:sz w:val="24"/>
        </w:rPr>
        <w:t xml:space="preserve"> </w:t>
      </w:r>
      <w:r>
        <w:rPr>
          <w:rFonts w:ascii="Arial"/>
          <w:color w:val="000000"/>
          <w:sz w:val="24"/>
        </w:rPr>
        <w:t xml:space="preserve">than 12 rooms </w:t>
      </w:r>
      <w:r>
        <w:rPr>
          <w:rFonts w:ascii="Arial"/>
          <w:color w:val="000000"/>
          <w:sz w:val="24"/>
        </w:rPr>
        <w:t xml:space="preserve">may adversely impact the character and amenity of such an area. </w:t>
      </w:r>
      <w:r>
        <w:rPr>
          <w:rFonts w:ascii="Arial"/>
          <w:color w:val="000000"/>
          <w:sz w:val="24"/>
        </w:rPr>
        <w:t xml:space="preserve">However, in the circumstances of this case, the </w:t>
      </w:r>
      <w:r>
        <w:rPr>
          <w:rFonts w:ascii="Arial"/>
          <w:color w:val="000000"/>
          <w:sz w:val="24"/>
        </w:rPr>
        <w:t xml:space="preserve">scale of the </w:t>
      </w:r>
      <w:r>
        <w:rPr>
          <w:rFonts w:ascii="Arial"/>
          <w:color w:val="000000"/>
          <w:sz w:val="24"/>
        </w:rPr>
        <w:t xml:space="preserve">development envelope is extant, and </w:t>
      </w:r>
      <w:r>
        <w:rPr>
          <w:rFonts w:ascii="Arial"/>
          <w:color w:val="000000"/>
          <w:sz w:val="24"/>
        </w:rPr>
        <w:t>has been a feature of the streetscape for many years.</w:t>
      </w:r>
      <w:r>
        <w:rPr>
          <w:rFonts w:ascii="Arial"/>
          <w:color w:val="000000"/>
          <w:sz w:val="24"/>
        </w:rPr>
        <w:t xml:space="preserve"> </w:t>
      </w:r>
      <w:r>
        <w:rPr>
          <w:rFonts w:ascii="Arial"/>
          <w:color w:val="000000"/>
          <w:sz w:val="24"/>
        </w:rPr>
        <w:t xml:space="preserve">As such, the scale </w:t>
      </w:r>
      <w:r>
        <w:rPr>
          <w:rFonts w:ascii="Arial"/>
          <w:color w:val="000000"/>
          <w:sz w:val="24"/>
        </w:rPr>
        <w:t>of the development in the R2 zone is not a result of the number of rooms, but the reverse</w:t>
      </w:r>
      <w:r>
        <w:rPr>
          <w:rFonts w:ascii="Arial"/>
          <w:color w:val="000000"/>
          <w:sz w:val="24"/>
        </w:rPr>
        <w:t>,</w:t>
      </w:r>
      <w:r>
        <w:rPr>
          <w:rFonts w:ascii="Arial"/>
          <w:color w:val="000000"/>
          <w:sz w:val="24"/>
        </w:rPr>
        <w:t xml:space="preserve"> </w:t>
      </w:r>
      <w:r>
        <w:rPr>
          <w:rFonts w:ascii="Arial"/>
          <w:color w:val="000000"/>
          <w:sz w:val="24"/>
        </w:rPr>
        <w:t xml:space="preserve">where the </w:t>
      </w:r>
      <w:r>
        <w:rPr>
          <w:rFonts w:ascii="Arial"/>
          <w:color w:val="000000"/>
          <w:sz w:val="24"/>
        </w:rPr>
        <w:t>existing scale of the former Citadel building accommodates the number of rooms proposed.</w:t>
      </w:r>
    </w:p>
    <w:p>
      <w:pPr>
        <w:pStyle w:val="CaselawNumbered10"/>
        <w:numPr>
          <w:ilvl w:val="0"/>
          <w:numId w:val="43"/>
        </w:numPr>
        <w:spacing w:before="150" w:after="0"/>
        <w:ind w:left="600" w:hanging="600"/>
      </w:pPr>
      <w:r>
        <w:rPr>
          <w:rFonts w:ascii="Arial"/>
          <w:color w:val="000000"/>
          <w:sz w:val="24"/>
        </w:rPr>
        <w:t xml:space="preserve">Next, the Rooms request also relies on a second </w:t>
      </w:r>
      <w:r>
        <w:rPr>
          <w:rFonts w:ascii="Arial"/>
          <w:color w:val="000000"/>
          <w:sz w:val="24"/>
        </w:rPr>
        <w:t>reason to assert that compliance with the standard is unreasonable or unnecessary. The second reason</w:t>
      </w:r>
      <w:r>
        <w:rPr>
          <w:rFonts w:ascii="Arial"/>
          <w:color w:val="000000"/>
          <w:sz w:val="24"/>
        </w:rPr>
        <w:t xml:space="preserve"> </w:t>
      </w:r>
      <w:r>
        <w:rPr>
          <w:rFonts w:ascii="Arial"/>
          <w:color w:val="000000"/>
          <w:sz w:val="24"/>
        </w:rPr>
        <w:t xml:space="preserve">cites the former use of the site as a </w:t>
      </w:r>
      <w:r>
        <w:rPr>
          <w:rFonts w:ascii="Arial"/>
          <w:color w:val="000000"/>
          <w:sz w:val="24"/>
        </w:rPr>
        <w:t xml:space="preserve">place </w:t>
      </w:r>
      <w:r>
        <w:rPr>
          <w:rFonts w:ascii="Arial"/>
          <w:color w:val="000000"/>
          <w:sz w:val="24"/>
        </w:rPr>
        <w:t xml:space="preserve">of </w:t>
      </w:r>
      <w:r>
        <w:rPr>
          <w:rFonts w:ascii="Arial"/>
          <w:color w:val="000000"/>
          <w:sz w:val="24"/>
        </w:rPr>
        <w:t>worship</w:t>
      </w:r>
      <w:r>
        <w:rPr>
          <w:rFonts w:ascii="Arial"/>
          <w:color w:val="000000"/>
          <w:sz w:val="24"/>
        </w:rPr>
        <w:t xml:space="preserve">, within a zone that </w:t>
      </w:r>
      <w:r>
        <w:rPr>
          <w:rFonts w:ascii="Arial"/>
          <w:color w:val="000000"/>
          <w:sz w:val="24"/>
        </w:rPr>
        <w:t>permitted such a use at the time</w:t>
      </w:r>
      <w:r>
        <w:rPr>
          <w:rFonts w:ascii="Arial"/>
          <w:color w:val="000000"/>
          <w:sz w:val="24"/>
        </w:rPr>
        <w:t xml:space="preserve">, and for a purpose that, if revived today, </w:t>
      </w:r>
      <w:r>
        <w:rPr>
          <w:rFonts w:ascii="Arial"/>
          <w:color w:val="000000"/>
          <w:sz w:val="24"/>
        </w:rPr>
        <w:t xml:space="preserve">has the potential to </w:t>
      </w:r>
      <w:r>
        <w:rPr>
          <w:rFonts w:ascii="Arial"/>
          <w:color w:val="000000"/>
          <w:sz w:val="24"/>
        </w:rPr>
        <w:t xml:space="preserve">generate </w:t>
      </w:r>
      <w:r>
        <w:rPr>
          <w:rFonts w:ascii="Arial"/>
          <w:color w:val="000000"/>
          <w:sz w:val="24"/>
        </w:rPr>
        <w:t xml:space="preserve">a building on the site of </w:t>
      </w:r>
      <w:r>
        <w:rPr>
          <w:rFonts w:ascii="Arial"/>
          <w:color w:val="000000"/>
          <w:sz w:val="24"/>
        </w:rPr>
        <w:t xml:space="preserve">similar scale and resulting in </w:t>
      </w:r>
      <w:r>
        <w:rPr>
          <w:rFonts w:ascii="Arial"/>
          <w:color w:val="000000"/>
          <w:sz w:val="24"/>
        </w:rPr>
        <w:t>considerable traffic and noise</w:t>
      </w:r>
      <w:r>
        <w:rPr>
          <w:rFonts w:ascii="Arial"/>
          <w:color w:val="000000"/>
          <w:sz w:val="24"/>
        </w:rPr>
        <w:t>. So understood</w:t>
      </w:r>
      <w:r>
        <w:rPr>
          <w:rFonts w:ascii="Arial"/>
          <w:color w:val="000000"/>
          <w:sz w:val="24"/>
        </w:rPr>
        <w:t xml:space="preserve">, the zoning of the land is unreasonable or inappropriate </w:t>
      </w:r>
      <w:r>
        <w:rPr>
          <w:rFonts w:ascii="Arial"/>
          <w:color w:val="000000"/>
          <w:sz w:val="24"/>
        </w:rPr>
        <w:t>such that the development standard is also unreasonable or un</w:t>
      </w:r>
      <w:r>
        <w:rPr>
          <w:rFonts w:ascii="Arial"/>
          <w:color w:val="000000"/>
          <w:sz w:val="24"/>
        </w:rPr>
        <w:t>necessary.</w:t>
      </w:r>
    </w:p>
    <w:p>
      <w:pPr>
        <w:pStyle w:val="CaselawNumbered10"/>
        <w:numPr>
          <w:ilvl w:val="0"/>
          <w:numId w:val="43"/>
        </w:numPr>
        <w:spacing w:before="150" w:after="0"/>
        <w:ind w:left="600" w:hanging="600"/>
      </w:pPr>
      <w:r>
        <w:rPr>
          <w:rFonts w:ascii="Arial"/>
          <w:color w:val="000000"/>
          <w:sz w:val="24"/>
        </w:rPr>
        <w:t xml:space="preserve">I note here the </w:t>
      </w:r>
      <w:r>
        <w:rPr>
          <w:rFonts w:ascii="Arial"/>
          <w:color w:val="000000"/>
          <w:sz w:val="24"/>
        </w:rPr>
        <w:t xml:space="preserve">second reason summarised above cites what is known as the </w:t>
      </w:r>
      <w:r>
        <w:rPr>
          <w:rFonts w:ascii="Arial"/>
          <w:color w:val="000000"/>
          <w:sz w:val="24"/>
        </w:rPr>
        <w:t>‘</w:t>
      </w:r>
      <w:r>
        <w:rPr>
          <w:rFonts w:ascii="Arial"/>
          <w:color w:val="000000"/>
          <w:sz w:val="24"/>
        </w:rPr>
        <w:t xml:space="preserve">Fifth </w:t>
      </w:r>
      <w:r>
        <w:rPr>
          <w:rFonts w:ascii="Arial"/>
          <w:color w:val="000000"/>
          <w:sz w:val="24"/>
        </w:rPr>
        <w:t>Wehbe</w:t>
      </w:r>
      <w:r>
        <w:rPr>
          <w:rFonts w:ascii="Arial"/>
          <w:color w:val="000000"/>
          <w:sz w:val="24"/>
        </w:rPr>
        <w:t xml:space="preserve"> </w:t>
      </w:r>
      <w:r>
        <w:rPr>
          <w:rFonts w:ascii="Arial"/>
          <w:color w:val="000000"/>
          <w:sz w:val="24"/>
        </w:rPr>
        <w:t>way</w:t>
      </w:r>
      <w:r>
        <w:rPr>
          <w:rFonts w:ascii="Arial"/>
          <w:color w:val="000000"/>
          <w:sz w:val="24"/>
        </w:rPr>
        <w:t>’</w:t>
      </w:r>
      <w:r>
        <w:rPr>
          <w:rFonts w:ascii="Arial"/>
          <w:color w:val="000000"/>
          <w:sz w:val="24"/>
        </w:rPr>
        <w:t>, in which compliance</w:t>
      </w:r>
      <w:r>
        <w:rPr>
          <w:rFonts w:ascii="Arial"/>
          <w:color w:val="000000"/>
          <w:sz w:val="24"/>
        </w:rPr>
        <w:t xml:space="preserve"> </w:t>
      </w:r>
      <w:r>
        <w:rPr>
          <w:rFonts w:ascii="Arial"/>
          <w:color w:val="000000"/>
          <w:sz w:val="24"/>
        </w:rPr>
        <w:t>with the development standard is unreasonable or unnecessary not because the standard is inappropriate to the zoning, but rather because the zoning of the particular land is found to be unreasonable or inappropriate</w:t>
      </w:r>
      <w:r>
        <w:rPr>
          <w:rFonts w:ascii="Arial"/>
          <w:color w:val="000000"/>
          <w:sz w:val="24"/>
        </w:rPr>
        <w:t xml:space="preserve"> </w:t>
      </w:r>
      <w:r>
        <w:rPr>
          <w:rFonts w:ascii="Arial"/>
          <w:color w:val="000000"/>
          <w:sz w:val="24"/>
        </w:rPr>
        <w:t xml:space="preserve">(see </w:t>
      </w:r>
      <w:r>
        <w:rPr>
          <w:rFonts w:ascii="Arial"/>
          <w:i/>
          <w:color w:val="000000"/>
          <w:sz w:val="24"/>
        </w:rPr>
        <w:t>Wehbe</w:t>
      </w:r>
      <w:r>
        <w:rPr>
          <w:rFonts w:ascii="Arial"/>
          <w:i/>
          <w:color w:val="000000"/>
          <w:sz w:val="24"/>
        </w:rPr>
        <w:t xml:space="preserve"> v Pittwater Council</w:t>
      </w:r>
      <w:r>
        <w:rPr>
          <w:rFonts w:ascii="Arial"/>
          <w:color w:val="000000"/>
          <w:sz w:val="24"/>
        </w:rPr>
        <w:t xml:space="preserve"> </w:t>
      </w:r>
      <w:r>
        <w:rPr>
          <w:rFonts w:ascii="Arial"/>
          <w:color w:val="000000"/>
          <w:sz w:val="24"/>
        </w:rPr>
        <w:t>(2007) 156 LGERA 446</w:t>
      </w:r>
      <w:r>
        <w:rPr>
          <w:rFonts w:ascii="Arial"/>
          <w:color w:val="000000"/>
          <w:sz w:val="24"/>
        </w:rPr>
        <w:t>;</w:t>
      </w:r>
      <w:r>
        <w:rPr>
          <w:rFonts w:ascii="Arial"/>
          <w:color w:val="000000"/>
          <w:sz w:val="24"/>
        </w:rPr>
        <w:t xml:space="preserve"> </w:t>
      </w:r>
      <w:r>
        <w:rPr>
          <w:rFonts w:ascii="Arial"/>
          <w:color w:val="000000"/>
          <w:sz w:val="24"/>
        </w:rPr>
        <w:t>[2007] NSWLEC 827</w:t>
      </w:r>
      <w:r>
        <w:rPr>
          <w:rFonts w:ascii="Arial"/>
          <w:color w:val="000000"/>
          <w:sz w:val="24"/>
        </w:rPr>
        <w:t xml:space="preserve"> </w:t>
      </w:r>
      <w:r>
        <w:rPr>
          <w:rFonts w:ascii="Arial"/>
          <w:color w:val="000000"/>
          <w:sz w:val="24"/>
        </w:rPr>
        <w:t>(</w:t>
      </w:r>
      <w:r>
        <w:rPr>
          <w:rFonts w:ascii="Arial"/>
          <w:i/>
          <w:color w:val="000000"/>
          <w:sz w:val="24"/>
        </w:rPr>
        <w:t>Wehbe</w:t>
      </w:r>
      <w:r>
        <w:rPr>
          <w:rFonts w:ascii="Arial"/>
          <w:color w:val="000000"/>
          <w:sz w:val="24"/>
        </w:rPr>
        <w:t xml:space="preserve">) </w:t>
      </w:r>
      <w:r>
        <w:rPr>
          <w:rFonts w:ascii="Arial"/>
          <w:color w:val="000000"/>
          <w:sz w:val="24"/>
        </w:rPr>
        <w:t>at [49]).</w:t>
      </w:r>
    </w:p>
    <w:p>
      <w:pPr>
        <w:pStyle w:val="CaselawNumbered10"/>
        <w:numPr>
          <w:ilvl w:val="0"/>
          <w:numId w:val="43"/>
        </w:numPr>
        <w:spacing w:before="150" w:after="0"/>
        <w:ind w:left="600" w:hanging="600"/>
      </w:pPr>
      <w:r>
        <w:rPr>
          <w:rFonts w:ascii="Arial"/>
          <w:color w:val="000000"/>
          <w:sz w:val="24"/>
        </w:rPr>
        <w:t xml:space="preserve">The Fifth </w:t>
      </w:r>
      <w:r>
        <w:rPr>
          <w:rFonts w:ascii="Arial"/>
          <w:color w:val="000000"/>
          <w:sz w:val="24"/>
        </w:rPr>
        <w:t>Wehbe</w:t>
      </w:r>
      <w:r>
        <w:rPr>
          <w:rFonts w:ascii="Arial"/>
          <w:color w:val="000000"/>
          <w:sz w:val="24"/>
        </w:rPr>
        <w:t xml:space="preserve"> </w:t>
      </w:r>
      <w:r>
        <w:rPr>
          <w:rFonts w:ascii="Arial"/>
          <w:color w:val="000000"/>
          <w:sz w:val="24"/>
        </w:rPr>
        <w:t>way is limited, as it does not permit general inquiry into the appropriateness of the development standard for the zoning</w:t>
      </w:r>
      <w:r>
        <w:rPr>
          <w:rFonts w:ascii="Arial"/>
          <w:color w:val="000000"/>
          <w:sz w:val="24"/>
        </w:rPr>
        <w:t>, and a</w:t>
      </w:r>
      <w:r>
        <w:rPr>
          <w:rFonts w:ascii="Arial"/>
          <w:color w:val="000000"/>
          <w:sz w:val="24"/>
        </w:rPr>
        <w:t>n objection would not be well-founded by an opinion that the development standard is inappropriate in respect of a particular zoning</w:t>
      </w:r>
      <w:r>
        <w:rPr>
          <w:rFonts w:ascii="Arial"/>
          <w:color w:val="000000"/>
          <w:sz w:val="24"/>
        </w:rPr>
        <w:t xml:space="preserve"> </w:t>
      </w:r>
      <w:r>
        <w:rPr>
          <w:rFonts w:ascii="Arial"/>
          <w:color w:val="000000"/>
          <w:sz w:val="24"/>
        </w:rPr>
        <w:t>(</w:t>
      </w:r>
      <w:r>
        <w:rPr>
          <w:rFonts w:ascii="Arial"/>
          <w:i/>
          <w:color w:val="000000"/>
          <w:sz w:val="24"/>
        </w:rPr>
        <w:t>Wehbe</w:t>
      </w:r>
      <w:r>
        <w:rPr>
          <w:rFonts w:ascii="Arial"/>
          <w:color w:val="000000"/>
          <w:sz w:val="24"/>
        </w:rPr>
        <w:t xml:space="preserve"> </w:t>
      </w:r>
      <w:r>
        <w:rPr>
          <w:rFonts w:ascii="Arial"/>
          <w:color w:val="000000"/>
          <w:sz w:val="24"/>
        </w:rPr>
        <w:t>at [50]).</w:t>
      </w:r>
    </w:p>
    <w:p>
      <w:pPr>
        <w:pStyle w:val="CaselawNumbered10"/>
        <w:numPr>
          <w:ilvl w:val="0"/>
          <w:numId w:val="43"/>
        </w:numPr>
        <w:spacing w:before="150" w:after="0"/>
        <w:ind w:left="600" w:hanging="600"/>
      </w:pPr>
      <w:r>
        <w:rPr>
          <w:rFonts w:ascii="Arial"/>
          <w:color w:val="000000"/>
          <w:sz w:val="24"/>
        </w:rPr>
        <w:t xml:space="preserve">While there are limits to the Fifth </w:t>
      </w:r>
      <w:r>
        <w:rPr>
          <w:rFonts w:ascii="Arial"/>
          <w:color w:val="000000"/>
          <w:sz w:val="24"/>
        </w:rPr>
        <w:t>Wehbe</w:t>
      </w:r>
      <w:r>
        <w:rPr>
          <w:rFonts w:ascii="Arial"/>
          <w:color w:val="000000"/>
          <w:sz w:val="24"/>
        </w:rPr>
        <w:t xml:space="preserve"> </w:t>
      </w:r>
      <w:r>
        <w:rPr>
          <w:rFonts w:ascii="Arial"/>
          <w:color w:val="000000"/>
          <w:sz w:val="24"/>
        </w:rPr>
        <w:t>way, i</w:t>
      </w:r>
      <w:r>
        <w:rPr>
          <w:rFonts w:ascii="Arial"/>
          <w:color w:val="000000"/>
          <w:sz w:val="24"/>
        </w:rPr>
        <w:t xml:space="preserve">t is not necessary to consider </w:t>
      </w:r>
      <w:r>
        <w:rPr>
          <w:rFonts w:ascii="Arial"/>
          <w:color w:val="000000"/>
          <w:sz w:val="24"/>
        </w:rPr>
        <w:t>this reason</w:t>
      </w:r>
      <w:r>
        <w:rPr>
          <w:rFonts w:ascii="Arial"/>
          <w:color w:val="000000"/>
          <w:sz w:val="24"/>
        </w:rPr>
        <w:t>, as I accept the first reason advanced by the Rooms Request</w:t>
      </w:r>
      <w:r>
        <w:rPr>
          <w:rFonts w:ascii="Arial"/>
          <w:color w:val="000000"/>
          <w:sz w:val="24"/>
        </w:rPr>
        <w:t>.</w:t>
      </w:r>
    </w:p>
    <w:p>
      <w:pPr>
        <w:pStyle w:val="CaselawNumbered10"/>
        <w:numPr>
          <w:ilvl w:val="0"/>
          <w:numId w:val="43"/>
        </w:numPr>
        <w:spacing w:before="150" w:after="0"/>
        <w:ind w:left="600" w:hanging="600"/>
      </w:pPr>
      <w:r>
        <w:rPr>
          <w:rFonts w:ascii="Arial"/>
          <w:color w:val="000000"/>
          <w:sz w:val="24"/>
        </w:rPr>
        <w:t xml:space="preserve">I accept that the </w:t>
      </w:r>
      <w:r>
        <w:rPr>
          <w:rFonts w:ascii="Arial"/>
          <w:color w:val="000000"/>
          <w:sz w:val="24"/>
        </w:rPr>
        <w:t xml:space="preserve">objective of the standard may be </w:t>
      </w:r>
      <w:r>
        <w:rPr>
          <w:rFonts w:ascii="Arial"/>
          <w:color w:val="000000"/>
          <w:sz w:val="24"/>
        </w:rPr>
        <w:t>described</w:t>
      </w:r>
      <w:r>
        <w:rPr>
          <w:rFonts w:ascii="Arial"/>
          <w:color w:val="000000"/>
          <w:sz w:val="24"/>
        </w:rPr>
        <w:t xml:space="preserve"> </w:t>
      </w:r>
      <w:r>
        <w:rPr>
          <w:rFonts w:ascii="Arial"/>
          <w:color w:val="000000"/>
          <w:sz w:val="24"/>
        </w:rPr>
        <w:t xml:space="preserve">to </w:t>
      </w:r>
      <w:r>
        <w:rPr>
          <w:rFonts w:ascii="Arial"/>
          <w:color w:val="000000"/>
          <w:sz w:val="24"/>
        </w:rPr>
        <w:t xml:space="preserve">limit both </w:t>
      </w:r>
      <w:r>
        <w:rPr>
          <w:rFonts w:ascii="Arial"/>
          <w:color w:val="000000"/>
          <w:sz w:val="24"/>
        </w:rPr>
        <w:t xml:space="preserve">the number of people and </w:t>
      </w:r>
      <w:r>
        <w:rPr>
          <w:rFonts w:ascii="Arial"/>
          <w:color w:val="000000"/>
          <w:sz w:val="24"/>
        </w:rPr>
        <w:t xml:space="preserve">the </w:t>
      </w:r>
      <w:r>
        <w:rPr>
          <w:rFonts w:ascii="Arial"/>
          <w:color w:val="000000"/>
          <w:sz w:val="24"/>
        </w:rPr>
        <w:t>physical bulk and scale of a building</w:t>
      </w:r>
      <w:r>
        <w:rPr>
          <w:rFonts w:ascii="Arial"/>
          <w:color w:val="000000"/>
          <w:sz w:val="24"/>
        </w:rPr>
        <w:t xml:space="preserve"> </w:t>
      </w:r>
      <w:r>
        <w:rPr>
          <w:rFonts w:ascii="Arial"/>
          <w:color w:val="000000"/>
          <w:sz w:val="24"/>
        </w:rPr>
        <w:t>envelope</w:t>
      </w:r>
      <w:r>
        <w:rPr>
          <w:rFonts w:ascii="Arial"/>
          <w:color w:val="000000"/>
          <w:sz w:val="24"/>
        </w:rPr>
        <w:t xml:space="preserve"> </w:t>
      </w:r>
      <w:r>
        <w:rPr>
          <w:rFonts w:ascii="Arial"/>
          <w:color w:val="000000"/>
          <w:sz w:val="24"/>
        </w:rPr>
        <w:t>in which the number of rooms is contained</w:t>
      </w:r>
      <w:r>
        <w:rPr>
          <w:rFonts w:ascii="Arial"/>
          <w:color w:val="000000"/>
          <w:sz w:val="24"/>
        </w:rPr>
        <w:t xml:space="preserve">. I also </w:t>
      </w:r>
      <w:r>
        <w:rPr>
          <w:rFonts w:ascii="Arial"/>
          <w:color w:val="000000"/>
          <w:sz w:val="24"/>
        </w:rPr>
        <w:t xml:space="preserve">consider the two to be inter-related such that the number of people to be accommodated within </w:t>
      </w:r>
      <w:r>
        <w:rPr>
          <w:rFonts w:ascii="Arial"/>
          <w:color w:val="000000"/>
          <w:sz w:val="24"/>
        </w:rPr>
        <w:t xml:space="preserve">a </w:t>
      </w:r>
      <w:r>
        <w:rPr>
          <w:rFonts w:ascii="Arial"/>
          <w:color w:val="000000"/>
          <w:sz w:val="24"/>
        </w:rPr>
        <w:t>certain building envelope</w:t>
      </w:r>
      <w:r>
        <w:rPr>
          <w:rFonts w:ascii="Arial"/>
          <w:color w:val="000000"/>
          <w:sz w:val="24"/>
        </w:rPr>
        <w:t xml:space="preserve"> </w:t>
      </w:r>
      <w:r>
        <w:rPr>
          <w:rFonts w:ascii="Arial"/>
          <w:color w:val="000000"/>
          <w:sz w:val="24"/>
        </w:rPr>
        <w:t xml:space="preserve">is a factor </w:t>
      </w:r>
      <w:r>
        <w:rPr>
          <w:rFonts w:ascii="Arial"/>
          <w:color w:val="000000"/>
          <w:sz w:val="24"/>
        </w:rPr>
        <w:t xml:space="preserve">that determines </w:t>
      </w:r>
      <w:r>
        <w:rPr>
          <w:rFonts w:ascii="Arial"/>
          <w:color w:val="000000"/>
          <w:sz w:val="24"/>
        </w:rPr>
        <w:t>the bulk and scale of that building envelope</w:t>
      </w:r>
      <w:r>
        <w:rPr>
          <w:rFonts w:ascii="Arial"/>
          <w:color w:val="000000"/>
          <w:sz w:val="24"/>
        </w:rPr>
        <w:t>, by virtue of the number of rooms</w:t>
      </w:r>
      <w:r>
        <w:rPr>
          <w:rFonts w:ascii="Arial"/>
          <w:color w:val="000000"/>
          <w:sz w:val="24"/>
        </w:rPr>
        <w:t xml:space="preserve"> </w:t>
      </w:r>
      <w:r>
        <w:rPr>
          <w:rFonts w:ascii="Arial"/>
          <w:color w:val="000000"/>
          <w:sz w:val="24"/>
        </w:rPr>
        <w:t>contained within</w:t>
      </w:r>
      <w:r>
        <w:rPr>
          <w:rFonts w:ascii="Arial"/>
          <w:color w:val="000000"/>
          <w:sz w:val="24"/>
        </w:rPr>
        <w:t xml:space="preserve"> </w:t>
      </w:r>
      <w:r>
        <w:rPr>
          <w:rFonts w:ascii="Arial"/>
          <w:color w:val="000000"/>
          <w:sz w:val="24"/>
        </w:rPr>
        <w:t>that building envelope</w:t>
      </w:r>
      <w:r>
        <w:rPr>
          <w:rFonts w:ascii="Arial"/>
          <w:color w:val="000000"/>
          <w:sz w:val="24"/>
        </w:rPr>
        <w:t xml:space="preserve">. </w:t>
      </w:r>
      <w:r>
        <w:rPr>
          <w:rFonts w:ascii="Arial"/>
          <w:color w:val="000000"/>
          <w:sz w:val="24"/>
        </w:rPr>
        <w:t xml:space="preserve">Where </w:t>
      </w:r>
      <w:r>
        <w:rPr>
          <w:rFonts w:ascii="Arial"/>
          <w:color w:val="000000"/>
          <w:sz w:val="24"/>
        </w:rPr>
        <w:t xml:space="preserve">the physical scale of the building envelope pre-exists, the </w:t>
      </w:r>
      <w:r>
        <w:rPr>
          <w:rFonts w:ascii="Arial"/>
          <w:color w:val="000000"/>
          <w:sz w:val="24"/>
        </w:rPr>
        <w:t xml:space="preserve">relationship is </w:t>
      </w:r>
      <w:r>
        <w:rPr>
          <w:rFonts w:ascii="Arial"/>
          <w:color w:val="000000"/>
          <w:sz w:val="24"/>
        </w:rPr>
        <w:t>inverted</w:t>
      </w:r>
      <w:r>
        <w:rPr>
          <w:rFonts w:ascii="Arial"/>
          <w:color w:val="000000"/>
          <w:sz w:val="24"/>
        </w:rPr>
        <w:t>; the b</w:t>
      </w:r>
      <w:r>
        <w:rPr>
          <w:rFonts w:ascii="Arial"/>
          <w:color w:val="000000"/>
          <w:sz w:val="24"/>
        </w:rPr>
        <w:t>ulk and scale of the existing building envelope permits a certain number of people to be accommodated in rooms that, in t</w:t>
      </w:r>
      <w:r>
        <w:rPr>
          <w:rFonts w:ascii="Arial"/>
          <w:color w:val="000000"/>
          <w:sz w:val="24"/>
        </w:rPr>
        <w:t xml:space="preserve">urn, </w:t>
      </w:r>
      <w:r>
        <w:rPr>
          <w:rFonts w:ascii="Arial"/>
          <w:color w:val="000000"/>
          <w:sz w:val="24"/>
        </w:rPr>
        <w:t xml:space="preserve">are </w:t>
      </w:r>
      <w:r>
        <w:rPr>
          <w:rFonts w:ascii="Arial"/>
          <w:color w:val="000000"/>
          <w:sz w:val="24"/>
        </w:rPr>
        <w:t xml:space="preserve">to </w:t>
      </w:r>
      <w:r>
        <w:rPr>
          <w:rFonts w:ascii="Arial"/>
          <w:color w:val="000000"/>
          <w:sz w:val="24"/>
        </w:rPr>
        <w:t>have</w:t>
      </w:r>
      <w:r>
        <w:rPr>
          <w:rFonts w:ascii="Arial"/>
          <w:color w:val="000000"/>
          <w:sz w:val="24"/>
        </w:rPr>
        <w:t xml:space="preserve"> </w:t>
      </w:r>
      <w:r>
        <w:rPr>
          <w:rFonts w:ascii="Arial"/>
          <w:color w:val="000000"/>
          <w:sz w:val="24"/>
        </w:rPr>
        <w:t xml:space="preserve">an area </w:t>
      </w:r>
      <w:r>
        <w:rPr>
          <w:rFonts w:ascii="Arial"/>
          <w:color w:val="000000"/>
          <w:sz w:val="24"/>
        </w:rPr>
        <w:t>between 12-25m</w:t>
      </w:r>
      <w:r>
        <w:rPr>
          <w:rFonts w:ascii="Arial"/>
          <w:color w:val="000000"/>
          <w:sz w:val="24"/>
        </w:rPr>
        <w:t>2</w:t>
      </w:r>
      <w:r>
        <w:rPr>
          <w:rFonts w:ascii="Arial"/>
          <w:color w:val="000000"/>
          <w:sz w:val="24"/>
        </w:rPr>
        <w:t xml:space="preserve"> </w:t>
      </w:r>
      <w:r>
        <w:rPr>
          <w:rFonts w:ascii="Arial"/>
          <w:color w:val="000000"/>
          <w:sz w:val="24"/>
        </w:rPr>
        <w:t>(</w:t>
      </w:r>
      <w:r>
        <w:rPr>
          <w:rFonts w:ascii="Arial"/>
          <w:color w:val="000000"/>
          <w:sz w:val="24"/>
        </w:rPr>
        <w:t>s 69(1)(a) of the Housing SEPP</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I am satisfied that compliance with the maximum number of rooms standard is unreasonable or unnecessary.</w:t>
      </w:r>
      <w:r>
        <w:rPr>
          <w:rFonts w:ascii="Arial"/>
          <w:color w:val="000000"/>
          <w:sz w:val="24"/>
        </w:rPr>
        <w:t xml:space="preserve"> </w:t>
      </w:r>
    </w:p>
    <w:p>
      <w:pPr>
        <w:pStyle w:val="CaselawNumbered10"/>
        <w:numPr>
          <w:ilvl w:val="0"/>
          <w:numId w:val="43"/>
        </w:numPr>
        <w:spacing w:before="150" w:after="0"/>
        <w:ind w:left="600" w:hanging="600"/>
      </w:pPr>
      <w:r>
        <w:rPr>
          <w:rFonts w:ascii="Arial"/>
          <w:color w:val="000000"/>
          <w:sz w:val="24"/>
        </w:rPr>
        <w:t>I am also satisfied that the environmental planning grounds are sufficient to justify the contravening of the standard</w:t>
      </w:r>
      <w:r>
        <w:rPr>
          <w:rFonts w:ascii="Arial"/>
          <w:color w:val="000000"/>
          <w:sz w:val="24"/>
        </w:rPr>
        <w:t xml:space="preserve"> </w:t>
      </w:r>
      <w:r>
        <w:rPr>
          <w:rFonts w:ascii="Arial"/>
          <w:color w:val="000000"/>
          <w:sz w:val="24"/>
        </w:rPr>
        <w:t xml:space="preserve">for the reasons advanced in the Rooms </w:t>
      </w:r>
      <w:r>
        <w:rPr>
          <w:rFonts w:ascii="Arial"/>
          <w:color w:val="000000"/>
          <w:sz w:val="24"/>
        </w:rPr>
        <w:t>request</w:t>
      </w:r>
      <w:r>
        <w:rPr>
          <w:rFonts w:ascii="Arial"/>
          <w:color w:val="000000"/>
          <w:sz w:val="24"/>
        </w:rPr>
        <w:t>,</w:t>
      </w:r>
      <w:r>
        <w:rPr>
          <w:rFonts w:ascii="Arial"/>
          <w:color w:val="000000"/>
          <w:sz w:val="24"/>
        </w:rPr>
        <w:t xml:space="preserve"> </w:t>
      </w:r>
      <w:r>
        <w:rPr>
          <w:rFonts w:ascii="Arial"/>
          <w:color w:val="000000"/>
          <w:sz w:val="24"/>
        </w:rPr>
        <w:t>that are not wholly unrelated to th</w:t>
      </w:r>
      <w:r>
        <w:rPr>
          <w:rFonts w:ascii="Arial"/>
          <w:color w:val="000000"/>
          <w:sz w:val="24"/>
        </w:rPr>
        <w:t>e reasons at [</w:t>
      </w:r>
      <w:hyperlink r:id="rId15">
        <w:r>
          <w:rPr>
            <w:rFonts w:ascii="Arial"/>
            <w:color w:val="000000"/>
            <w:sz w:val="24"/>
            <w:u w:val="single"/>
          </w:rPr>
          <w:t/>
        </w:r>
        <w:r>
          <w:rPr>
            <w:rFonts w:ascii="Arial"/>
            <w:color w:val="000000"/>
            <w:sz w:val="24"/>
          </w:rPr>
          <w:t>71</w:t>
        </w:r>
      </w:hyperlink>
      <w:hyperlink r:id="rId16">
        <w:r>
          <w:rPr>
            <w:rFonts w:ascii="Arial"/>
            <w:color w:val="000000"/>
            <w:sz w:val="24"/>
          </w:rPr>
          <w:t/>
        </w:r>
      </w:hyperlink>
      <w:r>
        <w:rPr>
          <w:rFonts w:ascii="Arial"/>
          <w:color w:val="000000"/>
          <w:sz w:val="24"/>
        </w:rPr>
        <w:t>]</w:t>
      </w:r>
      <w:r>
        <w:rPr>
          <w:rFonts w:ascii="Arial"/>
          <w:color w:val="000000"/>
          <w:sz w:val="24"/>
        </w:rPr>
        <w:t>. Those reasons are:</w:t>
      </w:r>
    </w:p>
    <w:p>
      <w:pPr>
        <w:pStyle w:val="CaselawNumbered1"/>
        <w:numPr>
          <w:ilvl w:val="0"/>
          <w:numId w:val="44"/>
        </w:numPr>
        <w:spacing w:before="150" w:after="0"/>
        <w:ind w:left="1350" w:hanging="750"/>
      </w:pPr>
      <w:r>
        <w:rPr>
          <w:rFonts w:ascii="Arial"/>
          <w:color w:val="000000"/>
          <w:sz w:val="24"/>
        </w:rPr>
        <w:t xml:space="preserve">The adaptive reuse of the </w:t>
      </w:r>
      <w:r>
        <w:rPr>
          <w:rFonts w:ascii="Arial"/>
          <w:color w:val="000000"/>
          <w:sz w:val="24"/>
        </w:rPr>
        <w:t>building on the site retains the existing built form that has been an aspect of the streetscape over many years</w:t>
      </w:r>
      <w:r>
        <w:rPr>
          <w:rFonts w:ascii="Arial"/>
          <w:color w:val="000000"/>
          <w:sz w:val="24"/>
        </w:rPr>
        <w:t xml:space="preserve">, and </w:t>
      </w:r>
      <w:r>
        <w:rPr>
          <w:rFonts w:ascii="Arial"/>
          <w:color w:val="000000"/>
          <w:sz w:val="24"/>
        </w:rPr>
        <w:t>which is consistent with the objectives at cl 6.12 of the IWLEP</w:t>
      </w:r>
      <w:r>
        <w:rPr>
          <w:rFonts w:ascii="Arial"/>
          <w:color w:val="000000"/>
          <w:sz w:val="24"/>
        </w:rPr>
        <w:t>.</w:t>
      </w:r>
    </w:p>
    <w:p>
      <w:pPr>
        <w:pStyle w:val="CaselawNumbered1"/>
        <w:numPr>
          <w:ilvl w:val="0"/>
          <w:numId w:val="44"/>
        </w:numPr>
        <w:spacing w:before="150" w:after="0"/>
        <w:ind w:left="1350" w:hanging="750"/>
      </w:pPr>
      <w:r>
        <w:rPr>
          <w:rFonts w:ascii="Arial"/>
          <w:color w:val="000000"/>
          <w:sz w:val="24"/>
        </w:rPr>
        <w:t xml:space="preserve">Given the existing bulk and scale of the building envelope on the site, </w:t>
      </w:r>
      <w:r>
        <w:rPr>
          <w:rFonts w:ascii="Arial"/>
          <w:color w:val="000000"/>
          <w:sz w:val="24"/>
        </w:rPr>
        <w:t>a limit of 12 rooms does not utilise the floor area</w:t>
      </w:r>
      <w:r>
        <w:rPr>
          <w:rFonts w:ascii="Arial"/>
          <w:color w:val="000000"/>
          <w:sz w:val="24"/>
        </w:rPr>
        <w:t xml:space="preserve"> </w:t>
      </w:r>
      <w:r>
        <w:rPr>
          <w:rFonts w:ascii="Arial"/>
          <w:color w:val="000000"/>
          <w:sz w:val="24"/>
        </w:rPr>
        <w:t>available</w:t>
      </w:r>
      <w:r>
        <w:rPr>
          <w:rFonts w:ascii="Arial"/>
          <w:color w:val="000000"/>
          <w:sz w:val="24"/>
        </w:rPr>
        <w:t>, and</w:t>
      </w:r>
      <w:r>
        <w:rPr>
          <w:rFonts w:ascii="Arial"/>
          <w:color w:val="000000"/>
          <w:sz w:val="24"/>
        </w:rPr>
        <w:t xml:space="preserve"> </w:t>
      </w:r>
      <w:r>
        <w:rPr>
          <w:rFonts w:ascii="Arial"/>
          <w:color w:val="000000"/>
          <w:sz w:val="24"/>
        </w:rPr>
        <w:t>does not represent an economic or sustainable reuse of the site</w:t>
      </w:r>
      <w:r>
        <w:rPr>
          <w:rFonts w:ascii="Arial"/>
          <w:color w:val="000000"/>
          <w:sz w:val="24"/>
        </w:rPr>
        <w:t xml:space="preserve"> </w:t>
      </w:r>
      <w:r>
        <w:rPr>
          <w:rFonts w:ascii="Arial"/>
          <w:color w:val="000000"/>
          <w:sz w:val="24"/>
        </w:rPr>
        <w:t>given the evident demand for affordable rental accommodation in the area.</w:t>
      </w:r>
    </w:p>
    <w:p>
      <w:pPr>
        <w:pStyle w:val="CaselawNumbered1"/>
        <w:numPr>
          <w:ilvl w:val="0"/>
          <w:numId w:val="44"/>
        </w:numPr>
        <w:spacing w:before="150" w:after="0"/>
        <w:ind w:left="1350" w:hanging="750"/>
      </w:pPr>
      <w:r>
        <w:rPr>
          <w:rFonts w:ascii="Arial"/>
          <w:color w:val="000000"/>
          <w:sz w:val="24"/>
        </w:rPr>
        <w:t>The proposal is consistent with the objectives of the R2 zone</w:t>
      </w:r>
      <w:r>
        <w:rPr>
          <w:rFonts w:ascii="Arial"/>
          <w:color w:val="000000"/>
          <w:sz w:val="24"/>
        </w:rPr>
        <w:t>.</w:t>
      </w:r>
    </w:p>
    <w:p>
      <w:pPr>
        <w:pStyle w:val="CaselawNumbered1"/>
        <w:numPr>
          <w:ilvl w:val="0"/>
          <w:numId w:val="44"/>
        </w:numPr>
        <w:spacing w:before="150" w:after="0"/>
        <w:ind w:left="1350" w:hanging="750"/>
      </w:pPr>
      <w:r>
        <w:rPr>
          <w:rFonts w:ascii="Arial"/>
          <w:color w:val="000000"/>
          <w:sz w:val="24"/>
        </w:rPr>
        <w:t>On the basis of the Acoustic Report</w:t>
      </w:r>
      <w:r>
        <w:rPr>
          <w:rFonts w:ascii="Arial"/>
          <w:color w:val="000000"/>
          <w:sz w:val="24"/>
        </w:rPr>
        <w:t xml:space="preserve"> </w:t>
      </w:r>
      <w:r>
        <w:rPr>
          <w:rFonts w:ascii="Arial"/>
          <w:color w:val="000000"/>
          <w:sz w:val="24"/>
        </w:rPr>
        <w:t xml:space="preserve">and </w:t>
      </w:r>
      <w:r>
        <w:rPr>
          <w:rFonts w:ascii="Arial"/>
          <w:color w:val="000000"/>
          <w:sz w:val="24"/>
        </w:rPr>
        <w:t>Traffic and Parking Impact Assessments</w:t>
      </w:r>
      <w:r>
        <w:rPr>
          <w:rFonts w:ascii="Arial"/>
          <w:color w:val="000000"/>
          <w:sz w:val="24"/>
        </w:rPr>
        <w:t xml:space="preserve"> </w:t>
      </w:r>
      <w:r>
        <w:rPr>
          <w:rFonts w:ascii="Arial"/>
          <w:color w:val="000000"/>
          <w:sz w:val="24"/>
        </w:rPr>
        <w:t>prepare</w:t>
      </w:r>
      <w:r>
        <w:rPr>
          <w:rFonts w:ascii="Arial"/>
          <w:color w:val="000000"/>
          <w:sz w:val="24"/>
        </w:rPr>
        <w:t>d in support of the proposal</w:t>
      </w:r>
      <w:r>
        <w:rPr>
          <w:rFonts w:ascii="Arial"/>
          <w:color w:val="000000"/>
          <w:sz w:val="24"/>
        </w:rPr>
        <w:t xml:space="preserve">, the additional resident population </w:t>
      </w:r>
      <w:r>
        <w:rPr>
          <w:rFonts w:ascii="Arial"/>
          <w:color w:val="000000"/>
          <w:sz w:val="24"/>
        </w:rPr>
        <w:t xml:space="preserve">accommodated in the additional rooms beyond the number permitted </w:t>
      </w:r>
      <w:r>
        <w:rPr>
          <w:rFonts w:ascii="Arial"/>
          <w:color w:val="000000"/>
          <w:sz w:val="24"/>
        </w:rPr>
        <w:t xml:space="preserve">is unlikely to result in unreasonable amenity impacts in terms of noise, </w:t>
      </w:r>
      <w:r>
        <w:rPr>
          <w:rFonts w:ascii="Arial"/>
          <w:color w:val="000000"/>
          <w:sz w:val="24"/>
        </w:rPr>
        <w:t>traffic</w:t>
      </w:r>
      <w:r>
        <w:rPr>
          <w:rFonts w:ascii="Arial"/>
          <w:color w:val="000000"/>
          <w:sz w:val="24"/>
        </w:rPr>
        <w:t xml:space="preserve"> </w:t>
      </w:r>
      <w:r>
        <w:rPr>
          <w:rFonts w:ascii="Arial"/>
          <w:color w:val="000000"/>
          <w:sz w:val="24"/>
        </w:rPr>
        <w:t>or parking.</w:t>
      </w:r>
    </w:p>
    <w:p>
      <w:pPr>
        <w:pStyle w:val="CaselawNumbered1"/>
        <w:numPr>
          <w:ilvl w:val="0"/>
          <w:numId w:val="44"/>
        </w:numPr>
        <w:spacing w:before="150" w:after="0"/>
        <w:ind w:left="1350" w:hanging="750"/>
      </w:pPr>
      <w:r>
        <w:rPr>
          <w:rFonts w:ascii="Arial"/>
          <w:color w:val="000000"/>
          <w:sz w:val="24"/>
        </w:rPr>
        <w:t xml:space="preserve">Under the test </w:t>
      </w:r>
      <w:r>
        <w:rPr>
          <w:rFonts w:ascii="Arial"/>
          <w:color w:val="000000"/>
          <w:sz w:val="24"/>
        </w:rPr>
        <w:t xml:space="preserve">applied in </w:t>
      </w:r>
      <w:r>
        <w:rPr>
          <w:rFonts w:ascii="Arial"/>
          <w:i/>
          <w:color w:val="000000"/>
          <w:sz w:val="24"/>
        </w:rPr>
        <w:t>Nakhoul v Canterbury-Bankstown Council</w:t>
      </w:r>
      <w:r>
        <w:rPr>
          <w:rFonts w:ascii="Arial"/>
          <w:color w:val="000000"/>
          <w:sz w:val="24"/>
        </w:rPr>
        <w:t xml:space="preserve"> </w:t>
      </w:r>
      <w:r>
        <w:rPr>
          <w:rFonts w:ascii="Arial"/>
          <w:color w:val="000000"/>
          <w:sz w:val="24"/>
        </w:rPr>
        <w:t>[2020] NSWLEC 1320</w:t>
      </w:r>
      <w:r>
        <w:rPr>
          <w:rFonts w:ascii="Arial"/>
          <w:color w:val="000000"/>
          <w:sz w:val="24"/>
        </w:rPr>
        <w:t xml:space="preserve">, </w:t>
      </w:r>
      <w:r>
        <w:rPr>
          <w:rFonts w:ascii="Arial"/>
          <w:color w:val="000000"/>
          <w:sz w:val="24"/>
        </w:rPr>
        <w:t>(</w:t>
      </w:r>
      <w:r>
        <w:rPr>
          <w:rFonts w:ascii="Arial"/>
          <w:color w:val="000000"/>
          <w:sz w:val="24"/>
        </w:rPr>
        <w:t xml:space="preserve">which in turn cites </w:t>
      </w:r>
      <w:r>
        <w:rPr>
          <w:rFonts w:ascii="Arial"/>
          <w:color w:val="000000"/>
          <w:sz w:val="24"/>
        </w:rPr>
        <w:t xml:space="preserve">the </w:t>
      </w:r>
      <w:r>
        <w:rPr>
          <w:rFonts w:ascii="Arial"/>
          <w:color w:val="000000"/>
          <w:sz w:val="24"/>
        </w:rPr>
        <w:t>m</w:t>
      </w:r>
      <w:r>
        <w:rPr>
          <w:rFonts w:ascii="Arial"/>
          <w:color w:val="000000"/>
          <w:sz w:val="24"/>
        </w:rPr>
        <w:t xml:space="preserve">ore familiar </w:t>
      </w:r>
      <w:r>
        <w:rPr>
          <w:rFonts w:ascii="Arial"/>
          <w:i/>
          <w:color w:val="000000"/>
          <w:sz w:val="24"/>
        </w:rPr>
        <w:t>Goldin v Minister for Transport Administering the Ports Corporatisation and Waterways Management Act 1995</w:t>
      </w:r>
      <w:r>
        <w:rPr>
          <w:rFonts w:ascii="Arial"/>
          <w:color w:val="000000"/>
          <w:sz w:val="24"/>
        </w:rPr>
        <w:t xml:space="preserve"> </w:t>
      </w:r>
      <w:r>
        <w:rPr>
          <w:rFonts w:ascii="Arial"/>
          <w:color w:val="000000"/>
          <w:sz w:val="24"/>
        </w:rPr>
        <w:t>(2002) 121 LGERA 101; [2002] NSWLEC 75</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the proposal is not</w:t>
      </w:r>
      <w:r>
        <w:rPr>
          <w:rFonts w:ascii="Arial"/>
          <w:color w:val="000000"/>
          <w:sz w:val="24"/>
        </w:rPr>
        <w:t xml:space="preserve"> </w:t>
      </w:r>
      <w:r>
        <w:rPr>
          <w:rFonts w:ascii="Arial"/>
          <w:color w:val="000000"/>
          <w:sz w:val="24"/>
        </w:rPr>
        <w:t>objectionable in itself</w:t>
      </w:r>
      <w:r>
        <w:rPr>
          <w:rFonts w:ascii="Arial"/>
          <w:color w:val="000000"/>
          <w:sz w:val="24"/>
        </w:rPr>
        <w:t>.</w:t>
      </w:r>
      <w:r>
        <w:rPr>
          <w:rFonts w:ascii="Arial"/>
          <w:color w:val="000000"/>
          <w:sz w:val="24"/>
        </w:rPr>
        <w:t xml:space="preserve"> </w:t>
      </w:r>
    </w:p>
    <w:p>
      <w:pPr>
        <w:pStyle w:val="CaselawNumbered10"/>
        <w:numPr>
          <w:ilvl w:val="0"/>
          <w:numId w:val="45"/>
        </w:numPr>
        <w:spacing w:before="150" w:after="0"/>
        <w:ind w:left="600" w:hanging="600"/>
      </w:pPr>
      <w:r>
        <w:rPr>
          <w:rFonts w:ascii="Arial"/>
          <w:color w:val="000000"/>
          <w:sz w:val="24"/>
        </w:rPr>
        <w:t xml:space="preserve">I accept that the proposal is premised on the utilisation of an existing building envelope that </w:t>
      </w:r>
      <w:r>
        <w:rPr>
          <w:rFonts w:ascii="Arial"/>
          <w:color w:val="000000"/>
          <w:sz w:val="24"/>
        </w:rPr>
        <w:t xml:space="preserve">facilitates the number of rooms, the size of which is </w:t>
      </w:r>
      <w:r>
        <w:rPr>
          <w:rFonts w:ascii="Arial"/>
          <w:color w:val="000000"/>
          <w:sz w:val="24"/>
        </w:rPr>
        <w:t>nominated by the development standard at s 69(1)(a) of the Housing SEPP.</w:t>
      </w:r>
      <w:r>
        <w:rPr>
          <w:rFonts w:ascii="Arial"/>
          <w:color w:val="000000"/>
          <w:sz w:val="24"/>
        </w:rPr>
        <w:t xml:space="preserve"> </w:t>
      </w:r>
      <w:r>
        <w:rPr>
          <w:rFonts w:ascii="Arial"/>
          <w:color w:val="000000"/>
          <w:sz w:val="24"/>
        </w:rPr>
        <w:t>The adaptive reuse of the existing building obviates</w:t>
      </w:r>
      <w:r>
        <w:rPr>
          <w:rFonts w:ascii="Arial"/>
          <w:color w:val="000000"/>
          <w:sz w:val="24"/>
        </w:rPr>
        <w:t xml:space="preserve">, to some degree, the question of the </w:t>
      </w:r>
      <w:r>
        <w:rPr>
          <w:rFonts w:ascii="Arial"/>
          <w:color w:val="000000"/>
          <w:sz w:val="24"/>
        </w:rPr>
        <w:t xml:space="preserve">physical </w:t>
      </w:r>
      <w:r>
        <w:rPr>
          <w:rFonts w:ascii="Arial"/>
          <w:color w:val="000000"/>
          <w:sz w:val="24"/>
        </w:rPr>
        <w:t xml:space="preserve">bulk and </w:t>
      </w:r>
      <w:r>
        <w:rPr>
          <w:rFonts w:ascii="Arial"/>
          <w:color w:val="000000"/>
          <w:sz w:val="24"/>
        </w:rPr>
        <w:t xml:space="preserve">scale resulting from the number of rooms proposed as the number of rooms </w:t>
      </w:r>
      <w:r>
        <w:rPr>
          <w:rFonts w:ascii="Arial"/>
          <w:color w:val="000000"/>
          <w:sz w:val="24"/>
        </w:rPr>
        <w:t>proposed are</w:t>
      </w:r>
      <w:r>
        <w:rPr>
          <w:rFonts w:ascii="Arial"/>
          <w:color w:val="000000"/>
          <w:sz w:val="24"/>
        </w:rPr>
        <w:t xml:space="preserve"> </w:t>
      </w:r>
      <w:r>
        <w:rPr>
          <w:rFonts w:ascii="Arial"/>
          <w:color w:val="000000"/>
          <w:sz w:val="24"/>
        </w:rPr>
        <w:t>wholly contained within an existing building envelope</w:t>
      </w:r>
      <w:r>
        <w:rPr>
          <w:rFonts w:ascii="Arial"/>
          <w:color w:val="000000"/>
          <w:sz w:val="24"/>
        </w:rPr>
        <w:t xml:space="preserve"> </w:t>
      </w:r>
      <w:r>
        <w:rPr>
          <w:rFonts w:ascii="Arial"/>
          <w:color w:val="000000"/>
          <w:sz w:val="24"/>
        </w:rPr>
        <w:t>that is</w:t>
      </w:r>
      <w:r>
        <w:rPr>
          <w:rFonts w:ascii="Arial"/>
          <w:color w:val="000000"/>
          <w:sz w:val="24"/>
        </w:rPr>
        <w:t xml:space="preserve"> </w:t>
      </w:r>
      <w:r>
        <w:rPr>
          <w:rFonts w:ascii="Arial"/>
          <w:color w:val="000000"/>
          <w:sz w:val="24"/>
        </w:rPr>
        <w:t>uncharacteristic of the otherwise residential character</w:t>
      </w:r>
      <w:r>
        <w:rPr>
          <w:rFonts w:ascii="Arial"/>
          <w:color w:val="000000"/>
          <w:sz w:val="24"/>
        </w:rPr>
        <w:t xml:space="preserve"> </w:t>
      </w:r>
      <w:r>
        <w:rPr>
          <w:rFonts w:ascii="Arial"/>
          <w:color w:val="000000"/>
          <w:sz w:val="24"/>
        </w:rPr>
        <w:t>of Charles Street</w:t>
      </w:r>
      <w:r>
        <w:rPr>
          <w:rFonts w:ascii="Arial"/>
          <w:color w:val="000000"/>
          <w:sz w:val="24"/>
        </w:rPr>
        <w:t xml:space="preserve">, and yet </w:t>
      </w:r>
      <w:r>
        <w:rPr>
          <w:rFonts w:ascii="Arial"/>
          <w:color w:val="000000"/>
          <w:sz w:val="24"/>
        </w:rPr>
        <w:t>has been acknowledged as a part of it in some form since 1926.</w:t>
      </w:r>
      <w:r>
        <w:rPr>
          <w:rFonts w:ascii="Arial"/>
          <w:color w:val="000000"/>
          <w:sz w:val="24"/>
        </w:rPr>
        <w:t xml:space="preserve"> </w:t>
      </w:r>
      <w:r>
        <w:rPr>
          <w:rFonts w:ascii="Arial"/>
          <w:color w:val="000000"/>
          <w:sz w:val="24"/>
        </w:rPr>
        <w:t xml:space="preserve">There is no </w:t>
      </w:r>
      <w:r>
        <w:rPr>
          <w:rFonts w:ascii="Arial"/>
          <w:color w:val="000000"/>
          <w:sz w:val="24"/>
        </w:rPr>
        <w:t>additional gross floor area proposed</w:t>
      </w:r>
      <w:r>
        <w:rPr>
          <w:rFonts w:ascii="Arial"/>
          <w:color w:val="000000"/>
          <w:sz w:val="24"/>
        </w:rPr>
        <w:t>, and no addition to the bulk and scale of the proposal, beyond a stai</w:t>
      </w:r>
      <w:r>
        <w:rPr>
          <w:rFonts w:ascii="Arial"/>
          <w:color w:val="000000"/>
          <w:sz w:val="24"/>
        </w:rPr>
        <w:t xml:space="preserve">r and roof over the lift overrun. </w:t>
      </w:r>
      <w:r>
        <w:rPr>
          <w:rFonts w:ascii="Arial"/>
          <w:color w:val="000000"/>
          <w:sz w:val="24"/>
        </w:rPr>
        <w:t>These additions are minor and more than offset by the reduction in bulk and scale proposed, such as a</w:t>
      </w:r>
      <w:r>
        <w:rPr>
          <w:rFonts w:ascii="Arial"/>
          <w:color w:val="000000"/>
          <w:sz w:val="24"/>
        </w:rPr>
        <w:t xml:space="preserve"> </w:t>
      </w:r>
      <w:r>
        <w:rPr>
          <w:rFonts w:ascii="Arial"/>
          <w:color w:val="000000"/>
          <w:sz w:val="24"/>
        </w:rPr>
        <w:t xml:space="preserve">prominent fibre cement addition to the </w:t>
      </w:r>
      <w:r>
        <w:rPr>
          <w:rFonts w:ascii="Arial"/>
          <w:color w:val="000000"/>
          <w:sz w:val="24"/>
        </w:rPr>
        <w:t>southeast</w:t>
      </w:r>
      <w:r>
        <w:rPr>
          <w:rFonts w:ascii="Arial"/>
          <w:color w:val="000000"/>
          <w:sz w:val="24"/>
        </w:rPr>
        <w:t>.</w:t>
      </w:r>
    </w:p>
    <w:p>
      <w:pPr>
        <w:pStyle w:val="CaselawNumbered10"/>
        <w:numPr>
          <w:ilvl w:val="0"/>
          <w:numId w:val="45"/>
        </w:numPr>
        <w:spacing w:before="150" w:after="0"/>
        <w:ind w:left="600" w:hanging="600"/>
      </w:pPr>
      <w:r>
        <w:rPr>
          <w:rFonts w:ascii="Arial"/>
          <w:color w:val="000000"/>
          <w:sz w:val="24"/>
        </w:rPr>
        <w:t xml:space="preserve">I also accept that the </w:t>
      </w:r>
      <w:r>
        <w:rPr>
          <w:rFonts w:ascii="Arial"/>
          <w:color w:val="000000"/>
          <w:sz w:val="24"/>
        </w:rPr>
        <w:t>potential impact a</w:t>
      </w:r>
      <w:r>
        <w:rPr>
          <w:rFonts w:ascii="Arial"/>
          <w:color w:val="000000"/>
          <w:sz w:val="24"/>
        </w:rPr>
        <w:t xml:space="preserve">ttributable to an additional resident population is </w:t>
      </w:r>
      <w:r>
        <w:rPr>
          <w:rFonts w:ascii="Arial"/>
          <w:color w:val="000000"/>
          <w:sz w:val="24"/>
        </w:rPr>
        <w:t xml:space="preserve">sufficiently </w:t>
      </w:r>
      <w:r>
        <w:rPr>
          <w:rFonts w:ascii="Arial"/>
          <w:color w:val="000000"/>
          <w:sz w:val="24"/>
        </w:rPr>
        <w:t xml:space="preserve">addressed </w:t>
      </w:r>
      <w:r>
        <w:rPr>
          <w:rFonts w:ascii="Arial"/>
          <w:color w:val="000000"/>
          <w:sz w:val="24"/>
        </w:rPr>
        <w:t xml:space="preserve">firstly </w:t>
      </w:r>
      <w:r>
        <w:rPr>
          <w:rFonts w:ascii="Arial"/>
          <w:color w:val="000000"/>
          <w:sz w:val="24"/>
        </w:rPr>
        <w:t>by the Acoustic Report prepared by PKA</w:t>
      </w:r>
      <w:r>
        <w:rPr>
          <w:rFonts w:ascii="Arial"/>
          <w:color w:val="000000"/>
          <w:sz w:val="24"/>
        </w:rPr>
        <w:t xml:space="preserve"> </w:t>
      </w:r>
      <w:r>
        <w:rPr>
          <w:rFonts w:ascii="Arial"/>
          <w:color w:val="000000"/>
          <w:sz w:val="24"/>
        </w:rPr>
        <w:t>dated 3 July 2024</w:t>
      </w:r>
      <w:r>
        <w:rPr>
          <w:rFonts w:ascii="Arial"/>
          <w:color w:val="000000"/>
          <w:sz w:val="24"/>
        </w:rPr>
        <w:t xml:space="preserve"> </w:t>
      </w:r>
      <w:r>
        <w:rPr>
          <w:rFonts w:ascii="Arial"/>
          <w:color w:val="000000"/>
          <w:sz w:val="24"/>
        </w:rPr>
        <w:t>(Exhibit C, Tab F)</w:t>
      </w:r>
      <w:r>
        <w:rPr>
          <w:rFonts w:ascii="Arial"/>
          <w:color w:val="000000"/>
          <w:sz w:val="24"/>
        </w:rPr>
        <w:t xml:space="preserve">, and </w:t>
      </w:r>
      <w:r>
        <w:rPr>
          <w:rFonts w:ascii="Arial"/>
          <w:color w:val="000000"/>
          <w:sz w:val="24"/>
        </w:rPr>
        <w:t xml:space="preserve">a subsequent addendum </w:t>
      </w:r>
      <w:r>
        <w:rPr>
          <w:rFonts w:ascii="Arial"/>
          <w:color w:val="000000"/>
          <w:sz w:val="24"/>
        </w:rPr>
        <w:t>of the same author</w:t>
      </w:r>
      <w:r>
        <w:rPr>
          <w:rFonts w:ascii="Arial"/>
          <w:color w:val="000000"/>
          <w:sz w:val="24"/>
        </w:rPr>
        <w:t xml:space="preserve"> </w:t>
      </w:r>
      <w:r>
        <w:rPr>
          <w:rFonts w:ascii="Arial"/>
          <w:color w:val="000000"/>
          <w:sz w:val="24"/>
        </w:rPr>
        <w:t>(Exhibit C, Tab G)</w:t>
      </w:r>
      <w:r>
        <w:rPr>
          <w:rFonts w:ascii="Arial"/>
          <w:color w:val="000000"/>
          <w:sz w:val="24"/>
        </w:rPr>
        <w:t xml:space="preserve"> </w:t>
      </w:r>
      <w:r>
        <w:rPr>
          <w:rFonts w:ascii="Arial"/>
          <w:color w:val="000000"/>
          <w:sz w:val="24"/>
        </w:rPr>
        <w:t xml:space="preserve">that proposes </w:t>
      </w:r>
      <w:r>
        <w:rPr>
          <w:rFonts w:ascii="Arial"/>
          <w:color w:val="000000"/>
          <w:sz w:val="24"/>
        </w:rPr>
        <w:t>restricting the use of the communal open space on Level 1 between 10pm-7am</w:t>
      </w:r>
      <w:r>
        <w:rPr>
          <w:rFonts w:ascii="Arial"/>
          <w:color w:val="000000"/>
          <w:sz w:val="24"/>
        </w:rPr>
        <w:t xml:space="preserve">. </w:t>
      </w:r>
      <w:r>
        <w:rPr>
          <w:rFonts w:ascii="Arial"/>
          <w:color w:val="000000"/>
          <w:sz w:val="24"/>
        </w:rPr>
        <w:t xml:space="preserve">Secondly, I </w:t>
      </w:r>
      <w:r>
        <w:rPr>
          <w:rFonts w:ascii="Arial"/>
          <w:color w:val="000000"/>
          <w:sz w:val="24"/>
        </w:rPr>
        <w:t xml:space="preserve">note the </w:t>
      </w:r>
      <w:r>
        <w:rPr>
          <w:rFonts w:ascii="Arial"/>
          <w:color w:val="000000"/>
          <w:sz w:val="24"/>
        </w:rPr>
        <w:t>conclusions of the Traffic and Parking Impact Assessment</w:t>
      </w:r>
      <w:r>
        <w:rPr>
          <w:rFonts w:ascii="Arial"/>
          <w:color w:val="000000"/>
          <w:sz w:val="24"/>
        </w:rPr>
        <w:t xml:space="preserve"> </w:t>
      </w:r>
      <w:r>
        <w:rPr>
          <w:rFonts w:ascii="Arial"/>
          <w:color w:val="000000"/>
          <w:sz w:val="24"/>
        </w:rPr>
        <w:t>(Traffic Report)</w:t>
      </w:r>
      <w:r>
        <w:rPr>
          <w:rFonts w:ascii="Arial"/>
          <w:color w:val="000000"/>
          <w:sz w:val="24"/>
        </w:rPr>
        <w:t xml:space="preserve"> </w:t>
      </w:r>
      <w:r>
        <w:rPr>
          <w:rFonts w:ascii="Arial"/>
          <w:color w:val="000000"/>
          <w:sz w:val="24"/>
        </w:rPr>
        <w:t>(Exhibit C, Tab E)</w:t>
      </w:r>
      <w:r>
        <w:rPr>
          <w:rFonts w:ascii="Arial"/>
          <w:color w:val="000000"/>
          <w:sz w:val="24"/>
        </w:rPr>
        <w:t xml:space="preserve"> </w:t>
      </w:r>
      <w:r>
        <w:rPr>
          <w:rFonts w:ascii="Arial"/>
          <w:color w:val="000000"/>
          <w:sz w:val="24"/>
        </w:rPr>
        <w:t xml:space="preserve">are that parking </w:t>
      </w:r>
      <w:r>
        <w:rPr>
          <w:rFonts w:ascii="Arial"/>
          <w:color w:val="000000"/>
          <w:sz w:val="24"/>
        </w:rPr>
        <w:t xml:space="preserve">requirements found in the Housing SEPP are </w:t>
      </w:r>
      <w:r>
        <w:rPr>
          <w:rFonts w:ascii="Arial"/>
          <w:color w:val="000000"/>
          <w:sz w:val="24"/>
        </w:rPr>
        <w:t xml:space="preserve">achieved, and </w:t>
      </w:r>
      <w:r>
        <w:rPr>
          <w:rFonts w:ascii="Arial"/>
          <w:color w:val="000000"/>
          <w:sz w:val="24"/>
        </w:rPr>
        <w:t>traffic generated by the development will be minor, especially when discounted by existing vehicle movements.</w:t>
      </w:r>
    </w:p>
    <w:p>
      <w:pPr>
        <w:pStyle w:val="CaselawNumbered10"/>
        <w:numPr>
          <w:ilvl w:val="0"/>
          <w:numId w:val="45"/>
        </w:numPr>
        <w:spacing w:before="150" w:after="0"/>
        <w:ind w:left="600" w:hanging="600"/>
      </w:pPr>
      <w:r>
        <w:rPr>
          <w:rFonts w:ascii="Arial"/>
          <w:color w:val="000000"/>
          <w:sz w:val="24"/>
        </w:rPr>
        <w:t xml:space="preserve">Accordingly, I am satisfied that the Rooms </w:t>
      </w:r>
      <w:r>
        <w:rPr>
          <w:rFonts w:ascii="Arial"/>
          <w:color w:val="000000"/>
          <w:sz w:val="24"/>
        </w:rPr>
        <w:t xml:space="preserve">request </w:t>
      </w:r>
      <w:r>
        <w:rPr>
          <w:rFonts w:ascii="Arial"/>
          <w:color w:val="000000"/>
          <w:sz w:val="24"/>
        </w:rPr>
        <w:t>adequately addresses those matters to be demonstrated by cl 4.6(3) of the IWLEP.</w:t>
      </w:r>
    </w:p>
    <w:p>
      <w:pPr>
        <w:pStyle w:val="CaselawNumbered10"/>
        <w:numPr>
          <w:ilvl w:val="0"/>
          <w:numId w:val="45"/>
        </w:numPr>
        <w:spacing w:before="150" w:after="0"/>
        <w:ind w:left="600" w:hanging="600"/>
      </w:pPr>
      <w:r>
        <w:rPr>
          <w:rFonts w:ascii="Arial"/>
          <w:color w:val="000000"/>
          <w:sz w:val="24"/>
        </w:rPr>
        <w:t xml:space="preserve">Having </w:t>
      </w:r>
      <w:r>
        <w:rPr>
          <w:rFonts w:ascii="Arial"/>
          <w:color w:val="000000"/>
          <w:sz w:val="24"/>
        </w:rPr>
        <w:t xml:space="preserve">already </w:t>
      </w:r>
      <w:r>
        <w:rPr>
          <w:rFonts w:ascii="Arial"/>
          <w:color w:val="000000"/>
          <w:sz w:val="24"/>
        </w:rPr>
        <w:t xml:space="preserve">advanced reasons that the proposal is consistent with </w:t>
      </w:r>
      <w:r>
        <w:rPr>
          <w:rFonts w:ascii="Arial"/>
          <w:color w:val="000000"/>
          <w:sz w:val="24"/>
        </w:rPr>
        <w:t>an inferr</w:t>
      </w:r>
      <w:r>
        <w:rPr>
          <w:rFonts w:ascii="Arial"/>
          <w:color w:val="000000"/>
          <w:sz w:val="24"/>
        </w:rPr>
        <w:t>ed objective of the standard</w:t>
      </w:r>
      <w:r>
        <w:rPr>
          <w:rFonts w:ascii="Arial"/>
          <w:color w:val="000000"/>
          <w:sz w:val="24"/>
        </w:rPr>
        <w:t>, t</w:t>
      </w:r>
      <w:r>
        <w:rPr>
          <w:rFonts w:ascii="Arial"/>
          <w:color w:val="000000"/>
          <w:sz w:val="24"/>
        </w:rPr>
        <w:t xml:space="preserve">he Rooms </w:t>
      </w:r>
      <w:r>
        <w:rPr>
          <w:rFonts w:ascii="Arial"/>
          <w:color w:val="000000"/>
          <w:sz w:val="24"/>
        </w:rPr>
        <w:t xml:space="preserve">request </w:t>
      </w:r>
      <w:r>
        <w:rPr>
          <w:rFonts w:ascii="Arial"/>
          <w:color w:val="000000"/>
          <w:sz w:val="24"/>
        </w:rPr>
        <w:t xml:space="preserve">identifies the Principles of </w:t>
      </w:r>
      <w:r>
        <w:rPr>
          <w:rFonts w:ascii="Arial"/>
          <w:color w:val="000000"/>
          <w:sz w:val="24"/>
        </w:rPr>
        <w:t xml:space="preserve">Policy at s 3 of the Housing SEPP as a proxy for objectives with which the proposal should be consistent to demonstrate </w:t>
      </w:r>
      <w:r>
        <w:rPr>
          <w:rFonts w:ascii="Arial"/>
          <w:color w:val="000000"/>
          <w:sz w:val="24"/>
        </w:rPr>
        <w:t>the development will be in the public interest, as required by cl 4.6(4)</w:t>
      </w:r>
      <w:r>
        <w:rPr>
          <w:rFonts w:ascii="Arial"/>
          <w:color w:val="000000"/>
          <w:sz w:val="24"/>
        </w:rPr>
        <w:t>(b) of the IWLEP.</w:t>
      </w:r>
    </w:p>
    <w:p>
      <w:pPr>
        <w:pStyle w:val="CaselawNumbered10"/>
        <w:numPr>
          <w:ilvl w:val="0"/>
          <w:numId w:val="45"/>
        </w:numPr>
        <w:spacing w:before="150" w:after="0"/>
        <w:ind w:left="600" w:hanging="600"/>
      </w:pPr>
      <w:r>
        <w:rPr>
          <w:rFonts w:ascii="Arial"/>
          <w:color w:val="000000"/>
          <w:sz w:val="24"/>
        </w:rPr>
        <w:t>The Principles of Policy at s 3 are:</w:t>
      </w:r>
    </w:p>
    <w:p>
      <w:pPr>
        <w:pStyle w:val="CaselawQuote"/>
        <w:spacing w:before="150" w:after="150"/>
        <w:ind w:left="1350"/>
        <w:jc w:val="left"/>
      </w:pPr>
      <w:r>
        <w:rPr>
          <w:rFonts w:ascii="Arial"/>
          <w:color w:val="000000"/>
          <w:sz w:val="22"/>
        </w:rPr>
        <w:t>(a)  enabling the development of diverse housing types, including purpose-built rental housing,</w:t>
      </w:r>
    </w:p>
    <w:p>
      <w:pPr>
        <w:pStyle w:val="CaselawQuote"/>
        <w:spacing w:before="150" w:after="150"/>
        <w:ind w:left="1350"/>
        <w:jc w:val="left"/>
      </w:pPr>
      <w:r>
        <w:rPr>
          <w:rFonts w:ascii="Arial"/>
          <w:color w:val="000000"/>
          <w:sz w:val="22"/>
        </w:rPr>
        <w:t xml:space="preserve">(b)  encouraging the development of housing that will meet the needs of more vulnerable members of the community, including very low to moderate income households, </w:t>
      </w:r>
      <w:r>
        <w:rPr>
          <w:rFonts w:ascii="Arial"/>
          <w:color w:val="000000"/>
          <w:sz w:val="22"/>
        </w:rPr>
        <w:t>seniors</w:t>
      </w:r>
      <w:r>
        <w:rPr>
          <w:rFonts w:ascii="Arial"/>
          <w:color w:val="000000"/>
          <w:sz w:val="22"/>
        </w:rPr>
        <w:t xml:space="preserve"> and people with a disability,</w:t>
      </w:r>
    </w:p>
    <w:p>
      <w:pPr>
        <w:pStyle w:val="CaselawQuote"/>
        <w:spacing w:before="150" w:after="150"/>
        <w:ind w:left="1350"/>
        <w:jc w:val="left"/>
      </w:pPr>
      <w:r>
        <w:rPr>
          <w:rFonts w:ascii="Arial"/>
          <w:color w:val="000000"/>
          <w:sz w:val="22"/>
        </w:rPr>
        <w:t>(c)  ensuring new housing development provides residents with a reasonable level of amenity,</w:t>
      </w:r>
    </w:p>
    <w:p>
      <w:pPr>
        <w:pStyle w:val="CaselawQuote"/>
        <w:spacing w:before="150" w:after="150"/>
        <w:ind w:left="1350"/>
        <w:jc w:val="left"/>
      </w:pPr>
      <w:r>
        <w:rPr>
          <w:rFonts w:ascii="Arial"/>
          <w:color w:val="000000"/>
          <w:sz w:val="22"/>
        </w:rPr>
        <w:t>(d)  promoting the planning and delivery of housing in locations where it will make good use of existing and planned infrastructure and services,</w:t>
      </w:r>
    </w:p>
    <w:p>
      <w:pPr>
        <w:pStyle w:val="CaselawQuote"/>
        <w:spacing w:before="150" w:after="150"/>
        <w:ind w:left="1350"/>
        <w:jc w:val="left"/>
      </w:pPr>
      <w:r>
        <w:rPr>
          <w:rFonts w:ascii="Arial"/>
          <w:color w:val="000000"/>
          <w:sz w:val="22"/>
        </w:rPr>
        <w:t>(e)  minimising adverse climate and environmental impacts of new housing development,</w:t>
      </w:r>
    </w:p>
    <w:p>
      <w:pPr>
        <w:pStyle w:val="CaselawQuote"/>
        <w:spacing w:before="150" w:after="150"/>
        <w:ind w:left="1350"/>
        <w:jc w:val="left"/>
      </w:pPr>
      <w:r>
        <w:rPr>
          <w:rFonts w:ascii="Arial"/>
          <w:color w:val="000000"/>
          <w:sz w:val="22"/>
        </w:rPr>
        <w:t>(f)  reinforcing the importance of designing housing in a way that reflects and enhances its locality,</w:t>
      </w:r>
    </w:p>
    <w:p>
      <w:pPr>
        <w:pStyle w:val="CaselawQuote"/>
        <w:spacing w:before="150" w:after="150"/>
        <w:ind w:left="1350"/>
        <w:jc w:val="left"/>
      </w:pPr>
      <w:r>
        <w:rPr>
          <w:rFonts w:ascii="Arial"/>
          <w:color w:val="000000"/>
          <w:sz w:val="22"/>
        </w:rPr>
        <w:t>(g)  supporting short-term rental accommodation as a home-sharing activity and contributor to local economies, while managing the social and environmental impacts from this use,</w:t>
      </w:r>
    </w:p>
    <w:p>
      <w:pPr>
        <w:pStyle w:val="CaselawQuote"/>
        <w:spacing w:before="150" w:after="150"/>
        <w:ind w:left="1350"/>
        <w:jc w:val="left"/>
      </w:pPr>
      <w:r>
        <w:rPr>
          <w:rFonts w:ascii="Arial"/>
          <w:color w:val="000000"/>
          <w:sz w:val="22"/>
        </w:rPr>
        <w:t>(h)  mitigating the loss of existing affordable rental housing.</w:t>
      </w:r>
    </w:p>
    <w:p>
      <w:pPr>
        <w:pStyle w:val="CaselawNumbered10"/>
        <w:numPr>
          <w:ilvl w:val="0"/>
          <w:numId w:val="46"/>
        </w:numPr>
        <w:spacing w:before="150" w:after="0"/>
        <w:ind w:left="600" w:hanging="600"/>
      </w:pPr>
      <w:r>
        <w:rPr>
          <w:rFonts w:ascii="Arial"/>
          <w:color w:val="000000"/>
          <w:sz w:val="24"/>
        </w:rPr>
        <w:t xml:space="preserve">I accept that the proposal is consistent with the </w:t>
      </w:r>
      <w:r>
        <w:rPr>
          <w:rFonts w:ascii="Arial"/>
          <w:color w:val="000000"/>
          <w:sz w:val="24"/>
        </w:rPr>
        <w:t>Principles</w:t>
      </w:r>
      <w:r>
        <w:rPr>
          <w:rFonts w:ascii="Arial"/>
          <w:color w:val="000000"/>
          <w:sz w:val="24"/>
        </w:rPr>
        <w:t xml:space="preserve"> </w:t>
      </w:r>
      <w:r>
        <w:rPr>
          <w:rFonts w:ascii="Arial"/>
          <w:color w:val="000000"/>
          <w:sz w:val="24"/>
        </w:rPr>
        <w:t>identified above as the development i</w:t>
      </w:r>
      <w:r>
        <w:rPr>
          <w:rFonts w:ascii="Arial"/>
          <w:color w:val="000000"/>
          <w:sz w:val="24"/>
        </w:rPr>
        <w:t>ntroduces affordable rental housing</w:t>
      </w:r>
      <w:r>
        <w:rPr>
          <w:rFonts w:ascii="Arial"/>
          <w:color w:val="000000"/>
          <w:sz w:val="24"/>
        </w:rPr>
        <w:t xml:space="preserve"> </w:t>
      </w:r>
      <w:r>
        <w:rPr>
          <w:rFonts w:ascii="Arial"/>
          <w:color w:val="000000"/>
          <w:sz w:val="24"/>
        </w:rPr>
        <w:t>with reasonable amenity,</w:t>
      </w:r>
      <w:r>
        <w:rPr>
          <w:rFonts w:ascii="Arial"/>
          <w:color w:val="000000"/>
          <w:sz w:val="24"/>
        </w:rPr>
        <w:t xml:space="preserve"> </w:t>
      </w:r>
      <w:r>
        <w:rPr>
          <w:rFonts w:ascii="Arial"/>
          <w:color w:val="000000"/>
          <w:sz w:val="24"/>
        </w:rPr>
        <w:t>in an area that is accessible</w:t>
      </w:r>
      <w:r>
        <w:rPr>
          <w:rFonts w:ascii="Arial"/>
          <w:color w:val="000000"/>
          <w:sz w:val="24"/>
        </w:rPr>
        <w:t xml:space="preserve">, and by making good use of existing </w:t>
      </w:r>
      <w:r>
        <w:rPr>
          <w:rFonts w:ascii="Arial"/>
          <w:color w:val="000000"/>
          <w:sz w:val="24"/>
        </w:rPr>
        <w:t xml:space="preserve">built form and infrastructure. </w:t>
      </w:r>
      <w:r>
        <w:rPr>
          <w:rFonts w:ascii="Arial"/>
          <w:color w:val="000000"/>
          <w:sz w:val="24"/>
        </w:rPr>
        <w:t xml:space="preserve">The adaptive reuse of existing building fabric minimises environmental impacts </w:t>
      </w:r>
      <w:r>
        <w:rPr>
          <w:rFonts w:ascii="Arial"/>
          <w:color w:val="000000"/>
          <w:sz w:val="24"/>
        </w:rPr>
        <w:t xml:space="preserve">resulting from demolition </w:t>
      </w:r>
      <w:r>
        <w:rPr>
          <w:rFonts w:ascii="Arial"/>
          <w:color w:val="000000"/>
          <w:sz w:val="24"/>
        </w:rPr>
        <w:t>for</w:t>
      </w:r>
      <w:r>
        <w:rPr>
          <w:rFonts w:ascii="Arial"/>
          <w:color w:val="000000"/>
          <w:sz w:val="24"/>
        </w:rPr>
        <w:t xml:space="preserve"> </w:t>
      </w:r>
      <w:r>
        <w:rPr>
          <w:rFonts w:ascii="Arial"/>
          <w:color w:val="000000"/>
          <w:sz w:val="24"/>
        </w:rPr>
        <w:t>new development</w:t>
      </w:r>
      <w:r>
        <w:rPr>
          <w:rFonts w:ascii="Arial"/>
          <w:color w:val="000000"/>
          <w:sz w:val="24"/>
        </w:rPr>
        <w:t xml:space="preserve"> </w:t>
      </w:r>
      <w:r>
        <w:rPr>
          <w:rFonts w:ascii="Arial"/>
          <w:color w:val="000000"/>
          <w:sz w:val="24"/>
        </w:rPr>
        <w:t xml:space="preserve">and reinforces the importance </w:t>
      </w:r>
      <w:r>
        <w:rPr>
          <w:rFonts w:ascii="Arial"/>
          <w:color w:val="000000"/>
          <w:sz w:val="24"/>
        </w:rPr>
        <w:t>of housing reflective of its locality by retaining and enhancing the existing streetscape of Charles Street</w:t>
      </w:r>
      <w:r>
        <w:rPr>
          <w:rFonts w:ascii="Arial"/>
          <w:color w:val="000000"/>
          <w:sz w:val="24"/>
        </w:rPr>
        <w:t xml:space="preserve">. Finally, </w:t>
      </w:r>
      <w:r>
        <w:rPr>
          <w:rFonts w:ascii="Arial"/>
          <w:color w:val="000000"/>
          <w:sz w:val="24"/>
        </w:rPr>
        <w:t xml:space="preserve">the proposal is supported by a Plan of Management likely to avoid or mitigate adverse impacts </w:t>
      </w:r>
      <w:r>
        <w:rPr>
          <w:rFonts w:ascii="Arial"/>
          <w:color w:val="000000"/>
          <w:sz w:val="24"/>
        </w:rPr>
        <w:t>from its use.</w:t>
      </w:r>
    </w:p>
    <w:p>
      <w:pPr>
        <w:pStyle w:val="CaselawNumbered10"/>
        <w:numPr>
          <w:ilvl w:val="0"/>
          <w:numId w:val="46"/>
        </w:numPr>
        <w:spacing w:before="150" w:after="0"/>
        <w:ind w:left="600" w:hanging="600"/>
      </w:pPr>
      <w:r>
        <w:rPr>
          <w:rFonts w:ascii="Arial"/>
          <w:color w:val="000000"/>
          <w:sz w:val="24"/>
        </w:rPr>
        <w:t>Likewise, I accept the proposed development is consistent with the objectives of the R2 zone</w:t>
      </w:r>
      <w:r>
        <w:rPr>
          <w:rFonts w:ascii="Arial"/>
          <w:color w:val="000000"/>
          <w:sz w:val="24"/>
        </w:rPr>
        <w:t xml:space="preserve"> </w:t>
      </w:r>
      <w:r>
        <w:rPr>
          <w:rFonts w:ascii="Arial"/>
          <w:color w:val="000000"/>
          <w:sz w:val="24"/>
        </w:rPr>
        <w:t xml:space="preserve">by providing housing within a </w:t>
      </w:r>
      <w:r>
        <w:rPr>
          <w:rFonts w:ascii="Arial"/>
          <w:color w:val="000000"/>
          <w:sz w:val="24"/>
        </w:rPr>
        <w:t>low-density</w:t>
      </w:r>
      <w:r>
        <w:rPr>
          <w:rFonts w:ascii="Arial"/>
          <w:color w:val="000000"/>
          <w:sz w:val="24"/>
        </w:rPr>
        <w:t xml:space="preserve"> </w:t>
      </w:r>
      <w:r>
        <w:rPr>
          <w:rFonts w:ascii="Arial"/>
          <w:color w:val="000000"/>
          <w:sz w:val="24"/>
        </w:rPr>
        <w:t xml:space="preserve">zone and in a manner </w:t>
      </w:r>
      <w:r>
        <w:rPr>
          <w:rFonts w:ascii="Arial"/>
          <w:color w:val="000000"/>
          <w:sz w:val="24"/>
        </w:rPr>
        <w:t>that maintains the character of built form in Charles Street by retaining the existing building envelope on the site.</w:t>
      </w:r>
    </w:p>
    <w:p>
      <w:pPr>
        <w:pStyle w:val="CaselawNumbered10"/>
        <w:numPr>
          <w:ilvl w:val="0"/>
          <w:numId w:val="46"/>
        </w:numPr>
        <w:spacing w:before="150" w:after="0"/>
        <w:ind w:left="600" w:hanging="600"/>
      </w:pPr>
      <w:r>
        <w:rPr>
          <w:rFonts w:ascii="Arial"/>
          <w:color w:val="000000"/>
          <w:sz w:val="24"/>
        </w:rPr>
        <w:t xml:space="preserve">For the reasons above, I am satisfied that the proposed development is in the public interest because of the consistency demonstrated with </w:t>
      </w:r>
      <w:r>
        <w:rPr>
          <w:rFonts w:ascii="Arial"/>
          <w:color w:val="000000"/>
          <w:sz w:val="24"/>
        </w:rPr>
        <w:t xml:space="preserve">the relevant principles and objectives. </w:t>
      </w:r>
    </w:p>
    <w:p>
      <w:pPr>
        <w:pStyle w:val="CaselawNumbered10"/>
        <w:numPr>
          <w:ilvl w:val="0"/>
          <w:numId w:val="46"/>
        </w:numPr>
        <w:spacing w:before="150" w:after="0"/>
        <w:ind w:left="600" w:hanging="600"/>
      </w:pPr>
      <w:r>
        <w:rPr>
          <w:rFonts w:ascii="Arial"/>
          <w:color w:val="000000"/>
          <w:sz w:val="24"/>
        </w:rPr>
        <w:t>I have also considered whether the contravention of the development standard raises any matter of significance for State or regional environmental planning, and the public benefit of maintaining the development standard, pursuant to cl</w:t>
      </w:r>
      <w:r>
        <w:rPr>
          <w:rFonts w:ascii="Arial"/>
          <w:color w:val="000000"/>
          <w:sz w:val="24"/>
        </w:rPr>
        <w:t> </w:t>
      </w:r>
      <w:r>
        <w:rPr>
          <w:rFonts w:ascii="Arial"/>
          <w:color w:val="000000"/>
          <w:sz w:val="24"/>
        </w:rPr>
        <w:t>4.6(5) of the IWLEP. I find it does not and</w:t>
      </w:r>
      <w:r>
        <w:rPr>
          <w:rFonts w:ascii="Arial"/>
          <w:color w:val="000000"/>
          <w:sz w:val="24"/>
        </w:rPr>
        <w:t xml:space="preserve"> </w:t>
      </w:r>
      <w:r>
        <w:rPr>
          <w:rFonts w:ascii="Arial"/>
          <w:color w:val="000000"/>
          <w:sz w:val="24"/>
        </w:rPr>
        <w:t xml:space="preserve">so </w:t>
      </w:r>
      <w:r>
        <w:rPr>
          <w:rFonts w:ascii="Arial"/>
          <w:color w:val="000000"/>
          <w:sz w:val="24"/>
        </w:rPr>
        <w:t xml:space="preserve">find </w:t>
      </w:r>
      <w:r>
        <w:rPr>
          <w:rFonts w:ascii="Arial"/>
          <w:color w:val="000000"/>
          <w:sz w:val="24"/>
        </w:rPr>
        <w:t xml:space="preserve">the Rooms </w:t>
      </w:r>
      <w:r>
        <w:rPr>
          <w:rFonts w:ascii="Arial"/>
          <w:color w:val="000000"/>
          <w:sz w:val="24"/>
        </w:rPr>
        <w:t xml:space="preserve">request </w:t>
      </w:r>
      <w:r>
        <w:rPr>
          <w:rFonts w:ascii="Arial"/>
          <w:color w:val="000000"/>
          <w:sz w:val="24"/>
        </w:rPr>
        <w:t>should be upheld.</w:t>
      </w:r>
    </w:p>
    <w:p>
      <w:pPr>
        <w:pStyle w:val="CaselawHeading2"/>
        <w:keepNext/>
        <w:spacing w:before="150" w:after="150" w:line="264"/>
        <w:ind w:left="0"/>
        <w:jc w:val="left"/>
      </w:pPr>
      <w:r>
        <w:rPr>
          <w:rFonts w:ascii="Arial"/>
        </w:rPr>
        <w:t>Other jurisdictional considerations</w:t>
      </w:r>
    </w:p>
    <w:p>
      <w:pPr>
        <w:pStyle w:val="CaselawHeading3"/>
        <w:keepNext/>
        <w:spacing w:before="150" w:after="150" w:line="264"/>
        <w:ind w:left="0"/>
        <w:jc w:val="left"/>
      </w:pPr>
      <w:r>
        <w:rPr>
          <w:rFonts w:ascii="Arial"/>
        </w:rPr>
        <w:t xml:space="preserve">Provisions of the Housing SEPP </w:t>
      </w:r>
    </w:p>
    <w:p>
      <w:pPr>
        <w:pStyle w:val="CaselawNumbered10"/>
        <w:numPr>
          <w:ilvl w:val="0"/>
          <w:numId w:val="47"/>
        </w:numPr>
        <w:spacing w:before="150" w:after="0"/>
        <w:ind w:left="600" w:hanging="600"/>
      </w:pPr>
      <w:r>
        <w:rPr>
          <w:rFonts w:ascii="Arial"/>
          <w:color w:val="000000"/>
          <w:sz w:val="24"/>
        </w:rPr>
        <w:t>As stated earlier,</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non-discretionary standards at s 68 of the Housing SEPP are for particular ma</w:t>
      </w:r>
      <w:r>
        <w:rPr>
          <w:rFonts w:ascii="Arial"/>
          <w:color w:val="000000"/>
          <w:sz w:val="24"/>
        </w:rPr>
        <w:t>t</w:t>
      </w:r>
      <w:r>
        <w:rPr>
          <w:rFonts w:ascii="Arial"/>
          <w:color w:val="000000"/>
          <w:sz w:val="24"/>
        </w:rPr>
        <w:t xml:space="preserve">ters that, if complied with, prevent the consent authority from requiring more onerous standards for those matters. </w:t>
      </w:r>
      <w:r>
        <w:rPr>
          <w:rFonts w:ascii="Arial"/>
          <w:color w:val="000000"/>
          <w:sz w:val="24"/>
        </w:rPr>
        <w:t>A note</w:t>
      </w:r>
      <w:r>
        <w:rPr>
          <w:rFonts w:ascii="Arial"/>
          <w:color w:val="000000"/>
          <w:sz w:val="24"/>
        </w:rPr>
        <w:t xml:space="preserve"> </w:t>
      </w:r>
      <w:r>
        <w:rPr>
          <w:rFonts w:ascii="Arial"/>
          <w:color w:val="000000"/>
          <w:sz w:val="24"/>
        </w:rPr>
        <w:t>that appears in the provision</w:t>
      </w:r>
      <w:r>
        <w:rPr>
          <w:rFonts w:ascii="Arial"/>
          <w:color w:val="000000"/>
          <w:sz w:val="24"/>
        </w:rPr>
        <w:t xml:space="preserve"> </w:t>
      </w:r>
      <w:r>
        <w:rPr>
          <w:rFonts w:ascii="Arial"/>
          <w:color w:val="000000"/>
          <w:sz w:val="24"/>
        </w:rPr>
        <w:t xml:space="preserve">also invokes s 4.15(3) of the EPA Act </w:t>
      </w:r>
      <w:r>
        <w:rPr>
          <w:rFonts w:ascii="Arial"/>
          <w:color w:val="000000"/>
          <w:sz w:val="24"/>
        </w:rPr>
        <w:t xml:space="preserve">to the effect that that </w:t>
      </w:r>
      <w:r>
        <w:rPr>
          <w:rFonts w:ascii="Arial"/>
          <w:color w:val="000000"/>
          <w:sz w:val="24"/>
        </w:rPr>
        <w:t xml:space="preserve">consent may be granted notwithstanding a non-discretionary standard is not complied with. </w:t>
      </w:r>
    </w:p>
    <w:p>
      <w:pPr>
        <w:pStyle w:val="CaselawNumbered10"/>
        <w:numPr>
          <w:ilvl w:val="0"/>
          <w:numId w:val="47"/>
        </w:numPr>
        <w:spacing w:before="150" w:after="0"/>
        <w:ind w:left="600" w:hanging="600"/>
      </w:pPr>
      <w:r>
        <w:rPr>
          <w:rFonts w:ascii="Arial"/>
          <w:color w:val="000000"/>
          <w:sz w:val="24"/>
        </w:rPr>
        <w:t xml:space="preserve">I have dealt with </w:t>
      </w:r>
      <w:r>
        <w:rPr>
          <w:rFonts w:ascii="Arial"/>
          <w:color w:val="000000"/>
          <w:sz w:val="24"/>
        </w:rPr>
        <w:t>FSR on the site at [</w:t>
      </w:r>
      <w:hyperlink r:id="rId17">
        <w:r>
          <w:rPr>
            <w:rFonts w:ascii="Arial"/>
            <w:color w:val="000000"/>
            <w:sz w:val="24"/>
            <w:u w:val="single"/>
          </w:rPr>
          <w:t/>
        </w:r>
        <w:r>
          <w:rPr>
            <w:rFonts w:ascii="Arial"/>
            <w:color w:val="000000"/>
            <w:sz w:val="24"/>
          </w:rPr>
          <w:t>38</w:t>
        </w:r>
      </w:hyperlink>
      <w:hyperlink r:id="rId18">
        <w:r>
          <w:rPr>
            <w:rFonts w:ascii="Arial"/>
            <w:color w:val="000000"/>
            <w:sz w:val="24"/>
          </w:rPr>
          <w:t/>
        </w:r>
      </w:hyperlink>
      <w:r>
        <w:rPr>
          <w:rFonts w:ascii="Arial"/>
          <w:color w:val="000000"/>
          <w:sz w:val="24"/>
        </w:rPr>
        <w:t>]</w:t>
      </w:r>
      <w:r>
        <w:rPr>
          <w:rFonts w:ascii="Arial"/>
          <w:color w:val="000000"/>
          <w:sz w:val="24"/>
        </w:rPr>
        <w:t>-[</w:t>
      </w:r>
      <w:hyperlink r:id="rId19">
        <w:r>
          <w:rPr>
            <w:rFonts w:ascii="Arial"/>
            <w:color w:val="000000"/>
            <w:sz w:val="24"/>
            <w:u w:val="single"/>
          </w:rPr>
          <w:t/>
        </w:r>
        <w:r>
          <w:rPr>
            <w:rFonts w:ascii="Arial"/>
            <w:color w:val="000000"/>
            <w:sz w:val="24"/>
          </w:rPr>
          <w:t>49</w:t>
        </w:r>
      </w:hyperlink>
      <w:hyperlink r:id="rId20">
        <w:r>
          <w:rPr>
            <w:rFonts w:ascii="Arial"/>
            <w:color w:val="000000"/>
            <w:sz w:val="24"/>
          </w:rPr>
          <w:t/>
        </w:r>
      </w:hyperlink>
      <w:r>
        <w:rPr>
          <w:rFonts w:ascii="Arial"/>
          <w:color w:val="000000"/>
          <w:sz w:val="24"/>
        </w:rPr>
        <w:t>], that is the subject of the standard at s 6</w:t>
      </w:r>
      <w:r>
        <w:rPr>
          <w:rFonts w:ascii="Arial"/>
          <w:color w:val="000000"/>
          <w:sz w:val="24"/>
        </w:rPr>
        <w:t>8</w:t>
      </w:r>
      <w:r>
        <w:rPr>
          <w:rFonts w:ascii="Arial"/>
          <w:color w:val="000000"/>
          <w:sz w:val="24"/>
        </w:rPr>
        <w:t>(2)(a)</w:t>
      </w:r>
      <w:r>
        <w:rPr>
          <w:rFonts w:ascii="Arial"/>
          <w:color w:val="000000"/>
          <w:sz w:val="24"/>
        </w:rPr>
        <w:t>.</w:t>
      </w:r>
    </w:p>
    <w:p>
      <w:pPr>
        <w:pStyle w:val="CaselawNumbered10"/>
        <w:numPr>
          <w:ilvl w:val="0"/>
          <w:numId w:val="47"/>
        </w:numPr>
        <w:spacing w:before="150" w:after="0"/>
        <w:ind w:left="600" w:hanging="600"/>
      </w:pPr>
      <w:r>
        <w:rPr>
          <w:rFonts w:ascii="Arial"/>
          <w:color w:val="000000"/>
          <w:sz w:val="24"/>
        </w:rPr>
        <w:t>The next relevant standard at s 6</w:t>
      </w:r>
      <w:r>
        <w:rPr>
          <w:rFonts w:ascii="Arial"/>
          <w:color w:val="000000"/>
          <w:sz w:val="24"/>
        </w:rPr>
        <w:t>8</w:t>
      </w:r>
      <w:r>
        <w:rPr>
          <w:rFonts w:ascii="Arial"/>
          <w:color w:val="000000"/>
          <w:sz w:val="24"/>
        </w:rPr>
        <w:t xml:space="preserve">(2)(c) requires </w:t>
      </w:r>
      <w:r>
        <w:rPr>
          <w:rFonts w:ascii="Arial"/>
          <w:color w:val="000000"/>
          <w:sz w:val="24"/>
        </w:rPr>
        <w:t>co-living housing with more than 6 rooms to provide communal living area of at least 30m</w:t>
      </w:r>
      <w:r>
        <w:rPr>
          <w:rFonts w:ascii="Arial"/>
          <w:color w:val="000000"/>
          <w:sz w:val="24"/>
        </w:rPr>
        <w:t>2</w:t>
      </w:r>
      <w:r>
        <w:rPr>
          <w:rFonts w:ascii="Arial"/>
          <w:color w:val="000000"/>
          <w:sz w:val="24"/>
        </w:rPr>
        <w:t xml:space="preserve"> </w:t>
      </w:r>
      <w:r>
        <w:rPr>
          <w:rFonts w:ascii="Arial"/>
          <w:color w:val="000000"/>
          <w:sz w:val="24"/>
        </w:rPr>
        <w:t xml:space="preserve">plus </w:t>
      </w:r>
      <w:r>
        <w:rPr>
          <w:rFonts w:ascii="Arial"/>
          <w:color w:val="000000"/>
          <w:sz w:val="24"/>
        </w:rPr>
        <w:t>a further 2m</w:t>
      </w:r>
      <w:r>
        <w:rPr>
          <w:rFonts w:ascii="Arial"/>
          <w:color w:val="000000"/>
          <w:sz w:val="24"/>
        </w:rPr>
        <w:t>2</w:t>
      </w:r>
      <w:r>
        <w:rPr>
          <w:rFonts w:ascii="Arial"/>
          <w:color w:val="000000"/>
          <w:sz w:val="24"/>
        </w:rPr>
        <w:t xml:space="preserve"> </w:t>
      </w:r>
      <w:r>
        <w:rPr>
          <w:rFonts w:ascii="Arial"/>
          <w:color w:val="000000"/>
          <w:sz w:val="24"/>
        </w:rPr>
        <w:t>per private room in excess of 6 rooms, with a minimum dimension of no less than 3m.</w:t>
      </w:r>
      <w:r>
        <w:rPr>
          <w:rFonts w:ascii="Arial"/>
          <w:color w:val="000000"/>
          <w:sz w:val="24"/>
        </w:rPr>
        <w:t xml:space="preserve"> </w:t>
      </w:r>
      <w:r>
        <w:rPr>
          <w:rFonts w:ascii="Arial"/>
          <w:color w:val="000000"/>
          <w:sz w:val="24"/>
        </w:rPr>
        <w:t>There is no dispute that the proposal complies with this requirement, and architectural drawing DA1.03</w:t>
      </w:r>
      <w:r>
        <w:rPr>
          <w:rFonts w:ascii="Arial"/>
          <w:color w:val="000000"/>
          <w:sz w:val="24"/>
        </w:rPr>
        <w:t xml:space="preserve"> </w:t>
      </w:r>
      <w:r>
        <w:rPr>
          <w:rFonts w:ascii="Arial"/>
          <w:color w:val="000000"/>
          <w:sz w:val="24"/>
        </w:rPr>
        <w:t>states, uncontested, that 55m</w:t>
      </w:r>
      <w:r>
        <w:rPr>
          <w:rFonts w:ascii="Arial"/>
          <w:color w:val="000000"/>
          <w:sz w:val="24"/>
        </w:rPr>
        <w:t>2</w:t>
      </w:r>
      <w:r>
        <w:rPr>
          <w:rFonts w:ascii="Arial"/>
          <w:color w:val="000000"/>
          <w:sz w:val="24"/>
        </w:rPr>
        <w:t xml:space="preserve"> </w:t>
      </w:r>
      <w:r>
        <w:rPr>
          <w:rFonts w:ascii="Arial"/>
          <w:color w:val="000000"/>
          <w:sz w:val="24"/>
        </w:rPr>
        <w:t>of communal living area is provided</w:t>
      </w:r>
      <w:r>
        <w:rPr>
          <w:rFonts w:ascii="Arial"/>
          <w:color w:val="000000"/>
          <w:sz w:val="24"/>
        </w:rPr>
        <w:t>.</w:t>
      </w:r>
    </w:p>
    <w:p>
      <w:pPr>
        <w:pStyle w:val="CaselawNumbered10"/>
        <w:numPr>
          <w:ilvl w:val="0"/>
          <w:numId w:val="47"/>
        </w:numPr>
        <w:spacing w:before="150" w:after="0"/>
        <w:ind w:left="600" w:hanging="600"/>
      </w:pPr>
      <w:r>
        <w:rPr>
          <w:rFonts w:ascii="Arial"/>
          <w:color w:val="000000"/>
          <w:sz w:val="24"/>
        </w:rPr>
        <w:t>Communal open space is required to achieve an area of 20% of the site are</w:t>
      </w:r>
      <w:r>
        <w:rPr>
          <w:rFonts w:ascii="Arial"/>
          <w:color w:val="000000"/>
          <w:sz w:val="24"/>
        </w:rPr>
        <w:t xml:space="preserve">a, no less than 3m in width, </w:t>
      </w:r>
      <w:r>
        <w:rPr>
          <w:rFonts w:ascii="Arial"/>
          <w:color w:val="000000"/>
          <w:sz w:val="24"/>
        </w:rPr>
        <w:t>according to s 6</w:t>
      </w:r>
      <w:r>
        <w:rPr>
          <w:rFonts w:ascii="Arial"/>
          <w:color w:val="000000"/>
          <w:sz w:val="24"/>
        </w:rPr>
        <w:t>8</w:t>
      </w:r>
      <w:r>
        <w:rPr>
          <w:rFonts w:ascii="Arial"/>
          <w:color w:val="000000"/>
          <w:sz w:val="24"/>
        </w:rPr>
        <w:t xml:space="preserve">(2)(d). While the proposal complies in numerical terms, </w:t>
      </w:r>
      <w:r>
        <w:rPr>
          <w:rFonts w:ascii="Arial"/>
          <w:color w:val="000000"/>
          <w:sz w:val="24"/>
        </w:rPr>
        <w:t xml:space="preserve">the Council argues that the communal open space located on the ground floor </w:t>
      </w:r>
      <w:r>
        <w:rPr>
          <w:rFonts w:ascii="Arial"/>
          <w:color w:val="000000"/>
          <w:sz w:val="24"/>
        </w:rPr>
        <w:t>is a poor outcome akin to a basement, and that the communal open space located at Level 1</w:t>
      </w:r>
      <w:r>
        <w:rPr>
          <w:rFonts w:ascii="Arial"/>
          <w:color w:val="000000"/>
          <w:sz w:val="24"/>
        </w:rPr>
        <w:t xml:space="preserve"> </w:t>
      </w:r>
      <w:r>
        <w:rPr>
          <w:rFonts w:ascii="Arial"/>
          <w:color w:val="000000"/>
          <w:sz w:val="24"/>
        </w:rPr>
        <w:t>lacks an outlook given the enclosure created by the roof surrounding.</w:t>
      </w:r>
    </w:p>
    <w:p>
      <w:pPr>
        <w:pStyle w:val="CaselawNumbered10"/>
        <w:numPr>
          <w:ilvl w:val="0"/>
          <w:numId w:val="47"/>
        </w:numPr>
        <w:spacing w:before="150" w:after="0"/>
        <w:ind w:left="600" w:hanging="600"/>
      </w:pPr>
      <w:r>
        <w:rPr>
          <w:rFonts w:ascii="Arial"/>
          <w:color w:val="000000"/>
          <w:sz w:val="24"/>
        </w:rPr>
        <w:t xml:space="preserve">When the </w:t>
      </w:r>
      <w:r>
        <w:rPr>
          <w:rFonts w:ascii="Arial"/>
          <w:color w:val="000000"/>
          <w:sz w:val="24"/>
        </w:rPr>
        <w:t xml:space="preserve">particular arrangement of raised landscaping is properly understood at the </w:t>
      </w:r>
      <w:r>
        <w:rPr>
          <w:rFonts w:ascii="Arial"/>
          <w:color w:val="000000"/>
          <w:sz w:val="24"/>
        </w:rPr>
        <w:t>first floor</w:t>
      </w:r>
      <w:r>
        <w:rPr>
          <w:rFonts w:ascii="Arial"/>
          <w:color w:val="000000"/>
          <w:sz w:val="24"/>
        </w:rPr>
        <w:t xml:space="preserve"> </w:t>
      </w:r>
      <w:r>
        <w:rPr>
          <w:rFonts w:ascii="Arial"/>
          <w:color w:val="000000"/>
          <w:sz w:val="24"/>
        </w:rPr>
        <w:t xml:space="preserve">communal open space, I consider </w:t>
      </w:r>
      <w:r>
        <w:rPr>
          <w:rFonts w:ascii="Arial"/>
          <w:color w:val="000000"/>
          <w:sz w:val="24"/>
        </w:rPr>
        <w:t xml:space="preserve">the </w:t>
      </w:r>
      <w:r>
        <w:rPr>
          <w:rFonts w:ascii="Arial"/>
          <w:color w:val="000000"/>
          <w:sz w:val="24"/>
        </w:rPr>
        <w:t xml:space="preserve">access to views and sunlight </w:t>
      </w:r>
      <w:r>
        <w:rPr>
          <w:rFonts w:ascii="Arial"/>
          <w:color w:val="000000"/>
          <w:sz w:val="24"/>
        </w:rPr>
        <w:t>to provide a reasonable level of amenity</w:t>
      </w:r>
      <w:r>
        <w:rPr>
          <w:rFonts w:ascii="Arial"/>
          <w:color w:val="000000"/>
          <w:sz w:val="24"/>
        </w:rPr>
        <w:t xml:space="preserve">, which is the level of amenity sought by </w:t>
      </w:r>
      <w:r>
        <w:rPr>
          <w:rFonts w:ascii="Arial"/>
          <w:color w:val="000000"/>
          <w:sz w:val="24"/>
        </w:rPr>
        <w:t xml:space="preserve">the principle of the </w:t>
      </w:r>
      <w:r>
        <w:rPr>
          <w:rFonts w:ascii="Arial"/>
          <w:color w:val="000000"/>
          <w:sz w:val="24"/>
        </w:rPr>
        <w:t xml:space="preserve">Policy </w:t>
      </w:r>
      <w:r>
        <w:rPr>
          <w:rFonts w:ascii="Arial"/>
          <w:color w:val="000000"/>
          <w:sz w:val="24"/>
        </w:rPr>
        <w:t>at s 3(c) of the Housing SEPP.</w:t>
      </w:r>
    </w:p>
    <w:p>
      <w:pPr>
        <w:pStyle w:val="CaselawNumbered10"/>
        <w:numPr>
          <w:ilvl w:val="0"/>
          <w:numId w:val="47"/>
        </w:numPr>
        <w:spacing w:before="150" w:after="0"/>
        <w:ind w:left="600" w:hanging="600"/>
      </w:pPr>
      <w:r>
        <w:rPr>
          <w:rFonts w:ascii="Arial"/>
          <w:color w:val="000000"/>
          <w:sz w:val="24"/>
        </w:rPr>
        <w:t xml:space="preserve">The ground floor communal open space is </w:t>
      </w:r>
      <w:r>
        <w:rPr>
          <w:rFonts w:ascii="Arial"/>
          <w:color w:val="000000"/>
          <w:sz w:val="24"/>
        </w:rPr>
        <w:t xml:space="preserve">somewhat enclosed, with </w:t>
      </w:r>
      <w:r>
        <w:rPr>
          <w:rFonts w:ascii="Arial"/>
          <w:color w:val="000000"/>
          <w:sz w:val="24"/>
        </w:rPr>
        <w:t xml:space="preserve">two </w:t>
      </w:r>
      <w:r>
        <w:rPr>
          <w:rFonts w:ascii="Arial"/>
          <w:color w:val="000000"/>
          <w:sz w:val="24"/>
        </w:rPr>
        <w:t>openings to the east,</w:t>
      </w:r>
      <w:r>
        <w:rPr>
          <w:rFonts w:ascii="Arial"/>
          <w:color w:val="000000"/>
          <w:sz w:val="24"/>
        </w:rPr>
        <w:t xml:space="preserve"> </w:t>
      </w:r>
      <w:r>
        <w:rPr>
          <w:rFonts w:ascii="Arial"/>
          <w:color w:val="000000"/>
          <w:sz w:val="24"/>
        </w:rPr>
        <w:t>one of which is full height and addresses the proposed</w:t>
      </w:r>
      <w:r>
        <w:rPr>
          <w:rFonts w:ascii="Arial"/>
          <w:color w:val="000000"/>
          <w:sz w:val="24"/>
        </w:rPr>
        <w:t xml:space="preserve"> </w:t>
      </w:r>
      <w:r>
        <w:rPr>
          <w:rFonts w:ascii="Arial"/>
          <w:color w:val="000000"/>
          <w:sz w:val="24"/>
        </w:rPr>
        <w:t>landscaped area</w:t>
      </w:r>
      <w:r>
        <w:rPr>
          <w:rFonts w:ascii="Arial"/>
          <w:color w:val="000000"/>
          <w:sz w:val="24"/>
        </w:rPr>
        <w:t xml:space="preserve">. </w:t>
      </w:r>
      <w:r>
        <w:rPr>
          <w:rFonts w:ascii="Arial"/>
          <w:color w:val="000000"/>
          <w:sz w:val="24"/>
        </w:rPr>
        <w:t xml:space="preserve">The width is sufficient for </w:t>
      </w:r>
      <w:r>
        <w:rPr>
          <w:rFonts w:ascii="Arial"/>
          <w:color w:val="000000"/>
          <w:sz w:val="24"/>
        </w:rPr>
        <w:t xml:space="preserve">layout of furniture, while maintaining access to the waste room and bicycle parking. Once again, </w:t>
      </w:r>
      <w:r>
        <w:rPr>
          <w:rFonts w:ascii="Arial"/>
          <w:color w:val="000000"/>
          <w:sz w:val="24"/>
        </w:rPr>
        <w:t>I consider a reasonable level of amenity to be achieved</w:t>
      </w:r>
      <w:r>
        <w:rPr>
          <w:rFonts w:ascii="Arial"/>
          <w:color w:val="000000"/>
          <w:sz w:val="24"/>
        </w:rPr>
        <w:t xml:space="preserve">, with some degree of choice </w:t>
      </w:r>
      <w:r>
        <w:rPr>
          <w:rFonts w:ascii="Arial"/>
          <w:color w:val="000000"/>
          <w:sz w:val="24"/>
        </w:rPr>
        <w:t xml:space="preserve">between the two communal open spaces </w:t>
      </w:r>
      <w:r>
        <w:rPr>
          <w:rFonts w:ascii="Arial"/>
          <w:color w:val="000000"/>
          <w:sz w:val="24"/>
        </w:rPr>
        <w:t>on offer to residents</w:t>
      </w:r>
      <w:r>
        <w:rPr>
          <w:rFonts w:ascii="Arial"/>
          <w:color w:val="000000"/>
          <w:sz w:val="24"/>
        </w:rPr>
        <w:t>.</w:t>
      </w:r>
      <w:r>
        <w:rPr>
          <w:rFonts w:ascii="Arial"/>
          <w:color w:val="000000"/>
          <w:sz w:val="24"/>
        </w:rPr>
        <w:t xml:space="preserve"> </w:t>
      </w:r>
      <w:r>
        <w:rPr>
          <w:rFonts w:ascii="Arial"/>
          <w:color w:val="000000"/>
          <w:sz w:val="24"/>
        </w:rPr>
        <w:t xml:space="preserve">While Mr </w:t>
      </w:r>
      <w:r>
        <w:rPr>
          <w:rFonts w:ascii="Arial"/>
          <w:color w:val="000000"/>
          <w:sz w:val="24"/>
        </w:rPr>
        <w:t>Youhanna</w:t>
      </w:r>
      <w:r>
        <w:rPr>
          <w:rFonts w:ascii="Arial"/>
          <w:color w:val="000000"/>
          <w:sz w:val="24"/>
        </w:rPr>
        <w:t xml:space="preserve"> </w:t>
      </w:r>
      <w:r>
        <w:rPr>
          <w:rFonts w:ascii="Arial"/>
          <w:color w:val="000000"/>
          <w:sz w:val="24"/>
        </w:rPr>
        <w:t>cites objectives from the ADG on the function of open space,</w:t>
      </w:r>
      <w:r>
        <w:rPr>
          <w:rFonts w:ascii="Arial"/>
          <w:color w:val="000000"/>
          <w:sz w:val="24"/>
        </w:rPr>
        <w:t xml:space="preserve"> </w:t>
      </w:r>
      <w:r>
        <w:rPr>
          <w:rFonts w:ascii="Arial"/>
          <w:color w:val="000000"/>
          <w:sz w:val="24"/>
        </w:rPr>
        <w:t xml:space="preserve">such standards </w:t>
      </w:r>
      <w:r>
        <w:rPr>
          <w:rFonts w:ascii="Arial"/>
          <w:color w:val="000000"/>
          <w:sz w:val="24"/>
        </w:rPr>
        <w:t>were</w:t>
      </w:r>
      <w:r>
        <w:rPr>
          <w:rFonts w:ascii="Arial"/>
          <w:color w:val="000000"/>
          <w:sz w:val="24"/>
        </w:rPr>
        <w:t>, for whatever reason,</w:t>
      </w:r>
      <w:r>
        <w:rPr>
          <w:rFonts w:ascii="Arial"/>
          <w:color w:val="000000"/>
          <w:sz w:val="24"/>
        </w:rPr>
        <w:t xml:space="preserve"> </w:t>
      </w:r>
      <w:r>
        <w:rPr>
          <w:rFonts w:ascii="Arial"/>
          <w:color w:val="000000"/>
          <w:sz w:val="24"/>
        </w:rPr>
        <w:t xml:space="preserve">not </w:t>
      </w:r>
      <w:r>
        <w:rPr>
          <w:rFonts w:ascii="Arial"/>
          <w:color w:val="000000"/>
          <w:sz w:val="24"/>
        </w:rPr>
        <w:t xml:space="preserve">seen by the </w:t>
      </w:r>
      <w:r>
        <w:rPr>
          <w:rFonts w:ascii="Arial"/>
          <w:color w:val="000000"/>
          <w:sz w:val="24"/>
        </w:rPr>
        <w:t xml:space="preserve">drafters of the Housing SEPP </w:t>
      </w:r>
      <w:r>
        <w:rPr>
          <w:rFonts w:ascii="Arial"/>
          <w:color w:val="000000"/>
          <w:sz w:val="24"/>
        </w:rPr>
        <w:t>as applicable to</w:t>
      </w:r>
      <w:r>
        <w:rPr>
          <w:rFonts w:ascii="Arial"/>
          <w:color w:val="000000"/>
          <w:sz w:val="24"/>
        </w:rPr>
        <w:t xml:space="preserve"> </w:t>
      </w:r>
      <w:r>
        <w:rPr>
          <w:rFonts w:ascii="Arial"/>
          <w:color w:val="000000"/>
          <w:sz w:val="24"/>
        </w:rPr>
        <w:t>co-living housing</w:t>
      </w:r>
      <w:r>
        <w:rPr>
          <w:rFonts w:ascii="Arial"/>
          <w:color w:val="000000"/>
          <w:sz w:val="24"/>
        </w:rPr>
        <w:t>.</w:t>
      </w:r>
    </w:p>
    <w:p>
      <w:pPr>
        <w:pStyle w:val="CaselawNumbered10"/>
        <w:numPr>
          <w:ilvl w:val="0"/>
          <w:numId w:val="47"/>
        </w:numPr>
        <w:spacing w:before="150" w:after="0"/>
        <w:ind w:left="600" w:hanging="600"/>
      </w:pPr>
      <w:r>
        <w:rPr>
          <w:rFonts w:ascii="Arial"/>
          <w:color w:val="000000"/>
          <w:sz w:val="24"/>
        </w:rPr>
        <w:t xml:space="preserve">The </w:t>
      </w:r>
      <w:r>
        <w:rPr>
          <w:rFonts w:ascii="Arial"/>
          <w:color w:val="000000"/>
          <w:sz w:val="24"/>
        </w:rPr>
        <w:t xml:space="preserve">relevant </w:t>
      </w:r>
      <w:r>
        <w:rPr>
          <w:rFonts w:ascii="Arial"/>
          <w:color w:val="000000"/>
          <w:sz w:val="24"/>
        </w:rPr>
        <w:t>development standards at s 69 of the Housing SEPP</w:t>
      </w:r>
      <w:r>
        <w:rPr>
          <w:rFonts w:ascii="Arial"/>
          <w:color w:val="000000"/>
          <w:sz w:val="24"/>
        </w:rPr>
        <w:t xml:space="preserve"> </w:t>
      </w:r>
      <w:r>
        <w:rPr>
          <w:rFonts w:ascii="Arial"/>
          <w:color w:val="000000"/>
          <w:sz w:val="24"/>
        </w:rPr>
        <w:t>that I have not otherwise addressed prior to now</w:t>
      </w:r>
      <w:r>
        <w:rPr>
          <w:rFonts w:ascii="Arial"/>
          <w:color w:val="000000"/>
          <w:sz w:val="24"/>
        </w:rPr>
        <w:t xml:space="preserve"> </w:t>
      </w:r>
      <w:r>
        <w:rPr>
          <w:rFonts w:ascii="Arial"/>
          <w:color w:val="000000"/>
          <w:sz w:val="24"/>
        </w:rPr>
        <w:t>are satisfied, including the minimum lot size for such development in the R2 zone (subs (1)(b)</w:t>
      </w:r>
      <w:r>
        <w:rPr>
          <w:rFonts w:ascii="Arial"/>
          <w:color w:val="000000"/>
          <w:sz w:val="24"/>
        </w:rPr>
        <w:t>(</w:t>
      </w:r>
      <w:r>
        <w:rPr>
          <w:rFonts w:ascii="Arial"/>
          <w:color w:val="000000"/>
          <w:sz w:val="24"/>
        </w:rPr>
        <w:t>i</w:t>
      </w:r>
      <w:r>
        <w:rPr>
          <w:rFonts w:ascii="Arial"/>
          <w:color w:val="000000"/>
          <w:sz w:val="24"/>
        </w:rPr>
        <w:t xml:space="preserve">)), the provision of a workspace for the manager (subs </w:t>
      </w:r>
      <w:r>
        <w:rPr>
          <w:rFonts w:ascii="Arial"/>
          <w:color w:val="000000"/>
          <w:sz w:val="24"/>
        </w:rPr>
        <w:t>(1)(d))</w:t>
      </w:r>
      <w:r>
        <w:rPr>
          <w:rFonts w:ascii="Arial"/>
          <w:color w:val="000000"/>
          <w:sz w:val="24"/>
        </w:rPr>
        <w:t xml:space="preserve">, </w:t>
      </w:r>
      <w:r>
        <w:rPr>
          <w:rFonts w:ascii="Arial"/>
          <w:color w:val="000000"/>
          <w:sz w:val="24"/>
        </w:rPr>
        <w:t xml:space="preserve">adequate bathroom, laundry and kitchen facilities </w:t>
      </w:r>
      <w:r>
        <w:rPr>
          <w:rFonts w:ascii="Arial"/>
          <w:color w:val="000000"/>
          <w:sz w:val="24"/>
        </w:rPr>
        <w:t>are available to each occupant (sub</w:t>
      </w:r>
      <w:r>
        <w:rPr>
          <w:rFonts w:ascii="Arial"/>
          <w:color w:val="000000"/>
          <w:sz w:val="24"/>
        </w:rPr>
        <w:t>s</w:t>
      </w:r>
      <w:r>
        <w:rPr>
          <w:rFonts w:ascii="Arial"/>
          <w:color w:val="000000"/>
          <w:sz w:val="24"/>
        </w:rPr>
        <w:t xml:space="preserve"> </w:t>
      </w:r>
      <w:r>
        <w:rPr>
          <w:rFonts w:ascii="Arial"/>
          <w:color w:val="000000"/>
          <w:sz w:val="24"/>
        </w:rPr>
        <w:t>(1)(</w:t>
      </w:r>
      <w:r>
        <w:rPr>
          <w:rFonts w:ascii="Arial"/>
          <w:color w:val="000000"/>
          <w:sz w:val="24"/>
        </w:rPr>
        <w:t xml:space="preserve">f)), </w:t>
      </w:r>
      <w:r>
        <w:rPr>
          <w:rFonts w:ascii="Arial"/>
          <w:color w:val="000000"/>
          <w:sz w:val="24"/>
        </w:rPr>
        <w:t>a limitation is place on the number of occupants per room by the proposed Plan of Management (sub</w:t>
      </w:r>
      <w:r>
        <w:rPr>
          <w:rFonts w:ascii="Arial"/>
          <w:color w:val="000000"/>
          <w:sz w:val="24"/>
        </w:rPr>
        <w:t xml:space="preserve">s (1)(g)), adequate bicycle </w:t>
      </w:r>
      <w:r>
        <w:rPr>
          <w:rFonts w:ascii="Arial"/>
          <w:color w:val="000000"/>
          <w:sz w:val="24"/>
        </w:rPr>
        <w:t xml:space="preserve">and motorcycle parking spaces </w:t>
      </w:r>
      <w:r>
        <w:rPr>
          <w:rFonts w:ascii="Arial"/>
          <w:color w:val="000000"/>
          <w:sz w:val="24"/>
        </w:rPr>
        <w:t>are depicted on the architectural plans</w:t>
      </w:r>
      <w:r>
        <w:rPr>
          <w:rFonts w:ascii="Arial"/>
          <w:color w:val="000000"/>
          <w:sz w:val="24"/>
        </w:rPr>
        <w:t xml:space="preserve"> </w:t>
      </w:r>
      <w:r>
        <w:rPr>
          <w:rFonts w:ascii="Arial"/>
          <w:color w:val="000000"/>
          <w:sz w:val="24"/>
        </w:rPr>
        <w:t xml:space="preserve">when regard is had to the </w:t>
      </w:r>
      <w:r>
        <w:rPr>
          <w:rFonts w:ascii="Arial"/>
          <w:color w:val="000000"/>
          <w:sz w:val="24"/>
        </w:rPr>
        <w:t>Traffic Report</w:t>
      </w:r>
      <w:r>
        <w:rPr>
          <w:rFonts w:ascii="Arial"/>
          <w:color w:val="000000"/>
          <w:sz w:val="24"/>
        </w:rPr>
        <w:t xml:space="preserve"> </w:t>
      </w:r>
      <w:r>
        <w:rPr>
          <w:rFonts w:ascii="Arial"/>
          <w:color w:val="000000"/>
          <w:sz w:val="24"/>
        </w:rPr>
        <w:t>that cites the MDCP</w:t>
      </w:r>
      <w:r>
        <w:rPr>
          <w:rFonts w:ascii="Arial"/>
          <w:color w:val="000000"/>
          <w:sz w:val="24"/>
        </w:rPr>
        <w:t xml:space="preserve"> </w:t>
      </w:r>
      <w:r>
        <w:rPr>
          <w:rFonts w:ascii="Arial"/>
          <w:color w:val="000000"/>
          <w:sz w:val="24"/>
        </w:rPr>
        <w:t>(subs</w:t>
      </w:r>
      <w:r>
        <w:rPr>
          <w:rFonts w:ascii="Arial"/>
          <w:color w:val="000000"/>
          <w:sz w:val="24"/>
        </w:rPr>
        <w:t xml:space="preserve"> </w:t>
      </w:r>
      <w:r>
        <w:rPr>
          <w:rFonts w:ascii="Arial"/>
          <w:color w:val="000000"/>
          <w:sz w:val="24"/>
        </w:rPr>
        <w:t>(1)(h))</w:t>
      </w:r>
      <w:r>
        <w:rPr>
          <w:rFonts w:ascii="Arial"/>
          <w:color w:val="000000"/>
          <w:sz w:val="24"/>
        </w:rPr>
        <w:t>.</w:t>
      </w:r>
    </w:p>
    <w:p>
      <w:pPr>
        <w:pStyle w:val="CaselawNumbered10"/>
        <w:numPr>
          <w:ilvl w:val="0"/>
          <w:numId w:val="47"/>
        </w:numPr>
        <w:spacing w:before="150" w:after="0"/>
        <w:ind w:left="600" w:hanging="600"/>
      </w:pPr>
      <w:r>
        <w:rPr>
          <w:rFonts w:ascii="Arial"/>
          <w:color w:val="000000"/>
          <w:sz w:val="24"/>
        </w:rPr>
        <w:t xml:space="preserve">Consent is also precluded unless the consent authority, or the Court on appeal, has considered those matters at </w:t>
      </w:r>
      <w:r>
        <w:rPr>
          <w:rFonts w:ascii="Arial"/>
          <w:color w:val="000000"/>
          <w:sz w:val="24"/>
        </w:rPr>
        <w:t xml:space="preserve">s 69(2) of the Housing SEPP. </w:t>
      </w:r>
      <w:r>
        <w:br/>
      </w:r>
      <w:r>
        <w:rPr>
          <w:rFonts w:ascii="Arial"/>
          <w:color w:val="000000"/>
          <w:sz w:val="24"/>
        </w:rPr>
        <w:t xml:space="preserve"> </w:t>
      </w:r>
      <w:r>
        <w:rPr>
          <w:rFonts w:ascii="Arial"/>
          <w:color w:val="000000"/>
          <w:sz w:val="24"/>
        </w:rPr>
        <w:t xml:space="preserve">I am assisted by the agreement of the planning experts at </w:t>
      </w:r>
      <w:r>
        <w:rPr>
          <w:rFonts w:ascii="Arial"/>
          <w:color w:val="000000"/>
          <w:sz w:val="24"/>
        </w:rPr>
        <w:t>par 3.4.1</w:t>
      </w:r>
      <w:r>
        <w:rPr>
          <w:rFonts w:ascii="Arial"/>
          <w:color w:val="000000"/>
          <w:sz w:val="24"/>
        </w:rPr>
        <w:t xml:space="preserve"> </w:t>
      </w:r>
      <w:r>
        <w:rPr>
          <w:rFonts w:ascii="Arial"/>
          <w:color w:val="000000"/>
          <w:sz w:val="24"/>
        </w:rPr>
        <w:t>that the setbacks are acceptable (subs (a)(</w:t>
      </w:r>
      <w:r>
        <w:rPr>
          <w:rFonts w:ascii="Arial"/>
          <w:color w:val="000000"/>
          <w:sz w:val="24"/>
        </w:rPr>
        <w:t>i</w:t>
      </w:r>
      <w:r>
        <w:rPr>
          <w:rFonts w:ascii="Arial"/>
          <w:color w:val="000000"/>
          <w:sz w:val="24"/>
        </w:rPr>
        <w:t>))</w:t>
      </w:r>
      <w:r>
        <w:rPr>
          <w:rFonts w:ascii="Arial"/>
          <w:color w:val="000000"/>
          <w:sz w:val="24"/>
        </w:rPr>
        <w:t>, and</w:t>
      </w:r>
      <w:r>
        <w:rPr>
          <w:rFonts w:ascii="Arial"/>
          <w:color w:val="000000"/>
          <w:sz w:val="24"/>
        </w:rPr>
        <w:t xml:space="preserve"> </w:t>
      </w:r>
      <w:r>
        <w:rPr>
          <w:rFonts w:ascii="Arial"/>
          <w:color w:val="000000"/>
          <w:sz w:val="24"/>
        </w:rPr>
        <w:t>by views from the sun diagrams</w:t>
      </w:r>
      <w:r>
        <w:rPr>
          <w:rFonts w:ascii="Arial"/>
          <w:color w:val="000000"/>
          <w:sz w:val="24"/>
        </w:rPr>
        <w:t xml:space="preserve"> </w:t>
      </w:r>
      <w:r>
        <w:rPr>
          <w:rFonts w:ascii="Arial"/>
          <w:color w:val="000000"/>
          <w:sz w:val="24"/>
        </w:rPr>
        <w:t xml:space="preserve">prepared by the architects JSA Studio, to be satisfied </w:t>
      </w:r>
      <w:r>
        <w:rPr>
          <w:rFonts w:ascii="Arial"/>
          <w:color w:val="000000"/>
          <w:sz w:val="24"/>
        </w:rPr>
        <w:t xml:space="preserve">that the communal </w:t>
      </w:r>
      <w:r>
        <w:rPr>
          <w:rFonts w:ascii="Arial"/>
          <w:color w:val="000000"/>
          <w:sz w:val="24"/>
        </w:rPr>
        <w:t>living</w:t>
      </w:r>
      <w:r>
        <w:rPr>
          <w:rFonts w:ascii="Arial"/>
          <w:color w:val="000000"/>
          <w:sz w:val="24"/>
        </w:rPr>
        <w:t xml:space="preserve"> </w:t>
      </w:r>
      <w:r>
        <w:rPr>
          <w:rFonts w:ascii="Arial"/>
          <w:color w:val="000000"/>
          <w:sz w:val="24"/>
        </w:rPr>
        <w:t xml:space="preserve">area on Level 1 will receive </w:t>
      </w:r>
      <w:r>
        <w:rPr>
          <w:rFonts w:ascii="Arial"/>
          <w:color w:val="000000"/>
          <w:sz w:val="24"/>
        </w:rPr>
        <w:t xml:space="preserve">well in excess of </w:t>
      </w:r>
      <w:r>
        <w:rPr>
          <w:rFonts w:ascii="Arial"/>
          <w:color w:val="000000"/>
          <w:sz w:val="24"/>
        </w:rPr>
        <w:t xml:space="preserve">3 </w:t>
      </w:r>
      <w:r>
        <w:rPr>
          <w:rFonts w:ascii="Arial"/>
          <w:color w:val="000000"/>
          <w:sz w:val="24"/>
        </w:rPr>
        <w:t>hours</w:t>
      </w:r>
      <w:r>
        <w:rPr>
          <w:rFonts w:ascii="Arial"/>
          <w:color w:val="000000"/>
          <w:sz w:val="24"/>
        </w:rPr>
        <w:t xml:space="preserve"> </w:t>
      </w:r>
      <w:r>
        <w:rPr>
          <w:rFonts w:ascii="Arial"/>
          <w:color w:val="000000"/>
          <w:sz w:val="24"/>
        </w:rPr>
        <w:t xml:space="preserve">of direct solar access </w:t>
      </w:r>
      <w:r>
        <w:rPr>
          <w:rFonts w:ascii="Arial"/>
          <w:color w:val="000000"/>
          <w:sz w:val="24"/>
        </w:rPr>
        <w:t xml:space="preserve">between 9am-3pm in </w:t>
      </w:r>
      <w:r>
        <w:rPr>
          <w:rFonts w:ascii="Arial"/>
          <w:color w:val="000000"/>
          <w:sz w:val="24"/>
        </w:rPr>
        <w:t>mid winter</w:t>
      </w:r>
      <w:r>
        <w:rPr>
          <w:rFonts w:ascii="Arial"/>
          <w:color w:val="000000"/>
          <w:sz w:val="24"/>
        </w:rPr>
        <w:t xml:space="preserve"> </w:t>
      </w:r>
      <w:r>
        <w:rPr>
          <w:rFonts w:ascii="Arial"/>
          <w:color w:val="000000"/>
          <w:sz w:val="24"/>
        </w:rPr>
        <w:t>(subs (c)).</w:t>
      </w:r>
    </w:p>
    <w:p>
      <w:pPr>
        <w:pStyle w:val="CaselawNumbered10"/>
        <w:numPr>
          <w:ilvl w:val="0"/>
          <w:numId w:val="47"/>
        </w:numPr>
        <w:spacing w:before="150" w:after="0"/>
        <w:ind w:left="600" w:hanging="600"/>
      </w:pPr>
      <w:r>
        <w:rPr>
          <w:rFonts w:ascii="Arial"/>
          <w:color w:val="000000"/>
          <w:sz w:val="24"/>
        </w:rPr>
        <w:t xml:space="preserve">For reasons set out at </w:t>
      </w:r>
      <w:r>
        <w:rPr>
          <w:rFonts w:ascii="Arial"/>
          <w:color w:val="000000"/>
          <w:sz w:val="24"/>
        </w:rPr>
        <w:t>[</w:t>
      </w:r>
      <w:hyperlink r:id="rId21">
        <w:r>
          <w:rPr>
            <w:rFonts w:ascii="Arial"/>
            <w:color w:val="000000"/>
            <w:sz w:val="24"/>
            <w:u w:val="single"/>
          </w:rPr>
          <w:t/>
        </w:r>
        <w:r>
          <w:rPr>
            <w:rFonts w:ascii="Arial"/>
            <w:color w:val="000000"/>
            <w:sz w:val="24"/>
          </w:rPr>
          <w:t>61</w:t>
        </w:r>
      </w:hyperlink>
      <w:hyperlink r:id="rId22">
        <w:r>
          <w:rPr>
            <w:rFonts w:ascii="Arial"/>
            <w:color w:val="000000"/>
            <w:sz w:val="24"/>
          </w:rPr>
          <w:t/>
        </w:r>
      </w:hyperlink>
      <w:r>
        <w:rPr>
          <w:rFonts w:ascii="Arial"/>
          <w:color w:val="000000"/>
          <w:sz w:val="24"/>
        </w:rPr>
        <w:t xml:space="preserve">] and </w:t>
      </w:r>
      <w:r>
        <w:rPr>
          <w:rFonts w:ascii="Arial"/>
          <w:color w:val="000000"/>
          <w:sz w:val="24"/>
        </w:rPr>
        <w:t>[</w:t>
      </w:r>
      <w:hyperlink r:id="rId23">
        <w:r>
          <w:rPr>
            <w:rFonts w:ascii="Arial"/>
            <w:color w:val="000000"/>
            <w:sz w:val="24"/>
            <w:u w:val="single"/>
          </w:rPr>
          <w:t/>
        </w:r>
        <w:r>
          <w:rPr>
            <w:rFonts w:ascii="Arial"/>
            <w:color w:val="000000"/>
            <w:sz w:val="24"/>
          </w:rPr>
          <w:t>78</w:t>
        </w:r>
      </w:hyperlink>
      <w:hyperlink r:id="rId24">
        <w:r>
          <w:rPr>
            <w:rFonts w:ascii="Arial"/>
            <w:color w:val="000000"/>
            <w:sz w:val="24"/>
          </w:rPr>
          <w:t/>
        </w:r>
      </w:hyperlink>
      <w:r>
        <w:rPr>
          <w:rFonts w:ascii="Arial"/>
          <w:color w:val="000000"/>
          <w:sz w:val="24"/>
        </w:rPr>
        <w:t>]-[</w:t>
      </w:r>
      <w:hyperlink r:id="rId25">
        <w:r>
          <w:rPr>
            <w:rFonts w:ascii="Arial"/>
            <w:color w:val="000000"/>
            <w:sz w:val="24"/>
            <w:u w:val="single"/>
          </w:rPr>
          <w:t/>
        </w:r>
        <w:r>
          <w:rPr>
            <w:rFonts w:ascii="Arial"/>
            <w:color w:val="000000"/>
            <w:sz w:val="24"/>
          </w:rPr>
          <w:t>79</w:t>
        </w:r>
      </w:hyperlink>
      <w:hyperlink r:id="rId26">
        <w:r>
          <w:rPr>
            <w:rFonts w:ascii="Arial"/>
            <w:color w:val="000000"/>
            <w:sz w:val="24"/>
          </w:rPr>
          <w:t/>
        </w:r>
      </w:hyperlink>
      <w:r>
        <w:rPr>
          <w:rFonts w:ascii="Arial"/>
          <w:color w:val="000000"/>
          <w:sz w:val="24"/>
        </w:rPr>
        <w:t>], I have found that the design of the building, being predominantly the existing building</w:t>
      </w:r>
      <w:r>
        <w:rPr>
          <w:rFonts w:ascii="Arial"/>
          <w:color w:val="000000"/>
          <w:sz w:val="24"/>
        </w:rPr>
        <w:t>, is compatible with the desirable elements of the local character (s 69(2)(f)(</w:t>
      </w:r>
      <w:r>
        <w:rPr>
          <w:rFonts w:ascii="Arial"/>
          <w:color w:val="000000"/>
          <w:sz w:val="24"/>
        </w:rPr>
        <w:t>i</w:t>
      </w:r>
      <w:r>
        <w:rPr>
          <w:rFonts w:ascii="Arial"/>
          <w:color w:val="000000"/>
          <w:sz w:val="24"/>
        </w:rPr>
        <w:t>))</w:t>
      </w:r>
      <w:r>
        <w:rPr>
          <w:rFonts w:ascii="Arial"/>
          <w:color w:val="000000"/>
          <w:sz w:val="24"/>
        </w:rPr>
        <w:t>.</w:t>
      </w:r>
    </w:p>
    <w:p>
      <w:pPr>
        <w:pStyle w:val="CaselawHeading3"/>
        <w:keepNext/>
        <w:spacing w:before="150" w:after="150" w:line="264"/>
        <w:ind w:left="0"/>
        <w:jc w:val="left"/>
      </w:pPr>
      <w:r>
        <w:rPr>
          <w:rFonts w:ascii="Arial"/>
        </w:rPr>
        <w:t>IWLEP</w:t>
      </w:r>
    </w:p>
    <w:p>
      <w:pPr>
        <w:pStyle w:val="CaselawNumbered10"/>
        <w:numPr>
          <w:ilvl w:val="0"/>
          <w:numId w:val="48"/>
        </w:numPr>
        <w:spacing w:before="150" w:after="0"/>
        <w:ind w:left="600" w:hanging="600"/>
      </w:pPr>
      <w:r>
        <w:rPr>
          <w:rFonts w:ascii="Arial"/>
          <w:color w:val="000000"/>
          <w:sz w:val="24"/>
        </w:rPr>
        <w:t>The proposal is supported by Stormwater P</w:t>
      </w:r>
      <w:r>
        <w:rPr>
          <w:rFonts w:ascii="Arial"/>
          <w:color w:val="000000"/>
          <w:sz w:val="24"/>
        </w:rPr>
        <w:t xml:space="preserve">lans </w:t>
      </w:r>
      <w:r>
        <w:rPr>
          <w:rFonts w:ascii="Arial"/>
          <w:color w:val="000000"/>
          <w:sz w:val="24"/>
        </w:rPr>
        <w:t>prepared by Engineering Studio</w:t>
      </w:r>
      <w:r>
        <w:rPr>
          <w:rFonts w:ascii="Arial"/>
          <w:color w:val="000000"/>
          <w:sz w:val="24"/>
        </w:rPr>
        <w:t xml:space="preserve"> </w:t>
      </w:r>
      <w:r>
        <w:rPr>
          <w:rFonts w:ascii="Arial"/>
          <w:color w:val="000000"/>
          <w:sz w:val="24"/>
        </w:rPr>
        <w:t xml:space="preserve">(Exhibit B, Tab </w:t>
      </w:r>
      <w:r>
        <w:rPr>
          <w:rFonts w:ascii="Arial"/>
          <w:color w:val="000000"/>
          <w:sz w:val="24"/>
        </w:rPr>
        <w:t>5)</w:t>
      </w:r>
      <w:r>
        <w:rPr>
          <w:rFonts w:ascii="Arial"/>
          <w:color w:val="000000"/>
          <w:sz w:val="24"/>
        </w:rPr>
        <w:t xml:space="preserve"> </w:t>
      </w:r>
      <w:r>
        <w:rPr>
          <w:rFonts w:ascii="Arial"/>
          <w:color w:val="000000"/>
          <w:sz w:val="24"/>
        </w:rPr>
        <w:t xml:space="preserve">that documents the reduction in impervious </w:t>
      </w:r>
      <w:r>
        <w:rPr>
          <w:rFonts w:ascii="Arial"/>
          <w:color w:val="000000"/>
          <w:sz w:val="24"/>
        </w:rPr>
        <w:t>area from 99.85% of the site, to 97.85% as a result of increased landscaped area.</w:t>
      </w:r>
    </w:p>
    <w:p>
      <w:pPr>
        <w:pStyle w:val="CaselawNumbered10"/>
        <w:numPr>
          <w:ilvl w:val="0"/>
          <w:numId w:val="48"/>
        </w:numPr>
        <w:spacing w:before="150" w:after="0"/>
        <w:ind w:left="600" w:hanging="600"/>
      </w:pPr>
      <w:r>
        <w:rPr>
          <w:rFonts w:ascii="Arial"/>
          <w:color w:val="000000"/>
          <w:sz w:val="24"/>
        </w:rPr>
        <w:t xml:space="preserve">Additionally, the parties propose </w:t>
      </w:r>
      <w:r>
        <w:rPr>
          <w:rFonts w:ascii="Arial"/>
          <w:color w:val="000000"/>
          <w:sz w:val="24"/>
        </w:rPr>
        <w:t xml:space="preserve">a condition of consent </w:t>
      </w:r>
      <w:r>
        <w:rPr>
          <w:rFonts w:ascii="Arial"/>
          <w:color w:val="000000"/>
          <w:sz w:val="24"/>
        </w:rPr>
        <w:t xml:space="preserve">to require rainwater re-use tank (or tanks) with a minimum capacity of 5000 litres </w:t>
      </w:r>
      <w:r>
        <w:rPr>
          <w:rFonts w:ascii="Arial"/>
          <w:color w:val="000000"/>
          <w:sz w:val="24"/>
        </w:rPr>
        <w:t xml:space="preserve">to </w:t>
      </w:r>
      <w:r>
        <w:rPr>
          <w:rFonts w:ascii="Arial"/>
          <w:color w:val="000000"/>
          <w:sz w:val="24"/>
        </w:rPr>
        <w:t>be incorporated into the development within the side passage along the</w:t>
      </w:r>
      <w:r>
        <w:rPr>
          <w:rFonts w:ascii="Arial"/>
          <w:color w:val="000000"/>
          <w:sz w:val="24"/>
        </w:rPr>
        <w:t xml:space="preserve"> </w:t>
      </w:r>
      <w:r>
        <w:rPr>
          <w:rFonts w:ascii="Arial"/>
          <w:color w:val="000000"/>
          <w:sz w:val="24"/>
        </w:rPr>
        <w:t xml:space="preserve">northern </w:t>
      </w:r>
      <w:r>
        <w:rPr>
          <w:rFonts w:ascii="Arial"/>
          <w:color w:val="000000"/>
          <w:sz w:val="24"/>
        </w:rPr>
        <w:t xml:space="preserve">boundary of the </w:t>
      </w:r>
      <w:r>
        <w:rPr>
          <w:rFonts w:ascii="Arial"/>
          <w:color w:val="000000"/>
          <w:sz w:val="24"/>
        </w:rPr>
        <w:t>site</w:t>
      </w:r>
      <w:r>
        <w:rPr>
          <w:rFonts w:ascii="Arial"/>
          <w:color w:val="000000"/>
          <w:sz w:val="24"/>
        </w:rPr>
        <w:t>, with the water to be plumbed and used for</w:t>
      </w:r>
      <w:r>
        <w:rPr>
          <w:rFonts w:ascii="Arial"/>
          <w:color w:val="000000"/>
          <w:sz w:val="24"/>
        </w:rPr>
        <w:t xml:space="preserve"> </w:t>
      </w:r>
      <w:r>
        <w:rPr>
          <w:rFonts w:ascii="Arial"/>
          <w:color w:val="000000"/>
          <w:sz w:val="24"/>
        </w:rPr>
        <w:t>toilets, clothes washing machines and external taps</w:t>
      </w:r>
      <w:r>
        <w:rPr>
          <w:rFonts w:ascii="Arial"/>
          <w:color w:val="000000"/>
          <w:sz w:val="24"/>
        </w:rPr>
        <w:t>.</w:t>
      </w:r>
    </w:p>
    <w:p>
      <w:pPr>
        <w:pStyle w:val="CaselawNumbered10"/>
        <w:numPr>
          <w:ilvl w:val="0"/>
          <w:numId w:val="48"/>
        </w:numPr>
        <w:spacing w:before="150" w:after="0"/>
        <w:ind w:left="600" w:hanging="600"/>
      </w:pPr>
      <w:r>
        <w:rPr>
          <w:rFonts w:ascii="Arial"/>
          <w:color w:val="000000"/>
          <w:sz w:val="24"/>
        </w:rPr>
        <w:t xml:space="preserve">On the basis of the stormwater plans and the proposed conditions of consent in respect of stormwater, I </w:t>
      </w:r>
      <w:r>
        <w:rPr>
          <w:rFonts w:ascii="Arial"/>
          <w:color w:val="000000"/>
          <w:sz w:val="24"/>
        </w:rPr>
        <w:t xml:space="preserve">am satisfied that </w:t>
      </w:r>
      <w:r>
        <w:rPr>
          <w:rFonts w:ascii="Arial"/>
          <w:color w:val="000000"/>
          <w:sz w:val="24"/>
        </w:rPr>
        <w:t>the development maximises the water permeable surfaces, within an otherwise highly constrained site</w:t>
      </w:r>
      <w:r>
        <w:rPr>
          <w:rFonts w:ascii="Arial"/>
          <w:color w:val="000000"/>
          <w:sz w:val="24"/>
        </w:rPr>
        <w:t>, and where the location of a rainwater tank or tanks is agreed, and required by condition of consent</w:t>
      </w:r>
      <w:r>
        <w:rPr>
          <w:rFonts w:ascii="Arial"/>
          <w:color w:val="000000"/>
          <w:sz w:val="24"/>
        </w:rPr>
        <w:t xml:space="preserve"> </w:t>
      </w:r>
      <w:r>
        <w:rPr>
          <w:rFonts w:ascii="Arial"/>
          <w:color w:val="000000"/>
          <w:sz w:val="24"/>
        </w:rPr>
        <w:t xml:space="preserve">so as to avoid a significant adverse impact from stormwater runoff to adjoining properties and </w:t>
      </w:r>
      <w:r>
        <w:rPr>
          <w:rFonts w:ascii="Arial"/>
          <w:color w:val="000000"/>
          <w:sz w:val="24"/>
        </w:rPr>
        <w:t>other areas, in accordance with cl 6.3 of the IWLEP.</w:t>
      </w:r>
    </w:p>
    <w:p>
      <w:pPr>
        <w:pStyle w:val="CaselawHeading3"/>
        <w:keepNext/>
        <w:spacing w:before="150" w:after="150" w:line="264"/>
        <w:ind w:left="0"/>
        <w:jc w:val="left"/>
      </w:pPr>
      <w:r>
        <w:rPr>
          <w:rFonts w:ascii="Arial"/>
        </w:rPr>
        <w:t>State Environmental Planning Policy (Resilience and Hazards) 2021</w:t>
      </w:r>
    </w:p>
    <w:p>
      <w:pPr>
        <w:pStyle w:val="CaselawNumbered10"/>
        <w:numPr>
          <w:ilvl w:val="0"/>
          <w:numId w:val="49"/>
        </w:numPr>
        <w:spacing w:before="150" w:after="0"/>
        <w:ind w:left="600" w:hanging="600"/>
      </w:pPr>
      <w:r>
        <w:rPr>
          <w:rFonts w:ascii="Arial"/>
          <w:color w:val="000000"/>
          <w:sz w:val="24"/>
        </w:rPr>
        <w:t xml:space="preserve">Section 4.6(2) of </w:t>
      </w:r>
      <w:r>
        <w:rPr>
          <w:rFonts w:ascii="Arial"/>
          <w:color w:val="000000"/>
          <w:sz w:val="24"/>
        </w:rPr>
        <w:t>State Environmental Planning Policy (Resilience and Hazards) 2021</w:t>
      </w:r>
      <w:r>
        <w:rPr>
          <w:rFonts w:ascii="Arial"/>
          <w:color w:val="000000"/>
          <w:sz w:val="24"/>
        </w:rPr>
        <w:t xml:space="preserve"> </w:t>
      </w:r>
      <w:r>
        <w:rPr>
          <w:rFonts w:ascii="Arial"/>
          <w:color w:val="000000"/>
          <w:sz w:val="24"/>
        </w:rPr>
        <w:t>requires the consent authority, or the Court on appeal, to consider whether the land on which development is proposed, is contaminated.</w:t>
      </w:r>
    </w:p>
    <w:p>
      <w:pPr>
        <w:pStyle w:val="CaselawNumbered10"/>
        <w:numPr>
          <w:ilvl w:val="0"/>
          <w:numId w:val="49"/>
        </w:numPr>
        <w:spacing w:before="150" w:after="0"/>
        <w:ind w:left="600" w:hanging="600"/>
      </w:pPr>
      <w:r>
        <w:rPr>
          <w:rFonts w:ascii="Arial"/>
          <w:color w:val="000000"/>
          <w:sz w:val="24"/>
        </w:rPr>
        <w:t xml:space="preserve">I accept the </w:t>
      </w:r>
      <w:r>
        <w:rPr>
          <w:rFonts w:ascii="Arial"/>
          <w:color w:val="000000"/>
          <w:sz w:val="24"/>
        </w:rPr>
        <w:t>statements made on p</w:t>
      </w:r>
      <w:r>
        <w:rPr>
          <w:rFonts w:ascii="Arial"/>
          <w:color w:val="000000"/>
          <w:sz w:val="24"/>
        </w:rPr>
        <w:t xml:space="preserve"> </w:t>
      </w:r>
      <w:r>
        <w:rPr>
          <w:rFonts w:ascii="Arial"/>
          <w:color w:val="000000"/>
          <w:sz w:val="24"/>
        </w:rPr>
        <w:t>19 of the</w:t>
      </w:r>
      <w:r>
        <w:rPr>
          <w:rFonts w:ascii="Arial"/>
          <w:color w:val="000000"/>
          <w:sz w:val="24"/>
        </w:rPr>
        <w:t xml:space="preserve"> </w:t>
      </w:r>
      <w:r>
        <w:rPr>
          <w:rFonts w:ascii="Arial"/>
          <w:color w:val="000000"/>
          <w:sz w:val="24"/>
        </w:rPr>
        <w:t>Statement of Environmental Ef</w:t>
      </w:r>
      <w:r>
        <w:rPr>
          <w:rFonts w:ascii="Arial"/>
          <w:color w:val="000000"/>
          <w:sz w:val="24"/>
        </w:rPr>
        <w:t xml:space="preserve">fects (Exhibit B, Tab 3) as to </w:t>
      </w:r>
      <w:r>
        <w:rPr>
          <w:rFonts w:ascii="Arial"/>
          <w:color w:val="000000"/>
          <w:sz w:val="24"/>
        </w:rPr>
        <w:t xml:space="preserve">why the </w:t>
      </w:r>
      <w:r>
        <w:rPr>
          <w:rFonts w:ascii="Arial"/>
          <w:color w:val="000000"/>
          <w:sz w:val="24"/>
        </w:rPr>
        <w:t>historical uses on the site</w:t>
      </w:r>
      <w:r>
        <w:rPr>
          <w:rFonts w:ascii="Arial"/>
          <w:color w:val="000000"/>
          <w:sz w:val="24"/>
        </w:rPr>
        <w:t xml:space="preserve"> </w:t>
      </w:r>
      <w:r>
        <w:rPr>
          <w:rFonts w:ascii="Arial"/>
          <w:color w:val="000000"/>
          <w:sz w:val="24"/>
        </w:rPr>
        <w:t>are unlikely to have rendered the site contaminated</w:t>
      </w:r>
      <w:r>
        <w:rPr>
          <w:rFonts w:ascii="Arial"/>
          <w:color w:val="000000"/>
          <w:sz w:val="24"/>
        </w:rPr>
        <w:t>. When considered in conjunction with a proposal that does not include</w:t>
      </w:r>
      <w:r>
        <w:rPr>
          <w:rFonts w:ascii="Arial"/>
          <w:color w:val="000000"/>
          <w:sz w:val="24"/>
        </w:rPr>
        <w:t xml:space="preserve"> </w:t>
      </w:r>
      <w:r>
        <w:rPr>
          <w:rFonts w:ascii="Arial"/>
          <w:color w:val="000000"/>
          <w:sz w:val="24"/>
        </w:rPr>
        <w:t>substantive disturbance to the existing ground surface</w:t>
      </w:r>
      <w:r>
        <w:rPr>
          <w:rFonts w:ascii="Arial"/>
          <w:color w:val="000000"/>
          <w:sz w:val="24"/>
        </w:rPr>
        <w:t xml:space="preserve">, I </w:t>
      </w:r>
      <w:r>
        <w:rPr>
          <w:rFonts w:ascii="Arial"/>
          <w:color w:val="000000"/>
          <w:sz w:val="24"/>
        </w:rPr>
        <w:t>am satisfied the site is suitable for the purpose proposed</w:t>
      </w:r>
      <w:r>
        <w:rPr>
          <w:rFonts w:ascii="Arial"/>
          <w:color w:val="000000"/>
          <w:sz w:val="24"/>
        </w:rPr>
        <w:t xml:space="preserve"> </w:t>
      </w:r>
      <w:r>
        <w:rPr>
          <w:rFonts w:ascii="Arial"/>
          <w:color w:val="000000"/>
          <w:sz w:val="24"/>
        </w:rPr>
        <w:t>to be carried out.</w:t>
      </w:r>
    </w:p>
    <w:p>
      <w:pPr>
        <w:pStyle w:val="CaselawHeading2"/>
        <w:keepNext/>
        <w:spacing w:before="150" w:after="150" w:line="264"/>
        <w:ind w:left="0"/>
        <w:jc w:val="left"/>
      </w:pPr>
      <w:r>
        <w:rPr>
          <w:rFonts w:ascii="Arial"/>
        </w:rPr>
        <w:t xml:space="preserve">Public </w:t>
      </w:r>
      <w:r>
        <w:rPr>
          <w:rFonts w:ascii="Arial"/>
        </w:rPr>
        <w:t>interest</w:t>
      </w:r>
      <w:r>
        <w:rPr>
          <w:rFonts w:ascii="Arial"/>
        </w:rPr>
        <w:t xml:space="preserve"> </w:t>
      </w:r>
    </w:p>
    <w:p>
      <w:pPr>
        <w:pStyle w:val="CaselawNumbered10"/>
        <w:numPr>
          <w:ilvl w:val="0"/>
          <w:numId w:val="50"/>
        </w:numPr>
        <w:spacing w:before="150" w:after="0"/>
        <w:ind w:left="600" w:hanging="600"/>
      </w:pPr>
      <w:r>
        <w:rPr>
          <w:rFonts w:ascii="Arial"/>
          <w:color w:val="000000"/>
          <w:sz w:val="24"/>
        </w:rPr>
        <w:t xml:space="preserve">The Council contends that the proposal is not in the public interest, primarily because of the large number of concerns expressed in public submissions received in response to </w:t>
      </w:r>
      <w:r>
        <w:rPr>
          <w:rFonts w:ascii="Arial"/>
          <w:color w:val="000000"/>
          <w:sz w:val="24"/>
        </w:rPr>
        <w:t>notification that occurred between 25 October 2023 and 15 November 2023</w:t>
      </w:r>
      <w:r>
        <w:rPr>
          <w:rFonts w:ascii="Arial"/>
          <w:color w:val="000000"/>
          <w:sz w:val="24"/>
        </w:rPr>
        <w:t>.</w:t>
      </w:r>
    </w:p>
    <w:p>
      <w:pPr>
        <w:pStyle w:val="CaselawNumbered10"/>
        <w:numPr>
          <w:ilvl w:val="0"/>
          <w:numId w:val="50"/>
        </w:numPr>
        <w:spacing w:before="150" w:after="0"/>
        <w:ind w:left="600" w:hanging="600"/>
      </w:pPr>
      <w:r>
        <w:rPr>
          <w:rFonts w:ascii="Arial"/>
          <w:color w:val="000000"/>
          <w:sz w:val="24"/>
        </w:rPr>
        <w:t xml:space="preserve">Resident concerns are </w:t>
      </w:r>
      <w:r>
        <w:rPr>
          <w:rFonts w:ascii="Arial"/>
          <w:color w:val="000000"/>
          <w:sz w:val="24"/>
        </w:rPr>
        <w:t>summarised, by no means comprehensively, at [</w:t>
      </w:r>
      <w:hyperlink r:id="rId27">
        <w:r>
          <w:rPr>
            <w:rFonts w:ascii="Arial"/>
            <w:color w:val="000000"/>
            <w:sz w:val="24"/>
            <w:u w:val="single"/>
          </w:rPr>
          <w:t/>
        </w:r>
        <w:r>
          <w:rPr>
            <w:rFonts w:ascii="Arial"/>
            <w:color w:val="000000"/>
            <w:sz w:val="24"/>
          </w:rPr>
          <w:t>12</w:t>
        </w:r>
      </w:hyperlink>
      <w:hyperlink r:id="rId28">
        <w:r>
          <w:rPr>
            <w:rFonts w:ascii="Arial"/>
            <w:color w:val="000000"/>
            <w:sz w:val="24"/>
          </w:rPr>
          <w:t/>
        </w:r>
      </w:hyperlink>
      <w:r>
        <w:rPr>
          <w:rFonts w:ascii="Arial"/>
          <w:color w:val="000000"/>
          <w:sz w:val="24"/>
        </w:rPr>
        <w:t xml:space="preserve">]. A number of the concerns deal with the scale of development proposed and the potential for that to </w:t>
      </w:r>
      <w:r>
        <w:rPr>
          <w:rFonts w:ascii="Arial"/>
          <w:color w:val="000000"/>
          <w:sz w:val="24"/>
        </w:rPr>
        <w:t xml:space="preserve">adversely impact the residents of Charles Street. I have addressed the question of bulk, scale and character </w:t>
      </w:r>
      <w:r>
        <w:rPr>
          <w:rFonts w:ascii="Arial"/>
          <w:color w:val="000000"/>
          <w:sz w:val="24"/>
        </w:rPr>
        <w:t>at [</w:t>
      </w:r>
      <w:hyperlink r:id="rId29">
        <w:r>
          <w:rPr>
            <w:rFonts w:ascii="Arial"/>
            <w:color w:val="000000"/>
            <w:sz w:val="24"/>
            <w:u w:val="single"/>
          </w:rPr>
          <w:t/>
        </w:r>
        <w:r>
          <w:rPr>
            <w:rFonts w:ascii="Arial"/>
            <w:color w:val="000000"/>
            <w:sz w:val="24"/>
          </w:rPr>
          <w:t>71</w:t>
        </w:r>
      </w:hyperlink>
      <w:hyperlink r:id="rId30">
        <w:r>
          <w:rPr>
            <w:rFonts w:ascii="Arial"/>
            <w:color w:val="000000"/>
            <w:sz w:val="24"/>
          </w:rPr>
          <w:t/>
        </w:r>
      </w:hyperlink>
      <w:r>
        <w:rPr>
          <w:rFonts w:ascii="Arial"/>
          <w:color w:val="000000"/>
          <w:sz w:val="24"/>
        </w:rPr>
        <w:t>]</w:t>
      </w:r>
      <w:r>
        <w:rPr>
          <w:rFonts w:ascii="Arial"/>
          <w:color w:val="000000"/>
          <w:sz w:val="24"/>
        </w:rPr>
        <w:t>-[</w:t>
      </w:r>
      <w:hyperlink r:id="rId31">
        <w:r>
          <w:rPr>
            <w:rFonts w:ascii="Arial"/>
            <w:color w:val="000000"/>
            <w:sz w:val="24"/>
            <w:u w:val="single"/>
          </w:rPr>
          <w:t/>
        </w:r>
        <w:r>
          <w:rPr>
            <w:rFonts w:ascii="Arial"/>
            <w:color w:val="000000"/>
            <w:sz w:val="24"/>
          </w:rPr>
          <w:t>73</w:t>
        </w:r>
      </w:hyperlink>
      <w:hyperlink r:id="rId32">
        <w:r>
          <w:rPr>
            <w:rFonts w:ascii="Arial"/>
            <w:color w:val="000000"/>
            <w:sz w:val="24"/>
          </w:rPr>
          <w:t/>
        </w:r>
      </w:hyperlink>
      <w:r>
        <w:rPr>
          <w:rFonts w:ascii="Arial"/>
          <w:color w:val="000000"/>
          <w:sz w:val="24"/>
        </w:rPr>
        <w:t>].</w:t>
      </w:r>
    </w:p>
    <w:p>
      <w:pPr>
        <w:pStyle w:val="CaselawNumbered10"/>
        <w:numPr>
          <w:ilvl w:val="0"/>
          <w:numId w:val="50"/>
        </w:numPr>
        <w:spacing w:before="150" w:after="0"/>
        <w:ind w:left="600" w:hanging="600"/>
      </w:pPr>
      <w:r>
        <w:rPr>
          <w:rFonts w:ascii="Arial"/>
          <w:color w:val="000000"/>
          <w:sz w:val="24"/>
        </w:rPr>
        <w:t>I have addressed concerns at the potential for</w:t>
      </w:r>
      <w:r>
        <w:rPr>
          <w:rFonts w:ascii="Arial"/>
          <w:color w:val="000000"/>
          <w:sz w:val="24"/>
        </w:rPr>
        <w:t xml:space="preserve"> </w:t>
      </w:r>
      <w:r>
        <w:rPr>
          <w:rFonts w:ascii="Arial"/>
          <w:color w:val="000000"/>
          <w:sz w:val="24"/>
        </w:rPr>
        <w:t>the amenity of residents of Charles Street at [</w:t>
      </w:r>
      <w:hyperlink r:id="rId33">
        <w:r>
          <w:rPr>
            <w:rFonts w:ascii="Arial"/>
            <w:color w:val="000000"/>
            <w:sz w:val="24"/>
            <w:u w:val="single"/>
          </w:rPr>
          <w:t/>
        </w:r>
        <w:r>
          <w:rPr>
            <w:rFonts w:ascii="Arial"/>
            <w:color w:val="000000"/>
            <w:sz w:val="24"/>
          </w:rPr>
          <w:t>72(4)</w:t>
        </w:r>
      </w:hyperlink>
      <w:hyperlink r:id="rId34">
        <w:r>
          <w:rPr>
            <w:rFonts w:ascii="Arial"/>
            <w:color w:val="000000"/>
            <w:sz w:val="24"/>
          </w:rPr>
          <w:t/>
        </w:r>
      </w:hyperlink>
      <w:r>
        <w:rPr>
          <w:rFonts w:ascii="Arial"/>
          <w:color w:val="000000"/>
          <w:sz w:val="24"/>
        </w:rPr>
        <w:t>].</w:t>
      </w:r>
    </w:p>
    <w:p>
      <w:pPr>
        <w:pStyle w:val="CaselawNumbered10"/>
        <w:numPr>
          <w:ilvl w:val="0"/>
          <w:numId w:val="50"/>
        </w:numPr>
        <w:spacing w:before="150" w:after="0"/>
        <w:ind w:left="600" w:hanging="600"/>
      </w:pPr>
      <w:r>
        <w:rPr>
          <w:rFonts w:ascii="Arial"/>
          <w:color w:val="000000"/>
          <w:sz w:val="24"/>
        </w:rPr>
        <w:t xml:space="preserve">Where concerns are held for </w:t>
      </w:r>
      <w:r>
        <w:rPr>
          <w:rFonts w:ascii="Arial"/>
          <w:color w:val="000000"/>
          <w:sz w:val="24"/>
        </w:rPr>
        <w:t>anti-social</w:t>
      </w:r>
      <w:r>
        <w:rPr>
          <w:rFonts w:ascii="Arial"/>
          <w:color w:val="000000"/>
          <w:sz w:val="24"/>
        </w:rPr>
        <w:t xml:space="preserve"> </w:t>
      </w:r>
      <w:r>
        <w:rPr>
          <w:rFonts w:ascii="Arial"/>
          <w:color w:val="000000"/>
          <w:sz w:val="24"/>
        </w:rPr>
        <w:t xml:space="preserve">behaviour, I note the Court </w:t>
      </w:r>
      <w:r>
        <w:rPr>
          <w:rFonts w:ascii="Arial"/>
          <w:color w:val="000000"/>
          <w:sz w:val="24"/>
        </w:rPr>
        <w:t xml:space="preserve">has </w:t>
      </w:r>
      <w:r>
        <w:rPr>
          <w:rFonts w:ascii="Arial"/>
          <w:color w:val="000000"/>
          <w:sz w:val="24"/>
        </w:rPr>
        <w:t xml:space="preserve">long held </w:t>
      </w:r>
      <w:r>
        <w:rPr>
          <w:rFonts w:ascii="Arial"/>
          <w:color w:val="000000"/>
          <w:sz w:val="24"/>
        </w:rPr>
        <w:t>that</w:t>
      </w:r>
      <w:r>
        <w:rPr>
          <w:rFonts w:ascii="Arial"/>
          <w:color w:val="000000"/>
          <w:sz w:val="24"/>
        </w:rPr>
        <w:t xml:space="preserve"> </w:t>
      </w:r>
      <w:r>
        <w:rPr>
          <w:rFonts w:ascii="Arial"/>
          <w:color w:val="000000"/>
          <w:sz w:val="24"/>
        </w:rPr>
        <w:t xml:space="preserve">an </w:t>
      </w:r>
      <w:r>
        <w:rPr>
          <w:rFonts w:ascii="Arial"/>
          <w:color w:val="000000"/>
          <w:sz w:val="24"/>
        </w:rPr>
        <w:t>evaluation must be made of the reasonableness of the claimed perceptions of adverse effect on the amenity of the locality</w:t>
      </w:r>
      <w:r>
        <w:rPr>
          <w:rFonts w:ascii="Arial"/>
          <w:color w:val="000000"/>
          <w:sz w:val="24"/>
        </w:rPr>
        <w:t xml:space="preserve">. </w:t>
      </w:r>
      <w:r>
        <w:rPr>
          <w:rFonts w:ascii="Arial"/>
          <w:color w:val="000000"/>
          <w:sz w:val="24"/>
        </w:rPr>
        <w:t xml:space="preserve">Such an evaluation requires </w:t>
      </w:r>
      <w:r>
        <w:rPr>
          <w:rFonts w:ascii="Arial"/>
          <w:color w:val="000000"/>
          <w:sz w:val="24"/>
        </w:rPr>
        <w:t>reference to evidence that can be objectively assessed to ascertain whether it supports a factual finding of an adverse effect on the amenity of the locality</w:t>
      </w:r>
      <w:r>
        <w:rPr>
          <w:rFonts w:ascii="Arial"/>
          <w:color w:val="000000"/>
          <w:sz w:val="24"/>
        </w:rPr>
        <w:t xml:space="preserve">. </w:t>
      </w:r>
      <w:r>
        <w:rPr>
          <w:rFonts w:ascii="Arial"/>
          <w:color w:val="000000"/>
          <w:sz w:val="24"/>
        </w:rPr>
        <w:t>Clearly</w:t>
      </w:r>
      <w:r>
        <w:rPr>
          <w:rFonts w:ascii="Arial"/>
          <w:color w:val="000000"/>
          <w:sz w:val="24"/>
        </w:rPr>
        <w:t xml:space="preserve">, fear </w:t>
      </w:r>
      <w:r>
        <w:rPr>
          <w:rFonts w:ascii="Arial"/>
          <w:color w:val="000000"/>
          <w:sz w:val="24"/>
        </w:rPr>
        <w:t>or concern without rational or justified foundation is not a matter which, by itself, can be considered as an amenity or social impact pursuant</w:t>
      </w:r>
      <w:r>
        <w:rPr>
          <w:rFonts w:ascii="Arial"/>
          <w:color w:val="000000"/>
          <w:sz w:val="24"/>
        </w:rPr>
        <w:t xml:space="preserve"> </w:t>
      </w:r>
      <w:r>
        <w:rPr>
          <w:rFonts w:ascii="Arial"/>
          <w:color w:val="000000"/>
          <w:sz w:val="24"/>
        </w:rPr>
        <w:t>to s 4.15 of the EPA Act</w:t>
      </w:r>
      <w:r>
        <w:rPr>
          <w:rFonts w:ascii="Arial"/>
          <w:color w:val="000000"/>
          <w:sz w:val="24"/>
        </w:rPr>
        <w:t xml:space="preserve">: </w:t>
      </w:r>
      <w:r>
        <w:rPr>
          <w:rFonts w:ascii="Arial"/>
          <w:i/>
          <w:color w:val="000000"/>
          <w:sz w:val="24"/>
        </w:rPr>
        <w:t>Telstra</w:t>
      </w:r>
      <w:r>
        <w:rPr>
          <w:rFonts w:ascii="Arial"/>
          <w:i/>
          <w:color w:val="000000"/>
          <w:sz w:val="24"/>
        </w:rPr>
        <w:t xml:space="preserve"> Corporation Limited</w:t>
      </w:r>
      <w:r>
        <w:rPr>
          <w:rFonts w:ascii="Arial"/>
          <w:i/>
          <w:color w:val="000000"/>
          <w:sz w:val="24"/>
        </w:rPr>
        <w:t xml:space="preserve"> v Hornsby Shire Council</w:t>
      </w:r>
      <w:r>
        <w:rPr>
          <w:rFonts w:ascii="Arial"/>
          <w:color w:val="000000"/>
          <w:sz w:val="24"/>
        </w:rPr>
        <w:t xml:space="preserve"> </w:t>
      </w:r>
      <w:r>
        <w:rPr>
          <w:rFonts w:ascii="Arial"/>
          <w:color w:val="000000"/>
          <w:sz w:val="24"/>
        </w:rPr>
        <w:t>(2006) 146 LGERA 10</w:t>
      </w:r>
      <w:r>
        <w:rPr>
          <w:rFonts w:ascii="Arial"/>
          <w:color w:val="000000"/>
          <w:sz w:val="24"/>
        </w:rPr>
        <w:t>; [2006] NSWLEC 133</w:t>
      </w:r>
      <w:r>
        <w:rPr>
          <w:rFonts w:ascii="Arial"/>
          <w:color w:val="000000"/>
          <w:sz w:val="24"/>
        </w:rPr>
        <w:t xml:space="preserve"> </w:t>
      </w:r>
      <w:r>
        <w:rPr>
          <w:rFonts w:ascii="Arial"/>
          <w:color w:val="000000"/>
          <w:sz w:val="24"/>
        </w:rPr>
        <w:t>at [192</w:t>
      </w:r>
      <w:r>
        <w:rPr>
          <w:rFonts w:ascii="Arial"/>
          <w:color w:val="000000"/>
          <w:sz w:val="24"/>
        </w:rPr>
        <w:t>]-[</w:t>
      </w:r>
      <w:r>
        <w:rPr>
          <w:rFonts w:ascii="Arial"/>
          <w:color w:val="000000"/>
          <w:sz w:val="24"/>
        </w:rPr>
        <w:t>195].</w:t>
      </w:r>
    </w:p>
    <w:p>
      <w:pPr>
        <w:pStyle w:val="CaselawNumbered10"/>
        <w:numPr>
          <w:ilvl w:val="0"/>
          <w:numId w:val="50"/>
        </w:numPr>
        <w:spacing w:before="150" w:after="0"/>
        <w:ind w:left="600" w:hanging="600"/>
      </w:pPr>
      <w:r>
        <w:rPr>
          <w:rFonts w:ascii="Arial"/>
          <w:color w:val="000000"/>
          <w:sz w:val="24"/>
        </w:rPr>
        <w:t xml:space="preserve">I have read and considered the written submissions of </w:t>
      </w:r>
      <w:r>
        <w:rPr>
          <w:rFonts w:ascii="Arial"/>
          <w:color w:val="000000"/>
          <w:sz w:val="24"/>
        </w:rPr>
        <w:t>residents, and</w:t>
      </w:r>
      <w:r>
        <w:rPr>
          <w:rFonts w:ascii="Arial"/>
          <w:color w:val="000000"/>
          <w:sz w:val="24"/>
        </w:rPr>
        <w:t xml:space="preserve"> </w:t>
      </w:r>
      <w:r>
        <w:rPr>
          <w:rFonts w:ascii="Arial"/>
          <w:color w:val="000000"/>
          <w:sz w:val="24"/>
        </w:rPr>
        <w:t xml:space="preserve">sought to address a number of the concerns </w:t>
      </w:r>
      <w:r>
        <w:rPr>
          <w:rFonts w:ascii="Arial"/>
          <w:color w:val="000000"/>
          <w:sz w:val="24"/>
        </w:rPr>
        <w:t xml:space="preserve">by reference to the </w:t>
      </w:r>
      <w:r>
        <w:rPr>
          <w:rFonts w:ascii="Arial"/>
          <w:color w:val="000000"/>
          <w:sz w:val="24"/>
        </w:rPr>
        <w:t>evidence before the Court.</w:t>
      </w:r>
      <w:r>
        <w:rPr>
          <w:rFonts w:ascii="Arial"/>
          <w:color w:val="000000"/>
          <w:sz w:val="24"/>
        </w:rPr>
        <w:t xml:space="preserve"> </w:t>
      </w:r>
    </w:p>
    <w:p>
      <w:pPr>
        <w:pStyle w:val="CaselawNumbered10"/>
        <w:numPr>
          <w:ilvl w:val="0"/>
          <w:numId w:val="50"/>
        </w:numPr>
        <w:spacing w:before="150" w:after="0"/>
        <w:ind w:left="600" w:hanging="600"/>
      </w:pPr>
      <w:r>
        <w:rPr>
          <w:rFonts w:ascii="Arial"/>
          <w:color w:val="000000"/>
          <w:sz w:val="24"/>
        </w:rPr>
        <w:t xml:space="preserve">I have found those issues that have the potential to impact residents </w:t>
      </w:r>
      <w:r>
        <w:rPr>
          <w:rFonts w:ascii="Arial"/>
          <w:color w:val="000000"/>
          <w:sz w:val="24"/>
        </w:rPr>
        <w:t xml:space="preserve">are satisfactorily addressed and it is </w:t>
      </w:r>
      <w:r>
        <w:rPr>
          <w:rFonts w:ascii="Arial"/>
          <w:color w:val="000000"/>
          <w:sz w:val="24"/>
        </w:rPr>
        <w:t xml:space="preserve">my considered opinion that </w:t>
      </w:r>
      <w:r>
        <w:rPr>
          <w:rFonts w:ascii="Arial"/>
          <w:color w:val="000000"/>
          <w:sz w:val="24"/>
        </w:rPr>
        <w:t>the proposed development is deserving of the grant of consent, subject to conditions of consent</w:t>
      </w:r>
      <w:r>
        <w:rPr>
          <w:rFonts w:ascii="Arial"/>
          <w:color w:val="000000"/>
          <w:sz w:val="24"/>
        </w:rPr>
        <w:t>.</w:t>
      </w:r>
    </w:p>
    <w:p>
      <w:pPr>
        <w:pStyle w:val="CaselawHeading2"/>
        <w:keepNext/>
        <w:spacing w:before="150" w:after="150" w:line="264"/>
        <w:ind w:left="0"/>
        <w:jc w:val="left"/>
      </w:pPr>
      <w:r>
        <w:rPr>
          <w:rFonts w:ascii="Arial"/>
        </w:rPr>
        <w:t xml:space="preserve">Conclusion </w:t>
      </w:r>
    </w:p>
    <w:p>
      <w:pPr>
        <w:pStyle w:val="CaselawNumbered10"/>
        <w:numPr>
          <w:ilvl w:val="0"/>
          <w:numId w:val="51"/>
        </w:numPr>
        <w:spacing w:before="150" w:after="0"/>
        <w:ind w:left="600" w:hanging="600"/>
      </w:pPr>
      <w:r>
        <w:rPr>
          <w:rFonts w:ascii="Arial"/>
          <w:color w:val="000000"/>
          <w:sz w:val="24"/>
        </w:rPr>
        <w:t xml:space="preserve">The Court, exercising its power under s 39(2) </w:t>
      </w:r>
      <w:r>
        <w:rPr>
          <w:rFonts w:ascii="Arial"/>
          <w:color w:val="000000"/>
          <w:sz w:val="24"/>
        </w:rPr>
        <w:t xml:space="preserve">of the </w:t>
      </w:r>
      <w:r>
        <w:rPr>
          <w:rFonts w:ascii="Arial"/>
          <w:i/>
          <w:color w:val="000000"/>
          <w:sz w:val="24"/>
        </w:rPr>
        <w:t>Land and Environment Court Act 1979</w:t>
      </w:r>
      <w:r>
        <w:rPr>
          <w:rFonts w:ascii="Arial"/>
          <w:color w:val="000000"/>
          <w:sz w:val="24"/>
        </w:rPr>
        <w:t xml:space="preserve">, approves the amending of </w:t>
      </w:r>
      <w:r>
        <w:rPr>
          <w:rFonts w:ascii="Arial"/>
          <w:color w:val="000000"/>
          <w:sz w:val="24"/>
        </w:rPr>
        <w:t xml:space="preserve">development application </w:t>
      </w:r>
      <w:r>
        <w:rPr>
          <w:rFonts w:ascii="Arial"/>
          <w:color w:val="000000"/>
          <w:sz w:val="24"/>
        </w:rPr>
        <w:t>DA/2023/0811</w:t>
      </w:r>
      <w:r>
        <w:rPr>
          <w:rFonts w:ascii="Arial"/>
          <w:color w:val="000000"/>
          <w:sz w:val="24"/>
        </w:rPr>
        <w:t xml:space="preserve"> </w:t>
      </w:r>
      <w:r>
        <w:rPr>
          <w:rFonts w:ascii="Arial"/>
          <w:color w:val="000000"/>
          <w:sz w:val="24"/>
        </w:rPr>
        <w:t>by the written requests prepared in accordance with cl 4.6 of the IWLEP, dated 14 October 2024</w:t>
      </w:r>
      <w:r>
        <w:rPr>
          <w:rFonts w:ascii="Arial"/>
          <w:color w:val="000000"/>
          <w:sz w:val="24"/>
        </w:rPr>
        <w:t xml:space="preserve">, which I regard as </w:t>
      </w:r>
      <w:r>
        <w:rPr>
          <w:rFonts w:ascii="Arial"/>
          <w:color w:val="000000"/>
          <w:sz w:val="24"/>
        </w:rPr>
        <w:t>no more than minor.</w:t>
      </w:r>
    </w:p>
    <w:p>
      <w:pPr>
        <w:pStyle w:val="CaselawHeading2"/>
        <w:keepNext/>
        <w:spacing w:before="150" w:after="150" w:line="264"/>
        <w:ind w:left="0"/>
        <w:jc w:val="left"/>
      </w:pPr>
      <w:r>
        <w:rPr>
          <w:rFonts w:ascii="Arial"/>
        </w:rPr>
        <w:t>Orders</w:t>
      </w:r>
    </w:p>
    <w:p>
      <w:pPr>
        <w:pStyle w:val="CaselawNumbered10"/>
        <w:numPr>
          <w:ilvl w:val="0"/>
          <w:numId w:val="52"/>
        </w:numPr>
        <w:spacing w:before="150" w:after="0"/>
        <w:ind w:left="600" w:hanging="600"/>
      </w:pPr>
      <w:r>
        <w:rPr>
          <w:rFonts w:ascii="Arial"/>
          <w:color w:val="000000"/>
          <w:sz w:val="24"/>
        </w:rPr>
        <w:t>The Court orders that:</w:t>
      </w:r>
    </w:p>
    <w:p>
      <w:pPr>
        <w:pStyle w:val="CaselawNumbered1"/>
        <w:numPr>
          <w:ilvl w:val="0"/>
          <w:numId w:val="53"/>
        </w:numPr>
        <w:spacing w:before="150" w:after="0"/>
        <w:ind w:left="1350" w:hanging="750"/>
      </w:pPr>
      <w:r>
        <w:rPr>
          <w:rFonts w:ascii="Arial"/>
          <w:color w:val="000000"/>
          <w:sz w:val="24"/>
        </w:rPr>
        <w:t xml:space="preserve">The appeal is upheld. </w:t>
      </w:r>
    </w:p>
    <w:p>
      <w:pPr>
        <w:pStyle w:val="CaselawNumbered1"/>
        <w:numPr>
          <w:ilvl w:val="0"/>
          <w:numId w:val="53"/>
        </w:numPr>
        <w:spacing w:before="150" w:after="0"/>
        <w:ind w:left="1350" w:hanging="750"/>
      </w:pPr>
      <w:r>
        <w:rPr>
          <w:rFonts w:ascii="Arial"/>
          <w:color w:val="000000"/>
          <w:sz w:val="24"/>
        </w:rPr>
        <w:t xml:space="preserve">Development application </w:t>
      </w:r>
      <w:r>
        <w:rPr>
          <w:rFonts w:ascii="Arial"/>
          <w:color w:val="000000"/>
          <w:sz w:val="24"/>
        </w:rPr>
        <w:t>DA/2023/0811 for partial demolition of the existing structures and alterations and additions</w:t>
      </w:r>
      <w:r>
        <w:rPr>
          <w:rFonts w:ascii="Arial"/>
          <w:color w:val="000000"/>
          <w:sz w:val="24"/>
        </w:rPr>
        <w:t xml:space="preserve"> </w:t>
      </w:r>
      <w:r>
        <w:rPr>
          <w:rFonts w:ascii="Arial"/>
          <w:color w:val="000000"/>
          <w:sz w:val="24"/>
        </w:rPr>
        <w:t xml:space="preserve">to the former Salvation Army Citadel and adjoining </w:t>
      </w:r>
      <w:r>
        <w:rPr>
          <w:rFonts w:ascii="Arial"/>
          <w:color w:val="000000"/>
          <w:sz w:val="24"/>
        </w:rPr>
        <w:t xml:space="preserve">two-storey building </w:t>
      </w:r>
      <w:r>
        <w:rPr>
          <w:rFonts w:ascii="Arial"/>
          <w:color w:val="000000"/>
          <w:sz w:val="24"/>
        </w:rPr>
        <w:t xml:space="preserve">and </w:t>
      </w:r>
      <w:r>
        <w:rPr>
          <w:rFonts w:ascii="Arial"/>
          <w:color w:val="000000"/>
          <w:sz w:val="24"/>
        </w:rPr>
        <w:t xml:space="preserve">adaptive reuse </w:t>
      </w:r>
      <w:r>
        <w:rPr>
          <w:rFonts w:ascii="Arial"/>
          <w:color w:val="000000"/>
          <w:sz w:val="24"/>
        </w:rPr>
        <w:t xml:space="preserve">as a </w:t>
      </w:r>
      <w:r>
        <w:rPr>
          <w:rFonts w:ascii="Arial"/>
          <w:color w:val="000000"/>
          <w:sz w:val="24"/>
        </w:rPr>
        <w:t>co</w:t>
      </w:r>
      <w:r>
        <w:rPr>
          <w:rFonts w:ascii="Arial"/>
          <w:color w:val="000000"/>
          <w:sz w:val="24"/>
        </w:rPr>
        <w:t>-</w:t>
      </w:r>
      <w:r>
        <w:rPr>
          <w:rFonts w:ascii="Arial"/>
          <w:color w:val="000000"/>
          <w:sz w:val="24"/>
        </w:rPr>
        <w:t xml:space="preserve">living housing development </w:t>
      </w:r>
      <w:r>
        <w:rPr>
          <w:rFonts w:ascii="Arial"/>
          <w:color w:val="000000"/>
          <w:sz w:val="24"/>
        </w:rPr>
        <w:t>incorporating 18 rooms</w:t>
      </w:r>
      <w:r>
        <w:rPr>
          <w:rFonts w:ascii="Arial"/>
          <w:color w:val="000000"/>
          <w:sz w:val="24"/>
        </w:rPr>
        <w:t>,</w:t>
      </w:r>
      <w:r>
        <w:rPr>
          <w:rFonts w:ascii="Arial"/>
          <w:color w:val="000000"/>
          <w:sz w:val="24"/>
        </w:rPr>
        <w:t xml:space="preserve"> </w:t>
      </w:r>
      <w:r>
        <w:rPr>
          <w:rFonts w:ascii="Arial"/>
          <w:color w:val="000000"/>
          <w:sz w:val="24"/>
        </w:rPr>
        <w:t xml:space="preserve">communal </w:t>
      </w:r>
      <w:r>
        <w:rPr>
          <w:rFonts w:ascii="Arial"/>
          <w:color w:val="000000"/>
          <w:sz w:val="24"/>
        </w:rPr>
        <w:t>areas</w:t>
      </w:r>
      <w:r>
        <w:rPr>
          <w:rFonts w:ascii="Arial"/>
          <w:color w:val="000000"/>
          <w:sz w:val="24"/>
        </w:rPr>
        <w:t xml:space="preserve"> </w:t>
      </w:r>
      <w:r>
        <w:rPr>
          <w:rFonts w:ascii="Arial"/>
          <w:color w:val="000000"/>
          <w:sz w:val="24"/>
        </w:rPr>
        <w:t xml:space="preserve">and parking for 4 cars, </w:t>
      </w:r>
      <w:r>
        <w:rPr>
          <w:rFonts w:ascii="Arial"/>
          <w:color w:val="000000"/>
          <w:sz w:val="24"/>
        </w:rPr>
        <w:t>3 motorcycles and 6 bicycles</w:t>
      </w:r>
      <w:r>
        <w:rPr>
          <w:rFonts w:ascii="Arial"/>
          <w:color w:val="000000"/>
          <w:sz w:val="24"/>
        </w:rPr>
        <w:t xml:space="preserve"> </w:t>
      </w:r>
      <w:r>
        <w:rPr>
          <w:rFonts w:ascii="Arial"/>
          <w:color w:val="000000"/>
          <w:sz w:val="24"/>
        </w:rPr>
        <w:t>at premises known as 8-10 Charles Street, Petersham is determined by the grant of consent, subject to conditions of consent at Annexure A.</w:t>
      </w:r>
    </w:p>
    <w:p>
      <w:pPr>
        <w:pStyle w:val="CaselawNumbered1"/>
        <w:numPr>
          <w:ilvl w:val="0"/>
          <w:numId w:val="53"/>
        </w:numPr>
        <w:spacing w:before="150" w:after="0"/>
        <w:ind w:left="1350" w:hanging="750"/>
      </w:pPr>
      <w:r>
        <w:rPr>
          <w:rFonts w:ascii="Arial"/>
          <w:color w:val="000000"/>
          <w:sz w:val="24"/>
        </w:rPr>
        <w:t>All Exhibits are returned, except for Exhibits A</w:t>
      </w:r>
      <w:r>
        <w:rPr>
          <w:rFonts w:ascii="Arial"/>
          <w:color w:val="000000"/>
          <w:sz w:val="24"/>
        </w:rPr>
        <w:t xml:space="preserve"> </w:t>
      </w:r>
      <w:r>
        <w:rPr>
          <w:rFonts w:ascii="Arial"/>
          <w:color w:val="000000"/>
          <w:sz w:val="24"/>
        </w:rPr>
        <w:t>and B.</w:t>
      </w:r>
    </w:p>
    <w:p>
      <w:pPr>
        <w:pStyle w:val="CaselawNormal"/>
        <w:spacing w:before="150" w:after="150"/>
        <w:ind w:left="600"/>
        <w:jc w:val="left"/>
      </w:pPr>
      <w:r>
        <w:rPr>
          <w:rFonts w:ascii="Arial"/>
          <w:b/>
          <w:color w:val="000000"/>
          <w:sz w:val="24"/>
        </w:rPr>
        <w:t>T Horton</w:t>
      </w:r>
    </w:p>
    <w:p>
      <w:pPr>
        <w:pStyle w:val="CaselawNormal"/>
        <w:spacing w:before="150" w:after="150"/>
        <w:ind w:left="600"/>
        <w:jc w:val="left"/>
      </w:pPr>
      <w:r>
        <w:rPr>
          <w:rFonts w:ascii="Arial"/>
          <w:b/>
          <w:color w:val="000000"/>
          <w:sz w:val="24"/>
        </w:rPr>
        <w:t>Commissioner of the Court</w:t>
      </w:r>
    </w:p>
    <w:p>
      <w:pPr>
        <w:pStyle w:val="CaselawNormal"/>
        <w:spacing w:before="150" w:after="150"/>
        <w:ind w:left="600"/>
        <w:jc w:val="left"/>
      </w:pPr>
      <w:r>
        <w:rPr>
          <w:rFonts w:ascii="Arial"/>
          <w:color w:val="000000"/>
          <w:sz w:val="24"/>
        </w:rPr>
        <w:t>**********</w:t>
      </w:r>
    </w:p>
    <w:p>
      <w:pPr>
        <w:pStyle w:val="CaselawNormal"/>
        <w:spacing w:before="150" w:after="150"/>
        <w:ind w:left="600"/>
        <w:jc w:val="left"/>
      </w:pPr>
      <w:hyperlink r:id="rId35">
        <w:r>
          <w:rPr>
            <w:rFonts w:ascii="Arial"/>
            <w:color w:val="000000"/>
            <w:sz w:val="24"/>
            <w:u w:val="single"/>
          </w:rPr>
          <w:t>Annexure A</w:t>
        </w:r>
      </w:hyperlink>
      <w:hyperlink r:id="rId36">
        <w:r>
          <w:rPr>
            <w:rFonts w:ascii="Arial"/>
            <w:color w:val="000000"/>
            <w:sz w:val="24"/>
          </w:rPr>
          <w:t/>
        </w:r>
      </w:hyperlink>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5B" w:rsidRDefault="00882F5B" w:rsidP="0049645A">
      <w:pPr>
        <w:spacing w:after="0" w:line="240" w:lineRule="auto"/>
      </w:pPr>
      <w:r>
        <w:separator/>
      </w:r>
    </w:p>
  </w:footnote>
  <w:footnote w:type="continuationSeparator" w:id="0">
    <w:p w:rsidR="00882F5B" w:rsidRDefault="00882F5B" w:rsidP="0049645A">
      <w:pPr>
        <w:spacing w:after="0" w:line="240" w:lineRule="auto"/>
      </w:pPr>
      <w:r>
        <w:continuationSeparator/>
      </w:r>
    </w:p>
  </w:footnote>
</w:footnotes>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0"/>
    <w:lvlOverride w:ilvl="0">
      <w:startOverride w:val="1"/>
    </w:lvlOverride>
  </w:num>
  <w:num w:numId="24">
    <w:abstractNumId w:val="16"/>
    <w:lvlOverride w:ilvl="0">
      <w:startOverride w:val="12"/>
    </w:lvlOverride>
  </w:num>
  <w:num w:numId="25">
    <w:abstractNumId w:val="10"/>
    <w:lvlOverride w:ilvl="0">
      <w:startOverride w:val="1"/>
    </w:lvlOverride>
  </w:num>
  <w:num w:numId="26">
    <w:abstractNumId w:val="16"/>
    <w:lvlOverride w:ilvl="0">
      <w:startOverride w:val="13"/>
    </w:lvlOverride>
  </w:num>
  <w:num w:numId="27">
    <w:abstractNumId w:val="10"/>
    <w:lvlOverride w:ilvl="0">
      <w:startOverride w:val="1"/>
    </w:lvlOverride>
  </w:num>
  <w:num w:numId="28">
    <w:abstractNumId w:val="16"/>
    <w:lvlOverride w:ilvl="0">
      <w:startOverride w:val="16"/>
    </w:lvlOverride>
  </w:num>
  <w:num w:numId="29">
    <w:abstractNumId w:val="10"/>
    <w:lvlOverride w:ilvl="0">
      <w:startOverride w:val="1"/>
    </w:lvlOverride>
  </w:num>
  <w:num w:numId="30">
    <w:abstractNumId w:val="16"/>
    <w:lvlOverride w:ilvl="0">
      <w:startOverride w:val="35"/>
    </w:lvlOverride>
  </w:num>
  <w:num w:numId="31">
    <w:abstractNumId w:val="16"/>
    <w:lvlOverride w:ilvl="0">
      <w:startOverride w:val="39"/>
    </w:lvlOverride>
  </w:num>
  <w:num w:numId="32">
    <w:abstractNumId w:val="16"/>
    <w:lvlOverride w:ilvl="0">
      <w:startOverride w:val="42"/>
    </w:lvlOverride>
  </w:num>
  <w:num w:numId="33">
    <w:abstractNumId w:val="16"/>
    <w:lvlOverride w:ilvl="0">
      <w:startOverride w:val="50"/>
    </w:lvlOverride>
  </w:num>
  <w:num w:numId="34">
    <w:abstractNumId w:val="16"/>
    <w:lvlOverride w:ilvl="0">
      <w:startOverride w:val="51"/>
    </w:lvlOverride>
  </w:num>
  <w:num w:numId="35">
    <w:abstractNumId w:val="16"/>
    <w:lvlOverride w:ilvl="0">
      <w:startOverride w:val="52"/>
    </w:lvlOverride>
  </w:num>
  <w:num w:numId="36">
    <w:abstractNumId w:val="10"/>
    <w:lvlOverride w:ilvl="0">
      <w:startOverride w:val="1"/>
    </w:lvlOverride>
  </w:num>
  <w:num w:numId="37">
    <w:abstractNumId w:val="15"/>
    <w:lvlOverride w:ilvl="0">
      <w:startOverride w:val="1"/>
    </w:lvlOverride>
  </w:num>
  <w:num w:numId="38">
    <w:abstractNumId w:val="10"/>
    <w:lvlOverride w:ilvl="0">
      <w:startOverride w:val="2"/>
    </w:lvlOverride>
  </w:num>
  <w:num w:numId="39">
    <w:abstractNumId w:val="16"/>
    <w:lvlOverride w:ilvl="0">
      <w:startOverride w:val="57"/>
    </w:lvlOverride>
  </w:num>
  <w:num w:numId="40">
    <w:abstractNumId w:val="10"/>
    <w:lvlOverride w:ilvl="0">
      <w:startOverride w:val="1"/>
    </w:lvlOverride>
  </w:num>
  <w:num w:numId="41">
    <w:abstractNumId w:val="16"/>
    <w:lvlOverride w:ilvl="0">
      <w:startOverride w:val="59"/>
    </w:lvlOverride>
  </w:num>
  <w:num w:numId="42">
    <w:abstractNumId w:val="16"/>
    <w:lvlOverride w:ilvl="0">
      <w:startOverride w:val="60"/>
    </w:lvlOverride>
  </w:num>
  <w:num w:numId="43">
    <w:abstractNumId w:val="16"/>
    <w:lvlOverride w:ilvl="0">
      <w:startOverride w:val="63"/>
    </w:lvlOverride>
  </w:num>
  <w:num w:numId="44">
    <w:abstractNumId w:val="10"/>
    <w:lvlOverride w:ilvl="0">
      <w:startOverride w:val="1"/>
    </w:lvlOverride>
  </w:num>
  <w:num w:numId="45">
    <w:abstractNumId w:val="16"/>
    <w:lvlOverride w:ilvl="0">
      <w:startOverride w:val="73"/>
    </w:lvlOverride>
  </w:num>
  <w:num w:numId="46">
    <w:abstractNumId w:val="16"/>
    <w:lvlOverride w:ilvl="0">
      <w:startOverride w:val="78"/>
    </w:lvlOverride>
  </w:num>
  <w:num w:numId="47">
    <w:abstractNumId w:val="16"/>
    <w:lvlOverride w:ilvl="0">
      <w:startOverride w:val="82"/>
    </w:lvlOverride>
  </w:num>
  <w:num w:numId="48">
    <w:abstractNumId w:val="16"/>
    <w:lvlOverride w:ilvl="0">
      <w:startOverride w:val="91"/>
    </w:lvlOverride>
  </w:num>
  <w:num w:numId="49">
    <w:abstractNumId w:val="16"/>
    <w:lvlOverride w:ilvl="0">
      <w:startOverride w:val="94"/>
    </w:lvlOverride>
  </w:num>
  <w:num w:numId="50">
    <w:abstractNumId w:val="16"/>
    <w:lvlOverride w:ilvl="0">
      <w:startOverride w:val="96"/>
    </w:lvlOverride>
  </w:num>
  <w:num w:numId="51">
    <w:abstractNumId w:val="16"/>
    <w:lvlOverride w:ilvl="0">
      <w:startOverride w:val="102"/>
    </w:lvlOverride>
  </w:num>
  <w:num w:numId="52">
    <w:abstractNumId w:val="16"/>
    <w:lvlOverride w:ilvl="0">
      <w:startOverride w:val="103"/>
    </w:lvlOverride>
  </w:num>
  <w:num w:numId="53">
    <w:abstractNumId w:val="10"/>
    <w:lvlOverride w:ilvl="0">
      <w:startOverride w:val="1"/>
    </w:lvlOverride>
  </w:num>
  <w:numIdMacAtCleanup w:val="21"/>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 TargetMode="External" Target="#_Ref179917813" Type="http://schemas.openxmlformats.org/officeDocument/2006/relationships/hyperlink" Id="rId13"/><Relationship TargetMode="External" Target="#_Ref179917813" Type="http://schemas.openxmlformats.org/officeDocument/2006/relationships/hyperlink" Id="rId14"/><Relationship TargetMode="External" Target="#_Ref181648786" Type="http://schemas.openxmlformats.org/officeDocument/2006/relationships/hyperlink" Id="rId15"/><Relationship TargetMode="External" Target="#_Ref181648786" Type="http://schemas.openxmlformats.org/officeDocument/2006/relationships/hyperlink" Id="rId16"/><Relationship TargetMode="External" Target="#_Ref182822367" Type="http://schemas.openxmlformats.org/officeDocument/2006/relationships/hyperlink" Id="rId17"/><Relationship TargetMode="External" Target="#_Ref182822367" Type="http://schemas.openxmlformats.org/officeDocument/2006/relationships/hyperlink" Id="rId18"/><Relationship TargetMode="External" Target="#_Ref182822389" Type="http://schemas.openxmlformats.org/officeDocument/2006/relationships/hyperlink" Id="rId19"/><Relationship TargetMode="External" Target="#_Ref182822389" Type="http://schemas.openxmlformats.org/officeDocument/2006/relationships/hyperlink" Id="rId20"/><Relationship TargetMode="External" Target="#_Ref182822680" Type="http://schemas.openxmlformats.org/officeDocument/2006/relationships/hyperlink" Id="rId21"/><Relationship TargetMode="External" Target="#_Ref182822680" Type="http://schemas.openxmlformats.org/officeDocument/2006/relationships/hyperlink" Id="rId22"/><Relationship TargetMode="External" Target="#_Ref182822712" Type="http://schemas.openxmlformats.org/officeDocument/2006/relationships/hyperlink" Id="rId23"/><Relationship TargetMode="External" Target="#_Ref182822712" Type="http://schemas.openxmlformats.org/officeDocument/2006/relationships/hyperlink" Id="rId24"/><Relationship TargetMode="External" Target="#_Ref182822725" Type="http://schemas.openxmlformats.org/officeDocument/2006/relationships/hyperlink" Id="rId25"/><Relationship TargetMode="External" Target="#_Ref182822725" Type="http://schemas.openxmlformats.org/officeDocument/2006/relationships/hyperlink" Id="rId26"/><Relationship TargetMode="External" Target="#_Ref182822777" Type="http://schemas.openxmlformats.org/officeDocument/2006/relationships/hyperlink" Id="rId27"/><Relationship TargetMode="External" Target="#_Ref182822777" Type="http://schemas.openxmlformats.org/officeDocument/2006/relationships/hyperlink" Id="rId28"/><Relationship TargetMode="External" Target="#_Ref181648786" Type="http://schemas.openxmlformats.org/officeDocument/2006/relationships/hyperlink" Id="rId29"/><Relationship TargetMode="External" Target="#_Ref181648786" Type="http://schemas.openxmlformats.org/officeDocument/2006/relationships/hyperlink" Id="rId30"/><Relationship TargetMode="External" Target="#_Ref181713855" Type="http://schemas.openxmlformats.org/officeDocument/2006/relationships/hyperlink" Id="rId31"/><Relationship TargetMode="External" Target="#_Ref181713855" Type="http://schemas.openxmlformats.org/officeDocument/2006/relationships/hyperlink" Id="rId32"/><Relationship TargetMode="External" Target="#_Ref181713777" Type="http://schemas.openxmlformats.org/officeDocument/2006/relationships/hyperlink" Id="rId33"/><Relationship TargetMode="External" Target="#_Ref181713777" Type="http://schemas.openxmlformats.org/officeDocument/2006/relationships/hyperlink" Id="rId34"/><Relationship TargetMode="External" Target="http://www.caselaw.nsw.gov.au/asset/19360d94c3cb67f23189e726.pdf" Type="http://schemas.openxmlformats.org/officeDocument/2006/relationships/hyperlink" Id="rId35"/><Relationship TargetMode="External" Target="http://www.caselaw.nsw.gov.au/asset/19360d94c3cb67f23189e726.pdf" Type="http://schemas.openxmlformats.org/officeDocument/2006/relationships/hyperlink" Id="rId36"/></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