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document.glossary+xml" PartName="/word/glossary/document.xml"/>
  <Override ContentType="application/vnd.openxmlformats-officedocument.wordprocessingml.fontTable+xml" PartName="/word/glossary/fontTable.xml"/>
  <Override ContentType="application/vnd.openxmlformats-officedocument.wordprocessingml.settings+xml" PartName="/word/glossary/settings.xml"/>
  <Override ContentType="application/vnd.openxmlformats-officedocument.wordprocessingml.styles+xml" PartName="/word/glossary/styles.xml"/>
  <Override ContentType="application/vnd.ms-word.stylesWithEffects+xml" PartName="/word/glossary/stylesWithEffects.xml"/>
  <Override ContentType="application/vnd.openxmlformats-officedocument.wordprocessingml.webSettings+xml" PartName="/word/glossary/webSettings.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Target="docProps/app.xml" Type="http://schemas.openxmlformats.org/officeDocument/2006/relationships/extended-properties" Id="rId3"/><Relationship Target="docProps/core.xml" Type="http://schemas.openxmlformats.org/package/2006/relationships/metadata/core-properties" Id="rId2"/><Relationship Target="word/document.xml" Type="http://schemas.openxmlformats.org/officeDocument/2006/relationships/officeDocument" Id="rId1"/></Relationships>
</file>

<file path=word/document.xml><?xml version="1.0" encoding="utf-8"?>
<w:document xmlns:w="http://schemas.openxmlformats.org/wordprocessingml/2006/main" xmlns:r="http://schemas.openxmlformats.org/officeDocument/2006/relationships" xmlns:m="http://schemas.openxmlformats.org/officeDocument/2006/math" xmlns:w14="http://schemas.microsoft.com/office/word/2010/wordml" xmlns:w15="http://schemas.microsoft.com/office/word/2012/wordml"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p14">
  <w:body>
    <!-- Modified by docx4j 8.1.6 (Apache licensed) using REFERENCE JAXB in Red Hat, Inc. Java 1.8.0_372 on Linux -->
    <w:tbl>
      <w:tblPr>
        <w:tblW w:w="0" w:type="auto"/>
        <w:tblLayout w:type="fixed"/>
        <w:tblLook w:firstRow="1" w:lastRow="0" w:firstColumn="1" w:lastColumn="0" w:noHBand="0" w:noVBand="1" w:val="04A0"/>
        <w:tblCaption w:val="titletable"/>
      </w:tblPr>
      <w:tblGrid>
        <w:gridCol w:w="2977"/>
        <w:gridCol w:w="5245"/>
      </w:tblGrid>
      <w:tr w:rsidR="002D6852" w:rsidTr="00EF4519">
        <w:tc>
          <w:tcPr>
            <w:tcW w:w="2977" w:type="dxa"/>
          </w:tcPr>
          <w:p w:rsidRPr="00EF4519" w:rsidR="002D6852" w:rsidP="00EF4519" w:rsidRDefault="006A4211">
            <w:r w:rsidRPr="00EF4519">
              <w:rPr>
                <w:noProof/>
              </w:rPr>
              <w:drawing>
                <wp:inline distT="0" distB="0" distL="0" distR="0">
                  <wp:extent cx="1171575" cy="809625"/>
                  <wp:effectExtent l="0" t="0" r="9525" b="9525"/>
                  <wp:docPr id="1" name="Picture 1" descr="State Crest_85pixels_height"/>
                  <wp:cNvGraphicFramePr>
                    <a:graphicFrameLocks noChangeAspect="true"/>
                  </wp:cNvGraphicFramePr>
                  <a:graphic>
                    <a:graphicData uri="http://schemas.openxmlformats.org/drawingml/2006/picture">
                      <pic:pic>
                        <pic:nvPicPr>
                          <pic:cNvPr id="0" name="Picture 1" descr="State Crest_85pixels_height"/>
                          <pic:cNvPicPr>
                            <a:picLocks noChangeAspect="true" noChangeArrowheads="true"/>
                          </pic:cNvPicPr>
                        </pic:nvPicPr>
                        <pic:blipFill>
                          <a:blip r:embed="rId9">
                            <a:extLst>
                              <a:ext uri="{28A0092B-C50C-407E-A947-70E740481C1C}">
                                <a14:useLocalDpi val="false"/>
                              </a:ext>
                            </a:extLst>
                          </a:blip>
                          <a:srcRect/>
                          <a:stretch>
                            <a:fillRect/>
                          </a:stretch>
                        </pic:blipFill>
                        <pic:spPr bwMode="auto">
                          <a:xfrm>
                            <a:off x="0" y="0"/>
                            <a:ext cx="1171575" cy="809625"/>
                          </a:xfrm>
                          <a:prstGeom prst="rect">
                            <a:avLst/>
                          </a:prstGeom>
                          <a:noFill/>
                          <a:ln>
                            <a:noFill/>
                          </a:ln>
                        </pic:spPr>
                      </pic:pic>
                    </a:graphicData>
                  </a:graphic>
                </wp:inline>
              </w:drawing>
            </w:r>
          </w:p>
        </w:tc>
        <w:tc>
          <w:tcPr>
            <w:tcW w:w="5245" w:type="dxa"/>
          </w:tcPr>
          <w:p w:rsidRPr="005B5E79" w:rsidR="00C27F1D" w:rsidP="005B5E79" w:rsidRDefault="0081465C">
            <w:r>
              <w:br/>
            </w:r>
            <w:sdt>
              <w:sdtPr>
                <w:alias w:val="Court Title"/>
                <w:tag w:val="courtName"/>
                <w:id w:val="-597174554"/>
                <w:placeholder>
                  <w:docPart w:val="2287E3D7A5999C449F68774214E87459"/>
                </w:placeholder>
                <w:text/>
              </w:sdtPr>
              <w:sdtEndPr/>
              <w:sdtContent>
                <w:r w:rsidR="001B7A55">
                  <w:t>Court of Appeal</w:t>
                </w:r>
                <w:r>
                  <w:br/>
                </w:r>
                <w:r>
                  <w:t xml:space="preserve">Supreme Court</w:t>
                </w:r>
              </w:sdtContent>
            </w:sdt>
          </w:p>
          <w:p w:rsidRPr="00EF4519" w:rsidR="002D6852" w:rsidP="00EF4519" w:rsidRDefault="00C27F1D">
            <w:r w:rsidRPr="00EF4519">
              <w:t>New South Wales</w:t>
            </w:r>
          </w:p>
        </w:tc>
      </w:tr>
    </w:tbl>
    <w:p w:rsidR="00C27F1D" w:rsidP="003C5ECC" w:rsidRDefault="00C27F1D">
      <w:pPr>
        <w:pBdr>
          <w:bottom w:val="single" w:color="auto" w:sz="6" w:space="1"/>
        </w:pBdr>
      </w:pPr>
    </w:p>
    <w:p w:rsidRPr="003C5ECC" w:rsidR="005B5E79" w:rsidP="003C5ECC" w:rsidRDefault="005B5E79"/>
    <w:tbl>
      <w:tblPr>
        <w:tblW w:w="5000" w:type="pct"/>
        <w:tblLook w:firstRow="1" w:lastRow="0" w:firstColumn="1" w:lastColumn="0" w:noHBand="0" w:noVBand="1" w:val="04A0"/>
        <w:tblCaption w:val="coversheet"/>
      </w:tblPr>
      <w:tblGrid>
        <w:gridCol w:w="3085"/>
        <w:gridCol w:w="6157"/>
      </w:tblGrid>
      <w:tr w:rsidR="00856777" w:rsidTr="00AC2B81">
        <w:trPr>
          <w:trHeight w:val="412"/>
        </w:trPr>
        <w:tc>
          <w:tcPr>
            <w:tcW w:w="1669" w:type="pct"/>
          </w:tcPr>
          <w:p w:rsidRPr="00EF4519" w:rsidR="00856777" w:rsidP="00E827DB" w:rsidRDefault="00856777">
            <w:r>
              <w:t>C</w:t>
            </w:r>
            <w:r w:rsidRPr="00EF4519">
              <w:t xml:space="preserve">ase Name: </w:t>
            </w:r>
          </w:p>
        </w:tc>
        <w:tc>
          <w:tcPr>
            <w:tcW w:w="3331" w:type="pct"/>
          </w:tcPr>
          <w:p w:rsidR="00856777" w:rsidP="001B7A55" w:rsidRDefault="00882F5B">
            <w:sdt>
              <w:sdtPr>
                <w:alias w:val="Case Name"/>
                <w:tag w:val="title"/>
                <w:id w:val="-1112213263"/>
                <w:placeholder>
                  <w:docPart w:val="23714A54DE1C5349A32215100E23C70C"/>
                </w:placeholder>
                <w:showingPlcHdr/>
                <w:text w:multiLine="true"/>
              </w:sdtPr>
              <w:sdtEndPr/>
              <w:sdtContent>
                <w:r>
                  <w:t xml:space="preserve">Lahoud v Willoughby City Council</w:t>
                </w:r>
              </w:sdtContent>
            </w:sdt>
          </w:p>
        </w:tc>
      </w:tr>
      <w:tr w:rsidR="00E827DB" w:rsidTr="00AC2B81">
        <w:trPr>
          <w:trHeight w:val="320"/>
        </w:trPr>
        <w:tc>
          <w:tcPr>
            <w:tcW w:w="1669" w:type="pct"/>
          </w:tcPr>
          <w:p w:rsidRPr="00EF4519" w:rsidR="00E827DB" w:rsidP="00E827DB" w:rsidRDefault="00E827DB">
            <w:r>
              <w:t>Medium Neutral Citation:</w:t>
            </w:r>
            <w:r w:rsidRPr="00EF4519">
              <w:t xml:space="preserve"> </w:t>
            </w:r>
          </w:p>
        </w:tc>
        <w:tc>
          <w:tcPr>
            <w:tcW w:w="3331" w:type="pct"/>
          </w:tcPr>
          <w:p w:rsidR="00E827DB" w:rsidP="00D37BAC" w:rsidRDefault="00882F5B">
            <w:sdt>
              <w:sdtPr>
                <w:alias w:val="Medium Neutral Citation"/>
                <w:tag w:val="mnc"/>
                <w:id w:val="-1833444343"/>
                <w:placeholder>
                  <w:docPart w:val="CEA0958D29B321449DAA1A3408663E44"/>
                </w:placeholder>
                <w:showingPlcHdr/>
                <w:text w:multiLine="true"/>
              </w:sdtPr>
              <w:sdtEndPr/>
              <w:sdtContent>
                <w:r>
                  <w:t xml:space="preserve">[2024] NSWCA 163</w:t>
                </w:r>
              </w:sdtContent>
            </w:sdt>
          </w:p>
        </w:tc>
      </w:tr>
      <w:tr w:rsidR="00E827DB" w:rsidTr="00AC2B81">
        <w:trPr>
          <w:trHeight w:val="370"/>
        </w:trPr>
        <w:tc>
          <w:tcPr>
            <w:tcW w:w="1669" w:type="pct"/>
          </w:tcPr>
          <w:p w:rsidRPr="00EF4519" w:rsidR="00E827DB" w:rsidP="00E827DB" w:rsidRDefault="00E827DB">
            <w:r>
              <w:t>Hearing Date</w:t>
            </w:r>
            <w:r w:rsidRPr="00EF4519">
              <w:t xml:space="preserve">(s): </w:t>
            </w:r>
          </w:p>
        </w:tc>
        <w:tc>
          <w:tcPr>
            <w:tcW w:w="3331" w:type="pct"/>
          </w:tcPr>
          <w:p w:rsidR="00E827DB" w:rsidP="004967FE" w:rsidRDefault="00882F5B">
            <w:sdt>
              <w:sdtPr>
                <w:alias w:val="Hearing Date(s)"/>
                <w:tag w:val="hearingDates"/>
                <w:id w:val="855157727"/>
                <w:placeholder>
                  <w:docPart w:val="9CA603291F38E74C952F4F0686E7F43F"/>
                </w:placeholder>
                <w:showingPlcHdr/>
                <w:text w:multiLine="true"/>
              </w:sdtPr>
              <w:sdtEndPr/>
              <w:sdtContent>
                <w:r>
                  <w:t xml:space="preserve">30 May 2024</w:t>
                </w:r>
              </w:sdtContent>
            </w:sdt>
          </w:p>
        </w:tc>
      </w:tr>
      <w:tr w:rsidR="00B006AC" w:rsidTr="00AC2B81">
        <w:trPr>
          <w:trHeight w:val="370"/>
        </w:trPr>
        <w:tc>
          <w:tcPr>
            <w:tcW w:w="1669" w:type="pct"/>
          </w:tcPr>
          <w:p w:rsidR="00B006AC" w:rsidP="00E827DB" w:rsidRDefault="00B006AC">
            <w:r>
              <w:t>Date of Orders:</w:t>
            </w:r>
          </w:p>
        </w:tc>
        <w:tc>
          <w:tcPr>
            <w:tcW w:w="3331" w:type="pct"/>
          </w:tcPr>
          <w:p w:rsidR="00B006AC" w:rsidP="004967FE" w:rsidRDefault="00882F5B">
            <w:sdt>
              <w:sdtPr>
                <w:alias w:val="Date of Orders"/>
                <w:tag w:val="orderDate"/>
                <w:id w:val="-56163930"/>
                <w:placeholder>
                  <w:docPart w:val="001534073BC94C468D9A6C5C3502283B"/>
                </w:placeholder>
                <w:showingPlcHdr/>
                <w:date w:fullDate="2014-09-10T00:00:00Z">
                  <w:dateFormat w:val="d MMMM yyyy"/>
                  <w:lid w:val="en-AU"/>
                  <w:storeMappedDataAs w:val="dateTime"/>
                  <w:calendar w:val="gregorian"/>
                </w:date>
              </w:sdtPr>
              <w:sdtEndPr/>
              <w:sdtContent>
                <w:r>
                  <w:t xml:space="preserve">10 July 2024</w:t>
                </w:r>
              </w:sdtContent>
            </w:sdt>
          </w:p>
        </w:tc>
      </w:tr>
      <w:tr w:rsidR="00251EE4" w:rsidTr="00AC2B81">
        <w:trPr>
          <w:trHeight w:val="329"/>
        </w:trPr>
        <w:tc>
          <w:tcPr>
            <w:tcW w:w="1669" w:type="pct"/>
          </w:tcPr>
          <w:p w:rsidRPr="00EF4519" w:rsidR="00251EE4" w:rsidP="00E827DB" w:rsidRDefault="00251EE4">
            <w:r>
              <w:t>Decision Date:</w:t>
            </w:r>
            <w:r w:rsidRPr="00EF4519" w:rsidR="00B914EB">
              <w:t xml:space="preserve"> </w:t>
            </w:r>
          </w:p>
        </w:tc>
        <w:tc>
          <w:tcPr>
            <w:tcW w:w="3331" w:type="pct"/>
          </w:tcPr>
          <w:p w:rsidR="00251EE4" w:rsidP="001B7A55" w:rsidRDefault="00882F5B">
            <w:sdt>
              <w:sdtPr>
                <w:alias w:val="Decision Date"/>
                <w:tag w:val="decisionDate"/>
                <w:id w:val="-2113426060"/>
                <w:placeholder>
                  <w:docPart w:val="49E1DA3C6A1E71459A736F86010B5AED"/>
                </w:placeholder>
                <w:showingPlcHdr/>
                <w:date w:fullDate="2014-07-10T00:00:00Z">
                  <w:dateFormat w:val="d MMMM yyyy"/>
                  <w:lid w:val="en-AU"/>
                  <w:storeMappedDataAs w:val="dateTime"/>
                  <w:calendar w:val="gregorian"/>
                </w:date>
              </w:sdtPr>
              <w:sdtEndPr/>
              <w:sdtContent>
                <w:r>
                  <w:t xml:space="preserve">10 July 2024</w:t>
                </w:r>
              </w:sdtContent>
            </w:sdt>
          </w:p>
        </w:tc>
      </w:tr>
      <w:tr w:rsidR="00251EE4" w:rsidTr="00AC2B81">
        <w:trPr>
          <w:trHeight w:val="273"/>
        </w:trPr>
        <w:tc>
          <w:tcPr>
            <w:tcW w:w="1669" w:type="pct"/>
          </w:tcPr>
          <w:p w:rsidRPr="00EF4519" w:rsidR="00251EE4" w:rsidP="00E827DB" w:rsidRDefault="00251EE4">
            <w:r>
              <w:t>Before:</w:t>
            </w:r>
            <w:r w:rsidRPr="00EF4519" w:rsidR="00B914EB">
              <w:t xml:space="preserve"> </w:t>
            </w:r>
          </w:p>
        </w:tc>
        <w:sdt>
          <w:sdtPr>
            <w:alias w:val="Before"/>
            <w:tag w:val="before"/>
            <w:id w:val="-437217807"/>
            <w:placeholder>
              <w:docPart w:val="8E1FCF9D9BCC7544965FEDDA8E4336E8"/>
            </w:placeholder>
            <w:showingPlcHdr/>
            <w:text w:multiLine="true"/>
          </w:sdtPr>
          <w:sdtEndPr/>
          <w:sdtContent>
            <w:tc>
              <w:tcPr>
                <w:tcW w:w="3331" w:type="pct"/>
              </w:tcPr>
              <w:p w:rsidR="00251EE4" w:rsidP="001B7A55" w:rsidRDefault="001B7A55">
                <w:r>
                  <w:t xml:space="preserve">Meagher JA at [1];</w:t>
                </w:r>
                <w:r>
                  <w:br/>
                </w:r>
                <w:r>
                  <w:t xml:space="preserve">Leeming JA at [2];</w:t>
                </w:r>
                <w:r>
                  <w:br/>
                </w:r>
                <w:r>
                  <w:t xml:space="preserve">Preston CJ of LEC at [3]</w:t>
                </w:r>
              </w:p>
            </w:tc>
          </w:sdtContent>
        </w:sdt>
      </w:tr>
      <w:tr w:rsidR="00251EE4" w:rsidTr="00AC2B81">
        <w:trPr>
          <w:trHeight w:val="465"/>
        </w:trPr>
        <w:tc>
          <w:tcPr>
            <w:tcW w:w="1669" w:type="pct"/>
          </w:tcPr>
          <w:p w:rsidRPr="00EF4519" w:rsidR="00251EE4" w:rsidP="00E827DB" w:rsidRDefault="00251EE4">
            <w:r>
              <w:t>Decision:</w:t>
            </w:r>
            <w:r w:rsidRPr="00EF4519" w:rsidR="00B914EB">
              <w:t xml:space="preserve"> </w:t>
            </w:r>
          </w:p>
        </w:tc>
        <w:tc>
          <w:tcPr>
            <w:tcW w:w="3331" w:type="pct"/>
          </w:tcPr>
          <w:p w:rsidR="00251EE4" w:rsidP="001B7A55" w:rsidRDefault="00882F5B">
            <w:sdt>
              <w:sdtPr>
                <w:rPr>
                  <w:rFonts w:cs="Arial"/>
                </w:rPr>
                <w:alias w:val="Decision"/>
                <w:tag w:val="decision"/>
                <w:id w:val="-1050373838"/>
                <w:placeholder>
                  <w:docPart w:val="BB94B27A1B38FB49AA2427CB2341BFF9"/>
                </w:placeholder>
                <w:showingPlcHdr/>
                <w:text w:multiLine="true"/>
              </w:sdtPr>
              <w:sdtEndPr/>
              <w:sdtContent>
                <w:r>
                  <w:t xml:space="preserve">(1)   The appeal is dismissed.</w:t>
                </w:r>
                <w:r>
                  <w:br/>
                </w:r>
                <w:r>
                  <w:t xml:space="preserve">(2)   Contentions 2, 3 and 4 of the second respondent’s notice of contention are upheld.</w:t>
                </w:r>
                <w:r>
                  <w:br/>
                </w:r>
                <w:r>
                  <w:t xml:space="preserve">(3)   Order 3 of the orders of Moore J made on 2 November 2023 is set aside.</w:t>
                </w:r>
                <w:r>
                  <w:br/>
                </w:r>
                <w:r>
                  <w:t xml:space="preserve">(4)   In lieu of order 3 of Moore J, the appellant as applicant is to pay the second respondent’s costs of the proceedings in the Land and Environment Court. </w:t>
                </w:r>
                <w:r>
                  <w:br/>
                </w:r>
                <w:r>
                  <w:t xml:space="preserve">(5)   The appellant is to pay the second respondent’s costs of the proceedings in this court.</w:t>
                </w:r>
              </w:sdtContent>
            </w:sdt>
          </w:p>
        </w:tc>
      </w:tr>
      <w:tr w:rsidR="00251EE4" w:rsidTr="00AC2B81">
        <w:trPr>
          <w:trHeight w:val="373"/>
        </w:trPr>
        <w:tc>
          <w:tcPr>
            <w:tcW w:w="1669" w:type="pct"/>
          </w:tcPr>
          <w:p w:rsidRPr="00EF4519" w:rsidR="00251EE4" w:rsidP="00E827DB" w:rsidRDefault="00251EE4">
            <w:r>
              <w:t>Catchwords:</w:t>
            </w:r>
            <w:r w:rsidRPr="00EF4519" w:rsidR="00B914EB">
              <w:t xml:space="preserve"> </w:t>
            </w:r>
          </w:p>
        </w:tc>
        <w:tc>
          <w:tcPr>
            <w:tcW w:w="3331" w:type="pct"/>
          </w:tcPr>
          <w:p w:rsidR="00251EE4" w:rsidP="001B7A55" w:rsidRDefault="00882F5B">
            <w:sdt>
              <w:sdtPr>
                <w:alias w:val="Catchwords"/>
                <w:tag w:val="catchwords"/>
                <w:id w:val="-2097856291"/>
                <w:placeholder>
                  <w:docPart w:val="9628263C21A0F347B1037F8B6E2E16E6"/>
                </w:placeholder>
                <w:showingPlcHdr/>
                <w:text w:multiLine="true"/>
              </w:sdtPr>
              <w:sdtEndPr/>
              <w:sdtContent>
                <w:r>
                  <w:t xml:space="preserve">ENVIRONMENT AND PLANNING – Development consent for the adaptive reuse of existing commercial building – judicial review – building exceeds height standard – whether consent authority satisfied of cl 4.6 of Willoughby Local Environment Plan 2012 before granting development consent – whether consent authority satisfied building had active street frontage – whether development for permissible use of shop top housing – whether consent authority failed to consider if land is contaminated</w:t>
                </w:r>
                <w:r>
                  <w:br/>
                </w:r>
                <w:r>
                  <w:t xml:space="preserve"> </w:t>
                </w:r>
                <w:r>
                  <w:br/>
                </w:r>
                <w:r>
                  <w:t xml:space="preserve">LIMITATION OF ACTIONS – Whether proceedings time-barred – time limit of three months after public notice in accordance with regulations published – earlier notifications not notices in accordance with regulations</w:t>
                </w:r>
              </w:sdtContent>
            </w:sdt>
          </w:p>
        </w:tc>
      </w:tr>
      <w:tr w:rsidR="00251EE4" w:rsidTr="00AC2B81">
        <w:trPr>
          <w:trHeight w:val="281"/>
        </w:trPr>
        <w:tc>
          <w:tcPr>
            <w:tcW w:w="1669" w:type="pct"/>
          </w:tcPr>
          <w:p w:rsidRPr="00EF4519" w:rsidR="00251EE4" w:rsidP="00E827DB" w:rsidRDefault="00251EE4">
            <w:r>
              <w:t>Legislation Cited:</w:t>
            </w:r>
            <w:r w:rsidRPr="00EF4519" w:rsidR="00B914EB">
              <w:t xml:space="preserve"> </w:t>
            </w:r>
          </w:p>
        </w:tc>
        <w:tc>
          <w:tcPr>
            <w:tcW w:w="3331" w:type="pct"/>
          </w:tcPr>
          <w:p w:rsidR="00251EE4" w:rsidP="001B7A55" w:rsidRDefault="00882F5B">
            <w:sdt>
              <w:sdtPr>
                <w:alias w:val="Legislation Cited"/>
                <w:tag w:val="legislationCited"/>
                <w:id w:val="-2034725931"/>
                <w:placeholder>
                  <w:docPart w:val="5A00766E1BC20A46B675FA54E3371F87"/>
                </w:placeholder>
                <w:showingPlcHdr/>
                <w:text w:multiLine="true"/>
              </w:sdtPr>
              <w:sdtEndPr/>
              <w:sdtContent>
                <w:r>
                  <w:t xml:space="preserve">Environmental Planning and Assessment Act 1979 (NSW), ss 4.8, 4.16, 4.17, 4.59, 9.1, 9.46</w:t>
                </w:r>
                <w:r>
                  <w:br/>
                </w:r>
                <w:r>
                  <w:t xml:space="preserve">Land and Environment Court Act 1979 (NSW), ss 25B, 58</w:t>
                </w:r>
                <w:r>
                  <w:br/>
                </w:r>
                <w:r>
                  <w:t xml:space="preserve"> </w:t>
                </w:r>
                <w:r>
                  <w:br/>
                </w:r>
                <w:r>
                  <w:t xml:space="preserve">Environmental Planning and Assessment Regulation 2000 (NSW), cl 124</w:t>
                </w:r>
                <w:r>
                  <w:br/>
                </w:r>
                <w:r>
                  <w:t xml:space="preserve">State Environmental Planning Policy 55 – Remediation of Land, cl 7</w:t>
                </w:r>
                <w:r>
                  <w:br/>
                </w:r>
                <w:r>
                  <w:t xml:space="preserve">Willoughby Local Environmental Plan 2012, cll 4.3, 4.6, 6.7, Dictionary</w:t>
                </w:r>
              </w:sdtContent>
            </w:sdt>
          </w:p>
        </w:tc>
      </w:tr>
      <w:tr w:rsidR="00251EE4" w:rsidTr="00AC2B81">
        <w:trPr>
          <w:trHeight w:val="331"/>
        </w:trPr>
        <w:tc>
          <w:tcPr>
            <w:tcW w:w="1669" w:type="pct"/>
          </w:tcPr>
          <w:p w:rsidRPr="00EF4519" w:rsidR="00251EE4" w:rsidP="00E827DB" w:rsidRDefault="00251EE4">
            <w:r>
              <w:t>Cases Cited:</w:t>
            </w:r>
            <w:r w:rsidRPr="00EF4519" w:rsidR="00B914EB">
              <w:t xml:space="preserve"> </w:t>
            </w:r>
          </w:p>
        </w:tc>
        <w:tc>
          <w:tcPr>
            <w:tcW w:w="3331" w:type="pct"/>
          </w:tcPr>
          <w:p w:rsidR="00251EE4" w:rsidP="001B7A55" w:rsidRDefault="00882F5B">
            <w:sdt>
              <w:sdtPr>
                <w:alias w:val="Cases Cited"/>
                <w:tag w:val="casesCited"/>
                <w:id w:val="-230469519"/>
                <w:placeholder>
                  <w:docPart w:val="A23E6993E6A8F64D83520CA63B49071B"/>
                </w:placeholder>
                <w:showingPlcHdr/>
                <w:text w:multiLine="true"/>
              </w:sdtPr>
              <w:sdtEndPr/>
              <w:sdtContent>
                <w:r>
                  <w:t xml:space="preserve">ACR Trading Pty Ltd v Fat-Sel Pty Ltd (1987) 11 NSWLR 67</w:t>
                </w:r>
                <w:r>
                  <w:br/>
                </w:r>
                <w:r>
                  <w:t xml:space="preserve">Arco Iris Trading Pty Ltd v North Sydney Council [2015] NSWLEC 1113</w:t>
                </w:r>
                <w:r>
                  <w:br/>
                </w:r>
                <w:r>
                  <w:t xml:space="preserve">Australian Gas Light Co v Valuer-General (1940) 40 SR (NSW) 126</w:t>
                </w:r>
                <w:r>
                  <w:br/>
                </w:r>
                <w:r>
                  <w:t xml:space="preserve">Chamwell Pty Ltd v Strathfield Council (2007) 151 LGERA 400; [2007] NSWLEC 114</w:t>
                </w:r>
                <w:r>
                  <w:br/>
                </w:r>
                <w:r>
                  <w:t xml:space="preserve">El Khouri v Gemaveld Pty Ltd (2023) 256 LGERA 24; [2023] NSWCA 78</w:t>
                </w:r>
                <w:r>
                  <w:br/>
                </w:r>
                <w:r>
                  <w:t xml:space="preserve">Fordham v Environment Protection Agency [2018] NSWCA 167</w:t>
                </w:r>
                <w:r>
                  <w:br/>
                </w:r>
                <w:r>
                  <w:t xml:space="preserve">Hope v Bathurst City Council (1980) 144 CLR 1</w:t>
                </w:r>
                <w:r>
                  <w:br/>
                </w:r>
                <w:r>
                  <w:t xml:space="preserve">Lahoud v Willoughby City Council [2022] NSWLEC 125</w:t>
                </w:r>
                <w:r>
                  <w:br/>
                </w:r>
                <w:r>
                  <w:t xml:space="preserve">Lahoud v Willoughby City Council [2022] NSWCA 214</w:t>
                </w:r>
                <w:r>
                  <w:br/>
                </w:r>
                <w:r>
                  <w:t xml:space="preserve">LPDT v Minister for Immigration, Citizenship, Migrant Services and Multicultural Affairs &amp; Anor [2024] HCA 12</w:t>
                </w:r>
                <w:r>
                  <w:br/>
                </w:r>
                <w:r>
                  <w:t xml:space="preserve">NSW Associated Blue-Metal Quarries Ltd v Federal Commissioner of Taxation (1956) 94 CLR 509</w:t>
                </w:r>
                <w:r>
                  <w:br/>
                </w:r>
                <w:r>
                  <w:t xml:space="preserve">Parramatta City Council v Hale (1982) 47 LGRA 319</w:t>
                </w:r>
                <w:r>
                  <w:br/>
                </w:r>
                <w:r>
                  <w:t xml:space="preserve">Woolworths Ltd v Pallas Newco Pty Ltd (2004) 61 NSWLR 707; [2004] NSWCA 422</w:t>
                </w:r>
              </w:sdtContent>
            </w:sdt>
          </w:p>
        </w:tc>
      </w:tr>
      <w:tr w:rsidR="00251EE4" w:rsidTr="00AC2B81">
        <w:trPr>
          <w:trHeight w:val="430"/>
        </w:trPr>
        <w:tc>
          <w:tcPr>
            <w:tcW w:w="1669" w:type="pct"/>
          </w:tcPr>
          <w:p w:rsidRPr="00EF4519" w:rsidR="00251EE4" w:rsidP="00E827DB" w:rsidRDefault="00251EE4">
            <w:r>
              <w:t>Category:</w:t>
            </w:r>
            <w:r w:rsidRPr="00EF4519" w:rsidR="00B914EB">
              <w:t xml:space="preserve"> </w:t>
            </w:r>
          </w:p>
        </w:tc>
        <w:sdt>
          <w:sdtPr>
            <w:alias w:val="Category"/>
            <w:tag w:val="category"/>
            <w:id w:val="1018119699"/>
            <w:placeholder>
              <w:docPart w:val="6628CDE8242ABE4A8E58F2768A081E0C"/>
            </w:placeholder>
            <w:showingPlcHdr/>
            <w:text w:multiLine="true"/>
          </w:sdtPr>
          <w:sdtEndPr/>
          <w:sdtContent>
            <w:tc>
              <w:tcPr>
                <w:tcW w:w="3331" w:type="pct"/>
              </w:tcPr>
              <w:p w:rsidR="00251EE4" w:rsidP="001B7A55" w:rsidRDefault="001B7A55">
                <w:r>
                  <w:t xml:space="preserve">Principal judgment</w:t>
                </w:r>
              </w:p>
            </w:tc>
          </w:sdtContent>
        </w:sdt>
      </w:tr>
      <w:tr w:rsidR="00831DA1" w:rsidTr="00AC2B81">
        <w:trPr>
          <w:trHeight w:val="480"/>
        </w:trPr>
        <w:tc>
          <w:tcPr>
            <w:tcW w:w="1669" w:type="pct"/>
          </w:tcPr>
          <w:p w:rsidRPr="00EF4519" w:rsidR="00831DA1" w:rsidP="00E827DB" w:rsidRDefault="00831DA1">
            <w:r>
              <w:t>Parties:</w:t>
            </w:r>
            <w:r w:rsidRPr="00EF4519" w:rsidR="00B914EB">
              <w:t xml:space="preserve"> </w:t>
            </w:r>
          </w:p>
        </w:tc>
        <w:tc>
          <w:tcPr>
            <w:tcW w:w="3331" w:type="pct"/>
          </w:tcPr>
          <w:p w:rsidR="00831DA1" w:rsidP="001B7A55" w:rsidRDefault="00882F5B">
            <w:sdt>
              <w:sdtPr>
                <w:alias w:val="Parties"/>
                <w:tag w:val="parties"/>
                <w:id w:val="-806626852"/>
                <w:placeholder>
                  <w:docPart w:val="B3EE222B3A0F7C449BC3F6E77D0B866B"/>
                </w:placeholder>
                <w:showingPlcHdr/>
                <w:text w:multiLine="true"/>
              </w:sdtPr>
              <w:sdtEndPr/>
              <w:sdtContent>
                <w:r>
                  <w:t xml:space="preserve">Victor Lahoud (Appellant)</w:t>
                </w:r>
                <w:r>
                  <w:br/>
                </w:r>
                <w:r>
                  <w:t xml:space="preserve">Willoughby City Council (First Respondent)</w:t>
                </w:r>
                <w:r>
                  <w:br/>
                </w:r>
                <w:r>
                  <w:t xml:space="preserve">Helm Pty Ltd (ACN 142 328 309) (Second Respondent)</w:t>
                </w:r>
              </w:sdtContent>
            </w:sdt>
          </w:p>
        </w:tc>
      </w:tr>
      <w:tr w:rsidR="00251EE4" w:rsidTr="00AC2B81">
        <w:trPr>
          <w:trHeight w:val="247"/>
        </w:trPr>
        <w:tc>
          <w:tcPr>
            <w:tcW w:w="1669" w:type="pct"/>
          </w:tcPr>
          <w:p w:rsidRPr="00EF4519" w:rsidR="00251EE4" w:rsidP="00E827DB" w:rsidRDefault="00251EE4">
            <w:r>
              <w:t>Representation:</w:t>
            </w:r>
            <w:r w:rsidRPr="00EF4519" w:rsidR="00B914EB">
              <w:t xml:space="preserve"> </w:t>
            </w:r>
          </w:p>
        </w:tc>
        <w:tc>
          <w:tcPr>
            <w:tcW w:w="3331" w:type="pct"/>
          </w:tcPr>
          <w:p w:rsidR="00251EE4" w:rsidP="001B7A55" w:rsidRDefault="00882F5B">
            <w:sdt>
              <w:sdtPr>
                <w:alias w:val="Represenation"/>
                <w:tag w:val="representation"/>
                <w:id w:val="-1683732415"/>
                <w:placeholder>
                  <w:docPart w:val="1A38A171EF11A54DB21B83C7D4CB0CBA"/>
                </w:placeholder>
                <w:showingPlcHdr/>
                <w:text w:multiLine="true"/>
              </w:sdtPr>
              <w:sdtEndPr/>
              <w:sdtContent>
                <w:r>
                  <w:t xml:space="preserve">Counsel:</w:t>
                </w:r>
                <w:r>
                  <w:br/>
                </w:r>
                <w:r>
                  <w:t xml:space="preserve">T Robertson SC and N Wootton (Appellant)</w:t>
                </w:r>
                <w:r>
                  <w:br/>
                </w:r>
                <w:r>
                  <w:t xml:space="preserve">A Galasso SC and H Grace (Second Respondent)</w:t>
                </w:r>
                <w:r>
                  <w:br/>
                </w:r>
                <w:r>
                  <w:t xml:space="preserve"/>
                </w:r>
                <w:r>
                  <w:br/>
                </w:r>
                <w:r>
                  <w:t xml:space="preserve">Solicitors:</w:t>
                </w:r>
                <w:r>
                  <w:br/>
                </w:r>
                <w:r>
                  <w:t xml:space="preserve">McLachlan Thorpe Partners (Appellant)</w:t>
                </w:r>
                <w:r>
                  <w:br/>
                </w:r>
                <w:r>
                  <w:t xml:space="preserve">Lindsay Taylor Lawyers (First Respondent)</w:t>
                </w:r>
                <w:r>
                  <w:br/>
                </w:r>
                <w:r>
                  <w:t xml:space="preserve">Mills Oakley (Second Respondent)</w:t>
                </w:r>
              </w:sdtContent>
            </w:sdt>
          </w:p>
        </w:tc>
      </w:tr>
      <w:tr w:rsidR="00251EE4" w:rsidTr="00AC2B81">
        <w:trPr>
          <w:trHeight w:val="297"/>
        </w:trPr>
        <w:tc>
          <w:tcPr>
            <w:tcW w:w="1669" w:type="pct"/>
          </w:tcPr>
          <w:p w:rsidRPr="00EF4519" w:rsidR="00251EE4" w:rsidP="00E827DB" w:rsidRDefault="00ED3424">
            <w:r>
              <w:t>File Num</w:t>
            </w:r>
            <w:r w:rsidRPr="00EF4519" w:rsidR="00162707">
              <w:t>ber</w:t>
            </w:r>
            <w:r w:rsidRPr="00EF4519" w:rsidR="00201CA2">
              <w:t>(s)</w:t>
            </w:r>
            <w:r w:rsidRPr="00EF4519">
              <w:t>:</w:t>
            </w:r>
            <w:r w:rsidRPr="00EF4519" w:rsidR="00B914EB">
              <w:t xml:space="preserve"> </w:t>
            </w:r>
          </w:p>
        </w:tc>
        <w:tc>
          <w:tcPr>
            <w:tcW w:w="3331" w:type="pct"/>
          </w:tcPr>
          <w:p w:rsidR="00251EE4" w:rsidP="001B7A55" w:rsidRDefault="00882F5B">
            <w:sdt>
              <w:sdtPr>
                <w:alias w:val="File Numbers"/>
                <w:tag w:val="fileNumbers"/>
                <w:id w:val="161209586"/>
                <w:placeholder>
                  <w:docPart w:val="C38290365A6BEE4A83D8CA3C9A53E9A8"/>
                </w:placeholder>
                <w:showingPlcHdr/>
                <w:text w:multiLine="true"/>
              </w:sdtPr>
              <w:sdtEndPr/>
              <w:sdtContent>
                <w:r>
                  <w:t xml:space="preserve">2023/00426490</w:t>
                </w:r>
              </w:sdtContent>
            </w:sdt>
          </w:p>
        </w:tc>
      </w:tr>
      <w:tr w:rsidR="00277342" w:rsidTr="00AC2B81">
        <w:trPr>
          <w:trHeight w:val="361"/>
        </w:trPr>
        <w:tc>
          <w:tcPr>
            <w:tcW w:w="1669" w:type="pct"/>
          </w:tcPr>
          <w:p w:rsidRPr="00EF4519" w:rsidR="00277342" w:rsidP="00E827DB" w:rsidRDefault="00277342">
            <w:r>
              <w:t>Publication Restriction:</w:t>
            </w:r>
            <w:r w:rsidRPr="00EF4519" w:rsidR="00B914EB">
              <w:t xml:space="preserve"> </w:t>
            </w:r>
          </w:p>
        </w:tc>
        <w:tc>
          <w:tcPr>
            <w:tcW w:w="3331" w:type="pct"/>
          </w:tcPr>
          <w:p w:rsidR="00277342" w:rsidP="001B7A55" w:rsidRDefault="00882F5B">
            <w:sdt>
              <w:sdtPr>
                <w:alias w:val="Publication Restriction"/>
                <w:tag w:val="publicationRestriction"/>
                <w:id w:val="-1536037816"/>
                <w:placeholder>
                  <w:docPart w:val="A7B47E2D68429748B46F94DAB4579B86"/>
                </w:placeholder>
                <w:showingPlcHdr/>
                <w:text w:multiLine="true"/>
              </w:sdtPr>
              <w:sdtEndPr/>
              <w:sdtContent>
                <w:r>
                  <w:t xml:space="preserve">NIL</w:t>
                </w:r>
              </w:sdtContent>
            </w:sdt>
          </w:p>
        </w:tc>
      </w:tr>
      <w:tr w:rsidR="00E827DB" w:rsidTr="00AC2B81">
        <w:trPr>
          <w:trHeight w:val="397"/>
        </w:trPr>
        <w:tc>
          <w:tcPr>
            <w:tcW w:w="1669" w:type="pct"/>
          </w:tcPr>
          <w:p w:rsidR="00E827DB" w:rsidP="00E827DB" w:rsidRDefault="00E827DB">
            <w:r>
              <w:t>Decision under appeal</w:t>
            </w:r>
            <w:r w:rsidRPr="00EF4519">
              <w:t>:</w:t>
            </w:r>
            <w:r>
              <w:t xml:space="preserve"> </w:t>
            </w:r>
          </w:p>
        </w:tc>
        <w:tc>
          <w:tcPr>
            <w:tcW w:w="3331" w:type="pct"/>
          </w:tcPr>
          <w:p w:rsidRPr="00EF4519" w:rsidR="00E827DB" w:rsidP="00856777" w:rsidRDefault="00E827DB">
            <w:sdt>
              <w:sdtPr>
                <w:alias w:val="Decision Under Appeal"/>
                <w:tag w:val="appeal"/>
                <w:id w:val="-117772912"/>
                <w:placeholder>
                  <w:docPart w:val="E8B7626A71E1B64AB957DAADD4528E61"/>
                </w:placeholder>
                <w:showingPlcHdr/>
                <w:text w:multiLine="true"/>
              </w:sdtPr>
              <w:sdtEndPr/>
              <w:sdtContent>
                <w:r w:rsidR="00856777">
                  <w:t xml:space="preserve"> </w:t>
                </w:r>
              </w:sdtContent>
            </w:sdt>
            <w:r>
              <w:t xml:space="preserve"> </w:t>
            </w:r>
          </w:p>
        </w:tc>
      </w:tr>
      <w:tr w:rsidR="00251EE4" w:rsidTr="00AC2B81">
        <w:trPr>
          <w:trHeight w:val="284"/>
        </w:trPr>
        <w:tc>
          <w:tcPr>
            <w:tcW w:w="1669" w:type="pct"/>
          </w:tcPr>
          <w:p w:rsidRPr="00EF4519" w:rsidR="00251EE4" w:rsidP="00E827DB" w:rsidRDefault="00277342">
            <w:r>
              <w:t xml:space="preserve"> </w:t>
            </w:r>
            <w:r w:rsidR="003F31CE">
              <w:t>Court or</w:t>
            </w:r>
            <w:r w:rsidRPr="00EF4519" w:rsidR="00ED3424">
              <w:t xml:space="preserve"> Tribunal:</w:t>
            </w:r>
            <w:r w:rsidRPr="00EF4519" w:rsidR="00B914EB">
              <w:t xml:space="preserve"> </w:t>
            </w:r>
          </w:p>
        </w:tc>
        <w:sdt>
          <w:sdtPr>
            <w:alias w:val="Court/Tribunal"/>
            <w:tag w:val="aCourt"/>
            <w:id w:val="816004220"/>
            <w:placeholder>
              <w:docPart w:val="2287E3D7A5999C449F68774214E87459"/>
            </w:placeholder>
            <w:text w:multiLine="true"/>
          </w:sdtPr>
          <w:sdtEndPr/>
          <w:sdtContent>
            <w:tc>
              <w:tcPr>
                <w:tcW w:w="3331" w:type="pct"/>
              </w:tcPr>
              <w:p w:rsidR="00251EE4" w:rsidP="008F3D40" w:rsidRDefault="008F3D40">
                <w:r>
                  <w:t xml:space="preserve">Land and Environment Court</w:t>
                </w:r>
              </w:p>
            </w:tc>
          </w:sdtContent>
        </w:sdt>
      </w:tr>
      <w:tr w:rsidR="00831DA1" w:rsidTr="00AC2B81">
        <w:trPr>
          <w:trHeight w:val="284"/>
        </w:trPr>
        <w:tc>
          <w:tcPr>
            <w:tcW w:w="1669" w:type="pct"/>
          </w:tcPr>
          <w:p w:rsidRPr="00EF4519" w:rsidR="00831DA1" w:rsidP="00E827DB" w:rsidRDefault="00831DA1">
            <w:r>
              <w:t xml:space="preserve">  </w:t>
            </w:r>
            <w:r w:rsidRPr="00EF4519" w:rsidR="000A6DFA">
              <w:t>Jurisdiction</w:t>
            </w:r>
            <w:r w:rsidRPr="00EF4519">
              <w:t>:</w:t>
            </w:r>
            <w:r w:rsidRPr="00EF4519" w:rsidR="00B914EB">
              <w:t xml:space="preserve"> </w:t>
            </w:r>
          </w:p>
        </w:tc>
        <w:sdt>
          <w:sdtPr>
            <w:alias w:val="Jurisdiction"/>
            <w:tag w:val="aJurisdiction"/>
            <w:id w:val="-1888862537"/>
            <w:placeholder>
              <w:docPart w:val="2287E3D7A5999C449F68774214E87459"/>
            </w:placeholder>
            <w:text w:multiLine="true"/>
          </w:sdtPr>
          <w:sdtEndPr/>
          <w:sdtContent>
            <w:tc>
              <w:tcPr>
                <w:tcW w:w="3331" w:type="pct"/>
              </w:tcPr>
              <w:p w:rsidR="00831DA1" w:rsidP="008F3D40" w:rsidRDefault="008F3D40">
                <w:r>
                  <w:t xml:space="preserve">Class 4</w:t>
                </w:r>
              </w:p>
            </w:tc>
          </w:sdtContent>
        </w:sdt>
      </w:tr>
      <w:tr w:rsidR="00162707" w:rsidTr="00AC2B81">
        <w:trPr>
          <w:trHeight w:val="284"/>
        </w:trPr>
        <w:tc>
          <w:tcPr>
            <w:tcW w:w="1669" w:type="pct"/>
          </w:tcPr>
          <w:p w:rsidRPr="00EF4519" w:rsidR="00162707" w:rsidP="00E827DB" w:rsidRDefault="00162707">
            <w:r>
              <w:t xml:space="preserve">  Citation:</w:t>
            </w:r>
            <w:r w:rsidRPr="00EF4519" w:rsidR="00B914EB">
              <w:t xml:space="preserve"> </w:t>
            </w:r>
          </w:p>
        </w:tc>
        <w:tc>
          <w:tcPr>
            <w:tcW w:w="3331" w:type="pct"/>
          </w:tcPr>
          <w:p w:rsidR="00162707" w:rsidP="00856777" w:rsidRDefault="00882F5B">
            <w:sdt>
              <w:sdtPr>
                <w:alias w:val="Appeal Citation"/>
                <w:tag w:val="aCitation"/>
                <w:id w:val="2091963108"/>
                <w:placeholder>
                  <w:docPart w:val="217D38CADD01B94283F7C310F9E5BE50"/>
                </w:placeholder>
                <w:showingPlcHdr/>
                <w:text w:multiLine="true"/>
              </w:sdtPr>
              <w:sdtEndPr/>
              <w:sdtContent>
                <w:r>
                  <w:t xml:space="preserve">[2023] NSWLEC 117</w:t>
                </w:r>
              </w:sdtContent>
            </w:sdt>
          </w:p>
        </w:tc>
      </w:tr>
      <w:tr w:rsidR="00251EE4" w:rsidTr="00AC2B81">
        <w:trPr>
          <w:trHeight w:val="334"/>
        </w:trPr>
        <w:tc>
          <w:tcPr>
            <w:tcW w:w="1669" w:type="pct"/>
          </w:tcPr>
          <w:p w:rsidRPr="00EF4519" w:rsidR="00251EE4" w:rsidP="00E827DB" w:rsidRDefault="00277342">
            <w:r>
              <w:t xml:space="preserve">  </w:t>
            </w:r>
            <w:r w:rsidRPr="00EF4519" w:rsidR="004930AF">
              <w:t>Date of Decision:</w:t>
            </w:r>
            <w:r w:rsidRPr="00EF4519" w:rsidR="00B914EB">
              <w:t xml:space="preserve"> </w:t>
            </w:r>
          </w:p>
        </w:tc>
        <w:tc>
          <w:tcPr>
            <w:tcW w:w="3331" w:type="pct"/>
          </w:tcPr>
          <w:p w:rsidR="00251EE4" w:rsidP="00856777" w:rsidRDefault="00882F5B">
            <w:sdt>
              <w:sdtPr>
                <w:alias w:val="Date of Decision"/>
                <w:tag w:val="aDecisionDate"/>
                <w:id w:val="-1542505353"/>
                <w:placeholder>
                  <w:docPart w:val="2FBB1D739F997A4C9851874ABC8B0AC1"/>
                </w:placeholder>
                <w:showingPlcHdr/>
                <w:date>
                  <w:dateFormat w:val="d MMMM yyyy"/>
                  <w:lid w:val="en-AU"/>
                  <w:storeMappedDataAs w:val="dateTime"/>
                  <w:calendar w:val="gregorian"/>
                </w:date>
              </w:sdtPr>
              <w:sdtEndPr/>
              <w:sdtContent>
                <w:r>
                  <w:t xml:space="preserve">2 November 2023</w:t>
                </w:r>
              </w:sdtContent>
            </w:sdt>
          </w:p>
        </w:tc>
      </w:tr>
      <w:tr w:rsidR="00251EE4" w:rsidTr="00AC2B81">
        <w:trPr>
          <w:trHeight w:val="384"/>
        </w:trPr>
        <w:tc>
          <w:tcPr>
            <w:tcW w:w="1669" w:type="pct"/>
          </w:tcPr>
          <w:p w:rsidRPr="00EF4519" w:rsidR="00251EE4" w:rsidP="00E827DB" w:rsidRDefault="00277342">
            <w:r>
              <w:t xml:space="preserve">  </w:t>
            </w:r>
            <w:r w:rsidRPr="00EF4519" w:rsidR="00162707">
              <w:t>Before</w:t>
            </w:r>
            <w:r w:rsidRPr="00EF4519" w:rsidR="004930AF">
              <w:t>:</w:t>
            </w:r>
            <w:r w:rsidRPr="00EF4519" w:rsidR="00B914EB">
              <w:t xml:space="preserve"> </w:t>
            </w:r>
          </w:p>
        </w:tc>
        <w:tc>
          <w:tcPr>
            <w:tcW w:w="3331" w:type="pct"/>
          </w:tcPr>
          <w:p w:rsidR="00251EE4" w:rsidP="00F822F4" w:rsidRDefault="00882F5B">
            <w:sdt>
              <w:sdtPr>
                <w:alias w:val="Before"/>
                <w:tag w:val="aBefore"/>
                <w:id w:val="-1858493395"/>
                <w:placeholder>
                  <w:docPart w:val="F09835F13B8F9844838CACDD8B96763F"/>
                </w:placeholder>
                <w:showingPlcHdr/>
                <w:text w:multiLine="true"/>
              </w:sdtPr>
              <w:sdtEndPr/>
              <w:sdtContent>
                <w:r>
                  <w:t xml:space="preserve">Moore J</w:t>
                </w:r>
              </w:sdtContent>
            </w:sdt>
          </w:p>
        </w:tc>
      </w:tr>
      <w:tr w:rsidR="00251EE4" w:rsidTr="00AC2B81">
        <w:trPr>
          <w:trHeight w:val="1015"/>
        </w:trPr>
        <w:tc>
          <w:tcPr>
            <w:tcW w:w="1669" w:type="pct"/>
          </w:tcPr>
          <w:p w:rsidRPr="00EF4519" w:rsidR="00251EE4" w:rsidP="00E827DB" w:rsidRDefault="00277342">
            <w:r>
              <w:t xml:space="preserve">  </w:t>
            </w:r>
            <w:r w:rsidRPr="00EF4519" w:rsidR="004930AF">
              <w:t>File Number</w:t>
            </w:r>
            <w:r w:rsidRPr="00EF4519" w:rsidR="00201CA2">
              <w:t>(s)</w:t>
            </w:r>
            <w:r w:rsidRPr="00EF4519" w:rsidR="004930AF">
              <w:t>:</w:t>
            </w:r>
            <w:r w:rsidRPr="00EF4519" w:rsidR="00B914EB">
              <w:t xml:space="preserve"> </w:t>
            </w:r>
          </w:p>
        </w:tc>
        <w:tc>
          <w:tcPr>
            <w:tcW w:w="3331" w:type="pct"/>
          </w:tcPr>
          <w:p w:rsidR="00251EE4" w:rsidP="00856777" w:rsidRDefault="00882F5B">
            <w:sdt>
              <w:sdtPr>
                <w:alias w:val="File Numbers"/>
                <w:tag w:val="aFileNumbers"/>
                <w:id w:val="1129205698"/>
                <w:placeholder>
                  <w:docPart w:val="4D4B4D2BC735494E88685FCB1B11F7E2"/>
                </w:placeholder>
                <w:showingPlcHdr/>
                <w:text w:multiLine="true"/>
              </w:sdtPr>
              <w:sdtEndPr/>
              <w:sdtContent>
                <w:r>
                  <w:t xml:space="preserve">2021/00292505</w:t>
                </w:r>
              </w:sdtContent>
            </w:sdt>
          </w:p>
        </w:tc>
      </w:tr>
    </w:tbl>
    <w:p/>
    <w:p w:rsidRPr="00EF40A6" w:rsidR="00F22B5D" w:rsidP="00575582" w:rsidRDefault="00A2002E">
      <w:pPr>
        <w:shd w:val="clear" w:color="auto" w:fill="FFFFFF"/>
        <w:spacing w:after="0" w:line="240" w:lineRule="auto"/>
        <w:rPr>
          <w:rFonts w:cs="Arial"/>
          <w:i/>
          <w:iCs/>
          <w:color w:val="333333"/>
          <w:shd w:val="clear" w:color="auto" w:fill="FFFFFF"/>
        </w:rPr>
      </w:pPr>
      <w:r w:rsidRPr="00EF40A6">
        <w:rPr>
          <w:rStyle w:val="Emphasis"/>
          <w:rFonts w:cs="Arial"/>
          <w:color w:val="333333"/>
          <w:shd w:val="clear" w:color="auto" w:fill="FFFFFF"/>
        </w:rPr>
        <w:t>[Note: The Uniform Civil Procedure Rules 2005 provide (Rule 36.11) that unless the Court otherwise orders, a judgment or order is taken to be entered when it is recorded in the Court's computerised court record system. Setting aside and variation of judgments or orders is dealt with by Rules 36.15, 36.16, 36.17 and 36.18. Parties should in particular note the time limit of fourteen days in Rule 36.16.]</w:t>
      </w:r>
    </w:p>
    <w:p/>
    <w:p>
      <w:pPr>
        <w:pStyle w:val="CaselawHeading1"/>
        <w:keepNext/>
        <w:spacing w:before="150" w:after="150" w:line="264"/>
        <w:ind w:left="0"/>
      </w:pPr>
      <w:r>
        <w:rPr>
          <w:rFonts w:ascii="Arial"/>
        </w:rPr>
        <w:t>HEADNOTE</w:t>
      </w:r>
    </w:p>
    <w:p>
      <w:pPr>
        <w:pStyle w:val="CaselawNormal"/>
        <w:spacing w:before="150" w:after="150"/>
        <w:ind w:left="600"/>
        <w:jc w:val="left"/>
      </w:pPr>
      <w:r>
        <w:rPr>
          <w:rFonts w:ascii="Arial"/>
          <w:b/>
          <w:color w:val="000000"/>
          <w:sz w:val="24"/>
        </w:rPr>
        <w:t>[This headnote is not to be read as part of the judgment]</w:t>
      </w:r>
    </w:p>
    <w:p>
      <w:pPr>
        <w:pStyle w:val="CaselawNormal"/>
        <w:spacing w:before="150" w:after="150"/>
        <w:ind w:left="600"/>
        <w:jc w:val="left"/>
      </w:pPr>
      <w:r>
        <w:rPr>
          <w:rFonts w:ascii="Arial"/>
          <w:color w:val="000000"/>
          <w:sz w:val="24"/>
        </w:rPr>
        <w:t xml:space="preserve">Willoughby Local Planning Panel (Panel), on behalf of Willoughby City Council (Council), granted development consent to Helm Pty Ltd (Helm) for the adaptive reuse of an existing commercial building, including the erection of an additional level and the change of use to ground level business premises, with 14 apartments above (the development) at 131 Sailors Bay Road, Northbridge (the land). Mr </w:t>
      </w:r>
      <w:r>
        <w:rPr>
          <w:rFonts w:ascii="Arial"/>
          <w:color w:val="000000"/>
          <w:sz w:val="24"/>
        </w:rPr>
        <w:t>Lahoud</w:t>
      </w:r>
      <w:r>
        <w:rPr>
          <w:rFonts w:ascii="Arial"/>
          <w:color w:val="000000"/>
          <w:sz w:val="24"/>
        </w:rPr>
        <w:t xml:space="preserve"> brought judicial review proceedings in the Land and Environment Court challenging the development consent, which were heard and determined by Moore J (the primary judge). The primary judge dismissed the proceedings and ordered Mr </w:t>
      </w:r>
      <w:r>
        <w:rPr>
          <w:rFonts w:ascii="Arial"/>
          <w:color w:val="000000"/>
          <w:sz w:val="24"/>
        </w:rPr>
        <w:t>Lahoud</w:t>
      </w:r>
      <w:r>
        <w:rPr>
          <w:rFonts w:ascii="Arial"/>
          <w:color w:val="000000"/>
          <w:sz w:val="24"/>
        </w:rPr>
        <w:t xml:space="preserve"> to pay 80% of Helm’s costs of the proceedings.</w:t>
      </w:r>
    </w:p>
    <w:p>
      <w:pPr>
        <w:pStyle w:val="CaselawNormal"/>
        <w:spacing w:before="150" w:after="150"/>
        <w:ind w:left="600"/>
        <w:jc w:val="left"/>
      </w:pPr>
      <w:r>
        <w:rPr>
          <w:rFonts w:ascii="Arial"/>
          <w:color w:val="000000"/>
          <w:sz w:val="24"/>
        </w:rPr>
        <w:t xml:space="preserve">Mr </w:t>
      </w:r>
      <w:r>
        <w:rPr>
          <w:rFonts w:ascii="Arial"/>
          <w:color w:val="000000"/>
          <w:sz w:val="24"/>
        </w:rPr>
        <w:t>Lahoud</w:t>
      </w:r>
      <w:r>
        <w:rPr>
          <w:rFonts w:ascii="Arial"/>
          <w:color w:val="000000"/>
          <w:sz w:val="24"/>
        </w:rPr>
        <w:t xml:space="preserve"> appealed against the primary judge’s decision and orders under </w:t>
      </w:r>
      <w:r>
        <w:rPr>
          <w:rFonts w:ascii="Arial"/>
          <w:color w:val="000000"/>
          <w:sz w:val="24"/>
        </w:rPr>
        <w:t xml:space="preserve">s 58 of the </w:t>
      </w:r>
      <w:r>
        <w:rPr>
          <w:rFonts w:ascii="Arial"/>
          <w:i/>
          <w:color w:val="000000"/>
          <w:sz w:val="24"/>
        </w:rPr>
        <w:t>Land and Environment Court Act 1979</w:t>
      </w:r>
      <w:r>
        <w:rPr>
          <w:rFonts w:ascii="Arial"/>
          <w:color w:val="000000"/>
          <w:sz w:val="24"/>
        </w:rPr>
        <w:t xml:space="preserve"> (NSW) (Court Act). Mr </w:t>
      </w:r>
      <w:r>
        <w:rPr>
          <w:rFonts w:ascii="Arial"/>
          <w:color w:val="000000"/>
          <w:sz w:val="24"/>
        </w:rPr>
        <w:t>Lahoud’s</w:t>
      </w:r>
      <w:r>
        <w:rPr>
          <w:rFonts w:ascii="Arial"/>
          <w:color w:val="000000"/>
          <w:sz w:val="24"/>
        </w:rPr>
        <w:t xml:space="preserve"> 12 grounds of appeal can be grouped in four categories:</w:t>
      </w:r>
    </w:p>
    <w:p>
      <w:pPr>
        <w:pStyle w:val="CaselawNormal"/>
        <w:spacing w:before="150" w:after="150"/>
        <w:ind w:left="600"/>
        <w:jc w:val="left"/>
      </w:pPr>
      <w:r>
        <w:rPr>
          <w:rFonts w:ascii="Arial"/>
          <w:color w:val="000000"/>
          <w:sz w:val="24"/>
        </w:rPr>
        <w:t>(a)  the Panel’s failure to be satisfied under cl 4.6 of Willoughby Local Environmental Plan 2012 (WLEP) before granting development consent to the development that contravened the height standard under cl 4.3 of WLEP (the height standard grounds</w:t>
      </w:r>
      <w:r>
        <w:rPr>
          <w:rFonts w:ascii="Arial"/>
          <w:color w:val="000000"/>
          <w:sz w:val="24"/>
        </w:rPr>
        <w:t>);</w:t>
      </w:r>
    </w:p>
    <w:p>
      <w:pPr>
        <w:pStyle w:val="CaselawNormal"/>
        <w:spacing w:before="150" w:after="150"/>
        <w:ind w:left="600"/>
        <w:jc w:val="left"/>
      </w:pPr>
      <w:r>
        <w:rPr>
          <w:rFonts w:ascii="Arial"/>
          <w:color w:val="000000"/>
          <w:sz w:val="24"/>
        </w:rPr>
        <w:t>(b)  the Panel’s satisfaction that the development will have an active street frontage, contrary to cl 6.7(3) of WLEP (the active street frontage ground</w:t>
      </w:r>
      <w:r>
        <w:rPr>
          <w:rFonts w:ascii="Arial"/>
          <w:color w:val="000000"/>
          <w:sz w:val="24"/>
        </w:rPr>
        <w:t>);</w:t>
      </w:r>
    </w:p>
    <w:p>
      <w:pPr>
        <w:pStyle w:val="CaselawNormal"/>
        <w:spacing w:before="150" w:after="150"/>
        <w:ind w:left="600"/>
        <w:jc w:val="left"/>
      </w:pPr>
      <w:r>
        <w:rPr>
          <w:rFonts w:ascii="Arial"/>
          <w:color w:val="000000"/>
          <w:sz w:val="24"/>
        </w:rPr>
        <w:t>(c)  the Panel’s acceptance of the development being for the permissible use of shop top housing (the shop top housing grounds); and</w:t>
      </w:r>
    </w:p>
    <w:p>
      <w:pPr>
        <w:pStyle w:val="CaselawNormal"/>
        <w:spacing w:before="150" w:after="150"/>
        <w:ind w:left="600"/>
        <w:jc w:val="left"/>
      </w:pPr>
      <w:r>
        <w:rPr>
          <w:rFonts w:ascii="Arial"/>
          <w:color w:val="000000"/>
          <w:sz w:val="24"/>
        </w:rPr>
        <w:t>(d)  the Panel’s failure to consider contamination matters under cl 7 of State Environmental Planning Policy 55 – Remediation of Land (SEPP 55) (the contamination grounds).</w:t>
      </w:r>
    </w:p>
    <w:p>
      <w:pPr>
        <w:pStyle w:val="CaselawNormal"/>
        <w:spacing w:before="150" w:after="150"/>
        <w:ind w:left="600"/>
        <w:jc w:val="left"/>
      </w:pPr>
      <w:r>
        <w:rPr>
          <w:rFonts w:ascii="Arial"/>
          <w:color w:val="000000"/>
          <w:sz w:val="24"/>
        </w:rPr>
        <w:t>Helm raised five contentions in its notice of contention:</w:t>
      </w:r>
    </w:p>
    <w:p>
      <w:pPr>
        <w:pStyle w:val="CaselawNormal"/>
        <w:spacing w:before="150" w:after="150"/>
        <w:ind w:left="600"/>
        <w:jc w:val="left"/>
      </w:pPr>
      <w:r>
        <w:rPr>
          <w:rFonts w:ascii="Arial"/>
          <w:color w:val="000000"/>
          <w:sz w:val="24"/>
        </w:rPr>
        <w:t>(a)  the primary judge should have found that the validity of the Panel’s decision was not capable of being challenged because the proceedings were not commenced within time (contention 1</w:t>
      </w:r>
      <w:r>
        <w:rPr>
          <w:rFonts w:ascii="Arial"/>
          <w:color w:val="000000"/>
          <w:sz w:val="24"/>
        </w:rPr>
        <w:t>);</w:t>
      </w:r>
    </w:p>
    <w:p>
      <w:pPr>
        <w:pStyle w:val="CaselawNormal"/>
        <w:spacing w:before="150" w:after="150"/>
        <w:ind w:left="600"/>
        <w:jc w:val="left"/>
      </w:pPr>
      <w:r>
        <w:rPr>
          <w:rFonts w:ascii="Arial"/>
          <w:color w:val="000000"/>
          <w:sz w:val="24"/>
        </w:rPr>
        <w:t xml:space="preserve">(b)  the primary judge should have dismissed the height standard ground on the basis that Mr </w:t>
      </w:r>
      <w:r>
        <w:rPr>
          <w:rFonts w:ascii="Arial"/>
          <w:color w:val="000000"/>
          <w:sz w:val="24"/>
        </w:rPr>
        <w:t>Lahoud</w:t>
      </w:r>
      <w:r>
        <w:rPr>
          <w:rFonts w:ascii="Arial"/>
          <w:color w:val="000000"/>
          <w:sz w:val="24"/>
        </w:rPr>
        <w:t xml:space="preserve"> failed to establish that the Panel’s decision was affected by the jurisdictional errors alleged (contention 2</w:t>
      </w:r>
      <w:r>
        <w:rPr>
          <w:rFonts w:ascii="Arial"/>
          <w:color w:val="000000"/>
          <w:sz w:val="24"/>
        </w:rPr>
        <w:t>);</w:t>
      </w:r>
    </w:p>
    <w:p>
      <w:pPr>
        <w:pStyle w:val="CaselawNormal"/>
        <w:spacing w:before="150" w:after="150"/>
        <w:ind w:left="600"/>
        <w:jc w:val="left"/>
      </w:pPr>
      <w:r>
        <w:rPr>
          <w:rFonts w:ascii="Arial"/>
          <w:color w:val="000000"/>
          <w:sz w:val="24"/>
        </w:rPr>
        <w:t xml:space="preserve">(c)  the primary judge should have dismissed the active street frontage ground on the basis that Mr </w:t>
      </w:r>
      <w:r>
        <w:rPr>
          <w:rFonts w:ascii="Arial"/>
          <w:color w:val="000000"/>
          <w:sz w:val="24"/>
        </w:rPr>
        <w:t>Lahoud</w:t>
      </w:r>
      <w:r>
        <w:rPr>
          <w:rFonts w:ascii="Arial"/>
          <w:color w:val="000000"/>
          <w:sz w:val="24"/>
        </w:rPr>
        <w:t xml:space="preserve"> failed to establish that the Panel’s decision was affected by the jurisdictional errors alleged (contention 3</w:t>
      </w:r>
      <w:r>
        <w:rPr>
          <w:rFonts w:ascii="Arial"/>
          <w:color w:val="000000"/>
          <w:sz w:val="24"/>
        </w:rPr>
        <w:t>);</w:t>
      </w:r>
    </w:p>
    <w:p>
      <w:pPr>
        <w:pStyle w:val="CaselawNormal"/>
        <w:spacing w:before="150" w:after="150"/>
        <w:ind w:left="600"/>
        <w:jc w:val="left"/>
      </w:pPr>
      <w:r>
        <w:rPr>
          <w:rFonts w:ascii="Arial"/>
          <w:color w:val="000000"/>
          <w:sz w:val="24"/>
        </w:rPr>
        <w:t xml:space="preserve">(d)  the primary judge should have dismissed the contamination grounds on the basis that Mr </w:t>
      </w:r>
      <w:r>
        <w:rPr>
          <w:rFonts w:ascii="Arial"/>
          <w:color w:val="000000"/>
          <w:sz w:val="24"/>
        </w:rPr>
        <w:t>Lahoud</w:t>
      </w:r>
      <w:r>
        <w:rPr>
          <w:rFonts w:ascii="Arial"/>
          <w:color w:val="000000"/>
          <w:sz w:val="24"/>
        </w:rPr>
        <w:t xml:space="preserve"> failed to establish that the decision was affected by the jurisdictional errors alleged (contention 4); and</w:t>
      </w:r>
    </w:p>
    <w:p>
      <w:pPr>
        <w:pStyle w:val="CaselawNormal"/>
        <w:spacing w:before="150" w:after="150"/>
        <w:ind w:left="600"/>
        <w:jc w:val="left"/>
      </w:pPr>
      <w:r>
        <w:rPr>
          <w:rFonts w:ascii="Arial"/>
          <w:color w:val="000000"/>
          <w:sz w:val="24"/>
        </w:rPr>
        <w:t>(e)  the primary judge should have considered Helm’s contention that even if the Panel’s decision was affected by jurisdictional error, the Court could make an order suspending the operation of the development consent and specifying the terms that could validate the consent pursuant to s 25B of the Court Act (contention 5).</w:t>
      </w:r>
    </w:p>
    <w:p>
      <w:pPr>
        <w:pStyle w:val="CaselawNormal"/>
        <w:spacing w:before="150" w:after="150"/>
        <w:ind w:left="600"/>
        <w:jc w:val="left"/>
      </w:pPr>
      <w:r>
        <w:rPr>
          <w:rFonts w:ascii="Arial"/>
          <w:b/>
          <w:color w:val="000000"/>
          <w:sz w:val="24"/>
        </w:rPr>
        <w:t xml:space="preserve">The Court held (Preston CJ of LEC, Meagher JA and Leeming JA agreeing): </w:t>
      </w:r>
    </w:p>
    <w:p>
      <w:pPr>
        <w:pStyle w:val="CaselawNormal"/>
        <w:spacing w:before="150" w:after="150"/>
        <w:ind w:left="600"/>
        <w:jc w:val="left"/>
      </w:pPr>
      <w:r>
        <w:rPr>
          <w:rFonts w:ascii="Arial"/>
          <w:i/>
          <w:color w:val="000000"/>
          <w:sz w:val="24"/>
        </w:rPr>
        <w:t>The height standard grounds</w:t>
      </w:r>
    </w:p>
    <w:p>
      <w:pPr>
        <w:pStyle w:val="CaselawNormal"/>
        <w:spacing w:before="150" w:after="150"/>
        <w:ind w:left="600"/>
        <w:jc w:val="left"/>
      </w:pPr>
      <w:r>
        <w:rPr>
          <w:rFonts w:ascii="Arial"/>
          <w:color w:val="000000"/>
          <w:sz w:val="24"/>
        </w:rPr>
        <w:t>(1)  The height standard grounds of appeal are based on incorrect assumptions of the statutory scheme. On a correct understanding of the statutory scheme, the height standard grounds of appeal can be seen to be unfounded: at [26], [31], [36], [38].</w:t>
      </w:r>
    </w:p>
    <w:p>
      <w:pPr>
        <w:pStyle w:val="CaselawNormal"/>
        <w:spacing w:before="150" w:after="150"/>
        <w:ind w:left="600"/>
        <w:jc w:val="left"/>
      </w:pPr>
      <w:r>
        <w:rPr>
          <w:rFonts w:ascii="Arial"/>
          <w:color w:val="000000"/>
          <w:sz w:val="24"/>
        </w:rPr>
        <w:t xml:space="preserve">(2)  The development as required to be amended by the conditions of consent was the development for which development consent was granted. The grant of development consent to this amended development was within the power under s 4.16(1) as enabled by s 4.16(4) of the </w:t>
      </w:r>
      <w:r>
        <w:rPr>
          <w:rFonts w:ascii="Arial"/>
          <w:i/>
          <w:color w:val="000000"/>
          <w:sz w:val="24"/>
        </w:rPr>
        <w:t>Environmental Planning and Assessment Act 1979</w:t>
      </w:r>
      <w:r>
        <w:rPr>
          <w:rFonts w:ascii="Arial"/>
          <w:color w:val="000000"/>
          <w:sz w:val="24"/>
        </w:rPr>
        <w:t xml:space="preserve"> </w:t>
      </w:r>
      <w:r>
        <w:rPr>
          <w:rFonts w:ascii="Arial"/>
          <w:color w:val="000000"/>
          <w:sz w:val="24"/>
        </w:rPr>
        <w:t>(NSW) (EPA Act): at [39]. The Panel was satisfied under cl 4.6 of the WLEP with respect to this amended development: at [38].</w:t>
      </w:r>
    </w:p>
    <w:p>
      <w:pPr>
        <w:pStyle w:val="CaselawNormal"/>
        <w:spacing w:before="150" w:after="150"/>
        <w:ind w:left="600"/>
        <w:jc w:val="left"/>
      </w:pPr>
      <w:r>
        <w:rPr>
          <w:rFonts w:ascii="Arial"/>
          <w:color w:val="000000"/>
          <w:sz w:val="24"/>
        </w:rPr>
        <w:t>(3)  The power to determine the development application by granting consent subject to conditions was in s 4.16(1). The primary judge's finding that the Panel had exercised the power in s 4.16(1) in the way permitted by s</w:t>
      </w:r>
      <w:r>
        <w:rPr>
          <w:rFonts w:ascii="Arial"/>
          <w:color w:val="000000"/>
          <w:sz w:val="24"/>
        </w:rPr>
        <w:t xml:space="preserve"> 4.16(4)(b) did not raise a new issue in respect of which notice needed to be given to the parties and an opportunity afforded for them to be heard. There was no denial of procedural fairness in the primary judge identifying how the power in s 4.16(1) was exercised by the Panel: at [40]. </w:t>
      </w:r>
    </w:p>
    <w:p>
      <w:pPr>
        <w:pStyle w:val="CaselawNormal"/>
        <w:spacing w:before="150" w:after="150"/>
        <w:ind w:left="600"/>
        <w:jc w:val="left"/>
      </w:pPr>
      <w:r>
        <w:rPr>
          <w:rFonts w:ascii="Arial"/>
          <w:i/>
          <w:color w:val="000000"/>
          <w:sz w:val="24"/>
        </w:rPr>
        <w:t>The active street frontage ground</w:t>
      </w:r>
    </w:p>
    <w:p>
      <w:pPr>
        <w:pStyle w:val="CaselawNormal"/>
        <w:spacing w:before="150" w:after="150"/>
        <w:ind w:left="600"/>
        <w:jc w:val="left"/>
      </w:pPr>
      <w:r>
        <w:rPr>
          <w:rFonts w:ascii="Arial"/>
          <w:color w:val="000000"/>
          <w:sz w:val="24"/>
        </w:rPr>
        <w:t>(4)  The question of whether the building as proposed to be redeveloped will be a building that has an active street frontage within the statutory description was not a jurisdictional fact: at [60]. The Panel</w:t>
      </w:r>
      <w:r>
        <w:rPr>
          <w:rFonts w:ascii="Arial"/>
          <w:color w:val="000000"/>
          <w:sz w:val="24"/>
        </w:rPr>
        <w:t>’</w:t>
      </w:r>
      <w:r>
        <w:rPr>
          <w:rFonts w:ascii="Arial"/>
          <w:color w:val="000000"/>
          <w:sz w:val="24"/>
        </w:rPr>
        <w:t xml:space="preserve">s conclusion, that the building fell within the statutory description, was reasonably open to the Panel: at [67]. No jurisdictional error was involved: at [68]. </w:t>
      </w:r>
    </w:p>
    <w:p>
      <w:pPr>
        <w:pStyle w:val="CaselawNormal"/>
        <w:spacing w:before="150" w:after="150"/>
        <w:ind w:left="600"/>
        <w:jc w:val="left"/>
      </w:pPr>
      <w:r>
        <w:rPr>
          <w:rFonts w:ascii="Arial"/>
          <w:i/>
          <w:color w:val="000000"/>
          <w:sz w:val="24"/>
        </w:rPr>
        <w:t>The shop top housing grounds</w:t>
      </w:r>
    </w:p>
    <w:p>
      <w:pPr>
        <w:pStyle w:val="CaselawNormal"/>
        <w:spacing w:before="150" w:after="150"/>
        <w:ind w:left="600"/>
        <w:jc w:val="left"/>
      </w:pPr>
      <w:r>
        <w:rPr>
          <w:rFonts w:ascii="Arial"/>
          <w:color w:val="000000"/>
          <w:sz w:val="24"/>
        </w:rPr>
        <w:t>(5)  The appellant</w:t>
      </w:r>
      <w:r>
        <w:rPr>
          <w:rFonts w:ascii="Arial"/>
          <w:color w:val="000000"/>
          <w:sz w:val="24"/>
        </w:rPr>
        <w:t>’</w:t>
      </w:r>
      <w:r>
        <w:rPr>
          <w:rFonts w:ascii="Arial"/>
          <w:color w:val="000000"/>
          <w:sz w:val="24"/>
        </w:rPr>
        <w:t xml:space="preserve">s argument was based on two incorrect interpretations of the definition of </w:t>
      </w:r>
      <w:r>
        <w:rPr>
          <w:rFonts w:ascii="Arial"/>
          <w:color w:val="000000"/>
          <w:sz w:val="24"/>
        </w:rPr>
        <w:t>“</w:t>
      </w:r>
      <w:r>
        <w:rPr>
          <w:rFonts w:ascii="Arial"/>
          <w:color w:val="000000"/>
          <w:sz w:val="24"/>
        </w:rPr>
        <w:t>shop top housing.</w:t>
      </w:r>
      <w:r>
        <w:rPr>
          <w:rFonts w:ascii="Arial"/>
          <w:color w:val="000000"/>
          <w:sz w:val="24"/>
        </w:rPr>
        <w:t xml:space="preserve">” </w:t>
      </w:r>
      <w:r>
        <w:rPr>
          <w:rFonts w:ascii="Arial"/>
          <w:color w:val="000000"/>
          <w:sz w:val="24"/>
        </w:rPr>
        <w:t xml:space="preserve">The first was that the phrase </w:t>
      </w:r>
      <w:r>
        <w:rPr>
          <w:rFonts w:ascii="Arial"/>
          <w:color w:val="000000"/>
          <w:sz w:val="24"/>
        </w:rPr>
        <w:t>“</w:t>
      </w:r>
      <w:r>
        <w:rPr>
          <w:rFonts w:ascii="Arial"/>
          <w:color w:val="000000"/>
          <w:sz w:val="24"/>
        </w:rPr>
        <w:t>ground floor retail premises or business premises</w:t>
      </w:r>
      <w:r>
        <w:rPr>
          <w:rFonts w:ascii="Arial"/>
          <w:color w:val="000000"/>
          <w:sz w:val="24"/>
        </w:rPr>
        <w:t xml:space="preserve">” </w:t>
      </w:r>
      <w:r>
        <w:rPr>
          <w:rFonts w:ascii="Arial"/>
          <w:color w:val="000000"/>
          <w:sz w:val="24"/>
        </w:rPr>
        <w:t xml:space="preserve">demands that the whole of the ground floor of the building be used for retail premises or business premises. The second was </w:t>
      </w:r>
      <w:r>
        <w:rPr>
          <w:rFonts w:ascii="Arial"/>
          <w:color w:val="000000"/>
          <w:sz w:val="24"/>
        </w:rPr>
        <w:t>the conflation of the definition</w:t>
      </w:r>
      <w:r>
        <w:rPr>
          <w:rFonts w:ascii="Arial"/>
          <w:color w:val="000000"/>
          <w:sz w:val="24"/>
        </w:rPr>
        <w:t>’</w:t>
      </w:r>
      <w:r>
        <w:rPr>
          <w:rFonts w:ascii="Arial"/>
          <w:color w:val="000000"/>
          <w:sz w:val="24"/>
        </w:rPr>
        <w:t xml:space="preserve">s use of the word </w:t>
      </w:r>
      <w:r>
        <w:rPr>
          <w:rFonts w:ascii="Arial"/>
          <w:color w:val="000000"/>
          <w:sz w:val="24"/>
        </w:rPr>
        <w:t>“</w:t>
      </w:r>
      <w:r>
        <w:rPr>
          <w:rFonts w:ascii="Arial"/>
          <w:color w:val="000000"/>
          <w:sz w:val="24"/>
        </w:rPr>
        <w:t>dwellings</w:t>
      </w:r>
      <w:r>
        <w:rPr>
          <w:rFonts w:ascii="Arial"/>
          <w:color w:val="000000"/>
          <w:sz w:val="24"/>
        </w:rPr>
        <w:t xml:space="preserve">” </w:t>
      </w:r>
      <w:r>
        <w:rPr>
          <w:rFonts w:ascii="Arial"/>
          <w:color w:val="000000"/>
          <w:sz w:val="24"/>
        </w:rPr>
        <w:t xml:space="preserve">with </w:t>
      </w:r>
      <w:r>
        <w:rPr>
          <w:rFonts w:ascii="Arial"/>
          <w:color w:val="000000"/>
          <w:sz w:val="24"/>
        </w:rPr>
        <w:t>“</w:t>
      </w:r>
      <w:r>
        <w:rPr>
          <w:rFonts w:ascii="Arial"/>
          <w:color w:val="000000"/>
          <w:sz w:val="24"/>
        </w:rPr>
        <w:t>residential use</w:t>
      </w:r>
      <w:r>
        <w:rPr>
          <w:rFonts w:ascii="Arial"/>
          <w:color w:val="000000"/>
          <w:sz w:val="24"/>
        </w:rPr>
        <w:t>”</w:t>
      </w:r>
      <w:r>
        <w:rPr>
          <w:rFonts w:ascii="Arial"/>
          <w:color w:val="000000"/>
          <w:sz w:val="24"/>
        </w:rPr>
        <w:t xml:space="preserve">. The proposed development can, on the correct construction of the definition of </w:t>
      </w:r>
      <w:r>
        <w:rPr>
          <w:rFonts w:ascii="Arial"/>
          <w:color w:val="000000"/>
          <w:sz w:val="24"/>
        </w:rPr>
        <w:t>“</w:t>
      </w:r>
      <w:r>
        <w:rPr>
          <w:rFonts w:ascii="Arial"/>
          <w:color w:val="000000"/>
          <w:sz w:val="24"/>
        </w:rPr>
        <w:t>shop top housing</w:t>
      </w:r>
      <w:r>
        <w:rPr>
          <w:rFonts w:ascii="Arial"/>
          <w:color w:val="000000"/>
          <w:sz w:val="24"/>
        </w:rPr>
        <w:t>”</w:t>
      </w:r>
      <w:r>
        <w:rPr>
          <w:rFonts w:ascii="Arial"/>
          <w:color w:val="000000"/>
          <w:sz w:val="24"/>
        </w:rPr>
        <w:t>, be characterised as being for shop top housing: at [78]-[81].</w:t>
      </w:r>
    </w:p>
    <w:p>
      <w:pPr>
        <w:pStyle w:val="CaselawNormal"/>
        <w:spacing w:before="150" w:after="150"/>
        <w:ind w:left="600"/>
        <w:jc w:val="left"/>
      </w:pPr>
      <w:r>
        <w:rPr>
          <w:rFonts w:ascii="Arial"/>
          <w:i/>
          <w:color w:val="000000"/>
          <w:sz w:val="24"/>
        </w:rPr>
        <w:t xml:space="preserve">The contamination </w:t>
      </w:r>
      <w:r>
        <w:rPr>
          <w:rFonts w:ascii="Arial"/>
          <w:i/>
          <w:color w:val="000000"/>
          <w:sz w:val="24"/>
        </w:rPr>
        <w:t>grounds</w:t>
      </w:r>
    </w:p>
    <w:p>
      <w:pPr>
        <w:pStyle w:val="CaselawNormal"/>
        <w:spacing w:before="150" w:after="150"/>
        <w:ind w:left="600"/>
        <w:jc w:val="left"/>
      </w:pPr>
      <w:r>
        <w:rPr>
          <w:rFonts w:ascii="Arial"/>
          <w:color w:val="000000"/>
          <w:sz w:val="24"/>
        </w:rPr>
        <w:t xml:space="preserve">(6)  The evidence did not support the conclusion that the Panel did not consider State Environmental Planning Policy 55 </w:t>
      </w:r>
      <w:r>
        <w:rPr>
          <w:rFonts w:ascii="Arial"/>
          <w:color w:val="000000"/>
          <w:sz w:val="24"/>
        </w:rPr>
        <w:t xml:space="preserve">– </w:t>
      </w:r>
      <w:r>
        <w:rPr>
          <w:rFonts w:ascii="Arial"/>
          <w:color w:val="000000"/>
          <w:sz w:val="24"/>
        </w:rPr>
        <w:t xml:space="preserve">Remediation of Land (SEPP 55) or cl 7(1) of that SEPP 55 as to whether the land is contaminated: at [105]. </w:t>
      </w:r>
    </w:p>
    <w:p>
      <w:pPr>
        <w:pStyle w:val="CaselawNormal"/>
        <w:spacing w:before="150" w:after="150"/>
        <w:ind w:left="600"/>
        <w:jc w:val="left"/>
      </w:pPr>
      <w:r>
        <w:rPr>
          <w:rFonts w:ascii="Arial"/>
          <w:color w:val="000000"/>
          <w:sz w:val="24"/>
        </w:rPr>
        <w:t xml:space="preserve">(7)  The appellant failed to discharge his onus of establishing that the land on which the development was proposed to be carried out was land specified in cl 7(4) of the SEPP 55, and therefore failed to establish that the Panel breached their obligation to consider contamination under cl 7(2): at [110], [115]. </w:t>
      </w:r>
    </w:p>
    <w:p>
      <w:pPr>
        <w:pStyle w:val="CaselawNormal"/>
        <w:spacing w:before="150" w:after="150"/>
        <w:ind w:left="600"/>
        <w:jc w:val="left"/>
      </w:pPr>
      <w:r>
        <w:rPr>
          <w:rFonts w:ascii="Arial"/>
          <w:i/>
          <w:color w:val="000000"/>
          <w:sz w:val="24"/>
        </w:rPr>
        <w:t>Whether proceedings were time-barred</w:t>
      </w:r>
    </w:p>
    <w:p>
      <w:pPr>
        <w:pStyle w:val="CaselawNormal"/>
        <w:spacing w:before="150" w:after="150"/>
        <w:ind w:left="600"/>
        <w:jc w:val="left"/>
      </w:pPr>
      <w:r>
        <w:rPr>
          <w:rFonts w:ascii="Arial"/>
          <w:color w:val="000000"/>
          <w:sz w:val="24"/>
        </w:rPr>
        <w:t>(8)  The notifications given by the Council on 30 June and 1 July 2021 were not notices for the purposes of s 4.59 of the EPA Act, as they were not given in accordance with the regulations or the EPA Act. Only the 15 July 2021 notice constituted a public notice for the purpose of s 4.59 of the EPA Act. Therefore, the proceedings were not time-barred: at [126]-[128].</w:t>
      </w:r>
    </w:p>
    <w:p>
      <w:pPr>
        <w:pStyle w:val="CaselawHeading1"/>
        <w:keepNext/>
        <w:spacing w:before="150" w:after="150" w:line="264"/>
        <w:ind w:left="0"/>
        <w:jc w:val="left"/>
      </w:pPr>
      <w:r>
        <w:rPr>
          <w:rFonts w:ascii="Arial"/>
        </w:rPr>
        <w:t>JUDGMENT</w:t>
      </w:r>
    </w:p>
    <w:p>
      <w:pPr>
        <w:pStyle w:val="CaselawNumbered10"/>
        <w:numPr>
          <w:ilvl w:val="0"/>
          <w:numId w:val="22"/>
        </w:numPr>
        <w:spacing w:before="150" w:after="0"/>
        <w:ind w:left="600" w:hanging="600"/>
      </w:pPr>
      <w:r>
        <w:rPr>
          <w:rFonts w:ascii="Arial"/>
          <w:b/>
          <w:color w:val="000000"/>
          <w:sz w:val="24"/>
        </w:rPr>
        <w:t>M</w:t>
      </w:r>
      <w:r>
        <w:rPr>
          <w:rFonts w:ascii="Arial"/>
          <w:b/>
          <w:color w:val="000000"/>
          <w:sz w:val="24"/>
        </w:rPr>
        <w:t>EAGHER</w:t>
      </w:r>
      <w:r>
        <w:rPr>
          <w:rFonts w:ascii="Arial"/>
          <w:b/>
          <w:color w:val="000000"/>
          <w:sz w:val="24"/>
        </w:rPr>
        <w:t xml:space="preserve"> JA</w:t>
      </w:r>
      <w:r>
        <w:rPr>
          <w:rFonts w:ascii="Arial"/>
          <w:color w:val="000000"/>
          <w:sz w:val="24"/>
        </w:rPr>
        <w:t>:</w:t>
      </w:r>
      <w:r>
        <w:rPr>
          <w:rFonts w:ascii="Arial"/>
          <w:color w:val="000000"/>
          <w:sz w:val="24"/>
        </w:rPr>
        <w:t xml:space="preserve"> </w:t>
      </w:r>
      <w:r>
        <w:rPr>
          <w:rFonts w:ascii="Arial"/>
          <w:color w:val="000000"/>
          <w:sz w:val="24"/>
        </w:rPr>
        <w:t xml:space="preserve">I agree with Preston CJ of LEC. </w:t>
      </w:r>
    </w:p>
    <w:p>
      <w:pPr>
        <w:pStyle w:val="CaselawNumbered10"/>
        <w:numPr>
          <w:ilvl w:val="0"/>
          <w:numId w:val="22"/>
        </w:numPr>
        <w:spacing w:before="150" w:after="0"/>
        <w:ind w:left="600" w:hanging="600"/>
      </w:pPr>
      <w:r>
        <w:rPr>
          <w:rFonts w:ascii="Arial"/>
          <w:b/>
          <w:color w:val="000000"/>
          <w:sz w:val="24"/>
        </w:rPr>
        <w:t>L</w:t>
      </w:r>
      <w:r>
        <w:rPr>
          <w:rFonts w:ascii="Arial"/>
          <w:b/>
          <w:color w:val="000000"/>
          <w:sz w:val="24"/>
        </w:rPr>
        <w:t>EEMING</w:t>
      </w:r>
      <w:r>
        <w:rPr>
          <w:rFonts w:ascii="Arial"/>
          <w:b/>
          <w:color w:val="000000"/>
          <w:sz w:val="24"/>
        </w:rPr>
        <w:t xml:space="preserve"> JA</w:t>
      </w:r>
      <w:r>
        <w:rPr>
          <w:rFonts w:ascii="Arial"/>
          <w:color w:val="000000"/>
          <w:sz w:val="24"/>
        </w:rPr>
        <w:t>:</w:t>
      </w:r>
      <w:r>
        <w:rPr>
          <w:rFonts w:ascii="Arial"/>
          <w:color w:val="000000"/>
          <w:sz w:val="24"/>
        </w:rPr>
        <w:t xml:space="preserve"> </w:t>
      </w:r>
      <w:r>
        <w:rPr>
          <w:rFonts w:ascii="Arial"/>
          <w:color w:val="000000"/>
          <w:sz w:val="24"/>
        </w:rPr>
        <w:t>I agree with Preston CJ of LEC.</w:t>
      </w:r>
    </w:p>
    <w:p>
      <w:pPr>
        <w:pStyle w:val="CaselawNumbered10"/>
        <w:numPr>
          <w:ilvl w:val="0"/>
          <w:numId w:val="22"/>
        </w:numPr>
        <w:spacing w:before="150" w:after="0"/>
        <w:ind w:left="600" w:hanging="600"/>
      </w:pPr>
      <w:r>
        <w:rPr>
          <w:rFonts w:ascii="Arial"/>
          <w:b/>
          <w:color w:val="000000"/>
          <w:sz w:val="24"/>
        </w:rPr>
        <w:t>PRESTON CJ of</w:t>
      </w:r>
      <w:r>
        <w:rPr>
          <w:rFonts w:ascii="Arial"/>
          <w:b/>
          <w:color w:val="000000"/>
          <w:sz w:val="24"/>
        </w:rPr>
        <w:t xml:space="preserve"> LEC</w:t>
      </w:r>
      <w:r>
        <w:rPr>
          <w:rFonts w:ascii="Arial"/>
          <w:color w:val="000000"/>
          <w:sz w:val="24"/>
        </w:rPr>
        <w:t xml:space="preserve">: </w:t>
      </w:r>
      <w:r>
        <w:rPr>
          <w:rFonts w:ascii="Arial"/>
          <w:color w:val="000000"/>
          <w:sz w:val="24"/>
        </w:rPr>
        <w:t xml:space="preserve">Mr Victor </w:t>
      </w:r>
      <w:r>
        <w:rPr>
          <w:rFonts w:ascii="Arial"/>
          <w:color w:val="000000"/>
          <w:sz w:val="24"/>
        </w:rPr>
        <w:t>Lahoud</w:t>
      </w:r>
      <w:r>
        <w:rPr>
          <w:rFonts w:ascii="Arial"/>
          <w:color w:val="000000"/>
          <w:sz w:val="24"/>
        </w:rPr>
        <w:t xml:space="preserve"> </w:t>
      </w:r>
      <w:r>
        <w:rPr>
          <w:rFonts w:ascii="Arial"/>
          <w:color w:val="000000"/>
          <w:sz w:val="24"/>
        </w:rPr>
        <w:t xml:space="preserve">brought judicial review proceedings in the Land and Environment Court challenging a development consent granted by Willoughby City Council (the Council) to Helm Pty Ltd (Helm) for the adaptive reuse of an existing commercial building including </w:t>
      </w:r>
      <w:r>
        <w:rPr>
          <w:rFonts w:ascii="Arial"/>
          <w:color w:val="000000"/>
          <w:sz w:val="24"/>
        </w:rPr>
        <w:t xml:space="preserve">the erection of </w:t>
      </w:r>
      <w:r>
        <w:rPr>
          <w:rFonts w:ascii="Arial"/>
          <w:color w:val="000000"/>
          <w:sz w:val="24"/>
        </w:rPr>
        <w:t xml:space="preserve">an additional level and </w:t>
      </w:r>
      <w:r>
        <w:rPr>
          <w:rFonts w:ascii="Arial"/>
          <w:color w:val="000000"/>
          <w:sz w:val="24"/>
        </w:rPr>
        <w:t xml:space="preserve">the </w:t>
      </w:r>
      <w:r>
        <w:rPr>
          <w:rFonts w:ascii="Arial"/>
          <w:color w:val="000000"/>
          <w:sz w:val="24"/>
        </w:rPr>
        <w:t xml:space="preserve">change of use to ground level business premises with 14 apartments above </w:t>
      </w:r>
      <w:r>
        <w:rPr>
          <w:rFonts w:ascii="Arial"/>
          <w:color w:val="000000"/>
          <w:sz w:val="24"/>
        </w:rPr>
        <w:t>(</w:t>
      </w:r>
      <w:r>
        <w:rPr>
          <w:rFonts w:ascii="Arial"/>
          <w:color w:val="000000"/>
          <w:sz w:val="24"/>
        </w:rPr>
        <w:t>the development</w:t>
      </w:r>
      <w:r>
        <w:rPr>
          <w:rFonts w:ascii="Arial"/>
          <w:color w:val="000000"/>
          <w:sz w:val="24"/>
        </w:rPr>
        <w:t>)</w:t>
      </w:r>
      <w:r>
        <w:rPr>
          <w:rFonts w:ascii="Arial"/>
          <w:color w:val="000000"/>
          <w:sz w:val="24"/>
        </w:rPr>
        <w:t xml:space="preserve"> </w:t>
      </w:r>
      <w:r>
        <w:rPr>
          <w:rFonts w:ascii="Arial"/>
          <w:color w:val="000000"/>
          <w:sz w:val="24"/>
        </w:rPr>
        <w:t xml:space="preserve">at 131 Sailors Bay Road, Northbridge (the </w:t>
      </w:r>
      <w:r>
        <w:rPr>
          <w:rFonts w:ascii="Arial"/>
          <w:color w:val="000000"/>
          <w:sz w:val="24"/>
        </w:rPr>
        <w:t>l</w:t>
      </w:r>
      <w:r>
        <w:rPr>
          <w:rFonts w:ascii="Arial"/>
          <w:color w:val="000000"/>
          <w:sz w:val="24"/>
        </w:rPr>
        <w:t>and). Although the Council was the consent authority</w:t>
      </w:r>
      <w:r>
        <w:rPr>
          <w:rFonts w:ascii="Arial"/>
          <w:color w:val="000000"/>
          <w:sz w:val="24"/>
        </w:rPr>
        <w:t>,</w:t>
      </w:r>
      <w:r>
        <w:rPr>
          <w:rFonts w:ascii="Arial"/>
          <w:color w:val="000000"/>
          <w:sz w:val="24"/>
        </w:rPr>
        <w:t xml:space="preserve"> </w:t>
      </w:r>
      <w:r>
        <w:rPr>
          <w:rFonts w:ascii="Arial"/>
          <w:color w:val="000000"/>
          <w:sz w:val="24"/>
        </w:rPr>
        <w:t xml:space="preserve">pursuant to a Ministerial direction under s 4.8(3) and s </w:t>
      </w:r>
      <w:r>
        <w:rPr>
          <w:rFonts w:ascii="Arial"/>
          <w:color w:val="000000"/>
          <w:sz w:val="24"/>
        </w:rPr>
        <w:t>9</w:t>
      </w:r>
      <w:r>
        <w:rPr>
          <w:rFonts w:ascii="Arial"/>
          <w:color w:val="000000"/>
          <w:sz w:val="24"/>
        </w:rPr>
        <w:t xml:space="preserve">.1 of the </w:t>
      </w:r>
      <w:r>
        <w:rPr>
          <w:rFonts w:ascii="Arial"/>
          <w:i/>
          <w:color w:val="000000"/>
          <w:sz w:val="24"/>
        </w:rPr>
        <w:t>Environmental Planning and Assessment Act 1979</w:t>
      </w:r>
      <w:r>
        <w:rPr>
          <w:rFonts w:ascii="Arial"/>
          <w:color w:val="000000"/>
          <w:sz w:val="24"/>
        </w:rPr>
        <w:t xml:space="preserve"> </w:t>
      </w:r>
      <w:r>
        <w:rPr>
          <w:rFonts w:ascii="Arial"/>
          <w:color w:val="000000"/>
          <w:sz w:val="24"/>
        </w:rPr>
        <w:t>(NSW)</w:t>
      </w:r>
      <w:r>
        <w:rPr>
          <w:rFonts w:ascii="Arial"/>
          <w:color w:val="000000"/>
          <w:sz w:val="24"/>
        </w:rPr>
        <w:t xml:space="preserve"> </w:t>
      </w:r>
      <w:r>
        <w:rPr>
          <w:rFonts w:ascii="Arial"/>
          <w:color w:val="000000"/>
          <w:sz w:val="24"/>
        </w:rPr>
        <w:t>(EPA Act)</w:t>
      </w:r>
      <w:r>
        <w:rPr>
          <w:rFonts w:ascii="Arial"/>
          <w:color w:val="000000"/>
          <w:sz w:val="24"/>
        </w:rPr>
        <w:t>,</w:t>
      </w:r>
      <w:r>
        <w:rPr>
          <w:rFonts w:ascii="Arial"/>
          <w:color w:val="000000"/>
          <w:sz w:val="24"/>
        </w:rPr>
        <w:t xml:space="preserve"> </w:t>
      </w:r>
      <w:r>
        <w:rPr>
          <w:rFonts w:ascii="Arial"/>
          <w:color w:val="000000"/>
          <w:sz w:val="24"/>
        </w:rPr>
        <w:t>Willoughby Local Planning Panel (the Panel) determined Helm</w:t>
      </w:r>
      <w:r>
        <w:rPr>
          <w:rFonts w:ascii="Arial"/>
          <w:color w:val="000000"/>
          <w:sz w:val="24"/>
        </w:rPr>
        <w:t>’</w:t>
      </w:r>
      <w:r>
        <w:rPr>
          <w:rFonts w:ascii="Arial"/>
          <w:color w:val="000000"/>
          <w:sz w:val="24"/>
        </w:rPr>
        <w:t>s development application</w:t>
      </w:r>
      <w:r>
        <w:rPr>
          <w:rFonts w:ascii="Arial"/>
          <w:color w:val="000000"/>
          <w:sz w:val="24"/>
        </w:rPr>
        <w:t xml:space="preserve"> </w:t>
      </w:r>
      <w:r>
        <w:rPr>
          <w:rFonts w:ascii="Arial"/>
          <w:color w:val="000000"/>
          <w:sz w:val="24"/>
        </w:rPr>
        <w:t>on behalf of the Council</w:t>
      </w:r>
      <w:r>
        <w:rPr>
          <w:rFonts w:ascii="Arial"/>
          <w:color w:val="000000"/>
          <w:sz w:val="24"/>
        </w:rPr>
        <w:t>. The decision being judicially reviewed was therefore the Panel</w:t>
      </w:r>
      <w:r>
        <w:rPr>
          <w:rFonts w:ascii="Arial"/>
          <w:color w:val="000000"/>
          <w:sz w:val="24"/>
        </w:rPr>
        <w:t>’</w:t>
      </w:r>
      <w:r>
        <w:rPr>
          <w:rFonts w:ascii="Arial"/>
          <w:color w:val="000000"/>
          <w:sz w:val="24"/>
        </w:rPr>
        <w:t xml:space="preserve">s decision. </w:t>
      </w:r>
    </w:p>
    <w:p>
      <w:pPr>
        <w:pStyle w:val="CaselawNumbered10"/>
        <w:numPr>
          <w:ilvl w:val="0"/>
          <w:numId w:val="22"/>
        </w:numPr>
        <w:spacing w:before="150" w:after="0"/>
        <w:ind w:left="600" w:hanging="600"/>
      </w:pPr>
      <w:r>
        <w:rPr>
          <w:rFonts w:ascii="Arial"/>
          <w:color w:val="000000"/>
          <w:sz w:val="24"/>
        </w:rPr>
        <w:t xml:space="preserve">The proceedings </w:t>
      </w:r>
      <w:r>
        <w:rPr>
          <w:rFonts w:ascii="Arial"/>
          <w:color w:val="000000"/>
          <w:sz w:val="24"/>
        </w:rPr>
        <w:t xml:space="preserve">as commenced </w:t>
      </w:r>
      <w:r>
        <w:rPr>
          <w:rFonts w:ascii="Arial"/>
          <w:color w:val="000000"/>
          <w:sz w:val="24"/>
        </w:rPr>
        <w:t>joined the Council and Helm as respondents. The Council entered a submitting appearance. Helm was the contradictor, defending the Panel</w:t>
      </w:r>
      <w:r>
        <w:rPr>
          <w:rFonts w:ascii="Arial"/>
          <w:color w:val="000000"/>
          <w:sz w:val="24"/>
        </w:rPr>
        <w:t>’</w:t>
      </w:r>
      <w:r>
        <w:rPr>
          <w:rFonts w:ascii="Arial"/>
          <w:color w:val="000000"/>
          <w:sz w:val="24"/>
        </w:rPr>
        <w:t xml:space="preserve">s decision to grant </w:t>
      </w:r>
      <w:r>
        <w:rPr>
          <w:rFonts w:ascii="Arial"/>
          <w:color w:val="000000"/>
          <w:sz w:val="24"/>
        </w:rPr>
        <w:t xml:space="preserve">development </w:t>
      </w:r>
      <w:r>
        <w:rPr>
          <w:rFonts w:ascii="Arial"/>
          <w:color w:val="000000"/>
          <w:sz w:val="24"/>
        </w:rPr>
        <w:t xml:space="preserve">consent. Mr </w:t>
      </w:r>
      <w:r>
        <w:rPr>
          <w:rFonts w:ascii="Arial"/>
          <w:color w:val="000000"/>
          <w:sz w:val="24"/>
        </w:rPr>
        <w:t>Lahoud</w:t>
      </w:r>
      <w:r>
        <w:rPr>
          <w:rFonts w:ascii="Arial"/>
          <w:color w:val="000000"/>
          <w:sz w:val="24"/>
        </w:rPr>
        <w:t xml:space="preserve"> </w:t>
      </w:r>
      <w:r>
        <w:rPr>
          <w:rFonts w:ascii="Arial"/>
          <w:color w:val="000000"/>
          <w:sz w:val="24"/>
        </w:rPr>
        <w:t xml:space="preserve">later </w:t>
      </w:r>
      <w:r>
        <w:rPr>
          <w:rFonts w:ascii="Arial"/>
          <w:color w:val="000000"/>
          <w:sz w:val="24"/>
        </w:rPr>
        <w:t>sought to join the Panel as a</w:t>
      </w:r>
      <w:r>
        <w:rPr>
          <w:rFonts w:ascii="Arial"/>
          <w:color w:val="000000"/>
          <w:sz w:val="24"/>
        </w:rPr>
        <w:t>n additional</w:t>
      </w:r>
      <w:r>
        <w:rPr>
          <w:rFonts w:ascii="Arial"/>
          <w:color w:val="000000"/>
          <w:sz w:val="24"/>
        </w:rPr>
        <w:t xml:space="preserve"> </w:t>
      </w:r>
      <w:r>
        <w:rPr>
          <w:rFonts w:ascii="Arial"/>
          <w:color w:val="000000"/>
          <w:sz w:val="24"/>
        </w:rPr>
        <w:t xml:space="preserve">respondent to the proceedings. The court below (Moore J) rejected that application for joinder: </w:t>
      </w:r>
      <w:r>
        <w:rPr>
          <w:rFonts w:ascii="Arial"/>
          <w:i/>
          <w:color w:val="000000"/>
          <w:sz w:val="24"/>
        </w:rPr>
        <w:t>Lahoud</w:t>
      </w:r>
      <w:r>
        <w:rPr>
          <w:rFonts w:ascii="Arial"/>
          <w:i/>
          <w:color w:val="000000"/>
          <w:sz w:val="24"/>
        </w:rPr>
        <w:t xml:space="preserve"> v Willoughby City Council</w:t>
      </w:r>
      <w:r>
        <w:rPr>
          <w:rFonts w:ascii="Arial"/>
          <w:color w:val="000000"/>
          <w:sz w:val="24"/>
        </w:rPr>
        <w:t xml:space="preserve"> </w:t>
      </w:r>
      <w:r>
        <w:rPr>
          <w:rFonts w:ascii="Arial"/>
          <w:color w:val="000000"/>
          <w:sz w:val="24"/>
        </w:rPr>
        <w:t xml:space="preserve">[2022] NSWLEC 125. This Court refused leave to appeal against this decision: </w:t>
      </w:r>
      <w:r>
        <w:rPr>
          <w:rFonts w:ascii="Arial"/>
          <w:i/>
          <w:color w:val="000000"/>
          <w:sz w:val="24"/>
        </w:rPr>
        <w:t>Lahoud</w:t>
      </w:r>
      <w:r>
        <w:rPr>
          <w:rFonts w:ascii="Arial"/>
          <w:i/>
          <w:color w:val="000000"/>
          <w:sz w:val="24"/>
        </w:rPr>
        <w:t xml:space="preserve"> v Willoughby City Council</w:t>
      </w:r>
      <w:r>
        <w:rPr>
          <w:rFonts w:ascii="Arial"/>
          <w:color w:val="000000"/>
          <w:sz w:val="24"/>
        </w:rPr>
        <w:t xml:space="preserve"> </w:t>
      </w:r>
      <w:r>
        <w:rPr>
          <w:rFonts w:ascii="Arial"/>
          <w:color w:val="000000"/>
          <w:sz w:val="24"/>
        </w:rPr>
        <w:t>[2022] NSWCA 214.</w:t>
      </w:r>
    </w:p>
    <w:p>
      <w:pPr>
        <w:pStyle w:val="CaselawNumbered10"/>
        <w:numPr>
          <w:ilvl w:val="0"/>
          <w:numId w:val="22"/>
        </w:numPr>
        <w:spacing w:before="150" w:after="0"/>
        <w:ind w:left="600" w:hanging="600"/>
      </w:pPr>
      <w:r>
        <w:rPr>
          <w:rFonts w:ascii="Arial"/>
          <w:color w:val="000000"/>
          <w:sz w:val="24"/>
        </w:rPr>
        <w:t xml:space="preserve">The </w:t>
      </w:r>
      <w:r>
        <w:rPr>
          <w:rFonts w:ascii="Arial"/>
          <w:color w:val="000000"/>
          <w:sz w:val="24"/>
        </w:rPr>
        <w:t xml:space="preserve">judicial review </w:t>
      </w:r>
      <w:r>
        <w:rPr>
          <w:rFonts w:ascii="Arial"/>
          <w:color w:val="000000"/>
          <w:sz w:val="24"/>
        </w:rPr>
        <w:t xml:space="preserve">proceedings were heard and determined by Moore J (the primary judge). The primary judge dismissed the proceedings and ordered Mr </w:t>
      </w:r>
      <w:r>
        <w:rPr>
          <w:rFonts w:ascii="Arial"/>
          <w:color w:val="000000"/>
          <w:sz w:val="24"/>
        </w:rPr>
        <w:t>Lahoud</w:t>
      </w:r>
      <w:r>
        <w:rPr>
          <w:rFonts w:ascii="Arial"/>
          <w:color w:val="000000"/>
          <w:sz w:val="24"/>
        </w:rPr>
        <w:t xml:space="preserve"> </w:t>
      </w:r>
      <w:r>
        <w:rPr>
          <w:rFonts w:ascii="Arial"/>
          <w:color w:val="000000"/>
          <w:sz w:val="24"/>
        </w:rPr>
        <w:t xml:space="preserve">to pay </w:t>
      </w:r>
      <w:r>
        <w:rPr>
          <w:rFonts w:ascii="Arial"/>
          <w:color w:val="000000"/>
          <w:sz w:val="24"/>
        </w:rPr>
        <w:t>80% of Helm</w:t>
      </w:r>
      <w:r>
        <w:rPr>
          <w:rFonts w:ascii="Arial"/>
          <w:color w:val="000000"/>
          <w:sz w:val="24"/>
        </w:rPr>
        <w:t>’</w:t>
      </w:r>
      <w:r>
        <w:rPr>
          <w:rFonts w:ascii="Arial"/>
          <w:color w:val="000000"/>
          <w:sz w:val="24"/>
        </w:rPr>
        <w:t>s costs of the proceedings</w:t>
      </w:r>
      <w:r>
        <w:rPr>
          <w:rFonts w:ascii="Arial"/>
          <w:color w:val="000000"/>
          <w:sz w:val="24"/>
        </w:rPr>
        <w:t xml:space="preserve">: </w:t>
      </w:r>
      <w:r>
        <w:rPr>
          <w:rFonts w:ascii="Arial"/>
          <w:i/>
          <w:color w:val="000000"/>
          <w:sz w:val="24"/>
        </w:rPr>
        <w:t>Lahoud</w:t>
      </w:r>
      <w:r>
        <w:rPr>
          <w:rFonts w:ascii="Arial"/>
          <w:i/>
          <w:color w:val="000000"/>
          <w:sz w:val="24"/>
        </w:rPr>
        <w:t xml:space="preserve"> v Willoughby City Council </w:t>
      </w:r>
      <w:r>
        <w:rPr>
          <w:rFonts w:ascii="Arial"/>
          <w:color w:val="000000"/>
          <w:sz w:val="24"/>
        </w:rPr>
        <w:t xml:space="preserve">[2023] NSWLEC 117. </w:t>
      </w:r>
    </w:p>
    <w:p>
      <w:pPr>
        <w:pStyle w:val="CaselawNumbered10"/>
        <w:numPr>
          <w:ilvl w:val="0"/>
          <w:numId w:val="22"/>
        </w:numPr>
        <w:spacing w:before="150" w:after="0"/>
        <w:ind w:left="600" w:hanging="600"/>
      </w:pPr>
      <w:r>
        <w:rPr>
          <w:rFonts w:ascii="Arial"/>
          <w:color w:val="000000"/>
          <w:sz w:val="24"/>
        </w:rPr>
        <w:t xml:space="preserve">Mr </w:t>
      </w:r>
      <w:r>
        <w:rPr>
          <w:rFonts w:ascii="Arial"/>
          <w:color w:val="000000"/>
          <w:sz w:val="24"/>
        </w:rPr>
        <w:t>Lahoud</w:t>
      </w:r>
      <w:r>
        <w:rPr>
          <w:rFonts w:ascii="Arial"/>
          <w:color w:val="000000"/>
          <w:sz w:val="24"/>
        </w:rPr>
        <w:t xml:space="preserve"> </w:t>
      </w:r>
      <w:r>
        <w:rPr>
          <w:rFonts w:ascii="Arial"/>
          <w:color w:val="000000"/>
          <w:sz w:val="24"/>
        </w:rPr>
        <w:t>appealed against the primary judge</w:t>
      </w:r>
      <w:r>
        <w:rPr>
          <w:rFonts w:ascii="Arial"/>
          <w:color w:val="000000"/>
          <w:sz w:val="24"/>
        </w:rPr>
        <w:t>’</w:t>
      </w:r>
      <w:r>
        <w:rPr>
          <w:rFonts w:ascii="Arial"/>
          <w:color w:val="000000"/>
          <w:sz w:val="24"/>
        </w:rPr>
        <w:t xml:space="preserve">s decision and orders under </w:t>
      </w:r>
      <w:r>
        <w:br/>
      </w:r>
      <w:r>
        <w:rPr>
          <w:rFonts w:ascii="Arial"/>
          <w:color w:val="000000"/>
          <w:sz w:val="24"/>
        </w:rPr>
        <w:t xml:space="preserve"> </w:t>
      </w:r>
      <w:r>
        <w:rPr>
          <w:rFonts w:ascii="Arial"/>
          <w:color w:val="000000"/>
          <w:sz w:val="24"/>
        </w:rPr>
        <w:t xml:space="preserve">s 58 of the </w:t>
      </w:r>
      <w:r>
        <w:rPr>
          <w:rFonts w:ascii="Arial"/>
          <w:i/>
          <w:color w:val="000000"/>
          <w:sz w:val="24"/>
        </w:rPr>
        <w:t>Land and Environment Court Act 1979</w:t>
      </w:r>
      <w:r>
        <w:rPr>
          <w:rFonts w:ascii="Arial"/>
          <w:color w:val="000000"/>
          <w:sz w:val="24"/>
        </w:rPr>
        <w:t xml:space="preserve"> </w:t>
      </w:r>
      <w:r>
        <w:rPr>
          <w:rFonts w:ascii="Arial"/>
          <w:color w:val="000000"/>
          <w:sz w:val="24"/>
        </w:rPr>
        <w:t xml:space="preserve">(NSW) (Court Act). An appeal under s 58 of the Court Act is </w:t>
      </w:r>
      <w:r>
        <w:rPr>
          <w:rFonts w:ascii="Arial"/>
          <w:color w:val="000000"/>
          <w:sz w:val="24"/>
        </w:rPr>
        <w:t>“</w:t>
      </w:r>
      <w:r>
        <w:rPr>
          <w:rFonts w:ascii="Arial"/>
          <w:color w:val="000000"/>
          <w:sz w:val="24"/>
        </w:rPr>
        <w:t>a full one not limited to questions of law</w:t>
      </w:r>
      <w:r>
        <w:rPr>
          <w:rFonts w:ascii="Arial"/>
          <w:color w:val="000000"/>
          <w:sz w:val="24"/>
        </w:rPr>
        <w:t>”</w:t>
      </w:r>
      <w:r>
        <w:rPr>
          <w:rFonts w:ascii="Arial"/>
          <w:color w:val="000000"/>
          <w:sz w:val="24"/>
        </w:rPr>
        <w:t xml:space="preserve">: </w:t>
      </w:r>
      <w:r>
        <w:rPr>
          <w:rFonts w:ascii="Arial"/>
          <w:i/>
          <w:color w:val="000000"/>
          <w:sz w:val="24"/>
        </w:rPr>
        <w:t>Parramatta City Council v Hale</w:t>
      </w:r>
      <w:r>
        <w:rPr>
          <w:rFonts w:ascii="Arial"/>
          <w:color w:val="000000"/>
          <w:sz w:val="24"/>
        </w:rPr>
        <w:t xml:space="preserve"> </w:t>
      </w:r>
      <w:r>
        <w:rPr>
          <w:rFonts w:ascii="Arial"/>
          <w:color w:val="000000"/>
          <w:sz w:val="24"/>
        </w:rPr>
        <w:t xml:space="preserve">(1982) 47 LGERA 319 at 338. On the appeal, </w:t>
      </w:r>
      <w:r>
        <w:rPr>
          <w:rFonts w:ascii="Arial"/>
          <w:color w:val="000000"/>
          <w:sz w:val="24"/>
        </w:rPr>
        <w:t xml:space="preserve">this Court </w:t>
      </w:r>
      <w:r>
        <w:rPr>
          <w:rFonts w:ascii="Arial"/>
          <w:color w:val="000000"/>
          <w:sz w:val="24"/>
        </w:rPr>
        <w:t>“</w:t>
      </w:r>
      <w:r>
        <w:rPr>
          <w:rFonts w:ascii="Arial"/>
          <w:color w:val="000000"/>
          <w:sz w:val="24"/>
        </w:rPr>
        <w:t>has power to review findings of fact as well as determinations of applicable law</w:t>
      </w:r>
      <w:r>
        <w:rPr>
          <w:rFonts w:ascii="Arial"/>
          <w:color w:val="000000"/>
          <w:sz w:val="24"/>
        </w:rPr>
        <w:t>”</w:t>
      </w:r>
      <w:r>
        <w:rPr>
          <w:rFonts w:ascii="Arial"/>
          <w:color w:val="000000"/>
          <w:sz w:val="24"/>
        </w:rPr>
        <w:t xml:space="preserve">: </w:t>
      </w:r>
      <w:r>
        <w:rPr>
          <w:rFonts w:ascii="Arial"/>
          <w:i/>
          <w:color w:val="000000"/>
          <w:sz w:val="24"/>
        </w:rPr>
        <w:t>ACR Trading Pty Ltd v Fat-</w:t>
      </w:r>
      <w:r>
        <w:rPr>
          <w:rFonts w:ascii="Arial"/>
          <w:i/>
          <w:color w:val="000000"/>
          <w:sz w:val="24"/>
        </w:rPr>
        <w:t>Sel</w:t>
      </w:r>
      <w:r>
        <w:rPr>
          <w:rFonts w:ascii="Arial"/>
          <w:i/>
          <w:color w:val="000000"/>
          <w:sz w:val="24"/>
        </w:rPr>
        <w:t xml:space="preserve"> Pty Ltd</w:t>
      </w:r>
      <w:r>
        <w:rPr>
          <w:rFonts w:ascii="Arial"/>
          <w:color w:val="000000"/>
          <w:sz w:val="24"/>
        </w:rPr>
        <w:t xml:space="preserve"> </w:t>
      </w:r>
      <w:r>
        <w:rPr>
          <w:rFonts w:ascii="Arial"/>
          <w:color w:val="000000"/>
          <w:sz w:val="24"/>
        </w:rPr>
        <w:t xml:space="preserve">(1987) 11 NSWLR 67 at 69. The appeal is by way of </w:t>
      </w:r>
      <w:r>
        <w:rPr>
          <w:rFonts w:ascii="Arial"/>
          <w:color w:val="000000"/>
          <w:sz w:val="24"/>
        </w:rPr>
        <w:t>rehearing</w:t>
      </w:r>
      <w:r>
        <w:rPr>
          <w:rFonts w:ascii="Arial"/>
          <w:color w:val="000000"/>
          <w:sz w:val="24"/>
        </w:rPr>
        <w:t xml:space="preserve"> </w:t>
      </w:r>
      <w:r>
        <w:rPr>
          <w:rFonts w:ascii="Arial"/>
          <w:color w:val="000000"/>
          <w:sz w:val="24"/>
        </w:rPr>
        <w:t xml:space="preserve">and this Court can substitute its own decision on the facts and law as they stand at the relevant time: </w:t>
      </w:r>
      <w:r>
        <w:rPr>
          <w:rFonts w:ascii="Arial"/>
          <w:i/>
          <w:color w:val="000000"/>
          <w:sz w:val="24"/>
        </w:rPr>
        <w:t>Fordham v Environment Protection Agency</w:t>
      </w:r>
      <w:r>
        <w:rPr>
          <w:rFonts w:ascii="Arial"/>
          <w:color w:val="000000"/>
          <w:sz w:val="24"/>
        </w:rPr>
        <w:t xml:space="preserve"> </w:t>
      </w:r>
      <w:r>
        <w:rPr>
          <w:rFonts w:ascii="Arial"/>
          <w:color w:val="000000"/>
          <w:sz w:val="24"/>
        </w:rPr>
        <w:t>[2018] NSWCA 167 at [7].</w:t>
      </w:r>
    </w:p>
    <w:p>
      <w:pPr>
        <w:pStyle w:val="CaselawNumbered10"/>
        <w:numPr>
          <w:ilvl w:val="0"/>
          <w:numId w:val="22"/>
        </w:numPr>
        <w:spacing w:before="150" w:after="0"/>
        <w:ind w:left="600" w:hanging="600"/>
      </w:pPr>
      <w:r>
        <w:rPr>
          <w:rFonts w:ascii="Arial"/>
          <w:color w:val="000000"/>
          <w:sz w:val="24"/>
        </w:rPr>
        <w:t>The notice of appeal</w:t>
      </w:r>
      <w:r>
        <w:rPr>
          <w:rFonts w:ascii="Arial"/>
          <w:color w:val="000000"/>
          <w:sz w:val="24"/>
        </w:rPr>
        <w:t xml:space="preserve"> </w:t>
      </w:r>
      <w:r>
        <w:rPr>
          <w:rFonts w:ascii="Arial"/>
          <w:color w:val="000000"/>
          <w:sz w:val="24"/>
        </w:rPr>
        <w:t xml:space="preserve">raised 12 grounds of appeal, </w:t>
      </w:r>
      <w:r>
        <w:rPr>
          <w:rFonts w:ascii="Arial"/>
          <w:color w:val="000000"/>
          <w:sz w:val="24"/>
        </w:rPr>
        <w:t>identifying the alleged errors of fact and law of the primary judge</w:t>
      </w:r>
      <w:r>
        <w:rPr>
          <w:rFonts w:ascii="Arial"/>
          <w:color w:val="000000"/>
          <w:sz w:val="24"/>
        </w:rPr>
        <w:t>. The grounds can be grouped in four categories concerning:</w:t>
      </w:r>
    </w:p>
    <w:p>
      <w:pPr>
        <w:pStyle w:val="CaselawNumbereda"/>
        <w:numPr>
          <w:ilvl w:val="0"/>
          <w:numId w:val="23"/>
        </w:numPr>
        <w:spacing w:before="150" w:after="0"/>
        <w:ind w:left="2100" w:hanging="750"/>
      </w:pPr>
      <w:r>
        <w:rPr>
          <w:rFonts w:ascii="Arial"/>
          <w:color w:val="000000"/>
          <w:sz w:val="24"/>
        </w:rPr>
        <w:t>the Panel</w:t>
      </w:r>
      <w:r>
        <w:rPr>
          <w:rFonts w:ascii="Arial"/>
          <w:color w:val="000000"/>
          <w:sz w:val="24"/>
        </w:rPr>
        <w:t>’</w:t>
      </w:r>
      <w:r>
        <w:rPr>
          <w:rFonts w:ascii="Arial"/>
          <w:color w:val="000000"/>
          <w:sz w:val="24"/>
        </w:rPr>
        <w:t xml:space="preserve">s failure to be satisfied under cl 4.6 of Willoughby Local Environmental Plan 2012 (WLEP) before granting development consent to the development that contravened the height standard under cl 4.3 of WLEP </w:t>
      </w:r>
      <w:r>
        <w:rPr>
          <w:rFonts w:ascii="Arial"/>
          <w:color w:val="000000"/>
          <w:sz w:val="24"/>
        </w:rPr>
        <w:t xml:space="preserve">(grounds of appeal 1 to 5) </w:t>
      </w:r>
      <w:r>
        <w:rPr>
          <w:rFonts w:ascii="Arial"/>
          <w:color w:val="000000"/>
          <w:sz w:val="24"/>
        </w:rPr>
        <w:t>(the height standard grounds</w:t>
      </w:r>
      <w:r>
        <w:rPr>
          <w:rFonts w:ascii="Arial"/>
          <w:color w:val="000000"/>
          <w:sz w:val="24"/>
        </w:rPr>
        <w:t>);</w:t>
      </w:r>
    </w:p>
    <w:p>
      <w:pPr>
        <w:pStyle w:val="CaselawNumbereda"/>
        <w:numPr>
          <w:ilvl w:val="0"/>
          <w:numId w:val="23"/>
        </w:numPr>
        <w:spacing w:before="150" w:after="0"/>
        <w:ind w:left="2100" w:hanging="750"/>
      </w:pPr>
      <w:r>
        <w:rPr>
          <w:rFonts w:ascii="Arial"/>
          <w:color w:val="000000"/>
          <w:sz w:val="24"/>
        </w:rPr>
        <w:t>the Panel</w:t>
      </w:r>
      <w:r>
        <w:rPr>
          <w:rFonts w:ascii="Arial"/>
          <w:color w:val="000000"/>
          <w:sz w:val="24"/>
        </w:rPr>
        <w:t>’</w:t>
      </w:r>
      <w:r>
        <w:rPr>
          <w:rFonts w:ascii="Arial"/>
          <w:color w:val="000000"/>
          <w:sz w:val="24"/>
        </w:rPr>
        <w:t xml:space="preserve">s satisfaction that the development will have an active street frontage, contrary to cl 6.7(3) of WLEP </w:t>
      </w:r>
      <w:r>
        <w:rPr>
          <w:rFonts w:ascii="Arial"/>
          <w:color w:val="000000"/>
          <w:sz w:val="24"/>
        </w:rPr>
        <w:t xml:space="preserve">(ground of appeal 6) </w:t>
      </w:r>
      <w:r>
        <w:rPr>
          <w:rFonts w:ascii="Arial"/>
          <w:color w:val="000000"/>
          <w:sz w:val="24"/>
        </w:rPr>
        <w:t>(the active street frontage ground</w:t>
      </w:r>
      <w:r>
        <w:rPr>
          <w:rFonts w:ascii="Arial"/>
          <w:color w:val="000000"/>
          <w:sz w:val="24"/>
        </w:rPr>
        <w:t>);</w:t>
      </w:r>
    </w:p>
    <w:p>
      <w:pPr>
        <w:pStyle w:val="CaselawNumbereda"/>
        <w:numPr>
          <w:ilvl w:val="0"/>
          <w:numId w:val="23"/>
        </w:numPr>
        <w:spacing w:before="150" w:after="0"/>
        <w:ind w:left="2100" w:hanging="750"/>
      </w:pPr>
      <w:r>
        <w:rPr>
          <w:rFonts w:ascii="Arial"/>
          <w:color w:val="000000"/>
          <w:sz w:val="24"/>
        </w:rPr>
        <w:t>the Panel</w:t>
      </w:r>
      <w:r>
        <w:rPr>
          <w:rFonts w:ascii="Arial"/>
          <w:color w:val="000000"/>
          <w:sz w:val="24"/>
        </w:rPr>
        <w:t>’</w:t>
      </w:r>
      <w:r>
        <w:rPr>
          <w:rFonts w:ascii="Arial"/>
          <w:color w:val="000000"/>
          <w:sz w:val="24"/>
        </w:rPr>
        <w:t xml:space="preserve">s acceptance of </w:t>
      </w:r>
      <w:r>
        <w:rPr>
          <w:rFonts w:ascii="Arial"/>
          <w:color w:val="000000"/>
          <w:sz w:val="24"/>
        </w:rPr>
        <w:t xml:space="preserve">the </w:t>
      </w:r>
      <w:r>
        <w:rPr>
          <w:rFonts w:ascii="Arial"/>
          <w:color w:val="000000"/>
          <w:sz w:val="24"/>
        </w:rPr>
        <w:t xml:space="preserve">development being for the permissible use of shop top housing </w:t>
      </w:r>
      <w:r>
        <w:rPr>
          <w:rFonts w:ascii="Arial"/>
          <w:color w:val="000000"/>
          <w:sz w:val="24"/>
        </w:rPr>
        <w:t xml:space="preserve">(grounds of appeal 7 and 8) </w:t>
      </w:r>
      <w:r>
        <w:rPr>
          <w:rFonts w:ascii="Arial"/>
          <w:color w:val="000000"/>
          <w:sz w:val="24"/>
        </w:rPr>
        <w:t>(the shop top housing ground</w:t>
      </w:r>
      <w:r>
        <w:rPr>
          <w:rFonts w:ascii="Arial"/>
          <w:color w:val="000000"/>
          <w:sz w:val="24"/>
        </w:rPr>
        <w:t>s</w:t>
      </w:r>
      <w:r>
        <w:rPr>
          <w:rFonts w:ascii="Arial"/>
          <w:color w:val="000000"/>
          <w:sz w:val="24"/>
        </w:rPr>
        <w:t>); and</w:t>
      </w:r>
    </w:p>
    <w:p>
      <w:pPr>
        <w:pStyle w:val="CaselawNumbereda"/>
        <w:numPr>
          <w:ilvl w:val="0"/>
          <w:numId w:val="23"/>
        </w:numPr>
        <w:spacing w:before="150" w:after="0"/>
        <w:ind w:left="2100" w:hanging="750"/>
      </w:pPr>
      <w:r>
        <w:rPr>
          <w:rFonts w:ascii="Arial"/>
          <w:color w:val="000000"/>
          <w:sz w:val="24"/>
        </w:rPr>
        <w:t>the Panel</w:t>
      </w:r>
      <w:r>
        <w:rPr>
          <w:rFonts w:ascii="Arial"/>
          <w:color w:val="000000"/>
          <w:sz w:val="24"/>
        </w:rPr>
        <w:t>’</w:t>
      </w:r>
      <w:r>
        <w:rPr>
          <w:rFonts w:ascii="Arial"/>
          <w:color w:val="000000"/>
          <w:sz w:val="24"/>
        </w:rPr>
        <w:t xml:space="preserve">s failure to consider contamination </w:t>
      </w:r>
      <w:r>
        <w:rPr>
          <w:rFonts w:ascii="Arial"/>
          <w:color w:val="000000"/>
          <w:sz w:val="24"/>
        </w:rPr>
        <w:t>matters</w:t>
      </w:r>
      <w:r>
        <w:rPr>
          <w:rFonts w:ascii="Arial"/>
          <w:color w:val="000000"/>
          <w:sz w:val="24"/>
        </w:rPr>
        <w:t xml:space="preserve"> </w:t>
      </w:r>
      <w:r>
        <w:rPr>
          <w:rFonts w:ascii="Arial"/>
          <w:color w:val="000000"/>
          <w:sz w:val="24"/>
        </w:rPr>
        <w:t xml:space="preserve">under cl 7 of State Environmental Planning Policy 55 </w:t>
      </w:r>
      <w:r>
        <w:rPr>
          <w:rFonts w:ascii="Arial"/>
          <w:color w:val="000000"/>
          <w:sz w:val="24"/>
        </w:rPr>
        <w:t xml:space="preserve">– </w:t>
      </w:r>
      <w:r>
        <w:rPr>
          <w:rFonts w:ascii="Arial"/>
          <w:color w:val="000000"/>
          <w:sz w:val="24"/>
        </w:rPr>
        <w:t>Remediation of Land (SEPP 55)</w:t>
      </w:r>
      <w:r>
        <w:rPr>
          <w:rFonts w:ascii="Arial"/>
          <w:color w:val="000000"/>
          <w:sz w:val="24"/>
        </w:rPr>
        <w:t xml:space="preserve"> </w:t>
      </w:r>
      <w:r>
        <w:rPr>
          <w:rFonts w:ascii="Arial"/>
          <w:color w:val="000000"/>
          <w:sz w:val="24"/>
        </w:rPr>
        <w:t>(grounds of appeal 9 to 12)</w:t>
      </w:r>
      <w:r>
        <w:rPr>
          <w:rFonts w:ascii="Arial"/>
          <w:color w:val="000000"/>
          <w:sz w:val="24"/>
        </w:rPr>
        <w:t xml:space="preserve"> </w:t>
      </w:r>
      <w:r>
        <w:rPr>
          <w:rFonts w:ascii="Arial"/>
          <w:color w:val="000000"/>
          <w:sz w:val="24"/>
        </w:rPr>
        <w:t>(the contamination grounds)</w:t>
      </w:r>
      <w:r>
        <w:rPr>
          <w:rFonts w:ascii="Arial"/>
          <w:color w:val="000000"/>
          <w:sz w:val="24"/>
        </w:rPr>
        <w:t>.</w:t>
      </w:r>
    </w:p>
    <w:p>
      <w:pPr>
        <w:pStyle w:val="CaselawNumbered10"/>
        <w:numPr>
          <w:ilvl w:val="0"/>
          <w:numId w:val="24"/>
        </w:numPr>
        <w:spacing w:before="150" w:after="0"/>
        <w:ind w:left="600" w:hanging="600"/>
      </w:pPr>
      <w:r>
        <w:rPr>
          <w:rFonts w:ascii="Arial"/>
          <w:color w:val="000000"/>
          <w:sz w:val="24"/>
        </w:rPr>
        <w:t>Helm raised five contentions in its notice of contention:</w:t>
      </w:r>
    </w:p>
    <w:p>
      <w:pPr>
        <w:pStyle w:val="CaselawNumbereda"/>
        <w:numPr>
          <w:ilvl w:val="0"/>
          <w:numId w:val="25"/>
        </w:numPr>
        <w:spacing w:before="150" w:after="0"/>
        <w:ind w:left="2100" w:hanging="750"/>
      </w:pPr>
      <w:r>
        <w:rPr>
          <w:rFonts w:ascii="Arial"/>
          <w:color w:val="000000"/>
          <w:sz w:val="24"/>
        </w:rPr>
        <w:t>the primary judge should have found that the validity of the Panel</w:t>
      </w:r>
      <w:r>
        <w:rPr>
          <w:rFonts w:ascii="Arial"/>
          <w:color w:val="000000"/>
          <w:sz w:val="24"/>
        </w:rPr>
        <w:t>’</w:t>
      </w:r>
      <w:r>
        <w:rPr>
          <w:rFonts w:ascii="Arial"/>
          <w:color w:val="000000"/>
          <w:sz w:val="24"/>
        </w:rPr>
        <w:t>s decision was not capable of being challenged because the proceedings were not commenced within time (contention 1</w:t>
      </w:r>
      <w:r>
        <w:rPr>
          <w:rFonts w:ascii="Arial"/>
          <w:color w:val="000000"/>
          <w:sz w:val="24"/>
        </w:rPr>
        <w:t>);</w:t>
      </w:r>
    </w:p>
    <w:p>
      <w:pPr>
        <w:pStyle w:val="CaselawNumbereda"/>
        <w:numPr>
          <w:ilvl w:val="0"/>
          <w:numId w:val="25"/>
        </w:numPr>
        <w:spacing w:before="150" w:after="0"/>
        <w:ind w:left="2100" w:hanging="750"/>
      </w:pPr>
      <w:r>
        <w:rPr>
          <w:rFonts w:ascii="Arial"/>
          <w:color w:val="000000"/>
          <w:sz w:val="24"/>
        </w:rPr>
        <w:t xml:space="preserve">the primary judge should have dismissed ground 1 (the height standard ground) on the basis that Mr </w:t>
      </w:r>
      <w:r>
        <w:rPr>
          <w:rFonts w:ascii="Arial"/>
          <w:color w:val="000000"/>
          <w:sz w:val="24"/>
        </w:rPr>
        <w:t>Lahoud</w:t>
      </w:r>
      <w:r>
        <w:rPr>
          <w:rFonts w:ascii="Arial"/>
          <w:color w:val="000000"/>
          <w:sz w:val="24"/>
        </w:rPr>
        <w:t xml:space="preserve"> </w:t>
      </w:r>
      <w:r>
        <w:rPr>
          <w:rFonts w:ascii="Arial"/>
          <w:color w:val="000000"/>
          <w:sz w:val="24"/>
        </w:rPr>
        <w:t>failed to establish that the Panel</w:t>
      </w:r>
      <w:r>
        <w:rPr>
          <w:rFonts w:ascii="Arial"/>
          <w:color w:val="000000"/>
          <w:sz w:val="24"/>
        </w:rPr>
        <w:t>’</w:t>
      </w:r>
      <w:r>
        <w:rPr>
          <w:rFonts w:ascii="Arial"/>
          <w:color w:val="000000"/>
          <w:sz w:val="24"/>
        </w:rPr>
        <w:t>s decision was affected by the jurisdictional errors alleged (contention 2</w:t>
      </w:r>
      <w:r>
        <w:rPr>
          <w:rFonts w:ascii="Arial"/>
          <w:color w:val="000000"/>
          <w:sz w:val="24"/>
        </w:rPr>
        <w:t>);</w:t>
      </w:r>
    </w:p>
    <w:p>
      <w:pPr>
        <w:pStyle w:val="CaselawNumbereda"/>
        <w:numPr>
          <w:ilvl w:val="0"/>
          <w:numId w:val="25"/>
        </w:numPr>
        <w:spacing w:before="150" w:after="0"/>
        <w:ind w:left="2100" w:hanging="750"/>
      </w:pPr>
      <w:r>
        <w:rPr>
          <w:rFonts w:ascii="Arial"/>
          <w:color w:val="000000"/>
          <w:sz w:val="24"/>
        </w:rPr>
        <w:t xml:space="preserve">the primary judge should have dismissed ground 2 (the active street frontage ground) on the basis that Mr </w:t>
      </w:r>
      <w:r>
        <w:rPr>
          <w:rFonts w:ascii="Arial"/>
          <w:color w:val="000000"/>
          <w:sz w:val="24"/>
        </w:rPr>
        <w:t>Lahoud</w:t>
      </w:r>
      <w:r>
        <w:rPr>
          <w:rFonts w:ascii="Arial"/>
          <w:color w:val="000000"/>
          <w:sz w:val="24"/>
        </w:rPr>
        <w:t xml:space="preserve"> </w:t>
      </w:r>
      <w:r>
        <w:rPr>
          <w:rFonts w:ascii="Arial"/>
          <w:color w:val="000000"/>
          <w:sz w:val="24"/>
        </w:rPr>
        <w:t>failed to establish that the Panel</w:t>
      </w:r>
      <w:r>
        <w:rPr>
          <w:rFonts w:ascii="Arial"/>
          <w:color w:val="000000"/>
          <w:sz w:val="24"/>
        </w:rPr>
        <w:t>’</w:t>
      </w:r>
      <w:r>
        <w:rPr>
          <w:rFonts w:ascii="Arial"/>
          <w:color w:val="000000"/>
          <w:sz w:val="24"/>
        </w:rPr>
        <w:t>s decision was affected by the jurisdiction</w:t>
      </w:r>
      <w:r>
        <w:rPr>
          <w:rFonts w:ascii="Arial"/>
          <w:color w:val="000000"/>
          <w:sz w:val="24"/>
        </w:rPr>
        <w:t>al</w:t>
      </w:r>
      <w:r>
        <w:rPr>
          <w:rFonts w:ascii="Arial"/>
          <w:color w:val="000000"/>
          <w:sz w:val="24"/>
        </w:rPr>
        <w:t xml:space="preserve"> </w:t>
      </w:r>
      <w:r>
        <w:rPr>
          <w:rFonts w:ascii="Arial"/>
          <w:color w:val="000000"/>
          <w:sz w:val="24"/>
        </w:rPr>
        <w:t>errors alleged (contention 3</w:t>
      </w:r>
      <w:r>
        <w:rPr>
          <w:rFonts w:ascii="Arial"/>
          <w:color w:val="000000"/>
          <w:sz w:val="24"/>
        </w:rPr>
        <w:t>);</w:t>
      </w:r>
    </w:p>
    <w:p>
      <w:pPr>
        <w:pStyle w:val="CaselawNumbereda"/>
        <w:numPr>
          <w:ilvl w:val="0"/>
          <w:numId w:val="25"/>
        </w:numPr>
        <w:spacing w:before="150" w:after="0"/>
        <w:ind w:left="2100" w:hanging="750"/>
      </w:pPr>
      <w:r>
        <w:rPr>
          <w:rFonts w:ascii="Arial"/>
          <w:color w:val="000000"/>
          <w:sz w:val="24"/>
        </w:rPr>
        <w:t xml:space="preserve">the primary judge should have dismissed grounds 5 and 6 (the contamination grounds) on the basis that Mr </w:t>
      </w:r>
      <w:r>
        <w:rPr>
          <w:rFonts w:ascii="Arial"/>
          <w:color w:val="000000"/>
          <w:sz w:val="24"/>
        </w:rPr>
        <w:t>Lahoud</w:t>
      </w:r>
      <w:r>
        <w:rPr>
          <w:rFonts w:ascii="Arial"/>
          <w:color w:val="000000"/>
          <w:sz w:val="24"/>
        </w:rPr>
        <w:t xml:space="preserve"> </w:t>
      </w:r>
      <w:r>
        <w:rPr>
          <w:rFonts w:ascii="Arial"/>
          <w:color w:val="000000"/>
          <w:sz w:val="24"/>
        </w:rPr>
        <w:t>failed to establish that the decision was affected by the jurisdictional errors alleged (</w:t>
      </w:r>
      <w:r>
        <w:rPr>
          <w:rFonts w:ascii="Arial"/>
          <w:color w:val="000000"/>
          <w:sz w:val="24"/>
        </w:rPr>
        <w:t>contention</w:t>
      </w:r>
      <w:r>
        <w:rPr>
          <w:rFonts w:ascii="Arial"/>
          <w:color w:val="000000"/>
          <w:sz w:val="24"/>
        </w:rPr>
        <w:t xml:space="preserve"> </w:t>
      </w:r>
      <w:r>
        <w:rPr>
          <w:rFonts w:ascii="Arial"/>
          <w:color w:val="000000"/>
          <w:sz w:val="24"/>
        </w:rPr>
        <w:t>4); and</w:t>
      </w:r>
    </w:p>
    <w:p>
      <w:pPr>
        <w:pStyle w:val="CaselawNumbereda"/>
        <w:numPr>
          <w:ilvl w:val="0"/>
          <w:numId w:val="25"/>
        </w:numPr>
        <w:spacing w:before="150" w:after="0"/>
        <w:ind w:left="2100" w:hanging="750"/>
      </w:pPr>
      <w:r>
        <w:rPr>
          <w:rFonts w:ascii="Arial"/>
          <w:color w:val="000000"/>
          <w:sz w:val="24"/>
        </w:rPr>
        <w:t>the primary judge should have considered Helm</w:t>
      </w:r>
      <w:r>
        <w:rPr>
          <w:rFonts w:ascii="Arial"/>
          <w:color w:val="000000"/>
          <w:sz w:val="24"/>
        </w:rPr>
        <w:t>’</w:t>
      </w:r>
      <w:r>
        <w:rPr>
          <w:rFonts w:ascii="Arial"/>
          <w:color w:val="000000"/>
          <w:sz w:val="24"/>
        </w:rPr>
        <w:t>s contention that even if the Panel</w:t>
      </w:r>
      <w:r>
        <w:rPr>
          <w:rFonts w:ascii="Arial"/>
          <w:color w:val="000000"/>
          <w:sz w:val="24"/>
        </w:rPr>
        <w:t>’</w:t>
      </w:r>
      <w:r>
        <w:rPr>
          <w:rFonts w:ascii="Arial"/>
          <w:color w:val="000000"/>
          <w:sz w:val="24"/>
        </w:rPr>
        <w:t>s decision was affected by jurisdictional error, the Court could make an order suspending the operation of the development consent and specify</w:t>
      </w:r>
      <w:r>
        <w:rPr>
          <w:rFonts w:ascii="Arial"/>
          <w:color w:val="000000"/>
          <w:sz w:val="24"/>
        </w:rPr>
        <w:t>ing</w:t>
      </w:r>
      <w:r>
        <w:rPr>
          <w:rFonts w:ascii="Arial"/>
          <w:color w:val="000000"/>
          <w:sz w:val="24"/>
        </w:rPr>
        <w:t xml:space="preserve"> </w:t>
      </w:r>
      <w:r>
        <w:rPr>
          <w:rFonts w:ascii="Arial"/>
          <w:color w:val="000000"/>
          <w:sz w:val="24"/>
        </w:rPr>
        <w:t>the terms that could validate the consent pursuant to s 25B of the Court Act (contention 5).</w:t>
      </w:r>
    </w:p>
    <w:p>
      <w:pPr>
        <w:pStyle w:val="CaselawNumbered10"/>
        <w:numPr>
          <w:ilvl w:val="0"/>
          <w:numId w:val="26"/>
        </w:numPr>
        <w:spacing w:before="150" w:after="0"/>
        <w:ind w:left="600" w:hanging="600"/>
      </w:pPr>
      <w:r>
        <w:rPr>
          <w:rFonts w:ascii="Arial"/>
          <w:color w:val="000000"/>
          <w:sz w:val="24"/>
        </w:rPr>
        <w:t>I will address each of the four categories of grounds of appeal, together with the contentions related to each category, before I address the contention that the judicial review proceedings</w:t>
      </w:r>
      <w:r>
        <w:rPr>
          <w:rFonts w:ascii="Arial"/>
          <w:color w:val="000000"/>
          <w:sz w:val="24"/>
        </w:rPr>
        <w:t xml:space="preserve"> </w:t>
      </w:r>
      <w:r>
        <w:rPr>
          <w:rFonts w:ascii="Arial"/>
          <w:color w:val="000000"/>
          <w:sz w:val="24"/>
        </w:rPr>
        <w:t xml:space="preserve">have been brought out of time. </w:t>
      </w:r>
    </w:p>
    <w:p>
      <w:pPr>
        <w:pStyle w:val="CaselawNumbered10"/>
        <w:numPr>
          <w:ilvl w:val="0"/>
          <w:numId w:val="26"/>
        </w:numPr>
        <w:spacing w:before="150" w:after="0"/>
        <w:ind w:left="600" w:hanging="600"/>
      </w:pPr>
      <w:r>
        <w:rPr>
          <w:rFonts w:ascii="Arial"/>
          <w:color w:val="000000"/>
          <w:sz w:val="24"/>
        </w:rPr>
        <w:t>I have determined that none of the grounds of challenge to the Panel</w:t>
      </w:r>
      <w:r>
        <w:rPr>
          <w:rFonts w:ascii="Arial"/>
          <w:color w:val="000000"/>
          <w:sz w:val="24"/>
        </w:rPr>
        <w:t>’</w:t>
      </w:r>
      <w:r>
        <w:rPr>
          <w:rFonts w:ascii="Arial"/>
          <w:color w:val="000000"/>
          <w:sz w:val="24"/>
        </w:rPr>
        <w:t xml:space="preserve">s decision </w:t>
      </w:r>
      <w:r>
        <w:rPr>
          <w:rFonts w:ascii="Arial"/>
          <w:color w:val="000000"/>
          <w:sz w:val="24"/>
        </w:rPr>
        <w:t>has</w:t>
      </w:r>
      <w:r>
        <w:rPr>
          <w:rFonts w:ascii="Arial"/>
          <w:color w:val="000000"/>
          <w:sz w:val="24"/>
        </w:rPr>
        <w:t xml:space="preserve"> </w:t>
      </w:r>
      <w:r>
        <w:rPr>
          <w:rFonts w:ascii="Arial"/>
          <w:color w:val="000000"/>
          <w:sz w:val="24"/>
        </w:rPr>
        <w:t>been established.</w:t>
      </w:r>
      <w:r>
        <w:rPr>
          <w:rFonts w:ascii="Arial"/>
          <w:color w:val="000000"/>
          <w:sz w:val="24"/>
        </w:rPr>
        <w:t xml:space="preserve"> </w:t>
      </w:r>
      <w:r>
        <w:rPr>
          <w:rFonts w:ascii="Arial"/>
          <w:color w:val="000000"/>
          <w:sz w:val="24"/>
        </w:rPr>
        <w:t>T</w:t>
      </w:r>
      <w:r>
        <w:rPr>
          <w:rFonts w:ascii="Arial"/>
          <w:color w:val="000000"/>
          <w:sz w:val="24"/>
        </w:rPr>
        <w:t>he grounds of appeal against the primary judge</w:t>
      </w:r>
      <w:r>
        <w:rPr>
          <w:rFonts w:ascii="Arial"/>
          <w:color w:val="000000"/>
          <w:sz w:val="24"/>
        </w:rPr>
        <w:t>’</w:t>
      </w:r>
      <w:r>
        <w:rPr>
          <w:rFonts w:ascii="Arial"/>
          <w:color w:val="000000"/>
          <w:sz w:val="24"/>
        </w:rPr>
        <w:t>s findings that certain grounds had not been established are rejected and the contentions against the primary judge</w:t>
      </w:r>
      <w:r>
        <w:rPr>
          <w:rFonts w:ascii="Arial"/>
          <w:color w:val="000000"/>
          <w:sz w:val="24"/>
        </w:rPr>
        <w:t>’</w:t>
      </w:r>
      <w:r>
        <w:rPr>
          <w:rFonts w:ascii="Arial"/>
          <w:color w:val="000000"/>
          <w:sz w:val="24"/>
        </w:rPr>
        <w:t>s findings that other grounds had been established are upheld. These conclusions make it unnecessary to address the ground</w:t>
      </w:r>
      <w:r>
        <w:rPr>
          <w:rFonts w:ascii="Arial"/>
          <w:color w:val="000000"/>
          <w:sz w:val="24"/>
        </w:rPr>
        <w:t>s</w:t>
      </w:r>
      <w:r>
        <w:rPr>
          <w:rFonts w:ascii="Arial"/>
          <w:color w:val="000000"/>
          <w:sz w:val="24"/>
        </w:rPr>
        <w:t xml:space="preserve"> </w:t>
      </w:r>
      <w:r>
        <w:rPr>
          <w:rFonts w:ascii="Arial"/>
          <w:color w:val="000000"/>
          <w:sz w:val="24"/>
        </w:rPr>
        <w:t>of appeal and the contention concerning the primary judge</w:t>
      </w:r>
      <w:r>
        <w:rPr>
          <w:rFonts w:ascii="Arial"/>
          <w:color w:val="000000"/>
          <w:sz w:val="24"/>
        </w:rPr>
        <w:t>’</w:t>
      </w:r>
      <w:r>
        <w:rPr>
          <w:rFonts w:ascii="Arial"/>
          <w:color w:val="000000"/>
          <w:sz w:val="24"/>
        </w:rPr>
        <w:t xml:space="preserve">s </w:t>
      </w:r>
      <w:r>
        <w:rPr>
          <w:rFonts w:ascii="Arial"/>
          <w:color w:val="000000"/>
          <w:sz w:val="24"/>
        </w:rPr>
        <w:t xml:space="preserve">various </w:t>
      </w:r>
      <w:r>
        <w:rPr>
          <w:rFonts w:ascii="Arial"/>
          <w:color w:val="000000"/>
          <w:sz w:val="24"/>
        </w:rPr>
        <w:t>exercise</w:t>
      </w:r>
      <w:r>
        <w:rPr>
          <w:rFonts w:ascii="Arial"/>
          <w:color w:val="000000"/>
          <w:sz w:val="24"/>
        </w:rPr>
        <w:t>s</w:t>
      </w:r>
      <w:r>
        <w:rPr>
          <w:rFonts w:ascii="Arial"/>
          <w:color w:val="000000"/>
          <w:sz w:val="24"/>
        </w:rPr>
        <w:t xml:space="preserve"> </w:t>
      </w:r>
      <w:r>
        <w:rPr>
          <w:rFonts w:ascii="Arial"/>
          <w:color w:val="000000"/>
          <w:sz w:val="24"/>
        </w:rPr>
        <w:t>of discretion to decline to grant relief.</w:t>
      </w:r>
    </w:p>
    <w:p>
      <w:pPr>
        <w:pStyle w:val="CaselawHeading2"/>
        <w:keepNext/>
        <w:spacing w:before="150" w:after="150" w:line="264"/>
        <w:ind w:left="0"/>
        <w:jc w:val="left"/>
      </w:pPr>
      <w:r>
        <w:rPr>
          <w:rFonts w:ascii="Arial"/>
        </w:rPr>
        <w:t>The height standard</w:t>
      </w:r>
      <w:r>
        <w:rPr>
          <w:rFonts w:ascii="Arial"/>
        </w:rPr>
        <w:t xml:space="preserve"> grounds</w:t>
      </w:r>
    </w:p>
    <w:p>
      <w:pPr>
        <w:pStyle w:val="CaselawNumbered10"/>
        <w:numPr>
          <w:ilvl w:val="0"/>
          <w:numId w:val="27"/>
        </w:numPr>
        <w:spacing w:before="150" w:after="0"/>
        <w:ind w:left="600" w:hanging="600"/>
      </w:pPr>
      <w:r>
        <w:rPr>
          <w:rFonts w:ascii="Arial"/>
          <w:color w:val="000000"/>
          <w:sz w:val="24"/>
        </w:rPr>
        <w:t>The development included erecting an additional level (Level 4) on the existing building to provide two 3-bedroom apartments. The additional level increased the height of the building to 18.08m</w:t>
      </w:r>
      <w:r>
        <w:rPr>
          <w:rFonts w:ascii="Arial"/>
          <w:color w:val="000000"/>
          <w:sz w:val="24"/>
        </w:rPr>
        <w:t>.</w:t>
      </w:r>
      <w:r>
        <w:rPr>
          <w:rFonts w:ascii="Arial"/>
          <w:color w:val="000000"/>
          <w:sz w:val="24"/>
        </w:rPr>
        <w:t xml:space="preserve"> </w:t>
      </w:r>
      <w:r>
        <w:rPr>
          <w:rFonts w:ascii="Arial"/>
          <w:color w:val="000000"/>
          <w:sz w:val="24"/>
        </w:rPr>
        <w:t>U</w:t>
      </w:r>
      <w:r>
        <w:rPr>
          <w:rFonts w:ascii="Arial"/>
          <w:color w:val="000000"/>
          <w:sz w:val="24"/>
        </w:rPr>
        <w:t>nder cl 4.3 of WLEP, the maximum height of a building on the land is 14m. The development application was accompanied by a written request under c</w:t>
      </w:r>
      <w:r>
        <w:rPr>
          <w:rFonts w:ascii="Arial"/>
          <w:color w:val="000000"/>
          <w:sz w:val="24"/>
        </w:rPr>
        <w:t>l</w:t>
      </w:r>
      <w:r>
        <w:rPr>
          <w:rFonts w:ascii="Arial"/>
          <w:color w:val="000000"/>
          <w:sz w:val="24"/>
        </w:rPr>
        <w:t xml:space="preserve"> </w:t>
      </w:r>
      <w:r>
        <w:rPr>
          <w:rFonts w:ascii="Arial"/>
          <w:color w:val="000000"/>
          <w:sz w:val="24"/>
        </w:rPr>
        <w:t>4.6 of WLEP that sought to justify the contravention of the height standard.</w:t>
      </w:r>
    </w:p>
    <w:p>
      <w:pPr>
        <w:pStyle w:val="CaselawNumbered10"/>
        <w:numPr>
          <w:ilvl w:val="0"/>
          <w:numId w:val="27"/>
        </w:numPr>
        <w:spacing w:before="150" w:after="0"/>
        <w:ind w:left="600" w:hanging="600"/>
      </w:pPr>
      <w:r>
        <w:rPr>
          <w:rFonts w:ascii="Arial"/>
          <w:color w:val="000000"/>
          <w:sz w:val="24"/>
        </w:rPr>
        <w:t>On 29 June 2021, the Panel considered the written request, as required by cl 4.6(3), and stated that it was satisfied of the matters in cl 4.6(4).</w:t>
      </w:r>
      <w:r>
        <w:rPr>
          <w:rFonts w:ascii="Arial"/>
          <w:color w:val="000000"/>
          <w:sz w:val="24"/>
        </w:rPr>
        <w:t xml:space="preserve"> </w:t>
      </w:r>
      <w:r>
        <w:rPr>
          <w:rFonts w:ascii="Arial"/>
          <w:color w:val="000000"/>
          <w:sz w:val="24"/>
        </w:rPr>
        <w:t>The Panel stated:</w:t>
      </w:r>
    </w:p>
    <w:p>
      <w:pPr>
        <w:pStyle w:val="CaselawQuote"/>
        <w:spacing w:before="150" w:after="150"/>
        <w:ind w:left="1350"/>
        <w:jc w:val="left"/>
      </w:pPr>
      <w:r>
        <w:rPr>
          <w:rFonts w:ascii="Arial"/>
          <w:color w:val="000000"/>
          <w:sz w:val="22"/>
        </w:rPr>
        <w:t>“The Panel is satisfied that:</w:t>
      </w:r>
    </w:p>
    <w:p>
      <w:pPr>
        <w:pStyle w:val="CaselawQuote"/>
        <w:spacing w:before="150" w:after="150"/>
        <w:ind w:left="1350"/>
        <w:jc w:val="left"/>
      </w:pPr>
      <w:r>
        <w:rPr>
          <w:rFonts w:ascii="Arial"/>
          <w:color w:val="000000"/>
          <w:sz w:val="22"/>
        </w:rPr>
        <w:t xml:space="preserve">a) the applicant’s written request </w:t>
      </w:r>
      <w:r>
        <w:rPr>
          <w:rFonts w:ascii="Arial"/>
          <w:color w:val="000000"/>
          <w:sz w:val="22"/>
        </w:rPr>
        <w:t>adequately addresses</w:t>
      </w:r>
      <w:r>
        <w:rPr>
          <w:rFonts w:ascii="Arial"/>
          <w:color w:val="000000"/>
          <w:sz w:val="22"/>
        </w:rPr>
        <w:t xml:space="preserve"> the matters required to be addressed under cl 4.6(3) of the </w:t>
      </w:r>
      <w:r>
        <w:rPr>
          <w:rFonts w:ascii="Arial"/>
          <w:i/>
          <w:color w:val="000000"/>
          <w:sz w:val="22"/>
        </w:rPr>
        <w:t>LEP</w:t>
      </w:r>
      <w:r>
        <w:rPr>
          <w:rFonts w:ascii="Arial"/>
          <w:color w:val="000000"/>
          <w:sz w:val="22"/>
        </w:rPr>
        <w:t>;</w:t>
      </w:r>
    </w:p>
    <w:p>
      <w:pPr>
        <w:pStyle w:val="CaselawQuote"/>
        <w:spacing w:before="150" w:after="150"/>
        <w:ind w:left="1350"/>
        <w:jc w:val="left"/>
      </w:pPr>
      <w:r>
        <w:rPr>
          <w:rFonts w:ascii="Arial"/>
          <w:color w:val="000000"/>
          <w:sz w:val="22"/>
        </w:rPr>
        <w:t xml:space="preserve">a) the development is in the public interest because it is consistent with the objectives of cl. 4.3 (Height of building) of the </w:t>
      </w:r>
      <w:r>
        <w:rPr>
          <w:rFonts w:ascii="Arial"/>
          <w:i/>
          <w:color w:val="000000"/>
          <w:sz w:val="22"/>
        </w:rPr>
        <w:t>LEP</w:t>
      </w:r>
      <w:r>
        <w:rPr>
          <w:rFonts w:ascii="Arial"/>
          <w:color w:val="000000"/>
          <w:sz w:val="22"/>
        </w:rPr>
        <w:t xml:space="preserve"> and the objectives for development in the B2 Local Centre zone; and</w:t>
      </w:r>
    </w:p>
    <w:p>
      <w:pPr>
        <w:pStyle w:val="CaselawQuote"/>
        <w:spacing w:before="150" w:after="150"/>
        <w:ind w:left="1350"/>
        <w:jc w:val="left"/>
      </w:pPr>
      <w:r>
        <w:rPr>
          <w:rFonts w:ascii="Arial"/>
          <w:color w:val="000000"/>
          <w:sz w:val="22"/>
        </w:rPr>
        <w:t>b) the concurrence of the Secretary has been assumed.”</w:t>
      </w:r>
    </w:p>
    <w:p>
      <w:pPr>
        <w:pStyle w:val="CaselawNumbered10"/>
        <w:numPr>
          <w:ilvl w:val="0"/>
          <w:numId w:val="28"/>
        </w:numPr>
        <w:spacing w:before="150" w:after="0"/>
        <w:ind w:left="600" w:hanging="600"/>
      </w:pPr>
      <w:r>
        <w:rPr>
          <w:rFonts w:ascii="Arial"/>
          <w:color w:val="000000"/>
          <w:sz w:val="24"/>
        </w:rPr>
        <w:t>The Panel gave reasons for this satisfaction</w:t>
      </w:r>
      <w:r>
        <w:rPr>
          <w:rFonts w:ascii="Arial"/>
          <w:color w:val="000000"/>
          <w:sz w:val="24"/>
        </w:rPr>
        <w:t xml:space="preserve"> </w:t>
      </w:r>
      <w:r>
        <w:rPr>
          <w:rFonts w:ascii="Arial"/>
          <w:color w:val="000000"/>
          <w:sz w:val="24"/>
        </w:rPr>
        <w:t>as being</w:t>
      </w:r>
      <w:r>
        <w:rPr>
          <w:rFonts w:ascii="Arial"/>
          <w:color w:val="000000"/>
          <w:sz w:val="24"/>
        </w:rPr>
        <w:t xml:space="preserve"> </w:t>
      </w:r>
      <w:r>
        <w:rPr>
          <w:rFonts w:ascii="Arial"/>
          <w:color w:val="000000"/>
          <w:sz w:val="24"/>
        </w:rPr>
        <w:t>“</w:t>
      </w:r>
      <w:r>
        <w:rPr>
          <w:rFonts w:ascii="Arial"/>
          <w:color w:val="000000"/>
          <w:sz w:val="24"/>
        </w:rPr>
        <w:t>[t]he reason</w:t>
      </w:r>
      <w:r>
        <w:rPr>
          <w:rFonts w:ascii="Arial"/>
          <w:color w:val="000000"/>
          <w:sz w:val="24"/>
        </w:rPr>
        <w:t>s</w:t>
      </w:r>
      <w:r>
        <w:rPr>
          <w:rFonts w:ascii="Arial"/>
          <w:color w:val="000000"/>
          <w:sz w:val="24"/>
        </w:rPr>
        <w:t xml:space="preserve"> </w:t>
      </w:r>
      <w:r>
        <w:rPr>
          <w:rFonts w:ascii="Arial"/>
          <w:color w:val="000000"/>
          <w:sz w:val="24"/>
        </w:rPr>
        <w:t>outlined in the Council assessment report</w:t>
      </w:r>
      <w:r>
        <w:rPr>
          <w:rFonts w:ascii="Arial"/>
          <w:color w:val="000000"/>
          <w:sz w:val="24"/>
        </w:rPr>
        <w:t xml:space="preserve">” </w:t>
      </w:r>
      <w:r>
        <w:rPr>
          <w:rFonts w:ascii="Arial"/>
          <w:color w:val="000000"/>
          <w:sz w:val="24"/>
        </w:rPr>
        <w:t>and, in relation to cl 4.6 of WLEP, the following reason:</w:t>
      </w:r>
    </w:p>
    <w:p>
      <w:pPr>
        <w:pStyle w:val="CaselawQuote"/>
        <w:spacing w:before="150" w:after="150"/>
        <w:ind w:left="1350"/>
        <w:jc w:val="left"/>
      </w:pPr>
      <w:r>
        <w:rPr>
          <w:rFonts w:ascii="Arial"/>
          <w:color w:val="000000"/>
          <w:sz w:val="22"/>
        </w:rPr>
        <w:t xml:space="preserve">“1. Supports, subject to conditions, the Clause 4.6 exception contained in </w:t>
      </w:r>
      <w:r>
        <w:rPr>
          <w:rFonts w:ascii="Arial"/>
          <w:i/>
          <w:color w:val="000000"/>
          <w:sz w:val="22"/>
        </w:rPr>
        <w:t>Attachment 4</w:t>
      </w:r>
      <w:r>
        <w:rPr>
          <w:rFonts w:ascii="Arial"/>
          <w:color w:val="000000"/>
          <w:sz w:val="22"/>
        </w:rPr>
        <w:t xml:space="preserve"> as it is considered unreasonable and unnecessary to comply with the development standard of Clause 4.3 </w:t>
      </w:r>
      <w:r>
        <w:rPr>
          <w:rFonts w:ascii="Arial"/>
          <w:i/>
          <w:color w:val="000000"/>
          <w:sz w:val="22"/>
        </w:rPr>
        <w:t>Willoughby Local Environmental Plan 2012</w:t>
      </w:r>
      <w:r>
        <w:rPr>
          <w:rFonts w:ascii="Arial"/>
          <w:color w:val="000000"/>
          <w:sz w:val="22"/>
        </w:rPr>
        <w:t xml:space="preserve"> (Height of buildings) as the height of the proposed development exceeds the development standard.</w:t>
      </w:r>
    </w:p>
    <w:p>
      <w:pPr>
        <w:pStyle w:val="CaselawQuote"/>
        <w:spacing w:before="150" w:after="150"/>
        <w:ind w:left="1350"/>
        <w:jc w:val="left"/>
      </w:pPr>
      <w:r>
        <w:rPr>
          <w:rFonts w:ascii="Arial"/>
          <w:color w:val="000000"/>
          <w:sz w:val="22"/>
        </w:rPr>
        <w:t xml:space="preserve">a) </w:t>
      </w:r>
      <w:r>
        <w:rPr>
          <w:rFonts w:ascii="Arial"/>
          <w:color w:val="000000"/>
          <w:sz w:val="22"/>
        </w:rPr>
        <w:t>The proposed building has architectural merit compared with existing, providing for a shop-top development that complies with the maximum floor space ratio control, occupies a similar footprint to existing and continues to read as of a comparable scale with the immediate adjoining buildings to the east.</w:t>
      </w:r>
    </w:p>
    <w:p>
      <w:pPr>
        <w:pStyle w:val="CaselawQuote"/>
        <w:spacing w:before="150" w:after="150"/>
        <w:ind w:left="1350"/>
        <w:jc w:val="left"/>
      </w:pPr>
      <w:r>
        <w:rPr>
          <w:rFonts w:ascii="Arial"/>
          <w:color w:val="000000"/>
          <w:sz w:val="22"/>
        </w:rPr>
        <w:t>b) Subject to conditions, the proposal is consistent with the objectives of the height standards and consistent with the objectives of the B2 Local Centre zoning.</w:t>
      </w:r>
    </w:p>
    <w:p>
      <w:pPr>
        <w:pStyle w:val="CaselawQuote"/>
        <w:spacing w:before="150" w:after="150"/>
        <w:ind w:left="1350"/>
        <w:jc w:val="left"/>
      </w:pPr>
      <w:r>
        <w:rPr>
          <w:rFonts w:ascii="Arial"/>
          <w:color w:val="000000"/>
          <w:sz w:val="22"/>
        </w:rPr>
        <w:t xml:space="preserve">c) Subject to conditions, the proposal is of a similar scale and bulk able to be built with DA-2014/241; part of the height breach is due to the lift overrun, </w:t>
      </w:r>
      <w:r>
        <w:rPr>
          <w:rFonts w:ascii="Arial"/>
          <w:color w:val="000000"/>
          <w:sz w:val="22"/>
        </w:rPr>
        <w:t>similar to</w:t>
      </w:r>
      <w:r>
        <w:rPr>
          <w:rFonts w:ascii="Arial"/>
          <w:color w:val="000000"/>
          <w:sz w:val="22"/>
        </w:rPr>
        <w:t xml:space="preserve"> existing lift overrun height</w:t>
      </w:r>
      <w:r>
        <w:rPr>
          <w:rFonts w:ascii="Arial"/>
          <w:color w:val="000000"/>
          <w:sz w:val="22"/>
        </w:rPr>
        <w:t>.”</w:t>
      </w:r>
    </w:p>
    <w:p>
      <w:pPr>
        <w:pStyle w:val="CaselawNumbered10"/>
        <w:numPr>
          <w:ilvl w:val="0"/>
          <w:numId w:val="29"/>
        </w:numPr>
        <w:spacing w:before="150" w:after="0"/>
        <w:ind w:left="600" w:hanging="600"/>
      </w:pPr>
      <w:r>
        <w:rPr>
          <w:rFonts w:ascii="Arial"/>
          <w:color w:val="000000"/>
          <w:sz w:val="24"/>
        </w:rPr>
        <w:t xml:space="preserve">The reference to the proposal being of </w:t>
      </w:r>
      <w:r>
        <w:rPr>
          <w:rFonts w:ascii="Arial"/>
          <w:color w:val="000000"/>
          <w:sz w:val="24"/>
        </w:rPr>
        <w:t>“</w:t>
      </w:r>
      <w:r>
        <w:rPr>
          <w:rFonts w:ascii="Arial"/>
          <w:color w:val="000000"/>
          <w:sz w:val="24"/>
        </w:rPr>
        <w:t>a comparable scale with the immediate adjoining buildings to the east</w:t>
      </w:r>
      <w:r>
        <w:rPr>
          <w:rFonts w:ascii="Arial"/>
          <w:color w:val="000000"/>
          <w:sz w:val="24"/>
        </w:rPr>
        <w:t xml:space="preserve">” </w:t>
      </w:r>
      <w:r>
        <w:rPr>
          <w:rFonts w:ascii="Arial"/>
          <w:color w:val="000000"/>
          <w:sz w:val="24"/>
        </w:rPr>
        <w:t xml:space="preserve">and being of </w:t>
      </w:r>
      <w:r>
        <w:rPr>
          <w:rFonts w:ascii="Arial"/>
          <w:color w:val="000000"/>
          <w:sz w:val="24"/>
        </w:rPr>
        <w:t>“</w:t>
      </w:r>
      <w:r>
        <w:rPr>
          <w:rFonts w:ascii="Arial"/>
          <w:color w:val="000000"/>
          <w:sz w:val="24"/>
        </w:rPr>
        <w:t>a similar scale and bulk</w:t>
      </w:r>
      <w:r>
        <w:rPr>
          <w:rFonts w:ascii="Arial"/>
          <w:color w:val="000000"/>
          <w:sz w:val="24"/>
        </w:rPr>
        <w:t xml:space="preserve">” </w:t>
      </w:r>
      <w:r>
        <w:rPr>
          <w:rFonts w:ascii="Arial"/>
          <w:color w:val="000000"/>
          <w:sz w:val="24"/>
        </w:rPr>
        <w:t xml:space="preserve">reflected the fact that the neighbouring building to the east, which was owned in part by companies associated with Mr </w:t>
      </w:r>
      <w:r>
        <w:rPr>
          <w:rFonts w:ascii="Arial"/>
          <w:color w:val="000000"/>
          <w:sz w:val="24"/>
        </w:rPr>
        <w:t>Lahoud</w:t>
      </w:r>
      <w:r>
        <w:rPr>
          <w:rFonts w:ascii="Arial"/>
          <w:color w:val="000000"/>
          <w:sz w:val="24"/>
        </w:rPr>
        <w:t>, and subject to the same height control, was larger and taller than what was proposed by Helm.</w:t>
      </w:r>
    </w:p>
    <w:p>
      <w:pPr>
        <w:pStyle w:val="CaselawNumbered10"/>
        <w:numPr>
          <w:ilvl w:val="0"/>
          <w:numId w:val="29"/>
        </w:numPr>
        <w:spacing w:before="150" w:after="0"/>
        <w:ind w:left="600" w:hanging="600"/>
      </w:pPr>
      <w:r>
        <w:rPr>
          <w:rFonts w:ascii="Arial"/>
          <w:color w:val="000000"/>
          <w:sz w:val="24"/>
        </w:rPr>
        <w:t xml:space="preserve">The conditions to which the Panel referred included conditions 1 and 2. Condition 1 required that: </w:t>
      </w:r>
    </w:p>
    <w:p>
      <w:pPr>
        <w:pStyle w:val="CaselawQuote"/>
        <w:spacing w:before="150" w:after="150"/>
        <w:ind w:left="1350"/>
        <w:jc w:val="left"/>
      </w:pPr>
      <w:r>
        <w:rPr>
          <w:rFonts w:ascii="Arial"/>
          <w:color w:val="000000"/>
          <w:sz w:val="22"/>
        </w:rPr>
        <w:t>“The development must be in accordance with the following consent plans electronically stamped by Council: [</w:t>
      </w:r>
      <w:r>
        <w:rPr>
          <w:rFonts w:ascii="Arial"/>
          <w:color w:val="000000"/>
          <w:sz w:val="22"/>
        </w:rPr>
        <w:t xml:space="preserve">the plans are then </w:t>
      </w:r>
      <w:r>
        <w:rPr>
          <w:rFonts w:ascii="Arial"/>
          <w:color w:val="000000"/>
          <w:sz w:val="22"/>
        </w:rPr>
        <w:t>itemised]…</w:t>
      </w:r>
      <w:r>
        <w:rPr>
          <w:rFonts w:ascii="Arial"/>
          <w:color w:val="000000"/>
          <w:sz w:val="22"/>
        </w:rPr>
        <w:t xml:space="preserve"> the application form and any other supporting documentation submitted as part of the application, </w:t>
      </w:r>
      <w:r>
        <w:rPr>
          <w:rFonts w:ascii="Arial"/>
          <w:color w:val="000000"/>
          <w:sz w:val="22"/>
        </w:rPr>
        <w:t>except for</w:t>
      </w:r>
      <w:r>
        <w:rPr>
          <w:rFonts w:ascii="Arial"/>
          <w:color w:val="000000"/>
          <w:sz w:val="22"/>
        </w:rPr>
        <w:t>:</w:t>
      </w:r>
    </w:p>
    <w:p>
      <w:pPr>
        <w:pStyle w:val="CaselawQuote0"/>
        <w:spacing w:before="150" w:after="150"/>
        <w:ind w:left="2100"/>
        <w:jc w:val="left"/>
      </w:pPr>
      <w:r>
        <w:rPr>
          <w:rFonts w:ascii="Arial"/>
          <w:color w:val="000000"/>
          <w:sz w:val="22"/>
        </w:rPr>
        <w:t>(a) …</w:t>
      </w:r>
    </w:p>
    <w:p>
      <w:pPr>
        <w:pStyle w:val="CaselawQuote0"/>
        <w:spacing w:before="150" w:after="150"/>
        <w:ind w:left="2100"/>
        <w:jc w:val="left"/>
      </w:pPr>
      <w:r>
        <w:rPr>
          <w:rFonts w:ascii="Arial"/>
          <w:color w:val="000000"/>
          <w:sz w:val="22"/>
        </w:rPr>
        <w:t>(b) otherwise provided by the conditions of this consent.”</w:t>
      </w:r>
    </w:p>
    <w:p>
      <w:pPr>
        <w:pStyle w:val="CaselawNumbered10"/>
        <w:numPr>
          <w:ilvl w:val="0"/>
          <w:numId w:val="30"/>
        </w:numPr>
        <w:spacing w:before="150" w:after="0"/>
        <w:ind w:left="600" w:hanging="600"/>
      </w:pPr>
      <w:r>
        <w:rPr>
          <w:rFonts w:ascii="Arial"/>
          <w:color w:val="000000"/>
          <w:sz w:val="24"/>
        </w:rPr>
        <w:t xml:space="preserve">One of the conditions of consent </w:t>
      </w:r>
      <w:r>
        <w:rPr>
          <w:rFonts w:ascii="Arial"/>
          <w:color w:val="000000"/>
          <w:sz w:val="24"/>
        </w:rPr>
        <w:t xml:space="preserve">to </w:t>
      </w:r>
      <w:r>
        <w:rPr>
          <w:rFonts w:ascii="Arial"/>
          <w:color w:val="000000"/>
          <w:sz w:val="24"/>
        </w:rPr>
        <w:t>which condition 1(b) referred was condition 2. Condition 2 amended the development shown in the architectural plans identified in condition 1. Condition 2 provided:</w:t>
      </w:r>
    </w:p>
    <w:p>
      <w:pPr>
        <w:pStyle w:val="CaselawQuote"/>
        <w:spacing w:before="150" w:after="150"/>
        <w:ind w:left="1350"/>
        <w:jc w:val="left"/>
      </w:pPr>
      <w:r>
        <w:rPr>
          <w:rFonts w:ascii="Arial"/>
          <w:color w:val="000000"/>
          <w:sz w:val="22"/>
        </w:rPr>
        <w:t>“Prior to the issue of the Construction Certificate, the proposal is to be amended in the following manner:</w:t>
      </w:r>
    </w:p>
    <w:p>
      <w:pPr>
        <w:pStyle w:val="CaselawQuote0"/>
        <w:spacing w:before="150" w:after="150"/>
        <w:ind w:left="2100"/>
        <w:jc w:val="left"/>
      </w:pPr>
      <w:r>
        <w:rPr>
          <w:rFonts w:ascii="Arial"/>
          <w:color w:val="000000"/>
          <w:sz w:val="22"/>
        </w:rPr>
        <w:t xml:space="preserve">(a) </w:t>
      </w:r>
      <w:r>
        <w:rPr>
          <w:rFonts w:ascii="Arial"/>
          <w:color w:val="000000"/>
          <w:sz w:val="22"/>
        </w:rPr>
        <w:t>In order to maintain views obtained from adjoining Apartment 31 at 135-</w:t>
      </w:r>
      <w:r>
        <w:rPr>
          <w:rFonts w:ascii="Arial"/>
          <w:color w:val="000000"/>
          <w:sz w:val="22"/>
        </w:rPr>
        <w:t xml:space="preserve">145 Sailors Bay Road, Apartment 402 at Level 4 shall be re-designed to a smaller size </w:t>
      </w:r>
      <w:r>
        <w:rPr>
          <w:rFonts w:ascii="Arial"/>
          <w:color w:val="000000"/>
          <w:sz w:val="22"/>
        </w:rPr>
        <w:t>in order to</w:t>
      </w:r>
      <w:r>
        <w:rPr>
          <w:rFonts w:ascii="Arial"/>
          <w:color w:val="000000"/>
          <w:sz w:val="22"/>
        </w:rPr>
        <w:t xml:space="preserve"> ensure that, with exception of the balcony, built spaces do not extents [sic] </w:t>
      </w:r>
      <w:r>
        <w:rPr>
          <w:rFonts w:ascii="Arial"/>
          <w:color w:val="000000"/>
          <w:sz w:val="22"/>
        </w:rPr>
        <w:t>further than 22.75m from rear boundary of the site. About 51m</w:t>
      </w:r>
      <w:r>
        <w:rPr>
          <w:rFonts w:ascii="Arial"/>
          <w:color w:val="000000"/>
          <w:sz w:val="22"/>
        </w:rPr>
        <w:t xml:space="preserve">2 </w:t>
      </w:r>
      <w:r>
        <w:rPr>
          <w:rFonts w:ascii="Arial"/>
          <w:color w:val="000000"/>
          <w:sz w:val="22"/>
        </w:rPr>
        <w:t>of gross floor area are expected to be deleted from rear of Level 4. The size of Apartment 402 is expected to be a two-bedroom apartment with media</w:t>
      </w:r>
      <w:r>
        <w:rPr>
          <w:rFonts w:ascii="Arial"/>
          <w:b/>
          <w:color w:val="000000"/>
          <w:sz w:val="22"/>
        </w:rPr>
        <w:t>, or a three-bedroom apartment</w:t>
      </w:r>
      <w:r>
        <w:rPr>
          <w:rFonts w:ascii="Arial"/>
          <w:color w:val="000000"/>
          <w:sz w:val="22"/>
        </w:rPr>
        <w:t xml:space="preserve"> or a two-bedroom apartment with a larger living/dining area.</w:t>
      </w:r>
    </w:p>
    <w:p>
      <w:pPr>
        <w:pStyle w:val="CaselawQuote0"/>
        <w:spacing w:before="150" w:after="150"/>
        <w:ind w:left="2100"/>
        <w:jc w:val="left"/>
      </w:pPr>
      <w:r>
        <w:rPr>
          <w:rFonts w:ascii="Arial"/>
          <w:color w:val="000000"/>
          <w:sz w:val="22"/>
        </w:rPr>
        <w:t xml:space="preserve">The balcony associated with Apartment 402 shall remain of same size and proportion (or smaller) and be relocated to adjoin the smaller, re-configured Apartment 402. This balcony shall not expand further towards east. The </w:t>
      </w:r>
      <w:r>
        <w:rPr>
          <w:rFonts w:ascii="Arial"/>
          <w:color w:val="000000"/>
          <w:sz w:val="22"/>
        </w:rPr>
        <w:t>roof above this balcony</w:t>
      </w:r>
      <w:r>
        <w:rPr>
          <w:rFonts w:ascii="Arial"/>
          <w:color w:val="000000"/>
          <w:sz w:val="22"/>
        </w:rPr>
        <w:t xml:space="preserve"> shall extend over maximum half of the width of this balcony, with a similar shape to the one dotted on Level 4 plan.</w:t>
      </w:r>
    </w:p>
    <w:p>
      <w:pPr>
        <w:pStyle w:val="CaselawQuote0"/>
        <w:spacing w:before="150" w:after="150"/>
        <w:ind w:left="2100"/>
        <w:jc w:val="left"/>
      </w:pPr>
      <w:r>
        <w:rPr>
          <w:rFonts w:ascii="Arial"/>
          <w:color w:val="000000"/>
          <w:sz w:val="22"/>
        </w:rPr>
        <w:t>The Eastern side of this balcony shall have a fixed permanent privacy screen made from opaque glass or having vertical, solid, angled blades preventing line of site into adjoining apartments at 135-145 Sailors Bay Road. The privacy screen of the balcony shall be up to maximum 1.5m height, when measured from the finished level of the balcony.</w:t>
      </w:r>
    </w:p>
    <w:p>
      <w:pPr>
        <w:pStyle w:val="CaselawQuote0"/>
        <w:spacing w:before="150" w:after="150"/>
        <w:ind w:left="2100"/>
        <w:jc w:val="left"/>
      </w:pPr>
      <w:r>
        <w:rPr>
          <w:rFonts w:ascii="Arial"/>
          <w:color w:val="000000"/>
          <w:sz w:val="22"/>
        </w:rPr>
        <w:t xml:space="preserve">With the exception of the balcony described above, the remainder of the roof over the level 3 below (from northern edge of the building up to 22.75m from rear boundary of the site) shall be marked on plans to be </w:t>
      </w:r>
      <w:r>
        <w:rPr>
          <w:rFonts w:ascii="Arial"/>
          <w:color w:val="000000"/>
          <w:sz w:val="22"/>
        </w:rPr>
        <w:t>Non Trafficable</w:t>
      </w:r>
      <w:r>
        <w:rPr>
          <w:rFonts w:ascii="Arial"/>
          <w:color w:val="000000"/>
          <w:sz w:val="22"/>
        </w:rPr>
        <w:t xml:space="preserve"> Roof.</w:t>
      </w:r>
    </w:p>
    <w:p>
      <w:pPr>
        <w:pStyle w:val="CaselawQuote0"/>
        <w:spacing w:before="150" w:after="150"/>
        <w:ind w:left="2100"/>
        <w:jc w:val="left"/>
      </w:pPr>
      <w:r>
        <w:rPr>
          <w:rFonts w:ascii="Arial"/>
          <w:color w:val="000000"/>
          <w:sz w:val="22"/>
        </w:rPr>
        <w:t>(b) In order to preserve the amenity of units located at 135-145 Sailors Bay Road, all windows located on the residential levels on the eastern elevation shall be constructed of translucent glazing and maintained as such throughout the lifetime of the building. All privacy screens located on the eastern elevation are to be fixed and built in such a manner to prevent lines of sight into adjoining apartments at 135-145 Sailors Bay Road.</w:t>
      </w:r>
    </w:p>
    <w:p>
      <w:pPr>
        <w:pStyle w:val="CaselawQuote0"/>
        <w:spacing w:before="150" w:after="150"/>
        <w:ind w:left="2100"/>
        <w:jc w:val="left"/>
      </w:pPr>
      <w:r>
        <w:rPr>
          <w:rFonts w:ascii="Arial"/>
          <w:color w:val="000000"/>
          <w:sz w:val="22"/>
        </w:rPr>
        <w:t xml:space="preserve">(c) Artificial lighting in the courtyards and lobby areas should be oriented in such a manner to ensure minimal nuisance for adjoining properties. Artificial lighting in these areas should automatically turn off when no person </w:t>
      </w:r>
      <w:r>
        <w:rPr>
          <w:rFonts w:ascii="Arial"/>
          <w:color w:val="000000"/>
          <w:sz w:val="22"/>
        </w:rPr>
        <w:t>present</w:t>
      </w:r>
      <w:r>
        <w:rPr>
          <w:rFonts w:ascii="Arial"/>
          <w:color w:val="000000"/>
          <w:sz w:val="22"/>
        </w:rPr>
        <w:t xml:space="preserve"> in these common spaces.</w:t>
      </w:r>
    </w:p>
    <w:p>
      <w:pPr>
        <w:pStyle w:val="CaselawQuote0"/>
        <w:spacing w:before="150" w:after="150"/>
        <w:ind w:left="2100"/>
        <w:jc w:val="left"/>
      </w:pPr>
      <w:r>
        <w:rPr>
          <w:rFonts w:ascii="Arial"/>
          <w:color w:val="000000"/>
          <w:sz w:val="22"/>
        </w:rPr>
        <w:t xml:space="preserve">(d) No encroachments outside the subject site are permitted for Level 2, </w:t>
      </w:r>
      <w:r>
        <w:rPr>
          <w:rFonts w:ascii="Arial"/>
          <w:b/>
          <w:color w:val="000000"/>
          <w:sz w:val="22"/>
        </w:rPr>
        <w:t xml:space="preserve">Level </w:t>
      </w:r>
      <w:r>
        <w:rPr>
          <w:rFonts w:ascii="Arial"/>
          <w:b/>
          <w:color w:val="000000"/>
          <w:sz w:val="22"/>
        </w:rPr>
        <w:t>3</w:t>
      </w:r>
      <w:r>
        <w:rPr>
          <w:rFonts w:ascii="Arial"/>
          <w:b/>
          <w:color w:val="000000"/>
          <w:sz w:val="22"/>
        </w:rPr>
        <w:t xml:space="preserve"> and Level 4</w:t>
      </w:r>
      <w:r>
        <w:rPr>
          <w:rFonts w:ascii="Arial"/>
          <w:b/>
          <w:color w:val="000000"/>
          <w:sz w:val="22"/>
        </w:rPr>
        <w:t xml:space="preserve"> and above,</w:t>
      </w:r>
      <w:r>
        <w:rPr>
          <w:rFonts w:ascii="Arial"/>
          <w:color w:val="000000"/>
          <w:sz w:val="22"/>
        </w:rPr>
        <w:t xml:space="preserve"> except for planter boxes </w:t>
      </w:r>
      <w:r>
        <w:rPr>
          <w:rFonts w:ascii="Arial"/>
          <w:b/>
          <w:color w:val="000000"/>
          <w:sz w:val="22"/>
        </w:rPr>
        <w:t>and the concrete slab without planter boxes as shown on Level 4 plan. All encroachments are subject to entering a Deed, as per the Conditions of this consent</w:t>
      </w:r>
      <w:r>
        <w:rPr>
          <w:rFonts w:ascii="Arial"/>
          <w:color w:val="000000"/>
          <w:sz w:val="22"/>
        </w:rPr>
        <w:t>.,</w:t>
      </w:r>
      <w:r>
        <w:rPr>
          <w:rFonts w:ascii="Arial"/>
          <w:b/>
          <w:color w:val="000000"/>
          <w:sz w:val="22"/>
        </w:rPr>
        <w:t xml:space="preserve"> </w:t>
      </w:r>
      <w:r>
        <w:rPr>
          <w:rFonts w:ascii="Arial"/>
          <w:color w:val="000000"/>
          <w:sz w:val="22"/>
        </w:rPr>
        <w:t>where these planter boxes are present on the plans</w:t>
      </w:r>
      <w:r>
        <w:rPr>
          <w:rFonts w:ascii="Arial"/>
          <w:color w:val="000000"/>
          <w:sz w:val="22"/>
        </w:rPr>
        <w:t>.</w:t>
      </w:r>
    </w:p>
    <w:p>
      <w:pPr>
        <w:pStyle w:val="CaselawQuote"/>
        <w:spacing w:before="150" w:after="150"/>
        <w:ind w:left="1350"/>
        <w:jc w:val="left"/>
      </w:pPr>
      <w:r>
        <w:rPr>
          <w:rFonts w:ascii="Arial"/>
          <w:color w:val="000000"/>
          <w:sz w:val="22"/>
        </w:rPr>
        <w:t xml:space="preserve">Details of these amendments are required to be approved by the Certifier and shown on the Construction Certificate </w:t>
      </w:r>
      <w:r>
        <w:rPr>
          <w:rFonts w:ascii="Arial"/>
          <w:color w:val="000000"/>
          <w:sz w:val="22"/>
        </w:rPr>
        <w:t>plans.</w:t>
      </w:r>
    </w:p>
    <w:p>
      <w:pPr>
        <w:pStyle w:val="CaselawQuote"/>
        <w:spacing w:before="150" w:after="150"/>
        <w:ind w:left="1350"/>
        <w:jc w:val="left"/>
      </w:pPr>
      <w:r>
        <w:rPr>
          <w:rFonts w:ascii="Arial"/>
          <w:color w:val="000000"/>
          <w:sz w:val="22"/>
        </w:rPr>
        <w:t>(Reason: Ensure compliance and Amenity)”</w:t>
      </w:r>
    </w:p>
    <w:p>
      <w:pPr>
        <w:pStyle w:val="CaselawNumbered10"/>
        <w:numPr>
          <w:ilvl w:val="0"/>
          <w:numId w:val="31"/>
        </w:numPr>
        <w:spacing w:before="150" w:after="0"/>
        <w:ind w:left="600" w:hanging="600"/>
      </w:pPr>
      <w:r>
        <w:rPr>
          <w:rFonts w:ascii="Arial"/>
          <w:color w:val="000000"/>
          <w:sz w:val="24"/>
        </w:rPr>
        <w:t>The effect of the Panel</w:t>
      </w:r>
      <w:r>
        <w:rPr>
          <w:rFonts w:ascii="Arial"/>
          <w:color w:val="000000"/>
          <w:sz w:val="24"/>
        </w:rPr>
        <w:t>’</w:t>
      </w:r>
      <w:r>
        <w:rPr>
          <w:rFonts w:ascii="Arial"/>
          <w:color w:val="000000"/>
          <w:sz w:val="24"/>
        </w:rPr>
        <w:t>s decision was to grant consent to the development for which the consent was sought except for specified part</w:t>
      </w:r>
      <w:r>
        <w:rPr>
          <w:rFonts w:ascii="Arial"/>
          <w:color w:val="000000"/>
          <w:sz w:val="24"/>
        </w:rPr>
        <w:t>s</w:t>
      </w:r>
      <w:r>
        <w:rPr>
          <w:rFonts w:ascii="Arial"/>
          <w:color w:val="000000"/>
          <w:sz w:val="24"/>
        </w:rPr>
        <w:t xml:space="preserve"> </w:t>
      </w:r>
      <w:r>
        <w:rPr>
          <w:rFonts w:ascii="Arial"/>
          <w:color w:val="000000"/>
          <w:sz w:val="24"/>
        </w:rPr>
        <w:t xml:space="preserve">of Level 4 of the building, which were to be redesigned, </w:t>
      </w:r>
      <w:r>
        <w:rPr>
          <w:rFonts w:ascii="Arial"/>
          <w:color w:val="000000"/>
          <w:sz w:val="24"/>
        </w:rPr>
        <w:t>relocated</w:t>
      </w:r>
      <w:r>
        <w:rPr>
          <w:rFonts w:ascii="Arial"/>
          <w:color w:val="000000"/>
          <w:sz w:val="24"/>
        </w:rPr>
        <w:t xml:space="preserve"> </w:t>
      </w:r>
      <w:r>
        <w:rPr>
          <w:rFonts w:ascii="Arial"/>
          <w:color w:val="000000"/>
          <w:sz w:val="24"/>
        </w:rPr>
        <w:t>or deleted</w:t>
      </w:r>
      <w:r>
        <w:rPr>
          <w:rFonts w:ascii="Arial"/>
          <w:color w:val="000000"/>
          <w:sz w:val="24"/>
        </w:rPr>
        <w:t xml:space="preserve"> </w:t>
      </w:r>
      <w:r>
        <w:rPr>
          <w:rFonts w:ascii="Arial"/>
          <w:color w:val="000000"/>
          <w:sz w:val="24"/>
        </w:rPr>
        <w:t>as specified in condition 2.</w:t>
      </w:r>
    </w:p>
    <w:p>
      <w:pPr>
        <w:pStyle w:val="CaselawNumbered10"/>
        <w:numPr>
          <w:ilvl w:val="0"/>
          <w:numId w:val="31"/>
        </w:numPr>
        <w:spacing w:before="150" w:after="0"/>
        <w:ind w:left="600" w:hanging="600"/>
      </w:pPr>
      <w:r>
        <w:rPr>
          <w:rFonts w:ascii="Arial"/>
          <w:color w:val="000000"/>
          <w:sz w:val="24"/>
        </w:rPr>
        <w:t xml:space="preserve">Mr </w:t>
      </w:r>
      <w:r>
        <w:rPr>
          <w:rFonts w:ascii="Arial"/>
          <w:color w:val="000000"/>
          <w:sz w:val="24"/>
        </w:rPr>
        <w:t>Lahoud</w:t>
      </w:r>
      <w:r>
        <w:rPr>
          <w:rFonts w:ascii="Arial"/>
          <w:color w:val="000000"/>
          <w:sz w:val="24"/>
        </w:rPr>
        <w:t xml:space="preserve"> </w:t>
      </w:r>
      <w:r>
        <w:rPr>
          <w:rFonts w:ascii="Arial"/>
          <w:color w:val="000000"/>
          <w:sz w:val="24"/>
        </w:rPr>
        <w:t>challenged this decision of the Panel, arguing that this manner of granting development consent subject to conditions led to the Panel not being satisfied of the matters it was required by cl 4.6(4)</w:t>
      </w:r>
      <w:r>
        <w:rPr>
          <w:rFonts w:ascii="Arial"/>
          <w:color w:val="000000"/>
          <w:sz w:val="24"/>
        </w:rPr>
        <w:t xml:space="preserve"> </w:t>
      </w:r>
      <w:r>
        <w:rPr>
          <w:rFonts w:ascii="Arial"/>
          <w:color w:val="000000"/>
          <w:sz w:val="24"/>
        </w:rPr>
        <w:t>of the WLEP</w:t>
      </w:r>
      <w:r>
        <w:rPr>
          <w:rFonts w:ascii="Arial"/>
          <w:color w:val="000000"/>
          <w:sz w:val="24"/>
        </w:rPr>
        <w:t xml:space="preserve"> </w:t>
      </w:r>
      <w:r>
        <w:rPr>
          <w:rFonts w:ascii="Arial"/>
          <w:color w:val="000000"/>
          <w:sz w:val="24"/>
        </w:rPr>
        <w:t>to be satisfied about. At the time of the Panel</w:t>
      </w:r>
      <w:r>
        <w:rPr>
          <w:rFonts w:ascii="Arial"/>
          <w:color w:val="000000"/>
          <w:sz w:val="24"/>
        </w:rPr>
        <w:t>’</w:t>
      </w:r>
      <w:r>
        <w:rPr>
          <w:rFonts w:ascii="Arial"/>
          <w:color w:val="000000"/>
          <w:sz w:val="24"/>
        </w:rPr>
        <w:t>s decision, cl 4.6(4) provided:</w:t>
      </w:r>
    </w:p>
    <w:p>
      <w:pPr>
        <w:pStyle w:val="CaselawQuote"/>
        <w:spacing w:before="150" w:after="150"/>
        <w:ind w:left="1350"/>
        <w:jc w:val="left"/>
      </w:pPr>
      <w:r>
        <w:rPr>
          <w:rFonts w:ascii="Arial"/>
          <w:color w:val="000000"/>
          <w:sz w:val="22"/>
        </w:rPr>
        <w:t>“(4) Development consent must not be granted for development that contravenes a development standard unless—</w:t>
      </w:r>
    </w:p>
    <w:p>
      <w:pPr>
        <w:pStyle w:val="CaselawQuote0"/>
        <w:spacing w:before="150" w:after="150"/>
        <w:ind w:left="2100"/>
        <w:jc w:val="left"/>
      </w:pPr>
      <w:r>
        <w:rPr>
          <w:rFonts w:ascii="Arial"/>
          <w:color w:val="000000"/>
          <w:sz w:val="22"/>
        </w:rPr>
        <w:t>(a) the consent authority is satisfied that—</w:t>
      </w:r>
    </w:p>
    <w:p>
      <w:pPr>
        <w:pStyle w:val="CaselawQuote1"/>
        <w:spacing w:before="150" w:after="150"/>
        <w:ind w:left="2850"/>
        <w:jc w:val="left"/>
      </w:pPr>
      <w:r>
        <w:rPr>
          <w:rFonts w:ascii="Arial"/>
          <w:color w:val="000000"/>
          <w:sz w:val="22"/>
        </w:rPr>
        <w:t>(i) the applicant’s written request has adequately addressed the matters required to be demonstrated by subclause (3), and</w:t>
      </w:r>
    </w:p>
    <w:p>
      <w:pPr>
        <w:pStyle w:val="CaselawQuote1"/>
        <w:spacing w:before="150" w:after="150"/>
        <w:ind w:left="2850"/>
        <w:jc w:val="left"/>
      </w:pPr>
      <w:r>
        <w:rPr>
          <w:rFonts w:ascii="Arial"/>
          <w:color w:val="000000"/>
          <w:sz w:val="22"/>
        </w:rPr>
        <w:t xml:space="preserve">(ii) the proposed development will be in the public interest because it is consistent with the objectives of the </w:t>
      </w:r>
      <w:r>
        <w:rPr>
          <w:rFonts w:ascii="Arial"/>
          <w:color w:val="000000"/>
          <w:sz w:val="22"/>
        </w:rPr>
        <w:t>particular standard</w:t>
      </w:r>
      <w:r>
        <w:rPr>
          <w:rFonts w:ascii="Arial"/>
          <w:color w:val="000000"/>
          <w:sz w:val="22"/>
        </w:rPr>
        <w:t xml:space="preserve"> and the objectives for development within the zone in which the development is proposed to be carried out, and</w:t>
      </w:r>
    </w:p>
    <w:p>
      <w:pPr>
        <w:pStyle w:val="CaselawQuote0"/>
        <w:spacing w:before="150" w:after="150"/>
        <w:ind w:left="2100"/>
        <w:jc w:val="left"/>
      </w:pPr>
      <w:r>
        <w:rPr>
          <w:rFonts w:ascii="Arial"/>
          <w:color w:val="000000"/>
          <w:sz w:val="22"/>
        </w:rPr>
        <w:t>(b) the concurrence of the Planning Secretary has been obtained.”</w:t>
      </w:r>
    </w:p>
    <w:p>
      <w:pPr>
        <w:pStyle w:val="CaselawNumbered10"/>
        <w:numPr>
          <w:ilvl w:val="0"/>
          <w:numId w:val="32"/>
        </w:numPr>
        <w:spacing w:before="150" w:after="0"/>
        <w:ind w:left="600" w:hanging="600"/>
      </w:pPr>
      <w:r>
        <w:rPr>
          <w:rFonts w:ascii="Arial"/>
          <w:color w:val="000000"/>
          <w:sz w:val="24"/>
        </w:rPr>
        <w:t xml:space="preserve">Mr </w:t>
      </w:r>
      <w:r>
        <w:rPr>
          <w:rFonts w:ascii="Arial"/>
          <w:color w:val="000000"/>
          <w:sz w:val="24"/>
        </w:rPr>
        <w:t>Lahoud</w:t>
      </w:r>
      <w:r>
        <w:rPr>
          <w:rFonts w:ascii="Arial"/>
          <w:color w:val="000000"/>
          <w:sz w:val="24"/>
        </w:rPr>
        <w:t xml:space="preserve"> </w:t>
      </w:r>
      <w:r>
        <w:rPr>
          <w:rFonts w:ascii="Arial"/>
          <w:color w:val="000000"/>
          <w:sz w:val="24"/>
        </w:rPr>
        <w:t xml:space="preserve">argued that </w:t>
      </w:r>
      <w:r>
        <w:rPr>
          <w:rFonts w:ascii="Arial"/>
          <w:color w:val="000000"/>
          <w:sz w:val="24"/>
        </w:rPr>
        <w:t>“</w:t>
      </w:r>
      <w:r>
        <w:rPr>
          <w:rFonts w:ascii="Arial"/>
          <w:color w:val="000000"/>
          <w:sz w:val="24"/>
        </w:rPr>
        <w:t>the proposed development</w:t>
      </w:r>
      <w:r>
        <w:rPr>
          <w:rFonts w:ascii="Arial"/>
          <w:color w:val="000000"/>
          <w:sz w:val="24"/>
        </w:rPr>
        <w:t xml:space="preserve">” </w:t>
      </w:r>
      <w:r>
        <w:rPr>
          <w:rFonts w:ascii="Arial"/>
          <w:color w:val="000000"/>
          <w:sz w:val="24"/>
        </w:rPr>
        <w:t>referred to in cl 4.6(4)(</w:t>
      </w:r>
      <w:r>
        <w:rPr>
          <w:rFonts w:ascii="Arial"/>
          <w:color w:val="000000"/>
          <w:sz w:val="24"/>
        </w:rPr>
        <w:t>a</w:t>
      </w:r>
      <w:r>
        <w:rPr>
          <w:rFonts w:ascii="Arial"/>
          <w:color w:val="000000"/>
          <w:sz w:val="24"/>
        </w:rPr>
        <w:t>)</w:t>
      </w:r>
      <w:r>
        <w:rPr>
          <w:rFonts w:ascii="Arial"/>
          <w:color w:val="000000"/>
          <w:sz w:val="24"/>
        </w:rPr>
        <w:t>(ii)</w:t>
      </w:r>
      <w:r>
        <w:rPr>
          <w:rFonts w:ascii="Arial"/>
          <w:color w:val="000000"/>
          <w:sz w:val="24"/>
        </w:rPr>
        <w:t xml:space="preserve"> </w:t>
      </w:r>
      <w:r>
        <w:rPr>
          <w:rFonts w:ascii="Arial"/>
          <w:color w:val="000000"/>
          <w:sz w:val="24"/>
        </w:rPr>
        <w:t>is the development proposed in the development application. This is the whole development</w:t>
      </w:r>
      <w:r>
        <w:rPr>
          <w:rFonts w:ascii="Arial"/>
          <w:color w:val="000000"/>
          <w:sz w:val="24"/>
        </w:rPr>
        <w:t xml:space="preserve"> </w:t>
      </w:r>
      <w:r>
        <w:rPr>
          <w:rFonts w:ascii="Arial"/>
          <w:color w:val="000000"/>
          <w:sz w:val="24"/>
        </w:rPr>
        <w:t>as proposed</w:t>
      </w:r>
      <w:r>
        <w:rPr>
          <w:rFonts w:ascii="Arial"/>
          <w:color w:val="000000"/>
          <w:sz w:val="24"/>
        </w:rPr>
        <w:t xml:space="preserve">, including the northern parts of Level 4 of the building that the Panel required, by conditions of consent, to be redesigned, </w:t>
      </w:r>
      <w:r>
        <w:rPr>
          <w:rFonts w:ascii="Arial"/>
          <w:color w:val="000000"/>
          <w:sz w:val="24"/>
        </w:rPr>
        <w:t>relocated</w:t>
      </w:r>
      <w:r>
        <w:rPr>
          <w:rFonts w:ascii="Arial"/>
          <w:color w:val="000000"/>
          <w:sz w:val="24"/>
        </w:rPr>
        <w:t xml:space="preserve"> </w:t>
      </w:r>
      <w:r>
        <w:rPr>
          <w:rFonts w:ascii="Arial"/>
          <w:color w:val="000000"/>
          <w:sz w:val="24"/>
        </w:rPr>
        <w:t xml:space="preserve">or deleted. </w:t>
      </w:r>
      <w:r>
        <w:rPr>
          <w:rFonts w:ascii="Arial"/>
          <w:color w:val="000000"/>
          <w:sz w:val="24"/>
        </w:rPr>
        <w:t>On this argument, cl</w:t>
      </w:r>
      <w:r>
        <w:rPr>
          <w:rFonts w:ascii="Arial"/>
          <w:color w:val="000000"/>
          <w:sz w:val="24"/>
        </w:rPr>
        <w:t xml:space="preserve"> </w:t>
      </w:r>
      <w:r>
        <w:rPr>
          <w:rFonts w:ascii="Arial"/>
          <w:color w:val="000000"/>
          <w:sz w:val="24"/>
        </w:rPr>
        <w:t>4.6(4) required the Panel to be satisfied as to the matters in cl 4.6(4) with respect to this whole development before it could grant development consent to that development.</w:t>
      </w:r>
    </w:p>
    <w:p>
      <w:pPr>
        <w:pStyle w:val="CaselawNumbered10"/>
        <w:numPr>
          <w:ilvl w:val="0"/>
          <w:numId w:val="32"/>
        </w:numPr>
        <w:spacing w:before="150" w:after="0"/>
        <w:ind w:left="600" w:hanging="600"/>
      </w:pPr>
      <w:r>
        <w:rPr>
          <w:rFonts w:ascii="Arial"/>
          <w:color w:val="000000"/>
          <w:sz w:val="24"/>
        </w:rPr>
        <w:t xml:space="preserve">Mr </w:t>
      </w:r>
      <w:r>
        <w:rPr>
          <w:rFonts w:ascii="Arial"/>
          <w:color w:val="000000"/>
          <w:sz w:val="24"/>
        </w:rPr>
        <w:t>Lahoud</w:t>
      </w:r>
      <w:r>
        <w:rPr>
          <w:rFonts w:ascii="Arial"/>
          <w:color w:val="000000"/>
          <w:sz w:val="24"/>
        </w:rPr>
        <w:t xml:space="preserve"> </w:t>
      </w:r>
      <w:r>
        <w:rPr>
          <w:rFonts w:ascii="Arial"/>
          <w:color w:val="000000"/>
          <w:sz w:val="24"/>
        </w:rPr>
        <w:t>argued that the Panel was not satisfied as required by cl 4.6(4)(a)(ii) in respect of this whole development</w:t>
      </w:r>
      <w:r>
        <w:rPr>
          <w:rFonts w:ascii="Arial"/>
          <w:color w:val="000000"/>
          <w:sz w:val="24"/>
        </w:rPr>
        <w:t xml:space="preserve"> </w:t>
      </w:r>
      <w:r>
        <w:rPr>
          <w:rFonts w:ascii="Arial"/>
          <w:color w:val="000000"/>
          <w:sz w:val="24"/>
        </w:rPr>
        <w:t>as proposed</w:t>
      </w:r>
      <w:r>
        <w:rPr>
          <w:rFonts w:ascii="Arial"/>
          <w:color w:val="000000"/>
          <w:sz w:val="24"/>
        </w:rPr>
        <w:t>. This wa</w:t>
      </w:r>
      <w:r>
        <w:rPr>
          <w:rFonts w:ascii="Arial"/>
          <w:color w:val="000000"/>
          <w:sz w:val="24"/>
        </w:rPr>
        <w:t>s</w:t>
      </w:r>
      <w:r>
        <w:rPr>
          <w:rFonts w:ascii="Arial"/>
          <w:color w:val="000000"/>
          <w:sz w:val="24"/>
        </w:rPr>
        <w:t xml:space="preserve"> </w:t>
      </w:r>
      <w:r>
        <w:rPr>
          <w:rFonts w:ascii="Arial"/>
          <w:color w:val="000000"/>
          <w:sz w:val="24"/>
        </w:rPr>
        <w:t xml:space="preserve">because, Mr </w:t>
      </w:r>
      <w:r>
        <w:rPr>
          <w:rFonts w:ascii="Arial"/>
          <w:color w:val="000000"/>
          <w:sz w:val="24"/>
        </w:rPr>
        <w:t>Lahoud</w:t>
      </w:r>
      <w:r>
        <w:rPr>
          <w:rFonts w:ascii="Arial"/>
          <w:color w:val="000000"/>
          <w:sz w:val="24"/>
        </w:rPr>
        <w:t xml:space="preserve"> </w:t>
      </w:r>
      <w:r>
        <w:rPr>
          <w:rFonts w:ascii="Arial"/>
          <w:color w:val="000000"/>
          <w:sz w:val="24"/>
        </w:rPr>
        <w:t xml:space="preserve">argued, the Panel concluded that it was only </w:t>
      </w:r>
      <w:r>
        <w:rPr>
          <w:rFonts w:ascii="Arial"/>
          <w:color w:val="000000"/>
          <w:sz w:val="24"/>
        </w:rPr>
        <w:t>“</w:t>
      </w:r>
      <w:r>
        <w:rPr>
          <w:rFonts w:ascii="Arial"/>
          <w:color w:val="000000"/>
          <w:sz w:val="24"/>
        </w:rPr>
        <w:t>subject to conditions</w:t>
      </w:r>
      <w:r>
        <w:rPr>
          <w:rFonts w:ascii="Arial"/>
          <w:color w:val="000000"/>
          <w:sz w:val="24"/>
        </w:rPr>
        <w:t xml:space="preserve">” </w:t>
      </w:r>
      <w:r>
        <w:rPr>
          <w:rFonts w:ascii="Arial"/>
          <w:color w:val="000000"/>
          <w:sz w:val="24"/>
        </w:rPr>
        <w:t xml:space="preserve">that the </w:t>
      </w:r>
      <w:r>
        <w:rPr>
          <w:rFonts w:ascii="Arial"/>
          <w:color w:val="000000"/>
          <w:sz w:val="24"/>
        </w:rPr>
        <w:t>“</w:t>
      </w:r>
      <w:r>
        <w:rPr>
          <w:rFonts w:ascii="Arial"/>
          <w:color w:val="000000"/>
          <w:sz w:val="24"/>
        </w:rPr>
        <w:t>proposal</w:t>
      </w:r>
      <w:r>
        <w:rPr>
          <w:rFonts w:ascii="Arial"/>
          <w:color w:val="000000"/>
          <w:sz w:val="24"/>
        </w:rPr>
        <w:t xml:space="preserve">” </w:t>
      </w:r>
      <w:r>
        <w:rPr>
          <w:rFonts w:ascii="Arial"/>
          <w:color w:val="000000"/>
          <w:sz w:val="24"/>
        </w:rPr>
        <w:t xml:space="preserve">would be consistent with the objectives of the height standard and consistent with the objectives of the B2 Local Centre zoning, including the conditions requiring </w:t>
      </w:r>
      <w:r>
        <w:rPr>
          <w:rFonts w:ascii="Arial"/>
          <w:color w:val="000000"/>
          <w:sz w:val="24"/>
        </w:rPr>
        <w:t>parts of Level 4 to be scaled back.</w:t>
      </w:r>
    </w:p>
    <w:p>
      <w:pPr>
        <w:pStyle w:val="CaselawNumbered10"/>
        <w:numPr>
          <w:ilvl w:val="0"/>
          <w:numId w:val="32"/>
        </w:numPr>
        <w:spacing w:before="150" w:after="0"/>
        <w:ind w:left="600" w:hanging="600"/>
      </w:pPr>
      <w:r>
        <w:rPr>
          <w:rFonts w:ascii="Arial"/>
          <w:color w:val="000000"/>
          <w:sz w:val="24"/>
        </w:rPr>
        <w:t xml:space="preserve">Mr </w:t>
      </w:r>
      <w:r>
        <w:rPr>
          <w:rFonts w:ascii="Arial"/>
          <w:color w:val="000000"/>
          <w:sz w:val="24"/>
        </w:rPr>
        <w:t>Lahoud</w:t>
      </w:r>
      <w:r>
        <w:rPr>
          <w:rFonts w:ascii="Arial"/>
          <w:color w:val="000000"/>
          <w:sz w:val="24"/>
        </w:rPr>
        <w:t xml:space="preserve"> </w:t>
      </w:r>
      <w:r>
        <w:rPr>
          <w:rFonts w:ascii="Arial"/>
          <w:color w:val="000000"/>
          <w:sz w:val="24"/>
        </w:rPr>
        <w:t xml:space="preserve">argued that in so doing the Panel misdirected itself. If the Panel was not satisfied of the matters in cl 4.6(4) with respect to the whole development </w:t>
      </w:r>
      <w:r>
        <w:rPr>
          <w:rFonts w:ascii="Arial"/>
          <w:color w:val="000000"/>
          <w:sz w:val="24"/>
        </w:rPr>
        <w:t xml:space="preserve">as proposed </w:t>
      </w:r>
      <w:r>
        <w:rPr>
          <w:rFonts w:ascii="Arial"/>
          <w:color w:val="000000"/>
          <w:sz w:val="24"/>
        </w:rPr>
        <w:t xml:space="preserve">(the </w:t>
      </w:r>
      <w:r>
        <w:rPr>
          <w:rFonts w:ascii="Arial"/>
          <w:color w:val="000000"/>
          <w:sz w:val="24"/>
        </w:rPr>
        <w:t>“</w:t>
      </w:r>
      <w:r>
        <w:rPr>
          <w:rFonts w:ascii="Arial"/>
          <w:color w:val="000000"/>
          <w:sz w:val="24"/>
        </w:rPr>
        <w:t>proposed development</w:t>
      </w:r>
      <w:r>
        <w:rPr>
          <w:rFonts w:ascii="Arial"/>
          <w:color w:val="000000"/>
          <w:sz w:val="24"/>
        </w:rPr>
        <w:t>”</w:t>
      </w:r>
      <w:r>
        <w:rPr>
          <w:rFonts w:ascii="Arial"/>
          <w:color w:val="000000"/>
          <w:sz w:val="24"/>
        </w:rPr>
        <w:t>), the Panel was precluded from granting development consent to that development. The Panel could not overcome this requirement in cl 4.6(4)(</w:t>
      </w:r>
      <w:r>
        <w:rPr>
          <w:rFonts w:ascii="Arial"/>
          <w:color w:val="000000"/>
          <w:sz w:val="24"/>
        </w:rPr>
        <w:t>a</w:t>
      </w:r>
      <w:r>
        <w:rPr>
          <w:rFonts w:ascii="Arial"/>
          <w:color w:val="000000"/>
          <w:sz w:val="24"/>
        </w:rPr>
        <w:t>) by granting development consent to the proposed development with conditions to remove th</w:t>
      </w:r>
      <w:r>
        <w:rPr>
          <w:rFonts w:ascii="Arial"/>
          <w:color w:val="000000"/>
          <w:sz w:val="24"/>
        </w:rPr>
        <w:t>o</w:t>
      </w:r>
      <w:r>
        <w:rPr>
          <w:rFonts w:ascii="Arial"/>
          <w:color w:val="000000"/>
          <w:sz w:val="24"/>
        </w:rPr>
        <w:t>se parts of the development the Panel found to be unacceptable.</w:t>
      </w:r>
    </w:p>
    <w:p>
      <w:pPr>
        <w:pStyle w:val="CaselawNumbered10"/>
        <w:numPr>
          <w:ilvl w:val="0"/>
          <w:numId w:val="32"/>
        </w:numPr>
        <w:spacing w:before="150" w:after="0"/>
        <w:ind w:left="600" w:hanging="600"/>
      </w:pPr>
      <w:r>
        <w:rPr>
          <w:rFonts w:ascii="Arial"/>
          <w:color w:val="000000"/>
          <w:sz w:val="24"/>
        </w:rPr>
        <w:t xml:space="preserve">The primary judge accepted Mr </w:t>
      </w:r>
      <w:r>
        <w:rPr>
          <w:rFonts w:ascii="Arial"/>
          <w:color w:val="000000"/>
          <w:sz w:val="24"/>
        </w:rPr>
        <w:t>Lahoud</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 xml:space="preserve">argument that the Panel was not satisfied that the written request under cl 4.6 seeking to justify the contravention </w:t>
      </w:r>
      <w:r>
        <w:rPr>
          <w:rFonts w:ascii="Arial"/>
          <w:color w:val="000000"/>
          <w:sz w:val="24"/>
        </w:rPr>
        <w:t xml:space="preserve">of the height standard adequately addressed the matters required to </w:t>
      </w:r>
      <w:r>
        <w:rPr>
          <w:rFonts w:ascii="Arial"/>
          <w:color w:val="000000"/>
          <w:sz w:val="24"/>
        </w:rPr>
        <w:t>be</w:t>
      </w:r>
      <w:r>
        <w:rPr>
          <w:rFonts w:ascii="Arial"/>
          <w:color w:val="000000"/>
          <w:sz w:val="24"/>
        </w:rPr>
        <w:t xml:space="preserve"> </w:t>
      </w:r>
      <w:r>
        <w:rPr>
          <w:rFonts w:ascii="Arial"/>
          <w:color w:val="000000"/>
          <w:sz w:val="24"/>
        </w:rPr>
        <w:t>demonstrated by cl 4.6(3). The primary judge</w:t>
      </w:r>
      <w:r>
        <w:rPr>
          <w:rFonts w:ascii="Arial"/>
          <w:color w:val="000000"/>
          <w:sz w:val="24"/>
        </w:rPr>
        <w:t xml:space="preserve"> </w:t>
      </w:r>
      <w:r>
        <w:rPr>
          <w:rFonts w:ascii="Arial"/>
          <w:color w:val="000000"/>
          <w:sz w:val="24"/>
        </w:rPr>
        <w:t>stated</w:t>
      </w:r>
      <w:r>
        <w:rPr>
          <w:rFonts w:ascii="Arial"/>
          <w:color w:val="000000"/>
          <w:sz w:val="24"/>
        </w:rPr>
        <w:t xml:space="preserve"> </w:t>
      </w:r>
      <w:r>
        <w:rPr>
          <w:rFonts w:ascii="Arial"/>
          <w:color w:val="000000"/>
          <w:sz w:val="24"/>
        </w:rPr>
        <w:t>in [149]</w:t>
      </w:r>
      <w:r>
        <w:rPr>
          <w:rFonts w:ascii="Arial"/>
          <w:color w:val="000000"/>
          <w:sz w:val="24"/>
        </w:rPr>
        <w:t>:</w:t>
      </w:r>
    </w:p>
    <w:p>
      <w:pPr>
        <w:pStyle w:val="CaselawQuote"/>
        <w:spacing w:before="150" w:after="150"/>
        <w:ind w:left="1350"/>
        <w:jc w:val="left"/>
      </w:pPr>
      <w:r>
        <w:rPr>
          <w:rFonts w:ascii="Arial"/>
          <w:color w:val="000000"/>
          <w:sz w:val="22"/>
        </w:rPr>
        <w:t>“It is clear from the</w:t>
      </w:r>
      <w:r>
        <w:rPr>
          <w:rFonts w:ascii="Arial"/>
          <w:color w:val="000000"/>
          <w:sz w:val="22"/>
        </w:rPr>
        <w:t xml:space="preserve"> </w:t>
      </w:r>
      <w:r>
        <w:rPr>
          <w:rFonts w:ascii="Arial"/>
          <w:color w:val="000000"/>
          <w:sz w:val="22"/>
        </w:rPr>
        <w:t>earlier set out extract from the</w:t>
      </w:r>
      <w:r>
        <w:rPr>
          <w:rFonts w:ascii="Arial"/>
          <w:color w:val="000000"/>
          <w:sz w:val="22"/>
        </w:rPr>
        <w:t xml:space="preserve"> </w:t>
      </w:r>
      <w:r>
        <w:rPr>
          <w:rFonts w:ascii="Arial"/>
          <w:color w:val="000000"/>
          <w:sz w:val="22"/>
        </w:rPr>
        <w:t>Planning</w:t>
      </w:r>
      <w:r>
        <w:rPr>
          <w:rFonts w:ascii="Arial"/>
          <w:color w:val="000000"/>
          <w:sz w:val="22"/>
        </w:rPr>
        <w:t xml:space="preserve"> </w:t>
      </w:r>
      <w:r>
        <w:rPr>
          <w:rFonts w:ascii="Arial"/>
          <w:color w:val="000000"/>
          <w:sz w:val="22"/>
        </w:rPr>
        <w:t>Panel’s reasons that they were not satisfied that the dispensation request satisfied each of the mandated elements.</w:t>
      </w:r>
      <w:r>
        <w:rPr>
          <w:rFonts w:ascii="Arial"/>
          <w:color w:val="000000"/>
          <w:sz w:val="22"/>
        </w:rPr>
        <w:t xml:space="preserve"> </w:t>
      </w:r>
      <w:r>
        <w:rPr>
          <w:rFonts w:ascii="Arial"/>
          <w:color w:val="000000"/>
          <w:sz w:val="22"/>
        </w:rPr>
        <w:t>This is self</w:t>
      </w:r>
      <w:r>
        <w:rPr>
          <w:rFonts w:ascii="Arial"/>
          <w:color w:val="000000"/>
          <w:sz w:val="22"/>
        </w:rPr>
        <w:t xml:space="preserve"/>
      </w:r>
      <w:r>
        <w:rPr>
          <w:rFonts w:ascii="Arial"/>
          <w:color w:val="000000"/>
          <w:sz w:val="22"/>
        </w:rPr>
        <w:noBreakHyphen/>
      </w:r>
      <w:r>
        <w:rPr>
          <w:rFonts w:ascii="Arial"/>
          <w:color w:val="000000"/>
          <w:sz w:val="22"/>
        </w:rPr>
        <w:t>evidently obvious from the fact that the</w:t>
      </w:r>
      <w:r>
        <w:rPr>
          <w:rFonts w:ascii="Arial"/>
          <w:color w:val="000000"/>
          <w:sz w:val="22"/>
        </w:rPr>
        <w:t xml:space="preserve"> </w:t>
      </w:r>
      <w:r>
        <w:rPr>
          <w:rFonts w:ascii="Arial"/>
          <w:color w:val="000000"/>
          <w:sz w:val="22"/>
        </w:rPr>
        <w:t>Planning</w:t>
      </w:r>
      <w:r>
        <w:rPr>
          <w:rFonts w:ascii="Arial"/>
          <w:color w:val="000000"/>
          <w:sz w:val="22"/>
        </w:rPr>
        <w:t xml:space="preserve"> </w:t>
      </w:r>
      <w:r>
        <w:rPr>
          <w:rFonts w:ascii="Arial"/>
          <w:color w:val="000000"/>
          <w:sz w:val="22"/>
        </w:rPr>
        <w:t>Panel</w:t>
      </w:r>
      <w:r>
        <w:rPr>
          <w:rFonts w:ascii="Arial"/>
          <w:color w:val="000000"/>
          <w:sz w:val="22"/>
        </w:rPr>
        <w:t xml:space="preserve"> </w:t>
      </w:r>
      <w:r>
        <w:rPr>
          <w:rFonts w:ascii="Arial"/>
          <w:color w:val="000000"/>
          <w:sz w:val="22"/>
        </w:rPr>
        <w:t>did not uphold the dispensation request with respect to the entire development proposal advanced by the Company for consideration by the</w:t>
      </w:r>
      <w:r>
        <w:rPr>
          <w:rFonts w:ascii="Arial"/>
          <w:color w:val="000000"/>
          <w:sz w:val="22"/>
        </w:rPr>
        <w:t xml:space="preserve"> </w:t>
      </w:r>
      <w:r>
        <w:rPr>
          <w:rFonts w:ascii="Arial"/>
          <w:color w:val="000000"/>
          <w:sz w:val="22"/>
        </w:rPr>
        <w:t>Planning</w:t>
      </w:r>
      <w:r>
        <w:rPr>
          <w:rFonts w:ascii="Arial"/>
          <w:color w:val="000000"/>
          <w:sz w:val="22"/>
        </w:rPr>
        <w:t xml:space="preserve"> </w:t>
      </w:r>
      <w:r>
        <w:rPr>
          <w:rFonts w:ascii="Arial"/>
          <w:color w:val="000000"/>
          <w:sz w:val="22"/>
        </w:rPr>
        <w:t>Panel.</w:t>
      </w:r>
      <w:r>
        <w:rPr>
          <w:rFonts w:ascii="Arial"/>
          <w:color w:val="000000"/>
          <w:sz w:val="22"/>
        </w:rPr>
        <w:t xml:space="preserve"> </w:t>
      </w:r>
      <w:r>
        <w:rPr>
          <w:rFonts w:ascii="Arial"/>
          <w:color w:val="000000"/>
          <w:sz w:val="22"/>
        </w:rPr>
        <w:t>The</w:t>
      </w:r>
      <w:r>
        <w:rPr>
          <w:rFonts w:ascii="Arial"/>
          <w:color w:val="000000"/>
          <w:sz w:val="22"/>
        </w:rPr>
        <w:t xml:space="preserve"> </w:t>
      </w:r>
      <w:r>
        <w:rPr>
          <w:rFonts w:ascii="Arial"/>
          <w:color w:val="000000"/>
          <w:sz w:val="22"/>
        </w:rPr>
        <w:t>Planning</w:t>
      </w:r>
      <w:r>
        <w:rPr>
          <w:rFonts w:ascii="Arial"/>
          <w:color w:val="000000"/>
          <w:sz w:val="22"/>
        </w:rPr>
        <w:t xml:space="preserve"> </w:t>
      </w:r>
      <w:r>
        <w:rPr>
          <w:rFonts w:ascii="Arial"/>
          <w:color w:val="000000"/>
          <w:sz w:val="22"/>
        </w:rPr>
        <w:t>Panel</w:t>
      </w:r>
      <w:r>
        <w:rPr>
          <w:rFonts w:ascii="Arial"/>
          <w:color w:val="000000"/>
          <w:sz w:val="22"/>
        </w:rPr>
        <w:t xml:space="preserve"> </w:t>
      </w:r>
      <w:r>
        <w:rPr>
          <w:rFonts w:ascii="Arial"/>
          <w:color w:val="000000"/>
          <w:sz w:val="22"/>
        </w:rPr>
        <w:t>clearly concluded that the dispensation requested was not capable of</w:t>
      </w:r>
      <w:r>
        <w:rPr>
          <w:rFonts w:ascii="Arial"/>
          <w:color w:val="000000"/>
          <w:sz w:val="22"/>
        </w:rPr>
        <w:t xml:space="preserve"> </w:t>
      </w:r>
      <w:r>
        <w:rPr>
          <w:rFonts w:ascii="Arial"/>
          <w:color w:val="000000"/>
          <w:sz w:val="22"/>
        </w:rPr>
        <w:t>being granted</w:t>
      </w:r>
      <w:r>
        <w:rPr>
          <w:rFonts w:ascii="Arial"/>
          <w:color w:val="000000"/>
          <w:sz w:val="22"/>
        </w:rPr>
        <w:t xml:space="preserve"> </w:t>
      </w:r>
      <w:r>
        <w:rPr>
          <w:rFonts w:ascii="Arial"/>
          <w:color w:val="000000"/>
          <w:sz w:val="22"/>
        </w:rPr>
        <w:t>to its full extent</w:t>
      </w:r>
      <w:r>
        <w:rPr>
          <w:rFonts w:ascii="Arial"/>
          <w:color w:val="000000"/>
          <w:sz w:val="22"/>
        </w:rPr>
        <w:t xml:space="preserve"> </w:t>
      </w:r>
      <w:r>
        <w:rPr>
          <w:rFonts w:ascii="Arial"/>
          <w:color w:val="000000"/>
          <w:sz w:val="22"/>
        </w:rPr>
        <w:t>because the Company's proposed development did not satisfy the mandated requirements of</w:t>
      </w:r>
      <w:r>
        <w:rPr>
          <w:rFonts w:ascii="Arial"/>
          <w:color w:val="000000"/>
          <w:sz w:val="22"/>
        </w:rPr>
        <w:t xml:space="preserve"> </w:t>
      </w:r>
      <w:r>
        <w:rPr>
          <w:rFonts w:ascii="Arial"/>
          <w:color w:val="000000"/>
          <w:sz w:val="22"/>
        </w:rPr>
        <w:t>cl</w:t>
      </w:r>
      <w:r>
        <w:rPr>
          <w:rFonts w:ascii="Arial"/>
          <w:color w:val="000000"/>
          <w:sz w:val="22"/>
        </w:rPr>
        <w:t xml:space="preserve"> </w:t>
      </w:r>
      <w:r>
        <w:rPr>
          <w:rFonts w:ascii="Arial"/>
          <w:color w:val="000000"/>
          <w:sz w:val="22"/>
        </w:rPr>
        <w:t>4.6</w:t>
      </w:r>
      <w:r>
        <w:rPr>
          <w:rFonts w:ascii="Arial"/>
          <w:color w:val="000000"/>
          <w:sz w:val="22"/>
        </w:rPr>
        <w:t xml:space="preserve"> </w:t>
      </w:r>
      <w:r>
        <w:rPr>
          <w:rFonts w:ascii="Arial"/>
          <w:color w:val="000000"/>
          <w:sz w:val="22"/>
        </w:rPr>
        <w:t>with respect to that element of the northern end portion of the</w:t>
      </w:r>
      <w:r>
        <w:rPr>
          <w:rFonts w:ascii="Arial"/>
          <w:color w:val="000000"/>
          <w:sz w:val="22"/>
        </w:rPr>
        <w:t xml:space="preserve"> </w:t>
      </w:r>
      <w:r>
        <w:rPr>
          <w:rFonts w:ascii="Arial"/>
          <w:color w:val="000000"/>
          <w:sz w:val="22"/>
        </w:rPr>
        <w:t>Company’s</w:t>
      </w:r>
      <w:r>
        <w:rPr>
          <w:rFonts w:ascii="Arial"/>
          <w:color w:val="000000"/>
          <w:sz w:val="22"/>
        </w:rPr>
        <w:t xml:space="preserve"> </w:t>
      </w:r>
      <w:r>
        <w:rPr>
          <w:rFonts w:ascii="Arial"/>
          <w:color w:val="000000"/>
          <w:sz w:val="22"/>
        </w:rPr>
        <w:t>DA</w:t>
      </w:r>
      <w:r>
        <w:rPr>
          <w:rFonts w:ascii="Arial"/>
          <w:color w:val="000000"/>
          <w:sz w:val="22"/>
        </w:rPr>
        <w:t xml:space="preserve"> </w:t>
      </w:r>
      <w:r>
        <w:rPr>
          <w:rFonts w:ascii="Arial"/>
          <w:color w:val="000000"/>
          <w:sz w:val="22"/>
        </w:rPr>
        <w:t>as submitted to the</w:t>
      </w:r>
      <w:r>
        <w:rPr>
          <w:rFonts w:ascii="Arial"/>
          <w:color w:val="000000"/>
          <w:sz w:val="22"/>
        </w:rPr>
        <w:t xml:space="preserve"> </w:t>
      </w:r>
      <w:r>
        <w:rPr>
          <w:rFonts w:ascii="Arial"/>
          <w:color w:val="000000"/>
          <w:sz w:val="22"/>
        </w:rPr>
        <w:t>Planning</w:t>
      </w:r>
      <w:r>
        <w:rPr>
          <w:rFonts w:ascii="Arial"/>
          <w:color w:val="000000"/>
          <w:sz w:val="22"/>
        </w:rPr>
        <w:t xml:space="preserve"> </w:t>
      </w:r>
      <w:r>
        <w:rPr>
          <w:rFonts w:ascii="Arial"/>
          <w:color w:val="000000"/>
          <w:sz w:val="22"/>
        </w:rPr>
        <w:t>Panel</w:t>
      </w:r>
      <w:r>
        <w:rPr>
          <w:rFonts w:ascii="Arial"/>
          <w:color w:val="000000"/>
          <w:sz w:val="22"/>
        </w:rPr>
        <w:t xml:space="preserve"> </w:t>
      </w:r>
      <w:r>
        <w:rPr>
          <w:rFonts w:ascii="Arial"/>
          <w:color w:val="000000"/>
          <w:sz w:val="22"/>
        </w:rPr>
        <w:t>for determination.”</w:t>
      </w:r>
    </w:p>
    <w:p>
      <w:pPr>
        <w:pStyle w:val="CaselawNumbered10"/>
        <w:numPr>
          <w:ilvl w:val="0"/>
          <w:numId w:val="33"/>
        </w:numPr>
        <w:spacing w:before="150" w:after="0"/>
        <w:ind w:left="600" w:hanging="600"/>
      </w:pPr>
      <w:r>
        <w:rPr>
          <w:rFonts w:ascii="Arial"/>
          <w:color w:val="000000"/>
          <w:sz w:val="24"/>
        </w:rPr>
        <w:t xml:space="preserve">The primary judge did not, however, accept Mr </w:t>
      </w:r>
      <w:r>
        <w:rPr>
          <w:rFonts w:ascii="Arial"/>
          <w:color w:val="000000"/>
          <w:sz w:val="24"/>
        </w:rPr>
        <w:t>Lahoud</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argument that this conclusion precluded the Panel from granting development consent on conditions re</w:t>
      </w:r>
      <w:r>
        <w:rPr>
          <w:rFonts w:ascii="Arial"/>
          <w:color w:val="000000"/>
          <w:sz w:val="24"/>
        </w:rPr>
        <w:t xml:space="preserve">quiring the redesign, </w:t>
      </w:r>
      <w:r>
        <w:rPr>
          <w:rFonts w:ascii="Arial"/>
          <w:color w:val="000000"/>
          <w:sz w:val="24"/>
        </w:rPr>
        <w:t>relocation</w:t>
      </w:r>
      <w:r>
        <w:rPr>
          <w:rFonts w:ascii="Arial"/>
          <w:color w:val="000000"/>
          <w:sz w:val="24"/>
        </w:rPr>
        <w:t xml:space="preserve"> </w:t>
      </w:r>
      <w:r>
        <w:rPr>
          <w:rFonts w:ascii="Arial"/>
          <w:color w:val="000000"/>
          <w:sz w:val="24"/>
        </w:rPr>
        <w:t>or deletion of the unacceptable parts of the proposed development. The primary judge held that the Panel had power, under s 4.16</w:t>
      </w:r>
      <w:r>
        <w:rPr>
          <w:rFonts w:ascii="Arial"/>
          <w:color w:val="000000"/>
          <w:sz w:val="24"/>
        </w:rPr>
        <w:t>(4)(b) of the EPA Act</w:t>
      </w:r>
      <w:r>
        <w:rPr>
          <w:rFonts w:ascii="Arial"/>
          <w:color w:val="000000"/>
          <w:sz w:val="24"/>
        </w:rPr>
        <w:t xml:space="preserve">, to grant development </w:t>
      </w:r>
      <w:r>
        <w:rPr>
          <w:rFonts w:ascii="Arial"/>
          <w:color w:val="000000"/>
          <w:sz w:val="24"/>
        </w:rPr>
        <w:t xml:space="preserve">consent for the development </w:t>
      </w:r>
      <w:r>
        <w:rPr>
          <w:rFonts w:ascii="Arial"/>
          <w:color w:val="000000"/>
          <w:sz w:val="24"/>
        </w:rPr>
        <w:t>for which the consent was sought except for a specified part or aspect of that development. The primary judge found that, although the Panel did not expressly refer to s 4.16(4)(b) in its reasons for determination, the Panel</w:t>
      </w:r>
      <w:r>
        <w:rPr>
          <w:rFonts w:ascii="Arial"/>
          <w:color w:val="000000"/>
          <w:sz w:val="24"/>
        </w:rPr>
        <w:t>’</w:t>
      </w:r>
      <w:r>
        <w:rPr>
          <w:rFonts w:ascii="Arial"/>
          <w:color w:val="000000"/>
          <w:sz w:val="24"/>
        </w:rPr>
        <w:t>s exercise of the power in s 4.16 to grant development consent subject to conditions can properly be understood to have invoked s 4.16(4)(b): at [151]-[154].</w:t>
      </w:r>
      <w:r>
        <w:rPr>
          <w:rFonts w:ascii="Arial"/>
          <w:color w:val="000000"/>
          <w:sz w:val="24"/>
        </w:rPr>
        <w:t xml:space="preserve"> </w:t>
      </w:r>
      <w:r>
        <w:rPr>
          <w:rFonts w:ascii="Arial"/>
          <w:color w:val="000000"/>
          <w:sz w:val="24"/>
        </w:rPr>
        <w:t>The primary judge therefore dismissed Ground 1 of the judicial review summons.</w:t>
      </w:r>
    </w:p>
    <w:p>
      <w:pPr>
        <w:pStyle w:val="CaselawNumbered10"/>
        <w:numPr>
          <w:ilvl w:val="0"/>
          <w:numId w:val="33"/>
        </w:numPr>
        <w:spacing w:before="150" w:after="0"/>
        <w:ind w:left="600" w:hanging="600"/>
      </w:pPr>
      <w:r>
        <w:rPr>
          <w:rFonts w:ascii="Arial"/>
          <w:color w:val="000000"/>
          <w:sz w:val="24"/>
        </w:rPr>
        <w:t xml:space="preserve">Mr </w:t>
      </w:r>
      <w:r>
        <w:rPr>
          <w:rFonts w:ascii="Arial"/>
          <w:color w:val="000000"/>
          <w:sz w:val="24"/>
        </w:rPr>
        <w:t>Lahoud</w:t>
      </w:r>
      <w:r>
        <w:rPr>
          <w:rFonts w:ascii="Arial"/>
          <w:color w:val="000000"/>
          <w:sz w:val="24"/>
        </w:rPr>
        <w:t xml:space="preserve"> </w:t>
      </w:r>
      <w:r>
        <w:rPr>
          <w:rFonts w:ascii="Arial"/>
          <w:color w:val="000000"/>
          <w:sz w:val="24"/>
        </w:rPr>
        <w:t>challenged the</w:t>
      </w:r>
      <w:r>
        <w:rPr>
          <w:rFonts w:ascii="Arial"/>
          <w:color w:val="000000"/>
          <w:sz w:val="24"/>
        </w:rPr>
        <w:t>se</w:t>
      </w:r>
      <w:r>
        <w:rPr>
          <w:rFonts w:ascii="Arial"/>
          <w:color w:val="000000"/>
          <w:sz w:val="24"/>
        </w:rPr>
        <w:t xml:space="preserve"> </w:t>
      </w:r>
      <w:r>
        <w:rPr>
          <w:rFonts w:ascii="Arial"/>
          <w:color w:val="000000"/>
          <w:sz w:val="24"/>
        </w:rPr>
        <w:t>finding</w:t>
      </w:r>
      <w:r>
        <w:rPr>
          <w:rFonts w:ascii="Arial"/>
          <w:color w:val="000000"/>
          <w:sz w:val="24"/>
        </w:rPr>
        <w:t>s</w:t>
      </w:r>
      <w:r>
        <w:rPr>
          <w:rFonts w:ascii="Arial"/>
          <w:color w:val="000000"/>
          <w:sz w:val="24"/>
        </w:rPr>
        <w:t xml:space="preserve"> </w:t>
      </w:r>
      <w:r>
        <w:rPr>
          <w:rFonts w:ascii="Arial"/>
          <w:color w:val="000000"/>
          <w:sz w:val="24"/>
        </w:rPr>
        <w:t xml:space="preserve">of the primary judge. Mr </w:t>
      </w:r>
      <w:r>
        <w:rPr>
          <w:rFonts w:ascii="Arial"/>
          <w:color w:val="000000"/>
          <w:sz w:val="24"/>
        </w:rPr>
        <w:t>Lahoud</w:t>
      </w:r>
      <w:r>
        <w:rPr>
          <w:rFonts w:ascii="Arial"/>
          <w:color w:val="000000"/>
          <w:sz w:val="24"/>
        </w:rPr>
        <w:t xml:space="preserve"> </w:t>
      </w:r>
      <w:r>
        <w:rPr>
          <w:rFonts w:ascii="Arial"/>
          <w:color w:val="000000"/>
          <w:sz w:val="24"/>
        </w:rPr>
        <w:t xml:space="preserve">firstly contended that, having found that the Panel had decided that it was not satisfied of the matters in cl 4.6(4), the primary judge should have found that the Panel had no power to grant development consent to the proposed development on conditions requiring removal of parts of that development (grounds 1 and 4). Mr </w:t>
      </w:r>
      <w:r>
        <w:rPr>
          <w:rFonts w:ascii="Arial"/>
          <w:color w:val="000000"/>
          <w:sz w:val="24"/>
        </w:rPr>
        <w:t>Lahoud</w:t>
      </w:r>
      <w:r>
        <w:rPr>
          <w:rFonts w:ascii="Arial"/>
          <w:color w:val="000000"/>
          <w:sz w:val="24"/>
        </w:rPr>
        <w:t xml:space="preserve"> </w:t>
      </w:r>
      <w:r>
        <w:rPr>
          <w:rFonts w:ascii="Arial"/>
          <w:color w:val="000000"/>
          <w:sz w:val="24"/>
        </w:rPr>
        <w:t xml:space="preserve">secondly contended that the primary judge erred in finding that the Panel did in fact </w:t>
      </w:r>
      <w:r>
        <w:rPr>
          <w:rFonts w:ascii="Arial"/>
          <w:color w:val="000000"/>
          <w:sz w:val="24"/>
        </w:rPr>
        <w:t>invoke</w:t>
      </w:r>
      <w:r>
        <w:rPr>
          <w:rFonts w:ascii="Arial"/>
          <w:color w:val="000000"/>
          <w:sz w:val="24"/>
        </w:rPr>
        <w:t xml:space="preserve"> </w:t>
      </w:r>
      <w:r>
        <w:rPr>
          <w:rFonts w:ascii="Arial"/>
          <w:color w:val="000000"/>
          <w:sz w:val="24"/>
        </w:rPr>
        <w:t>“</w:t>
      </w:r>
      <w:r>
        <w:rPr>
          <w:rFonts w:ascii="Arial"/>
          <w:color w:val="000000"/>
          <w:sz w:val="24"/>
        </w:rPr>
        <w:t xml:space="preserve">the partial </w:t>
      </w:r>
      <w:r>
        <w:rPr>
          <w:rFonts w:ascii="Arial"/>
          <w:color w:val="000000"/>
          <w:sz w:val="24"/>
        </w:rPr>
        <w:t>consent power</w:t>
      </w:r>
      <w:r>
        <w:rPr>
          <w:rFonts w:ascii="Arial"/>
          <w:color w:val="000000"/>
          <w:sz w:val="24"/>
        </w:rPr>
        <w:t xml:space="preserve">” </w:t>
      </w:r>
      <w:r>
        <w:rPr>
          <w:rFonts w:ascii="Arial"/>
          <w:color w:val="000000"/>
          <w:sz w:val="24"/>
        </w:rPr>
        <w:t>in s 4.16(4)(b) to grant development consent to the proposed development except for a specified part or aspect of that development, when in</w:t>
      </w:r>
      <w:r>
        <w:rPr>
          <w:rFonts w:ascii="Arial"/>
          <w:color w:val="000000"/>
          <w:sz w:val="24"/>
        </w:rPr>
        <w:t xml:space="preserve"> </w:t>
      </w:r>
      <w:r>
        <w:rPr>
          <w:rFonts w:ascii="Arial"/>
          <w:color w:val="000000"/>
          <w:sz w:val="24"/>
        </w:rPr>
        <w:t xml:space="preserve">fact the Panel merely required the redesign of Level 4 and removal of a part of that </w:t>
      </w:r>
      <w:r>
        <w:rPr>
          <w:rFonts w:ascii="Arial"/>
          <w:color w:val="000000"/>
          <w:sz w:val="24"/>
        </w:rPr>
        <w:t>l</w:t>
      </w:r>
      <w:r>
        <w:rPr>
          <w:rFonts w:ascii="Arial"/>
          <w:color w:val="000000"/>
          <w:sz w:val="24"/>
        </w:rPr>
        <w:t xml:space="preserve">evel (grounds 3 and 5). Mr </w:t>
      </w:r>
      <w:r>
        <w:rPr>
          <w:rFonts w:ascii="Arial"/>
          <w:color w:val="000000"/>
          <w:sz w:val="24"/>
        </w:rPr>
        <w:t>Lahoud</w:t>
      </w:r>
      <w:r>
        <w:rPr>
          <w:rFonts w:ascii="Arial"/>
          <w:color w:val="000000"/>
          <w:sz w:val="24"/>
        </w:rPr>
        <w:t xml:space="preserve"> </w:t>
      </w:r>
      <w:r>
        <w:rPr>
          <w:rFonts w:ascii="Arial"/>
          <w:color w:val="000000"/>
          <w:sz w:val="24"/>
        </w:rPr>
        <w:t xml:space="preserve">thirdly contended that the primary judge denied him procedural fairness </w:t>
      </w:r>
      <w:r>
        <w:rPr>
          <w:rFonts w:ascii="Arial"/>
          <w:color w:val="000000"/>
          <w:sz w:val="24"/>
        </w:rPr>
        <w:t>by finding that the Panel had exercised the power under s</w:t>
      </w:r>
      <w:r>
        <w:rPr>
          <w:rFonts w:ascii="Arial"/>
          <w:color w:val="000000"/>
          <w:sz w:val="24"/>
        </w:rPr>
        <w:t xml:space="preserve"> </w:t>
      </w:r>
      <w:r>
        <w:rPr>
          <w:rFonts w:ascii="Arial"/>
          <w:color w:val="000000"/>
          <w:sz w:val="24"/>
        </w:rPr>
        <w:t xml:space="preserve">4.16(4)(b) to grant a partial consent </w:t>
      </w:r>
      <w:r>
        <w:rPr>
          <w:rFonts w:ascii="Arial"/>
          <w:color w:val="000000"/>
          <w:sz w:val="24"/>
        </w:rPr>
        <w:t>when</w:t>
      </w:r>
      <w:r>
        <w:rPr>
          <w:rFonts w:ascii="Arial"/>
          <w:color w:val="000000"/>
          <w:sz w:val="24"/>
        </w:rPr>
        <w:t xml:space="preserve"> </w:t>
      </w:r>
      <w:r>
        <w:rPr>
          <w:rFonts w:ascii="Arial"/>
          <w:color w:val="000000"/>
          <w:sz w:val="24"/>
        </w:rPr>
        <w:t xml:space="preserve">no party had raised it as an issue, no notice of the proposed finding had been given to Mr </w:t>
      </w:r>
      <w:r>
        <w:rPr>
          <w:rFonts w:ascii="Arial"/>
          <w:color w:val="000000"/>
          <w:sz w:val="24"/>
        </w:rPr>
        <w:t>Lahoud</w:t>
      </w:r>
      <w:r>
        <w:rPr>
          <w:rFonts w:ascii="Arial"/>
          <w:color w:val="000000"/>
          <w:sz w:val="24"/>
        </w:rPr>
        <w:t>, and he was thus deprived of an opportunity to make submissions about it (ground 2).</w:t>
      </w:r>
    </w:p>
    <w:p>
      <w:pPr>
        <w:pStyle w:val="CaselawNumbered10"/>
        <w:numPr>
          <w:ilvl w:val="0"/>
          <w:numId w:val="33"/>
        </w:numPr>
        <w:spacing w:before="150" w:after="0"/>
        <w:ind w:left="600" w:hanging="600"/>
      </w:pPr>
      <w:r>
        <w:rPr>
          <w:rFonts w:ascii="Arial"/>
          <w:color w:val="000000"/>
          <w:sz w:val="24"/>
        </w:rPr>
        <w:t xml:space="preserve">Helm raised as a contention that the primary judge should have dismissed Ground 1 on the basis that Mr </w:t>
      </w:r>
      <w:r>
        <w:rPr>
          <w:rFonts w:ascii="Arial"/>
          <w:color w:val="000000"/>
          <w:sz w:val="24"/>
        </w:rPr>
        <w:t>Lahoud</w:t>
      </w:r>
      <w:r>
        <w:rPr>
          <w:rFonts w:ascii="Arial"/>
          <w:color w:val="000000"/>
          <w:sz w:val="24"/>
        </w:rPr>
        <w:t xml:space="preserve"> </w:t>
      </w:r>
      <w:r>
        <w:rPr>
          <w:rFonts w:ascii="Arial"/>
          <w:color w:val="000000"/>
          <w:sz w:val="24"/>
        </w:rPr>
        <w:t>had failed to establish that the Panel</w:t>
      </w:r>
      <w:r>
        <w:rPr>
          <w:rFonts w:ascii="Arial"/>
          <w:color w:val="000000"/>
          <w:sz w:val="24"/>
        </w:rPr>
        <w:t>’</w:t>
      </w:r>
      <w:r>
        <w:rPr>
          <w:rFonts w:ascii="Arial"/>
          <w:color w:val="000000"/>
          <w:sz w:val="24"/>
        </w:rPr>
        <w:t xml:space="preserve">s decision </w:t>
      </w:r>
      <w:r>
        <w:rPr>
          <w:rFonts w:ascii="Arial"/>
          <w:color w:val="000000"/>
          <w:sz w:val="24"/>
        </w:rPr>
        <w:t>w</w:t>
      </w:r>
      <w:r>
        <w:rPr>
          <w:rFonts w:ascii="Arial"/>
          <w:color w:val="000000"/>
          <w:sz w:val="24"/>
        </w:rPr>
        <w:t xml:space="preserve">as affected by the jurisdictional errors alleged by Mr </w:t>
      </w:r>
      <w:r>
        <w:rPr>
          <w:rFonts w:ascii="Arial"/>
          <w:color w:val="000000"/>
          <w:sz w:val="24"/>
        </w:rPr>
        <w:t>Lahoud</w:t>
      </w:r>
      <w:r>
        <w:rPr>
          <w:rFonts w:ascii="Arial"/>
          <w:color w:val="000000"/>
          <w:sz w:val="24"/>
        </w:rPr>
        <w:t xml:space="preserve"> </w:t>
      </w:r>
      <w:r>
        <w:rPr>
          <w:rFonts w:ascii="Arial"/>
          <w:color w:val="000000"/>
          <w:sz w:val="24"/>
        </w:rPr>
        <w:t>(contention 2). This contention can be dealt with together with the height standard grounds of appeal.</w:t>
      </w:r>
    </w:p>
    <w:p>
      <w:pPr>
        <w:pStyle w:val="CaselawNumbered10"/>
        <w:numPr>
          <w:ilvl w:val="0"/>
          <w:numId w:val="33"/>
        </w:numPr>
        <w:spacing w:before="150" w:after="0"/>
        <w:ind w:left="600" w:hanging="600"/>
      </w:pPr>
      <w:r>
        <w:rPr>
          <w:rFonts w:ascii="Arial"/>
          <w:color w:val="000000"/>
          <w:sz w:val="24"/>
        </w:rPr>
        <w:t>Th</w:t>
      </w:r>
      <w:r>
        <w:rPr>
          <w:rFonts w:ascii="Arial"/>
          <w:color w:val="000000"/>
          <w:sz w:val="24"/>
        </w:rPr>
        <w:t>e</w:t>
      </w:r>
      <w:r>
        <w:rPr>
          <w:rFonts w:ascii="Arial"/>
          <w:color w:val="000000"/>
          <w:sz w:val="24"/>
        </w:rPr>
        <w:t xml:space="preserve"> </w:t>
      </w:r>
      <w:r>
        <w:rPr>
          <w:rFonts w:ascii="Arial"/>
          <w:color w:val="000000"/>
          <w:sz w:val="24"/>
        </w:rPr>
        <w:t>height standard</w:t>
      </w:r>
      <w:r>
        <w:rPr>
          <w:rFonts w:ascii="Arial"/>
          <w:color w:val="000000"/>
          <w:sz w:val="24"/>
        </w:rPr>
        <w:t xml:space="preserve"> </w:t>
      </w:r>
      <w:r>
        <w:rPr>
          <w:rFonts w:ascii="Arial"/>
          <w:color w:val="000000"/>
          <w:sz w:val="24"/>
        </w:rPr>
        <w:t xml:space="preserve">grounds of appeal are based on three assumptions of the statutory scheme that are incorrect. The first assumption is that s 4.16(4)(b) of the EPA Act itself is a source of power to grant development </w:t>
      </w:r>
      <w:r>
        <w:rPr>
          <w:rFonts w:ascii="Arial"/>
          <w:color w:val="000000"/>
          <w:sz w:val="24"/>
        </w:rPr>
        <w:t>consent to a development application</w:t>
      </w:r>
      <w:r>
        <w:rPr>
          <w:rFonts w:ascii="Arial"/>
          <w:color w:val="000000"/>
          <w:sz w:val="24"/>
        </w:rPr>
        <w:t>. It is not. There is only one power to grant development consent to a development application and that is in s 4.</w:t>
      </w:r>
      <w:r>
        <w:rPr>
          <w:rFonts w:ascii="Arial"/>
          <w:color w:val="000000"/>
          <w:sz w:val="24"/>
        </w:rPr>
        <w:t>1</w:t>
      </w:r>
      <w:r>
        <w:rPr>
          <w:rFonts w:ascii="Arial"/>
          <w:color w:val="000000"/>
          <w:sz w:val="24"/>
        </w:rPr>
        <w:t>6(1) of the EPA Act</w:t>
      </w:r>
      <w:r>
        <w:rPr>
          <w:rFonts w:ascii="Arial"/>
          <w:color w:val="000000"/>
          <w:sz w:val="24"/>
        </w:rPr>
        <w:t>.</w:t>
      </w:r>
      <w:r>
        <w:rPr>
          <w:rFonts w:ascii="Arial"/>
          <w:color w:val="000000"/>
          <w:sz w:val="24"/>
        </w:rPr>
        <w:t xml:space="preserve"> </w:t>
      </w:r>
      <w:r>
        <w:rPr>
          <w:rFonts w:ascii="Arial"/>
          <w:color w:val="000000"/>
          <w:sz w:val="24"/>
        </w:rPr>
        <w:t>That subsection provides:</w:t>
      </w:r>
    </w:p>
    <w:p>
      <w:pPr>
        <w:pStyle w:val="CaselawQuote"/>
        <w:spacing w:before="150" w:after="150"/>
        <w:ind w:left="1350"/>
        <w:jc w:val="left"/>
      </w:pPr>
      <w:r>
        <w:rPr>
          <w:rFonts w:ascii="Arial"/>
          <w:color w:val="000000"/>
          <w:sz w:val="22"/>
        </w:rPr>
        <w:t>“(1) A consent authority is to determine a development application by—</w:t>
      </w:r>
    </w:p>
    <w:p>
      <w:pPr>
        <w:pStyle w:val="CaselawQuote0"/>
        <w:spacing w:before="150" w:after="150"/>
        <w:ind w:left="2100"/>
        <w:jc w:val="left"/>
      </w:pPr>
      <w:r>
        <w:rPr>
          <w:rFonts w:ascii="Arial"/>
          <w:color w:val="000000"/>
          <w:sz w:val="22"/>
        </w:rPr>
        <w:t>(a) granting consent to the application, either unconditionally or subject to conditions, or</w:t>
      </w:r>
    </w:p>
    <w:p>
      <w:pPr>
        <w:pStyle w:val="CaselawQuote0"/>
        <w:spacing w:before="150" w:after="150"/>
        <w:ind w:left="2100"/>
        <w:jc w:val="left"/>
      </w:pPr>
      <w:r>
        <w:rPr>
          <w:rFonts w:ascii="Arial"/>
          <w:color w:val="000000"/>
          <w:sz w:val="22"/>
        </w:rPr>
        <w:t>(b) refusing consent to the application.”</w:t>
      </w:r>
    </w:p>
    <w:p>
      <w:pPr>
        <w:pStyle w:val="CaselawNumbered10"/>
        <w:numPr>
          <w:ilvl w:val="0"/>
          <w:numId w:val="34"/>
        </w:numPr>
        <w:spacing w:before="150" w:after="0"/>
        <w:ind w:left="600" w:hanging="600"/>
      </w:pPr>
      <w:r>
        <w:rPr>
          <w:rFonts w:ascii="Arial"/>
          <w:color w:val="000000"/>
          <w:sz w:val="24"/>
        </w:rPr>
        <w:t xml:space="preserve">Other statutory provisions regulate how the power in s 4.16(1) is to be exercised. </w:t>
      </w:r>
    </w:p>
    <w:p>
      <w:pPr>
        <w:pStyle w:val="CaselawNumbered10"/>
        <w:numPr>
          <w:ilvl w:val="0"/>
          <w:numId w:val="34"/>
        </w:numPr>
        <w:spacing w:before="150" w:after="0"/>
        <w:ind w:left="600" w:hanging="600"/>
      </w:pPr>
      <w:r>
        <w:rPr>
          <w:rFonts w:ascii="Arial"/>
          <w:color w:val="000000"/>
          <w:sz w:val="24"/>
        </w:rPr>
        <w:t>Some provisions require the power to be exercised in a certain way. For example, s 4.16(2) requires the consent authority to exercise the power</w:t>
      </w:r>
      <w:r>
        <w:rPr>
          <w:rFonts w:ascii="Arial"/>
          <w:color w:val="000000"/>
          <w:sz w:val="24"/>
        </w:rPr>
        <w:t xml:space="preserve"> </w:t>
      </w:r>
      <w:r>
        <w:rPr>
          <w:rFonts w:ascii="Arial"/>
          <w:color w:val="000000"/>
          <w:sz w:val="24"/>
        </w:rPr>
        <w:t>so as</w:t>
      </w:r>
      <w:r>
        <w:rPr>
          <w:rFonts w:ascii="Arial"/>
          <w:color w:val="000000"/>
          <w:sz w:val="24"/>
        </w:rPr>
        <w:t xml:space="preserve"> </w:t>
      </w:r>
      <w:r>
        <w:rPr>
          <w:rFonts w:ascii="Arial"/>
          <w:color w:val="000000"/>
          <w:sz w:val="24"/>
        </w:rPr>
        <w:t>to</w:t>
      </w:r>
      <w:r>
        <w:rPr>
          <w:rFonts w:ascii="Arial"/>
          <w:color w:val="000000"/>
          <w:sz w:val="24"/>
        </w:rPr>
        <w:t xml:space="preserve"> </w:t>
      </w:r>
      <w:r>
        <w:rPr>
          <w:rFonts w:ascii="Arial"/>
          <w:color w:val="000000"/>
          <w:sz w:val="24"/>
        </w:rPr>
        <w:t xml:space="preserve">refuse consent to the application </w:t>
      </w:r>
      <w:r>
        <w:rPr>
          <w:rFonts w:ascii="Arial"/>
          <w:color w:val="000000"/>
          <w:sz w:val="24"/>
        </w:rPr>
        <w:t>where</w:t>
      </w:r>
      <w:r>
        <w:rPr>
          <w:rFonts w:ascii="Arial"/>
          <w:color w:val="000000"/>
          <w:sz w:val="24"/>
        </w:rPr>
        <w:t xml:space="preserve"> </w:t>
      </w:r>
      <w:r>
        <w:rPr>
          <w:rFonts w:ascii="Arial"/>
          <w:color w:val="000000"/>
          <w:sz w:val="24"/>
        </w:rPr>
        <w:t>development for the subdivision of the land wou</w:t>
      </w:r>
      <w:r>
        <w:rPr>
          <w:rFonts w:ascii="Arial"/>
          <w:color w:val="000000"/>
          <w:sz w:val="24"/>
        </w:rPr>
        <w:t>ld result in a contravention of the EPA Act, an environmental planning instrument or the regulations.</w:t>
      </w:r>
    </w:p>
    <w:p>
      <w:pPr>
        <w:pStyle w:val="CaselawNumbered10"/>
        <w:numPr>
          <w:ilvl w:val="0"/>
          <w:numId w:val="34"/>
        </w:numPr>
        <w:spacing w:before="150" w:after="0"/>
        <w:ind w:left="600" w:hanging="600"/>
      </w:pPr>
      <w:r>
        <w:rPr>
          <w:rFonts w:ascii="Arial"/>
          <w:color w:val="000000"/>
          <w:sz w:val="24"/>
        </w:rPr>
        <w:t>Some provisions regulate how the power, if exercise</w:t>
      </w:r>
      <w:r>
        <w:rPr>
          <w:rFonts w:ascii="Arial"/>
          <w:color w:val="000000"/>
          <w:sz w:val="24"/>
        </w:rPr>
        <w:t>d</w:t>
      </w:r>
      <w:r>
        <w:rPr>
          <w:rFonts w:ascii="Arial"/>
          <w:color w:val="000000"/>
          <w:sz w:val="24"/>
        </w:rPr>
        <w:t xml:space="preserve"> </w:t>
      </w:r>
      <w:r>
        <w:rPr>
          <w:rFonts w:ascii="Arial"/>
          <w:color w:val="000000"/>
          <w:sz w:val="24"/>
        </w:rPr>
        <w:t xml:space="preserve">so as </w:t>
      </w:r>
      <w:r>
        <w:rPr>
          <w:rFonts w:ascii="Arial"/>
          <w:color w:val="000000"/>
          <w:sz w:val="24"/>
        </w:rPr>
        <w:t>to</w:t>
      </w:r>
      <w:r>
        <w:rPr>
          <w:rFonts w:ascii="Arial"/>
          <w:color w:val="000000"/>
          <w:sz w:val="24"/>
        </w:rPr>
        <w:t xml:space="preserve"> </w:t>
      </w:r>
      <w:r>
        <w:rPr>
          <w:rFonts w:ascii="Arial"/>
          <w:color w:val="000000"/>
          <w:sz w:val="24"/>
        </w:rPr>
        <w:t xml:space="preserve">grant consent, is to be exercised. Section 4.17 is an example. If the development application is determined by the grant of development consent subject to conditions, any </w:t>
      </w:r>
      <w:r>
        <w:rPr>
          <w:rFonts w:ascii="Arial"/>
          <w:color w:val="000000"/>
          <w:sz w:val="24"/>
        </w:rPr>
        <w:t>conditions must satisfy one or more of the requirements of s 4.17 for the imposition of conditions. Section 4.16(3) is another example, allowing the grant of a development consent subject to a condition that the consent is not to operate until the applicant satisfies the consent authority as to any matter specified in the condition (known as a deferred commencement condition).</w:t>
      </w:r>
    </w:p>
    <w:p>
      <w:pPr>
        <w:pStyle w:val="CaselawNumbered10"/>
        <w:numPr>
          <w:ilvl w:val="0"/>
          <w:numId w:val="34"/>
        </w:numPr>
        <w:spacing w:before="150" w:after="0"/>
        <w:ind w:left="600" w:hanging="600"/>
      </w:pPr>
      <w:r>
        <w:rPr>
          <w:rFonts w:ascii="Arial"/>
          <w:color w:val="000000"/>
          <w:sz w:val="24"/>
        </w:rPr>
        <w:t>Other provisions enable the power to be exercised in a certain way. Section 4.16(4) is an example. Section 4.16(4) enables development consent to be granted to the whole or part of the development for which the consent is sought. Subsection (4) provides:</w:t>
      </w:r>
    </w:p>
    <w:p>
      <w:pPr>
        <w:pStyle w:val="CaselawQuote"/>
        <w:spacing w:before="150" w:after="150"/>
        <w:ind w:left="1350"/>
        <w:jc w:val="left"/>
      </w:pPr>
      <w:r>
        <w:rPr>
          <w:rFonts w:ascii="Arial"/>
          <w:color w:val="000000"/>
          <w:sz w:val="22"/>
        </w:rPr>
        <w:t>“(4) A development consent may be granted—</w:t>
      </w:r>
    </w:p>
    <w:p>
      <w:pPr>
        <w:pStyle w:val="CaselawQuote0"/>
        <w:spacing w:before="150" w:after="150"/>
        <w:ind w:left="2100"/>
        <w:jc w:val="left"/>
      </w:pPr>
      <w:r>
        <w:rPr>
          <w:rFonts w:ascii="Arial"/>
          <w:color w:val="000000"/>
          <w:sz w:val="22"/>
        </w:rPr>
        <w:t>(a) for the development for which the consent is sought, or</w:t>
      </w:r>
    </w:p>
    <w:p>
      <w:pPr>
        <w:pStyle w:val="CaselawQuote0"/>
        <w:spacing w:before="150" w:after="150"/>
        <w:ind w:left="2100"/>
        <w:jc w:val="left"/>
      </w:pPr>
      <w:r>
        <w:rPr>
          <w:rFonts w:ascii="Arial"/>
          <w:color w:val="000000"/>
          <w:sz w:val="22"/>
        </w:rPr>
        <w:t>(b) for that development, except for a specified part or aspect of that development, or</w:t>
      </w:r>
    </w:p>
    <w:p>
      <w:pPr>
        <w:pStyle w:val="CaselawQuote0"/>
        <w:spacing w:before="150" w:after="150"/>
        <w:ind w:left="2100"/>
        <w:jc w:val="left"/>
      </w:pPr>
      <w:r>
        <w:rPr>
          <w:rFonts w:ascii="Arial"/>
          <w:color w:val="000000"/>
          <w:sz w:val="22"/>
        </w:rPr>
        <w:t>(c) for a specified part or aspect of that development.”</w:t>
      </w:r>
    </w:p>
    <w:p>
      <w:pPr>
        <w:pStyle w:val="CaselawNumbered10"/>
        <w:numPr>
          <w:ilvl w:val="0"/>
          <w:numId w:val="35"/>
        </w:numPr>
        <w:spacing w:before="150" w:after="0"/>
        <w:ind w:left="600" w:hanging="600"/>
      </w:pPr>
      <w:r>
        <w:rPr>
          <w:rFonts w:ascii="Arial"/>
          <w:color w:val="000000"/>
          <w:sz w:val="24"/>
        </w:rPr>
        <w:t>The second assumption is that s 4.16(4) only enables the grant of development consent for the development for which the consent is sought, except for a specified part or</w:t>
      </w:r>
      <w:r>
        <w:rPr>
          <w:rFonts w:ascii="Arial"/>
          <w:color w:val="000000"/>
          <w:sz w:val="24"/>
        </w:rPr>
        <w:t xml:space="preserve"> </w:t>
      </w:r>
      <w:r>
        <w:rPr>
          <w:rFonts w:ascii="Arial"/>
          <w:color w:val="000000"/>
          <w:sz w:val="24"/>
        </w:rPr>
        <w:t>aspect of</w:t>
      </w:r>
      <w:r>
        <w:rPr>
          <w:rFonts w:ascii="Arial"/>
          <w:color w:val="000000"/>
          <w:sz w:val="24"/>
        </w:rPr>
        <w:t xml:space="preserve"> </w:t>
      </w:r>
      <w:r>
        <w:rPr>
          <w:rFonts w:ascii="Arial"/>
          <w:color w:val="000000"/>
          <w:sz w:val="24"/>
        </w:rPr>
        <w:t>that development</w:t>
      </w:r>
      <w:r>
        <w:rPr>
          <w:rFonts w:ascii="Arial"/>
          <w:color w:val="000000"/>
          <w:sz w:val="24"/>
        </w:rPr>
        <w:t>, or</w:t>
      </w:r>
      <w:r>
        <w:rPr>
          <w:rFonts w:ascii="Arial"/>
          <w:color w:val="000000"/>
          <w:sz w:val="24"/>
        </w:rPr>
        <w:t xml:space="preserve"> </w:t>
      </w:r>
      <w:r>
        <w:rPr>
          <w:rFonts w:ascii="Arial"/>
          <w:color w:val="000000"/>
          <w:sz w:val="24"/>
        </w:rPr>
        <w:t xml:space="preserve">for a specified part of the development, by specifying that limitation in </w:t>
      </w:r>
      <w:r>
        <w:rPr>
          <w:rFonts w:ascii="Arial"/>
          <w:color w:val="000000"/>
          <w:sz w:val="24"/>
        </w:rPr>
        <w:t xml:space="preserve">the </w:t>
      </w:r>
      <w:r>
        <w:rPr>
          <w:rFonts w:ascii="Arial"/>
          <w:color w:val="000000"/>
          <w:sz w:val="24"/>
        </w:rPr>
        <w:t xml:space="preserve">description of the development in </w:t>
      </w:r>
      <w:r>
        <w:rPr>
          <w:rFonts w:ascii="Arial"/>
          <w:color w:val="000000"/>
          <w:sz w:val="24"/>
        </w:rPr>
        <w:t>the development consent and not in the conditions to which the development consent is subject. That limitation is not to be found in the terms of s 4.16(4).</w:t>
      </w:r>
    </w:p>
    <w:p>
      <w:pPr>
        <w:pStyle w:val="CaselawNumbered10"/>
        <w:numPr>
          <w:ilvl w:val="0"/>
          <w:numId w:val="35"/>
        </w:numPr>
        <w:spacing w:before="150" w:after="0"/>
        <w:ind w:left="600" w:hanging="600"/>
      </w:pPr>
      <w:r>
        <w:rPr>
          <w:rFonts w:ascii="Arial"/>
          <w:color w:val="000000"/>
          <w:sz w:val="24"/>
        </w:rPr>
        <w:t xml:space="preserve">In terms, </w:t>
      </w:r>
      <w:r>
        <w:rPr>
          <w:rFonts w:ascii="Arial"/>
          <w:color w:val="000000"/>
          <w:sz w:val="24"/>
        </w:rPr>
        <w:t>s</w:t>
      </w:r>
      <w:r>
        <w:rPr>
          <w:rFonts w:ascii="Arial"/>
          <w:color w:val="000000"/>
          <w:sz w:val="24"/>
        </w:rPr>
        <w:t xml:space="preserve"> </w:t>
      </w:r>
      <w:r>
        <w:rPr>
          <w:rFonts w:ascii="Arial"/>
          <w:color w:val="000000"/>
          <w:sz w:val="24"/>
        </w:rPr>
        <w:t>4.16(4) is silent as to how development consent may be granted to the whole or part of the development for which the consent is sought</w:t>
      </w:r>
      <w:r>
        <w:rPr>
          <w:rFonts w:ascii="Arial"/>
          <w:color w:val="000000"/>
          <w:sz w:val="24"/>
        </w:rPr>
        <w:t>.</w:t>
      </w:r>
      <w:r>
        <w:rPr>
          <w:rFonts w:ascii="Arial"/>
          <w:color w:val="000000"/>
          <w:sz w:val="24"/>
        </w:rPr>
        <w:t xml:space="preserve"> </w:t>
      </w:r>
      <w:r>
        <w:rPr>
          <w:rFonts w:ascii="Arial"/>
          <w:color w:val="000000"/>
          <w:sz w:val="24"/>
        </w:rPr>
        <w:t>I</w:t>
      </w:r>
      <w:r>
        <w:rPr>
          <w:rFonts w:ascii="Arial"/>
          <w:color w:val="000000"/>
          <w:sz w:val="24"/>
        </w:rPr>
        <w:t xml:space="preserve">n form, the development consent could specify </w:t>
      </w:r>
      <w:r>
        <w:rPr>
          <w:rFonts w:ascii="Arial"/>
          <w:color w:val="000000"/>
          <w:sz w:val="24"/>
        </w:rPr>
        <w:t>the whole or part of the development to which consent is granted either in the description of the development in the beginning of the consent or in the conditions to which the grant of consent is subjec</w:t>
      </w:r>
      <w:r>
        <w:rPr>
          <w:rFonts w:ascii="Arial"/>
          <w:color w:val="000000"/>
          <w:sz w:val="24"/>
        </w:rPr>
        <w:t>t</w:t>
      </w:r>
      <w:r>
        <w:rPr>
          <w:rFonts w:ascii="Arial"/>
          <w:color w:val="000000"/>
          <w:sz w:val="24"/>
        </w:rPr>
        <w:t xml:space="preserve"> </w:t>
      </w:r>
      <w:r>
        <w:rPr>
          <w:rFonts w:ascii="Arial"/>
          <w:color w:val="000000"/>
          <w:sz w:val="24"/>
        </w:rPr>
        <w:t>later in the consent</w:t>
      </w:r>
      <w:r>
        <w:rPr>
          <w:rFonts w:ascii="Arial"/>
          <w:color w:val="000000"/>
          <w:sz w:val="24"/>
        </w:rPr>
        <w:t xml:space="preserve">. </w:t>
      </w:r>
      <w:r>
        <w:rPr>
          <w:rFonts w:ascii="Arial"/>
          <w:color w:val="000000"/>
          <w:sz w:val="24"/>
        </w:rPr>
        <w:t>In substance, each method of specifying the development to which consent is granted is the same.</w:t>
      </w:r>
    </w:p>
    <w:p>
      <w:pPr>
        <w:pStyle w:val="CaselawNumbered10"/>
        <w:numPr>
          <w:ilvl w:val="0"/>
          <w:numId w:val="35"/>
        </w:numPr>
        <w:spacing w:before="150" w:after="0"/>
        <w:ind w:left="600" w:hanging="600"/>
      </w:pPr>
      <w:r>
        <w:rPr>
          <w:rFonts w:ascii="Arial"/>
          <w:color w:val="000000"/>
          <w:sz w:val="24"/>
        </w:rPr>
        <w:t xml:space="preserve">Consider the grant of development consent in this case. The </w:t>
      </w:r>
      <w:r>
        <w:rPr>
          <w:rFonts w:ascii="Arial"/>
          <w:color w:val="000000"/>
          <w:sz w:val="24"/>
        </w:rPr>
        <w:t>N</w:t>
      </w:r>
      <w:r>
        <w:rPr>
          <w:rFonts w:ascii="Arial"/>
          <w:color w:val="000000"/>
          <w:sz w:val="24"/>
        </w:rPr>
        <w:t xml:space="preserve">otice of </w:t>
      </w:r>
      <w:r>
        <w:rPr>
          <w:rFonts w:ascii="Arial"/>
          <w:color w:val="000000"/>
          <w:sz w:val="24"/>
        </w:rPr>
        <w:t>D</w:t>
      </w:r>
      <w:r>
        <w:rPr>
          <w:rFonts w:ascii="Arial"/>
          <w:color w:val="000000"/>
          <w:sz w:val="24"/>
        </w:rPr>
        <w:t>etermination of a Development Application for Development Consent DA-</w:t>
      </w:r>
      <w:r>
        <w:rPr>
          <w:rFonts w:ascii="Arial"/>
          <w:color w:val="000000"/>
          <w:sz w:val="24"/>
        </w:rPr>
        <w:t xml:space="preserve">2020/238 specified that the Council </w:t>
      </w:r>
      <w:r>
        <w:rPr>
          <w:rFonts w:ascii="Arial"/>
          <w:color w:val="000000"/>
          <w:sz w:val="24"/>
        </w:rPr>
        <w:t>“</w:t>
      </w:r>
      <w:r>
        <w:rPr>
          <w:rFonts w:ascii="Arial"/>
          <w:color w:val="000000"/>
          <w:sz w:val="24"/>
        </w:rPr>
        <w:t xml:space="preserve">hereby </w:t>
      </w:r>
      <w:r>
        <w:rPr>
          <w:rFonts w:ascii="Arial"/>
          <w:b/>
          <w:color w:val="000000"/>
          <w:sz w:val="24"/>
        </w:rPr>
        <w:t>CONSENTS</w:t>
      </w:r>
      <w:r>
        <w:rPr>
          <w:rFonts w:ascii="Arial"/>
          <w:color w:val="000000"/>
          <w:sz w:val="24"/>
        </w:rPr>
        <w:t xml:space="preserve"> </w:t>
      </w:r>
      <w:r>
        <w:rPr>
          <w:rFonts w:ascii="Arial"/>
          <w:color w:val="000000"/>
          <w:sz w:val="24"/>
        </w:rPr>
        <w:t xml:space="preserve">to the abovementioned land [in the Description of Land] being used for the following purposes, </w:t>
      </w:r>
      <w:r>
        <w:rPr>
          <w:rFonts w:ascii="Arial"/>
          <w:b/>
          <w:color w:val="000000"/>
          <w:sz w:val="24"/>
        </w:rPr>
        <w:t>subject to compliance</w:t>
      </w:r>
      <w:r>
        <w:rPr>
          <w:rFonts w:ascii="Arial"/>
          <w:color w:val="000000"/>
          <w:sz w:val="24"/>
        </w:rPr>
        <w:t xml:space="preserve"> </w:t>
      </w:r>
      <w:r>
        <w:rPr>
          <w:rFonts w:ascii="Arial"/>
          <w:color w:val="000000"/>
          <w:sz w:val="24"/>
        </w:rPr>
        <w:t xml:space="preserve">with the </w:t>
      </w:r>
      <w:r>
        <w:rPr>
          <w:rFonts w:ascii="Arial"/>
          <w:color w:val="000000"/>
          <w:sz w:val="24"/>
        </w:rPr>
        <w:t>C</w:t>
      </w:r>
      <w:r>
        <w:rPr>
          <w:rFonts w:ascii="Arial"/>
          <w:color w:val="000000"/>
          <w:sz w:val="24"/>
        </w:rPr>
        <w:t>onditions set out in the attached Schedule</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 xml:space="preserve">There then immediately followed the </w:t>
      </w:r>
      <w:r>
        <w:rPr>
          <w:rFonts w:ascii="Arial"/>
          <w:color w:val="000000"/>
          <w:sz w:val="24"/>
        </w:rPr>
        <w:t>“</w:t>
      </w:r>
      <w:r>
        <w:rPr>
          <w:rFonts w:ascii="Arial"/>
          <w:color w:val="000000"/>
          <w:sz w:val="24"/>
        </w:rPr>
        <w:t>Description of Proposal</w:t>
      </w:r>
      <w:r>
        <w:rPr>
          <w:rFonts w:ascii="Arial"/>
          <w:color w:val="000000"/>
          <w:sz w:val="24"/>
        </w:rPr>
        <w:t xml:space="preserve">” </w:t>
      </w:r>
      <w:r>
        <w:rPr>
          <w:rFonts w:ascii="Arial"/>
          <w:color w:val="000000"/>
          <w:sz w:val="24"/>
        </w:rPr>
        <w:t xml:space="preserve">as being </w:t>
      </w:r>
      <w:r>
        <w:rPr>
          <w:rFonts w:ascii="Arial"/>
          <w:color w:val="000000"/>
          <w:sz w:val="24"/>
        </w:rPr>
        <w:t>“</w:t>
      </w:r>
      <w:r>
        <w:rPr>
          <w:rFonts w:ascii="Arial"/>
          <w:color w:val="000000"/>
          <w:sz w:val="24"/>
        </w:rPr>
        <w:t>Adaptive conversion of the existing building into shop top housing, including additional level</w:t>
      </w:r>
      <w:r>
        <w:rPr>
          <w:rFonts w:ascii="Arial"/>
          <w:color w:val="000000"/>
          <w:sz w:val="24"/>
        </w:rPr>
        <w:t>”</w:t>
      </w:r>
      <w:r>
        <w:rPr>
          <w:rFonts w:ascii="Arial"/>
          <w:color w:val="000000"/>
          <w:sz w:val="24"/>
        </w:rPr>
        <w:t>.</w:t>
      </w:r>
    </w:p>
    <w:p>
      <w:pPr>
        <w:pStyle w:val="CaselawNumbered10"/>
        <w:numPr>
          <w:ilvl w:val="0"/>
          <w:numId w:val="35"/>
        </w:numPr>
        <w:spacing w:before="150" w:after="0"/>
        <w:ind w:left="600" w:hanging="600"/>
      </w:pPr>
      <w:r>
        <w:rPr>
          <w:rFonts w:ascii="Arial"/>
          <w:color w:val="000000"/>
          <w:sz w:val="24"/>
        </w:rPr>
        <w:t>This chapeau of the development consent makes clear that the development to which development consent was granted was</w:t>
      </w:r>
      <w:r>
        <w:rPr>
          <w:rFonts w:ascii="Arial"/>
          <w:color w:val="000000"/>
          <w:sz w:val="24"/>
        </w:rPr>
        <w:t xml:space="preserve"> </w:t>
      </w:r>
      <w:r>
        <w:rPr>
          <w:rFonts w:ascii="Arial"/>
          <w:color w:val="000000"/>
          <w:sz w:val="24"/>
        </w:rPr>
        <w:t>the</w:t>
      </w:r>
      <w:r>
        <w:rPr>
          <w:rFonts w:ascii="Arial"/>
          <w:color w:val="000000"/>
          <w:sz w:val="24"/>
        </w:rPr>
        <w:t xml:space="preserve"> </w:t>
      </w:r>
      <w:r>
        <w:rPr>
          <w:rFonts w:ascii="Arial"/>
          <w:color w:val="000000"/>
          <w:sz w:val="24"/>
        </w:rPr>
        <w:t>“</w:t>
      </w:r>
      <w:r>
        <w:rPr>
          <w:rFonts w:ascii="Arial"/>
          <w:color w:val="000000"/>
          <w:sz w:val="24"/>
        </w:rPr>
        <w:t>proposal</w:t>
      </w:r>
      <w:r>
        <w:rPr>
          <w:rFonts w:ascii="Arial"/>
          <w:color w:val="000000"/>
          <w:sz w:val="24"/>
        </w:rPr>
        <w:t xml:space="preserve">” </w:t>
      </w:r>
      <w:r>
        <w:rPr>
          <w:rFonts w:ascii="Arial"/>
          <w:color w:val="000000"/>
          <w:sz w:val="24"/>
        </w:rPr>
        <w:t xml:space="preserve">described in the </w:t>
      </w:r>
      <w:r>
        <w:rPr>
          <w:rFonts w:ascii="Arial"/>
          <w:color w:val="000000"/>
          <w:sz w:val="24"/>
        </w:rPr>
        <w:t>“</w:t>
      </w:r>
      <w:r>
        <w:rPr>
          <w:rFonts w:ascii="Arial"/>
          <w:color w:val="000000"/>
          <w:sz w:val="24"/>
        </w:rPr>
        <w:t>description of proposal</w:t>
      </w:r>
      <w:r>
        <w:rPr>
          <w:rFonts w:ascii="Arial"/>
          <w:color w:val="000000"/>
          <w:sz w:val="24"/>
        </w:rPr>
        <w:t xml:space="preserve">” </w:t>
      </w:r>
      <w:r>
        <w:rPr>
          <w:rFonts w:ascii="Arial"/>
          <w:color w:val="000000"/>
          <w:sz w:val="24"/>
        </w:rPr>
        <w:t>but subject to the conditions</w:t>
      </w:r>
      <w:r>
        <w:rPr>
          <w:rFonts w:ascii="Arial"/>
          <w:color w:val="000000"/>
          <w:sz w:val="24"/>
        </w:rPr>
        <w:t xml:space="preserve"> </w:t>
      </w:r>
      <w:r>
        <w:rPr>
          <w:rFonts w:ascii="Arial"/>
          <w:color w:val="000000"/>
          <w:sz w:val="24"/>
        </w:rPr>
        <w:t>set out</w:t>
      </w:r>
      <w:r>
        <w:rPr>
          <w:rFonts w:ascii="Arial"/>
          <w:color w:val="000000"/>
          <w:sz w:val="24"/>
        </w:rPr>
        <w:t xml:space="preserve"> </w:t>
      </w:r>
      <w:r>
        <w:rPr>
          <w:rFonts w:ascii="Arial"/>
          <w:color w:val="000000"/>
          <w:sz w:val="24"/>
        </w:rPr>
        <w:t xml:space="preserve">in the schedule. Condition 1 in the schedule provided that </w:t>
      </w:r>
      <w:r>
        <w:rPr>
          <w:rFonts w:ascii="Arial"/>
          <w:color w:val="000000"/>
          <w:sz w:val="24"/>
        </w:rPr>
        <w:t>“</w:t>
      </w:r>
      <w:r>
        <w:rPr>
          <w:rFonts w:ascii="Arial"/>
          <w:color w:val="000000"/>
          <w:sz w:val="24"/>
        </w:rPr>
        <w:t>[t]he development must be in accordance with</w:t>
      </w:r>
      <w:r>
        <w:rPr>
          <w:rFonts w:ascii="Arial"/>
          <w:color w:val="000000"/>
          <w:sz w:val="24"/>
        </w:rPr>
        <w:t>”</w:t>
      </w:r>
      <w:r>
        <w:rPr>
          <w:rFonts w:ascii="Arial"/>
          <w:color w:val="000000"/>
          <w:sz w:val="24"/>
        </w:rPr>
        <w:t xml:space="preserve"> </w:t>
      </w:r>
      <w:r>
        <w:rPr>
          <w:rFonts w:ascii="Arial"/>
          <w:color w:val="000000"/>
          <w:sz w:val="24"/>
        </w:rPr>
        <w:t xml:space="preserve">the stamped consent plans identified in the condition, except as </w:t>
      </w:r>
      <w:r>
        <w:rPr>
          <w:rFonts w:ascii="Arial"/>
          <w:color w:val="000000"/>
          <w:sz w:val="24"/>
        </w:rPr>
        <w:t>“</w:t>
      </w:r>
      <w:r>
        <w:rPr>
          <w:rFonts w:ascii="Arial"/>
          <w:color w:val="000000"/>
          <w:sz w:val="24"/>
        </w:rPr>
        <w:t>otherwise provided by the conditions of this consent.</w:t>
      </w:r>
      <w:r>
        <w:rPr>
          <w:rFonts w:ascii="Arial"/>
          <w:color w:val="000000"/>
          <w:sz w:val="24"/>
        </w:rPr>
        <w:t xml:space="preserve">” </w:t>
      </w:r>
      <w:r>
        <w:rPr>
          <w:rFonts w:ascii="Arial"/>
          <w:color w:val="000000"/>
          <w:sz w:val="24"/>
        </w:rPr>
        <w:t xml:space="preserve">Condition 2 in the schedule required that </w:t>
      </w:r>
      <w:r>
        <w:rPr>
          <w:rFonts w:ascii="Arial"/>
          <w:color w:val="000000"/>
          <w:sz w:val="24"/>
        </w:rPr>
        <w:t>“</w:t>
      </w:r>
      <w:r>
        <w:rPr>
          <w:rFonts w:ascii="Arial"/>
          <w:color w:val="000000"/>
          <w:sz w:val="24"/>
        </w:rPr>
        <w:t>the proposal is to be amended in the following manner</w:t>
      </w:r>
      <w:r>
        <w:rPr>
          <w:rFonts w:ascii="Arial"/>
          <w:color w:val="000000"/>
          <w:sz w:val="24"/>
        </w:rPr>
        <w:t xml:space="preserve">” </w:t>
      </w:r>
      <w:r>
        <w:rPr>
          <w:rFonts w:ascii="Arial"/>
          <w:color w:val="000000"/>
          <w:sz w:val="24"/>
        </w:rPr>
        <w:t xml:space="preserve">and then specified the redesign, </w:t>
      </w:r>
      <w:r>
        <w:rPr>
          <w:rFonts w:ascii="Arial"/>
          <w:color w:val="000000"/>
          <w:sz w:val="24"/>
        </w:rPr>
        <w:t>relocation</w:t>
      </w:r>
      <w:r>
        <w:rPr>
          <w:rFonts w:ascii="Arial"/>
          <w:color w:val="000000"/>
          <w:sz w:val="24"/>
        </w:rPr>
        <w:t xml:space="preserve"> </w:t>
      </w:r>
      <w:r>
        <w:rPr>
          <w:rFonts w:ascii="Arial"/>
          <w:color w:val="000000"/>
          <w:sz w:val="24"/>
        </w:rPr>
        <w:t>and deletion of certain parts of Level 4 of the building</w:t>
      </w:r>
      <w:r>
        <w:rPr>
          <w:rFonts w:ascii="Arial"/>
          <w:color w:val="000000"/>
          <w:sz w:val="24"/>
        </w:rPr>
        <w:t xml:space="preserve"> </w:t>
      </w:r>
      <w:r>
        <w:rPr>
          <w:rFonts w:ascii="Arial"/>
          <w:color w:val="000000"/>
          <w:sz w:val="24"/>
        </w:rPr>
        <w:t>required to be made</w:t>
      </w:r>
      <w:r>
        <w:rPr>
          <w:rFonts w:ascii="Arial"/>
          <w:color w:val="000000"/>
          <w:sz w:val="24"/>
        </w:rPr>
        <w:t>.</w:t>
      </w:r>
    </w:p>
    <w:p>
      <w:pPr>
        <w:pStyle w:val="CaselawNumbered10"/>
        <w:numPr>
          <w:ilvl w:val="0"/>
          <w:numId w:val="35"/>
        </w:numPr>
        <w:spacing w:before="150" w:after="0"/>
        <w:ind w:left="600" w:hanging="600"/>
      </w:pPr>
      <w:r>
        <w:rPr>
          <w:rFonts w:ascii="Arial"/>
          <w:color w:val="000000"/>
          <w:sz w:val="24"/>
        </w:rPr>
        <w:t xml:space="preserve">The effect of conditions 1 and 2 was that development consent was only granted to the </w:t>
      </w:r>
      <w:r>
        <w:rPr>
          <w:rFonts w:ascii="Arial"/>
          <w:color w:val="000000"/>
          <w:sz w:val="24"/>
        </w:rPr>
        <w:t>“</w:t>
      </w:r>
      <w:r>
        <w:rPr>
          <w:rFonts w:ascii="Arial"/>
          <w:color w:val="000000"/>
          <w:sz w:val="24"/>
        </w:rPr>
        <w:t>proposal</w:t>
      </w:r>
      <w:r>
        <w:rPr>
          <w:rFonts w:ascii="Arial"/>
          <w:color w:val="000000"/>
          <w:sz w:val="24"/>
        </w:rPr>
        <w:t xml:space="preserve">” </w:t>
      </w:r>
      <w:r>
        <w:rPr>
          <w:rFonts w:ascii="Arial"/>
          <w:color w:val="000000"/>
          <w:sz w:val="24"/>
        </w:rPr>
        <w:t xml:space="preserve">(the development) as amended; no consent was granted to the erection and use of those parts of Level 4 in the proposed development that were required to be </w:t>
      </w:r>
      <w:r>
        <w:rPr>
          <w:rFonts w:ascii="Arial"/>
          <w:color w:val="000000"/>
          <w:sz w:val="24"/>
        </w:rPr>
        <w:t>redesigned</w:t>
      </w:r>
      <w:r>
        <w:rPr>
          <w:rFonts w:ascii="Arial"/>
          <w:color w:val="000000"/>
          <w:sz w:val="24"/>
        </w:rPr>
        <w:t xml:space="preserve">, </w:t>
      </w:r>
      <w:r>
        <w:rPr>
          <w:rFonts w:ascii="Arial"/>
          <w:color w:val="000000"/>
          <w:sz w:val="24"/>
        </w:rPr>
        <w:t>relocated</w:t>
      </w:r>
      <w:r>
        <w:rPr>
          <w:rFonts w:ascii="Arial"/>
          <w:color w:val="000000"/>
          <w:sz w:val="24"/>
        </w:rPr>
        <w:t xml:space="preserve"> </w:t>
      </w:r>
      <w:r>
        <w:rPr>
          <w:rFonts w:ascii="Arial"/>
          <w:color w:val="000000"/>
          <w:sz w:val="24"/>
        </w:rPr>
        <w:t>or deleted by the conditions. Development consent was only granted to the proposed development with those parts of Level 4 of the building redesigned, relocated or deleted.</w:t>
      </w:r>
      <w:r>
        <w:rPr>
          <w:rFonts w:ascii="Arial"/>
          <w:color w:val="000000"/>
          <w:sz w:val="24"/>
        </w:rPr>
        <w:t xml:space="preserve"> </w:t>
      </w:r>
      <w:r>
        <w:rPr>
          <w:rFonts w:ascii="Arial"/>
          <w:color w:val="000000"/>
          <w:sz w:val="24"/>
        </w:rPr>
        <w:t xml:space="preserve">In this way, development consent was granted to the development for which the consent was sought except for the specified parts that were required to be redesigned, </w:t>
      </w:r>
      <w:r>
        <w:rPr>
          <w:rFonts w:ascii="Arial"/>
          <w:color w:val="000000"/>
          <w:sz w:val="24"/>
        </w:rPr>
        <w:t>relocated</w:t>
      </w:r>
      <w:r>
        <w:rPr>
          <w:rFonts w:ascii="Arial"/>
          <w:color w:val="000000"/>
          <w:sz w:val="24"/>
        </w:rPr>
        <w:t xml:space="preserve"> </w:t>
      </w:r>
      <w:r>
        <w:rPr>
          <w:rFonts w:ascii="Arial"/>
          <w:color w:val="000000"/>
          <w:sz w:val="24"/>
        </w:rPr>
        <w:t>or deleted, and after those parts had been redesigned, relocated or deleted.</w:t>
      </w:r>
    </w:p>
    <w:p>
      <w:pPr>
        <w:pStyle w:val="CaselawNumbered10"/>
        <w:numPr>
          <w:ilvl w:val="0"/>
          <w:numId w:val="35"/>
        </w:numPr>
        <w:spacing w:before="150" w:after="0"/>
        <w:ind w:left="600" w:hanging="600"/>
      </w:pPr>
      <w:r>
        <w:rPr>
          <w:rFonts w:ascii="Arial"/>
          <w:color w:val="000000"/>
          <w:sz w:val="24"/>
        </w:rPr>
        <w:t xml:space="preserve">The third assumption is that the consideration of the matters in cl 4.6(4) of </w:t>
      </w:r>
      <w:r>
        <w:rPr>
          <w:rFonts w:ascii="Arial"/>
          <w:color w:val="000000"/>
          <w:sz w:val="24"/>
        </w:rPr>
        <w:t xml:space="preserve">the </w:t>
      </w:r>
      <w:r>
        <w:rPr>
          <w:rFonts w:ascii="Arial"/>
          <w:color w:val="000000"/>
          <w:sz w:val="24"/>
        </w:rPr>
        <w:t xml:space="preserve">WLEP can only be in relation to </w:t>
      </w:r>
      <w:r>
        <w:rPr>
          <w:rFonts w:ascii="Arial"/>
          <w:color w:val="000000"/>
          <w:sz w:val="24"/>
        </w:rPr>
        <w:t>“</w:t>
      </w:r>
      <w:r>
        <w:rPr>
          <w:rFonts w:ascii="Arial"/>
          <w:color w:val="000000"/>
          <w:sz w:val="24"/>
        </w:rPr>
        <w:t>the proposed development</w:t>
      </w:r>
      <w:r>
        <w:rPr>
          <w:rFonts w:ascii="Arial"/>
          <w:color w:val="000000"/>
          <w:sz w:val="24"/>
        </w:rPr>
        <w:t xml:space="preserve">” </w:t>
      </w:r>
      <w:r>
        <w:rPr>
          <w:rFonts w:ascii="Arial"/>
          <w:color w:val="000000"/>
          <w:sz w:val="24"/>
        </w:rPr>
        <w:t>for which consent</w:t>
      </w:r>
      <w:r>
        <w:rPr>
          <w:rFonts w:ascii="Arial"/>
          <w:color w:val="000000"/>
          <w:sz w:val="24"/>
        </w:rPr>
        <w:t xml:space="preserve"> </w:t>
      </w:r>
      <w:r>
        <w:rPr>
          <w:rFonts w:ascii="Arial"/>
          <w:color w:val="000000"/>
          <w:sz w:val="24"/>
        </w:rPr>
        <w:t>is</w:t>
      </w:r>
      <w:r>
        <w:rPr>
          <w:rFonts w:ascii="Arial"/>
          <w:color w:val="000000"/>
          <w:sz w:val="24"/>
        </w:rPr>
        <w:t xml:space="preserve"> </w:t>
      </w:r>
      <w:r>
        <w:rPr>
          <w:rFonts w:ascii="Arial"/>
          <w:color w:val="000000"/>
          <w:sz w:val="24"/>
        </w:rPr>
        <w:t xml:space="preserve">sought and not the development to which consent is granted. That assumption is inconsistent with the terms of </w:t>
      </w:r>
      <w:r>
        <w:rPr>
          <w:rFonts w:ascii="Arial"/>
          <w:color w:val="000000"/>
          <w:sz w:val="24"/>
        </w:rPr>
        <w:t>cl</w:t>
      </w:r>
      <w:r>
        <w:rPr>
          <w:rFonts w:ascii="Arial"/>
          <w:color w:val="000000"/>
          <w:sz w:val="24"/>
        </w:rPr>
        <w:t xml:space="preserve"> </w:t>
      </w:r>
      <w:r>
        <w:rPr>
          <w:rFonts w:ascii="Arial"/>
          <w:color w:val="000000"/>
          <w:sz w:val="24"/>
        </w:rPr>
        <w:t>4.6(4).</w:t>
      </w:r>
    </w:p>
    <w:p>
      <w:pPr>
        <w:pStyle w:val="CaselawNumbered10"/>
        <w:numPr>
          <w:ilvl w:val="0"/>
          <w:numId w:val="35"/>
        </w:numPr>
        <w:spacing w:before="150" w:after="0"/>
        <w:ind w:left="600" w:hanging="600"/>
      </w:pPr>
      <w:r>
        <w:rPr>
          <w:rFonts w:ascii="Arial"/>
          <w:color w:val="000000"/>
          <w:sz w:val="24"/>
        </w:rPr>
        <w:t xml:space="preserve">The proscription in the chapeau of cl 4.6(4) is on granting development consent for </w:t>
      </w:r>
      <w:r>
        <w:rPr>
          <w:rFonts w:ascii="Arial"/>
          <w:color w:val="000000"/>
          <w:sz w:val="24"/>
        </w:rPr>
        <w:t>“</w:t>
      </w:r>
      <w:r>
        <w:rPr>
          <w:rFonts w:ascii="Arial"/>
          <w:color w:val="000000"/>
          <w:sz w:val="24"/>
        </w:rPr>
        <w:t>development that contravenes a development standard.</w:t>
      </w:r>
      <w:r>
        <w:rPr>
          <w:rFonts w:ascii="Arial"/>
          <w:color w:val="000000"/>
          <w:sz w:val="24"/>
        </w:rPr>
        <w:t>”</w:t>
      </w:r>
      <w:r>
        <w:rPr>
          <w:rFonts w:ascii="Arial"/>
          <w:color w:val="000000"/>
          <w:sz w:val="24"/>
        </w:rPr>
        <w:t xml:space="preserve"> </w:t>
      </w:r>
      <w:r>
        <w:rPr>
          <w:rFonts w:ascii="Arial"/>
          <w:color w:val="000000"/>
          <w:sz w:val="24"/>
        </w:rPr>
        <w:t xml:space="preserve">Development consent for that development cannot be granted unless the matters in </w:t>
      </w:r>
      <w:r>
        <w:br/>
      </w:r>
      <w:r>
        <w:rPr>
          <w:rFonts w:ascii="Arial"/>
          <w:color w:val="000000"/>
          <w:sz w:val="24"/>
        </w:rPr>
        <w:t xml:space="preserve"> </w:t>
      </w:r>
      <w:r>
        <w:rPr>
          <w:rFonts w:ascii="Arial"/>
          <w:color w:val="000000"/>
          <w:sz w:val="24"/>
        </w:rPr>
        <w:t>cl</w:t>
      </w:r>
      <w:r>
        <w:rPr>
          <w:rFonts w:ascii="Arial"/>
          <w:color w:val="000000"/>
          <w:sz w:val="24"/>
        </w:rPr>
        <w:t xml:space="preserve"> </w:t>
      </w:r>
      <w:r>
        <w:rPr>
          <w:rFonts w:ascii="Arial"/>
          <w:color w:val="000000"/>
          <w:sz w:val="24"/>
        </w:rPr>
        <w:t>4.6</w:t>
      </w:r>
      <w:r>
        <w:rPr>
          <w:rFonts w:ascii="Arial"/>
          <w:color w:val="000000"/>
          <w:sz w:val="24"/>
        </w:rPr>
        <w:t>(4)</w:t>
      </w:r>
      <w:r>
        <w:rPr>
          <w:rFonts w:ascii="Arial"/>
          <w:color w:val="000000"/>
          <w:sz w:val="24"/>
        </w:rPr>
        <w:t>(a) and (b) are satisfied. Ascertaining whether this proscription is or is not complied with requires focusing on the development for which development consent is granted. If development consent is granted for the development for which consent is sought except for a specified part or aspect of that development, then it is that development except for that specified part or aspect, in respect of which the consent authority must be satisfied of the matters in cl 4.6(4). In particular, the consent authority must be satisfied that that development except for the specified part o</w:t>
      </w:r>
      <w:r>
        <w:rPr>
          <w:rFonts w:ascii="Arial"/>
          <w:color w:val="000000"/>
          <w:sz w:val="24"/>
        </w:rPr>
        <w:t>r</w:t>
      </w:r>
      <w:r>
        <w:rPr>
          <w:rFonts w:ascii="Arial"/>
          <w:color w:val="000000"/>
          <w:sz w:val="24"/>
        </w:rPr>
        <w:t xml:space="preserve"> </w:t>
      </w:r>
      <w:r>
        <w:rPr>
          <w:rFonts w:ascii="Arial"/>
          <w:color w:val="000000"/>
          <w:sz w:val="24"/>
        </w:rPr>
        <w:t xml:space="preserve">aspect </w:t>
      </w:r>
      <w:r>
        <w:rPr>
          <w:rFonts w:ascii="Arial"/>
          <w:color w:val="000000"/>
          <w:sz w:val="24"/>
        </w:rPr>
        <w:t>“</w:t>
      </w:r>
      <w:r>
        <w:rPr>
          <w:rFonts w:ascii="Arial"/>
          <w:color w:val="000000"/>
          <w:sz w:val="24"/>
        </w:rPr>
        <w:t>will be in the public interest because it is consistent with the objectives of the particular standard and the objectives for development within the zone in which the development is proposed to be carried out</w:t>
      </w:r>
      <w:r>
        <w:rPr>
          <w:rFonts w:ascii="Arial"/>
          <w:color w:val="000000"/>
          <w:sz w:val="24"/>
        </w:rPr>
        <w:t xml:space="preserve">” </w:t>
      </w:r>
      <w:r>
        <w:rPr>
          <w:rFonts w:ascii="Arial"/>
          <w:color w:val="000000"/>
          <w:sz w:val="24"/>
        </w:rPr>
        <w:t>(cl 4.6(4)(a)(ii)</w:t>
      </w:r>
      <w:r>
        <w:rPr>
          <w:rFonts w:ascii="Arial"/>
          <w:color w:val="000000"/>
          <w:sz w:val="24"/>
        </w:rPr>
        <w:t>)</w:t>
      </w:r>
      <w:r>
        <w:rPr>
          <w:rFonts w:ascii="Arial"/>
          <w:color w:val="000000"/>
          <w:sz w:val="24"/>
        </w:rPr>
        <w:t>. The consent authority does not need to be satisfied that the development with that specified part o</w:t>
      </w:r>
      <w:r>
        <w:rPr>
          <w:rFonts w:ascii="Arial"/>
          <w:color w:val="000000"/>
          <w:sz w:val="24"/>
        </w:rPr>
        <w:t>r</w:t>
      </w:r>
      <w:r>
        <w:rPr>
          <w:rFonts w:ascii="Arial"/>
          <w:color w:val="000000"/>
          <w:sz w:val="24"/>
        </w:rPr>
        <w:t xml:space="preserve"> </w:t>
      </w:r>
      <w:r>
        <w:rPr>
          <w:rFonts w:ascii="Arial"/>
          <w:color w:val="000000"/>
          <w:sz w:val="24"/>
        </w:rPr>
        <w:t>aspect will meet those matters in cl 4.6(4)(a) because development consent will not be granted to that development with that specified part or aspect.</w:t>
      </w:r>
    </w:p>
    <w:p>
      <w:pPr>
        <w:pStyle w:val="CaselawNumbered10"/>
        <w:numPr>
          <w:ilvl w:val="0"/>
          <w:numId w:val="35"/>
        </w:numPr>
        <w:spacing w:before="150" w:after="0"/>
        <w:ind w:left="600" w:hanging="600"/>
      </w:pPr>
      <w:r>
        <w:rPr>
          <w:rFonts w:ascii="Arial"/>
          <w:color w:val="000000"/>
          <w:sz w:val="24"/>
        </w:rPr>
        <w:t xml:space="preserve">Once the incorrectness of those three assumptions is appreciated, each of the height standard grounds </w:t>
      </w:r>
      <w:r>
        <w:rPr>
          <w:rFonts w:ascii="Arial"/>
          <w:color w:val="000000"/>
          <w:sz w:val="24"/>
        </w:rPr>
        <w:t xml:space="preserve">of appeal </w:t>
      </w:r>
      <w:r>
        <w:rPr>
          <w:rFonts w:ascii="Arial"/>
          <w:color w:val="000000"/>
          <w:sz w:val="24"/>
        </w:rPr>
        <w:t xml:space="preserve">can be seen to be unfounded. As to grounds 1 and 4, the Panel did not breach cl 4.6(4) by granting development consent to the development for which consent was sought except for the specified parts of Level 4 of the building which were required by the conditions to be redesigned, </w:t>
      </w:r>
      <w:r>
        <w:rPr>
          <w:rFonts w:ascii="Arial"/>
          <w:color w:val="000000"/>
          <w:sz w:val="24"/>
        </w:rPr>
        <w:t>relocated</w:t>
      </w:r>
      <w:r>
        <w:rPr>
          <w:rFonts w:ascii="Arial"/>
          <w:color w:val="000000"/>
          <w:sz w:val="24"/>
        </w:rPr>
        <w:t xml:space="preserve"> </w:t>
      </w:r>
      <w:r>
        <w:rPr>
          <w:rFonts w:ascii="Arial"/>
          <w:color w:val="000000"/>
          <w:sz w:val="24"/>
        </w:rPr>
        <w:t>or deleted. That development</w:t>
      </w:r>
      <w:r>
        <w:rPr>
          <w:rFonts w:ascii="Arial"/>
          <w:color w:val="000000"/>
          <w:sz w:val="24"/>
        </w:rPr>
        <w:t>,</w:t>
      </w:r>
      <w:r>
        <w:rPr>
          <w:rFonts w:ascii="Arial"/>
          <w:color w:val="000000"/>
          <w:sz w:val="24"/>
        </w:rPr>
        <w:t xml:space="preserve"> </w:t>
      </w:r>
      <w:r>
        <w:rPr>
          <w:rFonts w:ascii="Arial"/>
          <w:color w:val="000000"/>
          <w:sz w:val="24"/>
        </w:rPr>
        <w:t xml:space="preserve">except for those specified parts </w:t>
      </w:r>
      <w:r>
        <w:rPr>
          <w:rFonts w:ascii="Arial"/>
          <w:color w:val="000000"/>
          <w:sz w:val="24"/>
        </w:rPr>
        <w:t xml:space="preserve">which were required to be redesigned, relocated or deleted, </w:t>
      </w:r>
      <w:r>
        <w:rPr>
          <w:rFonts w:ascii="Arial"/>
          <w:color w:val="000000"/>
          <w:sz w:val="24"/>
        </w:rPr>
        <w:t>did contravene the height standard, but the Panel was satisfied that Helm</w:t>
      </w:r>
      <w:r>
        <w:rPr>
          <w:rFonts w:ascii="Arial"/>
          <w:color w:val="000000"/>
          <w:sz w:val="24"/>
        </w:rPr>
        <w:t>’</w:t>
      </w:r>
      <w:r>
        <w:rPr>
          <w:rFonts w:ascii="Arial"/>
          <w:color w:val="000000"/>
          <w:sz w:val="24"/>
        </w:rPr>
        <w:t xml:space="preserve">s written request had adequately addressed the matters required to be demonstrated by cl 4.6(3) </w:t>
      </w:r>
      <w:r>
        <w:br/>
      </w:r>
      <w:r>
        <w:rPr>
          <w:rFonts w:ascii="Arial"/>
          <w:color w:val="000000"/>
          <w:sz w:val="24"/>
        </w:rPr>
        <w:t xml:space="preserve"> </w:t>
      </w:r>
      <w:r>
        <w:rPr>
          <w:rFonts w:ascii="Arial"/>
          <w:color w:val="000000"/>
          <w:sz w:val="24"/>
        </w:rPr>
        <w:t>(cl 4.6 (4)(a)(</w:t>
      </w:r>
      <w:r>
        <w:rPr>
          <w:rFonts w:ascii="Arial"/>
          <w:color w:val="000000"/>
          <w:sz w:val="24"/>
        </w:rPr>
        <w:t>i</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 xml:space="preserve">and that </w:t>
      </w:r>
      <w:r>
        <w:rPr>
          <w:rFonts w:ascii="Arial"/>
          <w:color w:val="000000"/>
          <w:sz w:val="24"/>
        </w:rPr>
        <w:t xml:space="preserve">the </w:t>
      </w:r>
      <w:r>
        <w:rPr>
          <w:rFonts w:ascii="Arial"/>
          <w:color w:val="000000"/>
          <w:sz w:val="24"/>
        </w:rPr>
        <w:t>development</w:t>
      </w:r>
      <w:r>
        <w:rPr>
          <w:rFonts w:ascii="Arial"/>
          <w:color w:val="000000"/>
          <w:sz w:val="24"/>
        </w:rPr>
        <w:t>,</w:t>
      </w:r>
      <w:r>
        <w:rPr>
          <w:rFonts w:ascii="Arial"/>
          <w:color w:val="000000"/>
          <w:sz w:val="24"/>
        </w:rPr>
        <w:t xml:space="preserve"> </w:t>
      </w:r>
      <w:r>
        <w:rPr>
          <w:rFonts w:ascii="Arial"/>
          <w:color w:val="000000"/>
          <w:sz w:val="24"/>
        </w:rPr>
        <w:t>except</w:t>
      </w:r>
      <w:r>
        <w:rPr>
          <w:rFonts w:ascii="Arial"/>
          <w:color w:val="000000"/>
          <w:sz w:val="24"/>
        </w:rPr>
        <w:t xml:space="preserve"> </w:t>
      </w:r>
      <w:r>
        <w:rPr>
          <w:rFonts w:ascii="Arial"/>
          <w:color w:val="000000"/>
          <w:sz w:val="24"/>
        </w:rPr>
        <w:t xml:space="preserve">for those specified parts </w:t>
      </w:r>
      <w:r>
        <w:rPr>
          <w:rFonts w:ascii="Arial"/>
          <w:color w:val="000000"/>
          <w:sz w:val="24"/>
        </w:rPr>
        <w:t xml:space="preserve">which were required to be redesigned, relocated or deleted, </w:t>
      </w:r>
      <w:r>
        <w:rPr>
          <w:rFonts w:ascii="Arial"/>
          <w:color w:val="000000"/>
          <w:sz w:val="24"/>
        </w:rPr>
        <w:t>will be in the public interest because it was consistent with the objectives of the height standard and the objectives for development within the zone in which the development was proposed to be carried out (cl 4.6(4)(a)(ii)</w:t>
      </w:r>
      <w:r>
        <w:rPr>
          <w:rFonts w:ascii="Arial"/>
          <w:color w:val="000000"/>
          <w:sz w:val="24"/>
        </w:rPr>
        <w:t>)</w:t>
      </w:r>
      <w:r>
        <w:rPr>
          <w:rFonts w:ascii="Arial"/>
          <w:color w:val="000000"/>
          <w:sz w:val="24"/>
        </w:rPr>
        <w:t xml:space="preserve">. Even if the Panel </w:t>
      </w:r>
      <w:r>
        <w:rPr>
          <w:rFonts w:ascii="Arial"/>
          <w:color w:val="000000"/>
          <w:sz w:val="24"/>
        </w:rPr>
        <w:t>was not</w:t>
      </w:r>
      <w:r>
        <w:rPr>
          <w:rFonts w:ascii="Arial"/>
          <w:color w:val="000000"/>
          <w:sz w:val="24"/>
        </w:rPr>
        <w:t xml:space="preserve"> </w:t>
      </w:r>
      <w:r>
        <w:rPr>
          <w:rFonts w:ascii="Arial"/>
          <w:color w:val="000000"/>
          <w:sz w:val="24"/>
        </w:rPr>
        <w:t>satisfied of the matters in cl 4.6(4) with respect to the development for which the consent was sought, with</w:t>
      </w:r>
      <w:r>
        <w:rPr>
          <w:rFonts w:ascii="Arial"/>
          <w:color w:val="000000"/>
          <w:sz w:val="24"/>
        </w:rPr>
        <w:t>out</w:t>
      </w:r>
      <w:r>
        <w:rPr>
          <w:rFonts w:ascii="Arial"/>
          <w:color w:val="000000"/>
          <w:sz w:val="24"/>
        </w:rPr>
        <w:t xml:space="preserve"> </w:t>
      </w:r>
      <w:r>
        <w:rPr>
          <w:rFonts w:ascii="Arial"/>
          <w:color w:val="000000"/>
          <w:sz w:val="24"/>
        </w:rPr>
        <w:t xml:space="preserve">those specified parts </w:t>
      </w:r>
      <w:r>
        <w:rPr>
          <w:rFonts w:ascii="Arial"/>
          <w:color w:val="000000"/>
          <w:sz w:val="24"/>
        </w:rPr>
        <w:t>being</w:t>
      </w:r>
      <w:r>
        <w:rPr>
          <w:rFonts w:ascii="Arial"/>
          <w:color w:val="000000"/>
          <w:sz w:val="24"/>
        </w:rPr>
        <w:t xml:space="preserve"> </w:t>
      </w:r>
      <w:r>
        <w:rPr>
          <w:rFonts w:ascii="Arial"/>
          <w:color w:val="000000"/>
          <w:sz w:val="24"/>
        </w:rPr>
        <w:t xml:space="preserve">redesigned, </w:t>
      </w:r>
      <w:r>
        <w:rPr>
          <w:rFonts w:ascii="Arial"/>
          <w:color w:val="000000"/>
          <w:sz w:val="24"/>
        </w:rPr>
        <w:t>relocated</w:t>
      </w:r>
      <w:r>
        <w:rPr>
          <w:rFonts w:ascii="Arial"/>
          <w:color w:val="000000"/>
          <w:sz w:val="24"/>
        </w:rPr>
        <w:t xml:space="preserve"> </w:t>
      </w:r>
      <w:r>
        <w:rPr>
          <w:rFonts w:ascii="Arial"/>
          <w:color w:val="000000"/>
          <w:sz w:val="24"/>
        </w:rPr>
        <w:t>or deleted, that was not the development for which development consent was granted. Hence, there was no contravention of cl 4.6(4).</w:t>
      </w:r>
    </w:p>
    <w:p>
      <w:pPr>
        <w:pStyle w:val="CaselawNumbered10"/>
        <w:numPr>
          <w:ilvl w:val="0"/>
          <w:numId w:val="35"/>
        </w:numPr>
        <w:spacing w:before="150" w:after="0"/>
        <w:ind w:left="600" w:hanging="600"/>
      </w:pPr>
      <w:r>
        <w:rPr>
          <w:rFonts w:ascii="Arial"/>
          <w:color w:val="000000"/>
          <w:sz w:val="24"/>
        </w:rPr>
        <w:t>As to grounds 3 an</w:t>
      </w:r>
      <w:r>
        <w:rPr>
          <w:rFonts w:ascii="Arial"/>
          <w:color w:val="000000"/>
          <w:sz w:val="24"/>
        </w:rPr>
        <w:t>d</w:t>
      </w:r>
      <w:r>
        <w:rPr>
          <w:rFonts w:ascii="Arial"/>
          <w:color w:val="000000"/>
          <w:sz w:val="24"/>
        </w:rPr>
        <w:t xml:space="preserve"> </w:t>
      </w:r>
      <w:r>
        <w:rPr>
          <w:rFonts w:ascii="Arial"/>
          <w:color w:val="000000"/>
          <w:sz w:val="24"/>
        </w:rPr>
        <w:t>5, on a proper construction of the development consent, the development to which the Panel granted development consent was the development for which the consent was sought</w:t>
      </w:r>
      <w:r>
        <w:rPr>
          <w:rFonts w:ascii="Arial"/>
          <w:color w:val="000000"/>
          <w:sz w:val="24"/>
        </w:rPr>
        <w:t>,</w:t>
      </w:r>
      <w:r>
        <w:rPr>
          <w:rFonts w:ascii="Arial"/>
          <w:color w:val="000000"/>
          <w:sz w:val="24"/>
        </w:rPr>
        <w:t xml:space="preserve"> </w:t>
      </w:r>
      <w:r>
        <w:rPr>
          <w:rFonts w:ascii="Arial"/>
          <w:color w:val="000000"/>
          <w:sz w:val="24"/>
        </w:rPr>
        <w:t>except for the parts of Level 4 of the building which were required by the conditions of consent to be redesigned, relocated or deleted</w:t>
      </w:r>
      <w:r>
        <w:rPr>
          <w:rFonts w:ascii="Arial"/>
          <w:color w:val="000000"/>
          <w:sz w:val="24"/>
        </w:rPr>
        <w:t>,</w:t>
      </w:r>
      <w:r>
        <w:rPr>
          <w:rFonts w:ascii="Arial"/>
          <w:color w:val="000000"/>
          <w:sz w:val="24"/>
        </w:rPr>
        <w:t xml:space="preserve"> </w:t>
      </w:r>
      <w:r>
        <w:rPr>
          <w:rFonts w:ascii="Arial"/>
          <w:color w:val="000000"/>
          <w:sz w:val="24"/>
        </w:rPr>
        <w:t xml:space="preserve">and after that redesign, relocation or deletion </w:t>
      </w:r>
      <w:r>
        <w:rPr>
          <w:rFonts w:ascii="Arial"/>
          <w:color w:val="000000"/>
          <w:sz w:val="24"/>
        </w:rPr>
        <w:t xml:space="preserve">of </w:t>
      </w:r>
      <w:r>
        <w:rPr>
          <w:rFonts w:ascii="Arial"/>
          <w:color w:val="000000"/>
          <w:sz w:val="24"/>
        </w:rPr>
        <w:t>those parts of Level 4 had been effected. That is to say, the development as amended was the development for which development consent was granted. The grant of development consent to this amended development was within the power under s 4.16(1) as enabled by s 4.16</w:t>
      </w:r>
      <w:r>
        <w:rPr>
          <w:rFonts w:ascii="Arial"/>
          <w:color w:val="000000"/>
          <w:sz w:val="24"/>
        </w:rPr>
        <w:t>(4)</w:t>
      </w:r>
      <w:r>
        <w:rPr>
          <w:rFonts w:ascii="Arial"/>
          <w:color w:val="000000"/>
          <w:sz w:val="24"/>
        </w:rPr>
        <w:t xml:space="preserve"> </w:t>
      </w:r>
      <w:r>
        <w:rPr>
          <w:rFonts w:ascii="Arial"/>
          <w:color w:val="000000"/>
          <w:sz w:val="24"/>
        </w:rPr>
        <w:t>of the EPA Act.</w:t>
      </w:r>
    </w:p>
    <w:p>
      <w:pPr>
        <w:pStyle w:val="CaselawNumbered10"/>
        <w:numPr>
          <w:ilvl w:val="0"/>
          <w:numId w:val="35"/>
        </w:numPr>
        <w:spacing w:before="150" w:after="0"/>
        <w:ind w:left="600" w:hanging="600"/>
      </w:pPr>
      <w:r>
        <w:rPr>
          <w:rFonts w:ascii="Arial"/>
          <w:color w:val="000000"/>
          <w:sz w:val="24"/>
        </w:rPr>
        <w:t xml:space="preserve">As to ground 2, although the primary judge referred to </w:t>
      </w:r>
      <w:r>
        <w:rPr>
          <w:rFonts w:ascii="Arial"/>
          <w:color w:val="000000"/>
          <w:sz w:val="24"/>
        </w:rPr>
        <w:t>s</w:t>
      </w:r>
      <w:r>
        <w:rPr>
          <w:rFonts w:ascii="Arial"/>
          <w:color w:val="000000"/>
          <w:sz w:val="24"/>
        </w:rPr>
        <w:t xml:space="preserve"> </w:t>
      </w:r>
      <w:r>
        <w:rPr>
          <w:rFonts w:ascii="Arial"/>
          <w:color w:val="000000"/>
          <w:sz w:val="24"/>
        </w:rPr>
        <w:t>4.16(4)(b) as being the statutory power to approve part of the proposed development, that was incorrect. The power to determine the development</w:t>
      </w:r>
      <w:r>
        <w:rPr>
          <w:rFonts w:ascii="Arial"/>
          <w:color w:val="000000"/>
          <w:sz w:val="24"/>
        </w:rPr>
        <w:t xml:space="preserve"> </w:t>
      </w:r>
      <w:r>
        <w:rPr>
          <w:rFonts w:ascii="Arial"/>
          <w:color w:val="000000"/>
          <w:sz w:val="24"/>
        </w:rPr>
        <w:t>application</w:t>
      </w:r>
      <w:r>
        <w:rPr>
          <w:rFonts w:ascii="Arial"/>
          <w:color w:val="000000"/>
          <w:sz w:val="24"/>
        </w:rPr>
        <w:t xml:space="preserve"> </w:t>
      </w:r>
      <w:r>
        <w:rPr>
          <w:rFonts w:ascii="Arial"/>
          <w:color w:val="000000"/>
          <w:sz w:val="24"/>
        </w:rPr>
        <w:t xml:space="preserve">by granting consent subject to conditions was in s 4.16(1). Section 4.16(4)(b) enabled that power </w:t>
      </w:r>
      <w:r>
        <w:rPr>
          <w:rFonts w:ascii="Arial"/>
          <w:color w:val="000000"/>
          <w:sz w:val="24"/>
        </w:rPr>
        <w:t xml:space="preserve">in s 4.16(1) </w:t>
      </w:r>
      <w:r>
        <w:rPr>
          <w:rFonts w:ascii="Arial"/>
          <w:color w:val="000000"/>
          <w:sz w:val="24"/>
        </w:rPr>
        <w:t xml:space="preserve">to be exercised </w:t>
      </w:r>
      <w:r>
        <w:rPr>
          <w:rFonts w:ascii="Arial"/>
          <w:color w:val="000000"/>
          <w:sz w:val="24"/>
        </w:rPr>
        <w:t>so as to</w:t>
      </w:r>
      <w:r>
        <w:rPr>
          <w:rFonts w:ascii="Arial"/>
          <w:color w:val="000000"/>
          <w:sz w:val="24"/>
        </w:rPr>
        <w:t xml:space="preserve"> </w:t>
      </w:r>
      <w:r>
        <w:rPr>
          <w:rFonts w:ascii="Arial"/>
          <w:color w:val="000000"/>
          <w:sz w:val="24"/>
        </w:rPr>
        <w:t>grant development consent for the development for which the consent is sought except for a specified part or aspect of the development. Once this is understood, the primary judge</w:t>
      </w:r>
      <w:r>
        <w:rPr>
          <w:rFonts w:ascii="Arial"/>
          <w:color w:val="000000"/>
          <w:sz w:val="24"/>
        </w:rPr>
        <w:t>’</w:t>
      </w:r>
      <w:r>
        <w:rPr>
          <w:rFonts w:ascii="Arial"/>
          <w:color w:val="000000"/>
          <w:sz w:val="24"/>
        </w:rPr>
        <w:t>s finding that the Panel had exercised the power in s 4.16(1) in the way permitted by s</w:t>
      </w:r>
      <w:r>
        <w:rPr>
          <w:rFonts w:ascii="Arial"/>
          <w:color w:val="000000"/>
          <w:sz w:val="24"/>
        </w:rPr>
        <w:t> </w:t>
      </w:r>
      <w:r>
        <w:rPr>
          <w:rFonts w:ascii="Arial"/>
          <w:color w:val="000000"/>
          <w:sz w:val="24"/>
        </w:rPr>
        <w:t>4.16(4)(b) did not raise a new issue in respect of which notice needed to be given to the parties and an opportunity afforded for them to be heard.</w:t>
      </w:r>
      <w:r>
        <w:rPr>
          <w:rFonts w:ascii="Arial"/>
          <w:color w:val="000000"/>
          <w:sz w:val="24"/>
        </w:rPr>
        <w:t xml:space="preserve"> </w:t>
      </w:r>
      <w:r>
        <w:rPr>
          <w:rFonts w:ascii="Arial"/>
          <w:color w:val="000000"/>
          <w:sz w:val="24"/>
        </w:rPr>
        <w:t xml:space="preserve">There was no denial of procedural fairness in the primary judge identifying how the power in s 4.16(1) was exercised by the Panel. </w:t>
      </w:r>
    </w:p>
    <w:p>
      <w:pPr>
        <w:pStyle w:val="CaselawNumbered10"/>
        <w:numPr>
          <w:ilvl w:val="0"/>
          <w:numId w:val="35"/>
        </w:numPr>
        <w:spacing w:before="150" w:after="0"/>
        <w:ind w:left="600" w:hanging="600"/>
      </w:pPr>
      <w:r>
        <w:rPr>
          <w:rFonts w:ascii="Arial"/>
          <w:color w:val="000000"/>
          <w:sz w:val="24"/>
        </w:rPr>
        <w:t>For th</w:t>
      </w:r>
      <w:r>
        <w:rPr>
          <w:rFonts w:ascii="Arial"/>
          <w:color w:val="000000"/>
          <w:sz w:val="24"/>
        </w:rPr>
        <w:t>e</w:t>
      </w:r>
      <w:r>
        <w:rPr>
          <w:rFonts w:ascii="Arial"/>
          <w:color w:val="000000"/>
          <w:sz w:val="24"/>
        </w:rPr>
        <w:t>se reasons, the height standard grounds</w:t>
      </w:r>
      <w:r>
        <w:rPr>
          <w:rFonts w:ascii="Arial"/>
          <w:color w:val="000000"/>
          <w:sz w:val="24"/>
        </w:rPr>
        <w:t xml:space="preserve"> </w:t>
      </w:r>
      <w:r>
        <w:rPr>
          <w:rFonts w:ascii="Arial"/>
          <w:color w:val="000000"/>
          <w:sz w:val="24"/>
        </w:rPr>
        <w:t>are rejected. This conclusion also addresses contention 2 of Helm</w:t>
      </w:r>
      <w:r>
        <w:rPr>
          <w:rFonts w:ascii="Arial"/>
          <w:color w:val="000000"/>
          <w:sz w:val="24"/>
        </w:rPr>
        <w:t>’</w:t>
      </w:r>
      <w:r>
        <w:rPr>
          <w:rFonts w:ascii="Arial"/>
          <w:color w:val="000000"/>
          <w:sz w:val="24"/>
        </w:rPr>
        <w:t>s notice of contention</w:t>
      </w:r>
      <w:r>
        <w:rPr>
          <w:rFonts w:ascii="Arial"/>
          <w:color w:val="000000"/>
          <w:sz w:val="24"/>
        </w:rPr>
        <w:t>, which should be upheld.</w:t>
      </w:r>
    </w:p>
    <w:p>
      <w:pPr>
        <w:pStyle w:val="CaselawHeading2"/>
        <w:keepNext/>
        <w:spacing w:before="150" w:after="150" w:line="264"/>
        <w:ind w:left="0"/>
        <w:jc w:val="left"/>
      </w:pPr>
      <w:r>
        <w:rPr>
          <w:rFonts w:ascii="Arial"/>
        </w:rPr>
        <w:t>The active street frontage</w:t>
      </w:r>
      <w:r>
        <w:rPr>
          <w:rFonts w:ascii="Arial"/>
        </w:rPr>
        <w:t xml:space="preserve"> ground</w:t>
      </w:r>
    </w:p>
    <w:p>
      <w:pPr>
        <w:pStyle w:val="CaselawNumbered10"/>
        <w:numPr>
          <w:ilvl w:val="0"/>
          <w:numId w:val="36"/>
        </w:numPr>
        <w:spacing w:before="150" w:after="0"/>
        <w:ind w:left="600" w:hanging="600"/>
      </w:pPr>
      <w:r>
        <w:rPr>
          <w:rFonts w:ascii="Arial"/>
          <w:color w:val="000000"/>
          <w:sz w:val="24"/>
        </w:rPr>
        <w:t xml:space="preserve">The building </w:t>
      </w:r>
      <w:r>
        <w:rPr>
          <w:rFonts w:ascii="Arial"/>
          <w:color w:val="000000"/>
          <w:sz w:val="24"/>
        </w:rPr>
        <w:t>H</w:t>
      </w:r>
      <w:r>
        <w:rPr>
          <w:rFonts w:ascii="Arial"/>
          <w:color w:val="000000"/>
          <w:sz w:val="24"/>
        </w:rPr>
        <w:t>elm proposed to redevelop is on land bounded by Sailors Bay Road to the south</w:t>
      </w:r>
      <w:r>
        <w:rPr>
          <w:rFonts w:ascii="Arial"/>
          <w:color w:val="000000"/>
          <w:sz w:val="24"/>
        </w:rPr>
        <w:t xml:space="preserve">, </w:t>
      </w:r>
      <w:r>
        <w:rPr>
          <w:rFonts w:ascii="Arial"/>
          <w:color w:val="000000"/>
          <w:sz w:val="24"/>
        </w:rPr>
        <w:t xml:space="preserve">Harden Avenue to the east and Timms Lane to the north. Both Sailors Bay Road and Harden Avenue are identified on the Active Street </w:t>
      </w:r>
      <w:r>
        <w:rPr>
          <w:rFonts w:ascii="Arial"/>
          <w:color w:val="000000"/>
          <w:sz w:val="24"/>
        </w:rPr>
        <w:t>Frontages Map under cl 6.7(3) of WLEP</w:t>
      </w:r>
      <w:r>
        <w:rPr>
          <w:rFonts w:ascii="Arial"/>
          <w:color w:val="000000"/>
          <w:sz w:val="24"/>
        </w:rPr>
        <w:t xml:space="preserve"> </w:t>
      </w:r>
      <w:r>
        <w:rPr>
          <w:rFonts w:ascii="Arial"/>
          <w:color w:val="000000"/>
          <w:sz w:val="24"/>
        </w:rPr>
        <w:t>as streets requiring an active street frontage</w:t>
      </w:r>
      <w:r>
        <w:rPr>
          <w:rFonts w:ascii="Arial"/>
          <w:color w:val="000000"/>
          <w:sz w:val="24"/>
        </w:rPr>
        <w:t>. Clause 6.7(3) of WLEP provides that:</w:t>
      </w:r>
    </w:p>
    <w:p>
      <w:pPr>
        <w:pStyle w:val="CaselawQuote"/>
        <w:spacing w:before="150" w:after="150"/>
        <w:ind w:left="1350"/>
        <w:jc w:val="left"/>
      </w:pPr>
      <w:r>
        <w:rPr>
          <w:rFonts w:ascii="Arial"/>
          <w:color w:val="000000"/>
          <w:sz w:val="22"/>
        </w:rPr>
        <w:t>“Development consent must not be granted to the erection of a building, or a change of use of a building, on land to which this clause applies unless the consent authority is satisfied that the building will have an active street frontage after its erection or change of use.”</w:t>
      </w:r>
    </w:p>
    <w:p>
      <w:pPr>
        <w:pStyle w:val="CaselawNumbered10"/>
        <w:numPr>
          <w:ilvl w:val="0"/>
          <w:numId w:val="37"/>
        </w:numPr>
        <w:spacing w:before="150" w:after="0"/>
        <w:ind w:left="600" w:hanging="600"/>
      </w:pPr>
      <w:r>
        <w:rPr>
          <w:rFonts w:ascii="Arial"/>
          <w:color w:val="000000"/>
          <w:sz w:val="24"/>
        </w:rPr>
        <w:t xml:space="preserve">The term </w:t>
      </w:r>
      <w:r>
        <w:rPr>
          <w:rFonts w:ascii="Arial"/>
          <w:color w:val="000000"/>
          <w:sz w:val="24"/>
        </w:rPr>
        <w:t>“</w:t>
      </w:r>
      <w:r>
        <w:rPr>
          <w:rFonts w:ascii="Arial"/>
          <w:color w:val="000000"/>
          <w:sz w:val="24"/>
        </w:rPr>
        <w:t>active street frontage</w:t>
      </w:r>
      <w:r>
        <w:rPr>
          <w:rFonts w:ascii="Arial"/>
          <w:color w:val="000000"/>
          <w:sz w:val="24"/>
        </w:rPr>
        <w:t xml:space="preserve">” </w:t>
      </w:r>
      <w:r>
        <w:rPr>
          <w:rFonts w:ascii="Arial"/>
          <w:color w:val="000000"/>
          <w:sz w:val="24"/>
        </w:rPr>
        <w:t>is defined in cl 6.7(5):</w:t>
      </w:r>
    </w:p>
    <w:p>
      <w:pPr>
        <w:pStyle w:val="CaselawQuote"/>
        <w:spacing w:before="150" w:after="150"/>
        <w:ind w:left="1350"/>
        <w:jc w:val="left"/>
      </w:pPr>
      <w:r>
        <w:rPr>
          <w:rFonts w:ascii="Arial"/>
          <w:color w:val="000000"/>
          <w:sz w:val="22"/>
        </w:rPr>
        <w:t xml:space="preserve">“In this clause, a building has an </w:t>
      </w:r>
      <w:r>
        <w:rPr>
          <w:rFonts w:ascii="Arial"/>
          <w:b/>
          <w:i/>
          <w:color w:val="000000"/>
          <w:sz w:val="22"/>
        </w:rPr>
        <w:t>active street frontage</w:t>
      </w:r>
      <w:r>
        <w:rPr>
          <w:rFonts w:ascii="Arial"/>
          <w:color w:val="000000"/>
          <w:sz w:val="22"/>
        </w:rPr>
        <w:t xml:space="preserve"> if all premises on the ground floor of the building facing the street are used for the purposes of business premises or retail premises.”</w:t>
      </w:r>
    </w:p>
    <w:p>
      <w:pPr>
        <w:pStyle w:val="CaselawNumbered10"/>
        <w:numPr>
          <w:ilvl w:val="0"/>
          <w:numId w:val="38"/>
        </w:numPr>
        <w:spacing w:before="150" w:after="0"/>
        <w:ind w:left="600" w:hanging="600"/>
      </w:pPr>
      <w:r>
        <w:rPr>
          <w:rFonts w:ascii="Arial"/>
          <w:color w:val="000000"/>
          <w:sz w:val="24"/>
        </w:rPr>
        <w:t xml:space="preserve">Clause 6.7(4) provides that </w:t>
      </w:r>
      <w:r>
        <w:rPr>
          <w:rFonts w:ascii="Arial"/>
          <w:color w:val="000000"/>
          <w:sz w:val="24"/>
        </w:rPr>
        <w:t xml:space="preserve">an </w:t>
      </w:r>
      <w:r>
        <w:rPr>
          <w:rFonts w:ascii="Arial"/>
          <w:color w:val="000000"/>
          <w:sz w:val="24"/>
        </w:rPr>
        <w:t xml:space="preserve">active street frontage is not required for any part of a building that is used for specified uses, including </w:t>
      </w:r>
      <w:r>
        <w:rPr>
          <w:rFonts w:ascii="Arial"/>
          <w:color w:val="000000"/>
          <w:sz w:val="24"/>
        </w:rPr>
        <w:t>“</w:t>
      </w:r>
      <w:r>
        <w:rPr>
          <w:rFonts w:ascii="Arial"/>
          <w:color w:val="000000"/>
          <w:sz w:val="24"/>
        </w:rPr>
        <w:t>vehic</w:t>
      </w:r>
      <w:r>
        <w:rPr>
          <w:rFonts w:ascii="Arial"/>
          <w:color w:val="000000"/>
          <w:sz w:val="24"/>
        </w:rPr>
        <w:t>ular access.</w:t>
      </w:r>
      <w:r>
        <w:rPr>
          <w:rFonts w:ascii="Arial"/>
          <w:color w:val="000000"/>
          <w:sz w:val="24"/>
        </w:rPr>
        <w:t>”</w:t>
      </w:r>
    </w:p>
    <w:p>
      <w:pPr>
        <w:pStyle w:val="CaselawNumbered10"/>
        <w:numPr>
          <w:ilvl w:val="0"/>
          <w:numId w:val="38"/>
        </w:numPr>
        <w:spacing w:before="150" w:after="0"/>
        <w:ind w:left="600" w:hanging="600"/>
      </w:pPr>
      <w:r>
        <w:rPr>
          <w:rFonts w:ascii="Arial"/>
          <w:color w:val="000000"/>
          <w:sz w:val="24"/>
        </w:rPr>
        <w:t xml:space="preserve">The proposed development involved changing the use of two premises on the ground floor of the building to business premises. These two premises faced Sailors Bay Road and Harden Avenue respectively. The business premises facing Harden Avenue extended for about </w:t>
      </w:r>
      <w:r>
        <w:rPr>
          <w:rFonts w:ascii="Arial"/>
          <w:color w:val="000000"/>
          <w:sz w:val="24"/>
        </w:rPr>
        <w:t>40</w:t>
      </w:r>
      <w:r>
        <w:rPr>
          <w:rFonts w:ascii="Arial"/>
          <w:color w:val="000000"/>
          <w:sz w:val="24"/>
        </w:rPr>
        <w:t>% of the building</w:t>
      </w:r>
      <w:r>
        <w:rPr>
          <w:rFonts w:ascii="Arial"/>
          <w:color w:val="000000"/>
          <w:sz w:val="24"/>
        </w:rPr>
        <w:t>’</w:t>
      </w:r>
      <w:r>
        <w:rPr>
          <w:rFonts w:ascii="Arial"/>
          <w:color w:val="000000"/>
          <w:sz w:val="24"/>
        </w:rPr>
        <w:t xml:space="preserve">s </w:t>
      </w:r>
      <w:r>
        <w:rPr>
          <w:rFonts w:ascii="Arial"/>
          <w:color w:val="000000"/>
          <w:sz w:val="24"/>
        </w:rPr>
        <w:t>length along</w:t>
      </w:r>
      <w:r>
        <w:rPr>
          <w:rFonts w:ascii="Arial"/>
          <w:color w:val="000000"/>
          <w:sz w:val="24"/>
        </w:rPr>
        <w:t xml:space="preserve"> </w:t>
      </w:r>
      <w:r>
        <w:rPr>
          <w:rFonts w:ascii="Arial"/>
          <w:color w:val="000000"/>
          <w:sz w:val="24"/>
        </w:rPr>
        <w:t>Harden Avenue. The balance of the building</w:t>
      </w:r>
      <w:r>
        <w:rPr>
          <w:rFonts w:ascii="Arial"/>
          <w:color w:val="000000"/>
          <w:sz w:val="24"/>
        </w:rPr>
        <w:t>’</w:t>
      </w:r>
      <w:r>
        <w:rPr>
          <w:rFonts w:ascii="Arial"/>
          <w:color w:val="000000"/>
          <w:sz w:val="24"/>
        </w:rPr>
        <w:t>s frontage to Harden Avenue was the existing carpark. The carpark had no access, either vehicular or pedestrian, to Harden Avenue.</w:t>
      </w:r>
      <w:r>
        <w:rPr>
          <w:rFonts w:ascii="Arial"/>
          <w:color w:val="000000"/>
          <w:sz w:val="24"/>
        </w:rPr>
        <w:t xml:space="preserve"> </w:t>
      </w:r>
      <w:r>
        <w:rPr>
          <w:rFonts w:ascii="Arial"/>
          <w:color w:val="000000"/>
          <w:sz w:val="24"/>
        </w:rPr>
        <w:t xml:space="preserve">The development proposed to </w:t>
      </w:r>
      <w:r>
        <w:rPr>
          <w:rFonts w:ascii="Arial"/>
          <w:color w:val="000000"/>
          <w:sz w:val="24"/>
        </w:rPr>
        <w:t>erect</w:t>
      </w:r>
      <w:r>
        <w:rPr>
          <w:rFonts w:ascii="Arial"/>
          <w:color w:val="000000"/>
          <w:sz w:val="24"/>
        </w:rPr>
        <w:t xml:space="preserve"> </w:t>
      </w:r>
      <w:r>
        <w:rPr>
          <w:rFonts w:ascii="Arial"/>
          <w:color w:val="000000"/>
          <w:sz w:val="24"/>
        </w:rPr>
        <w:t>a decorative screen along the exterior wall of the carpark but not to provide any access from Harden Avenue. Instead, the existing access from Timms Land would be maintained, with some works to upgrade the driveways providing vehicular access. The development did not propose any change of use of the carpark. However, the persons entitled to use the carpark would change, from the occupants of the former office premises in the building to the occupants of the new ground floor business premises and the new apartments to which the former offices would be converted.</w:t>
      </w:r>
    </w:p>
    <w:p>
      <w:pPr>
        <w:pStyle w:val="CaselawNumbered10"/>
        <w:numPr>
          <w:ilvl w:val="0"/>
          <w:numId w:val="38"/>
        </w:numPr>
        <w:spacing w:before="150" w:after="0"/>
        <w:ind w:left="600" w:hanging="600"/>
      </w:pPr>
      <w:r>
        <w:rPr>
          <w:rFonts w:ascii="Arial"/>
          <w:color w:val="000000"/>
          <w:sz w:val="24"/>
        </w:rPr>
        <w:t>The Panel gave as one of its reasons for decision:</w:t>
      </w:r>
    </w:p>
    <w:p>
      <w:pPr>
        <w:pStyle w:val="CaselawQuote"/>
        <w:spacing w:before="150" w:after="150"/>
        <w:ind w:left="1350"/>
        <w:jc w:val="left"/>
      </w:pPr>
      <w:r>
        <w:rPr>
          <w:rFonts w:ascii="Arial"/>
          <w:color w:val="000000"/>
          <w:sz w:val="22"/>
        </w:rPr>
        <w:t>“</w:t>
      </w:r>
      <w:r>
        <w:rPr>
          <w:rFonts w:ascii="Arial"/>
          <w:color w:val="000000"/>
          <w:sz w:val="22"/>
        </w:rPr>
        <w:t xml:space="preserve">2. Despite being an adaptive re-use of the existing building, when compared to existing, the proposal presents a greatly improved outcome within the </w:t>
      </w:r>
      <w:r>
        <w:rPr>
          <w:rFonts w:ascii="Arial"/>
          <w:color w:val="000000"/>
          <w:sz w:val="22"/>
        </w:rPr>
        <w:t>context of Sailors Bay Road and Harden Avenue, integrating active frontages and landscaping to two streets.”</w:t>
      </w:r>
    </w:p>
    <w:p>
      <w:pPr>
        <w:pStyle w:val="CaselawNumbered10"/>
        <w:numPr>
          <w:ilvl w:val="0"/>
          <w:numId w:val="39"/>
        </w:numPr>
        <w:spacing w:before="150" w:after="0"/>
        <w:ind w:left="600" w:hanging="600"/>
      </w:pPr>
      <w:r>
        <w:rPr>
          <w:rFonts w:ascii="Arial"/>
          <w:color w:val="000000"/>
          <w:sz w:val="24"/>
        </w:rPr>
        <w:t xml:space="preserve">This reason supplemented </w:t>
      </w:r>
      <w:r>
        <w:rPr>
          <w:rFonts w:ascii="Arial"/>
          <w:color w:val="000000"/>
          <w:sz w:val="24"/>
        </w:rPr>
        <w:t>“</w:t>
      </w:r>
      <w:r>
        <w:rPr>
          <w:rFonts w:ascii="Arial"/>
          <w:color w:val="000000"/>
          <w:sz w:val="24"/>
        </w:rPr>
        <w:t xml:space="preserve">[t]he reasons outlined in </w:t>
      </w:r>
      <w:r>
        <w:rPr>
          <w:rFonts w:ascii="Arial"/>
          <w:color w:val="000000"/>
          <w:sz w:val="24"/>
        </w:rPr>
        <w:t>t</w:t>
      </w:r>
      <w:r>
        <w:rPr>
          <w:rFonts w:ascii="Arial"/>
          <w:color w:val="000000"/>
          <w:sz w:val="24"/>
        </w:rPr>
        <w:t>he Council assessment report</w:t>
      </w:r>
      <w:r>
        <w:rPr>
          <w:rFonts w:ascii="Arial"/>
          <w:color w:val="000000"/>
          <w:sz w:val="24"/>
        </w:rPr>
        <w:t xml:space="preserve">” </w:t>
      </w:r>
      <w:r>
        <w:rPr>
          <w:rFonts w:ascii="Arial"/>
          <w:color w:val="000000"/>
          <w:sz w:val="24"/>
        </w:rPr>
        <w:t xml:space="preserve">dated 22 June 2021 </w:t>
      </w:r>
      <w:r>
        <w:rPr>
          <w:rFonts w:ascii="Arial"/>
          <w:color w:val="000000"/>
          <w:sz w:val="24"/>
        </w:rPr>
        <w:t>which the Panel adopted. That report stated:</w:t>
      </w:r>
    </w:p>
    <w:p>
      <w:pPr>
        <w:pStyle w:val="CaselawQuote"/>
        <w:spacing w:before="150" w:after="150"/>
        <w:ind w:left="1350"/>
        <w:jc w:val="left"/>
      </w:pPr>
      <w:r>
        <w:rPr>
          <w:rFonts w:ascii="Arial"/>
          <w:color w:val="000000"/>
          <w:sz w:val="22"/>
        </w:rPr>
        <w:t>“The proposal</w:t>
      </w:r>
      <w:r>
        <w:rPr>
          <w:rFonts w:ascii="Arial"/>
          <w:color w:val="000000"/>
          <w:sz w:val="22"/>
        </w:rPr>
        <w:t xml:space="preserve"> acti</w:t>
      </w:r>
      <w:r>
        <w:rPr>
          <w:rFonts w:ascii="Arial"/>
          <w:color w:val="000000"/>
          <w:sz w:val="22"/>
        </w:rPr>
        <w:t>vates</w:t>
      </w:r>
      <w:r>
        <w:rPr>
          <w:rFonts w:ascii="Arial"/>
          <w:color w:val="000000"/>
          <w:sz w:val="22"/>
        </w:rPr>
        <w:t xml:space="preserve"> Sailors Bay Road and Harden Avenue frontages, contributing to the desired mixture of residential and retail in a Local Centre and to future development as envisioned by Willoughby Local Centres Strategy to 2036.”</w:t>
      </w:r>
    </w:p>
    <w:p>
      <w:pPr>
        <w:pStyle w:val="CaselawNumbered10"/>
        <w:numPr>
          <w:ilvl w:val="0"/>
          <w:numId w:val="40"/>
        </w:numPr>
        <w:spacing w:before="150" w:after="0"/>
        <w:ind w:left="600" w:hanging="600"/>
      </w:pPr>
      <w:r>
        <w:rPr>
          <w:rFonts w:ascii="Arial"/>
          <w:color w:val="000000"/>
          <w:sz w:val="24"/>
        </w:rPr>
        <w:t xml:space="preserve">Attachment </w:t>
      </w:r>
      <w:r>
        <w:rPr>
          <w:rFonts w:ascii="Arial"/>
          <w:color w:val="000000"/>
          <w:sz w:val="24"/>
        </w:rPr>
        <w:t>2</w:t>
      </w:r>
      <w:r>
        <w:rPr>
          <w:rFonts w:ascii="Arial"/>
          <w:color w:val="000000"/>
          <w:sz w:val="24"/>
        </w:rPr>
        <w:t xml:space="preserve"> </w:t>
      </w:r>
      <w:r>
        <w:rPr>
          <w:rFonts w:ascii="Arial"/>
          <w:color w:val="000000"/>
          <w:sz w:val="24"/>
        </w:rPr>
        <w:t>to the</w:t>
      </w:r>
      <w:r>
        <w:rPr>
          <w:rFonts w:ascii="Arial"/>
          <w:color w:val="000000"/>
          <w:sz w:val="24"/>
        </w:rPr>
        <w:t xml:space="preserve"> </w:t>
      </w:r>
      <w:r>
        <w:rPr>
          <w:rFonts w:ascii="Arial"/>
          <w:color w:val="000000"/>
          <w:sz w:val="24"/>
        </w:rPr>
        <w:t>Council assessment</w:t>
      </w:r>
      <w:r>
        <w:rPr>
          <w:rFonts w:ascii="Arial"/>
          <w:color w:val="000000"/>
          <w:sz w:val="24"/>
        </w:rPr>
        <w:t xml:space="preserve"> </w:t>
      </w:r>
      <w:r>
        <w:rPr>
          <w:rFonts w:ascii="Arial"/>
          <w:color w:val="000000"/>
          <w:sz w:val="24"/>
        </w:rPr>
        <w:t xml:space="preserve">report referred </w:t>
      </w:r>
      <w:r>
        <w:rPr>
          <w:rFonts w:ascii="Arial"/>
          <w:color w:val="000000"/>
          <w:sz w:val="24"/>
        </w:rPr>
        <w:t xml:space="preserve">in the </w:t>
      </w:r>
      <w:r>
        <w:rPr>
          <w:rFonts w:ascii="Arial"/>
          <w:color w:val="000000"/>
          <w:sz w:val="24"/>
        </w:rPr>
        <w:t>“</w:t>
      </w:r>
      <w:r>
        <w:rPr>
          <w:rFonts w:ascii="Arial"/>
          <w:color w:val="000000"/>
          <w:sz w:val="24"/>
        </w:rPr>
        <w:t>Development Statistics</w:t>
      </w:r>
      <w:r>
        <w:rPr>
          <w:rFonts w:ascii="Arial"/>
          <w:color w:val="000000"/>
          <w:sz w:val="24"/>
        </w:rPr>
        <w:t xml:space="preserve">” </w:t>
      </w:r>
      <w:r>
        <w:rPr>
          <w:rFonts w:ascii="Arial"/>
          <w:color w:val="000000"/>
          <w:sz w:val="24"/>
        </w:rPr>
        <w:t xml:space="preserve">table </w:t>
      </w:r>
      <w:r>
        <w:rPr>
          <w:rFonts w:ascii="Arial"/>
          <w:color w:val="000000"/>
          <w:sz w:val="24"/>
        </w:rPr>
        <w:t xml:space="preserve">to cl 6.7 </w:t>
      </w:r>
      <w:r>
        <w:rPr>
          <w:rFonts w:ascii="Arial"/>
          <w:color w:val="000000"/>
          <w:sz w:val="24"/>
        </w:rPr>
        <w:t xml:space="preserve">of WLEP, </w:t>
      </w:r>
      <w:r>
        <w:rPr>
          <w:rFonts w:ascii="Arial"/>
          <w:color w:val="000000"/>
          <w:sz w:val="24"/>
        </w:rPr>
        <w:t xml:space="preserve">noting that an active street frontage is </w:t>
      </w:r>
      <w:r>
        <w:rPr>
          <w:rFonts w:ascii="Arial"/>
          <w:color w:val="000000"/>
          <w:sz w:val="24"/>
        </w:rPr>
        <w:t>“</w:t>
      </w:r>
      <w:r>
        <w:rPr>
          <w:rFonts w:ascii="Arial"/>
          <w:color w:val="000000"/>
          <w:sz w:val="24"/>
        </w:rPr>
        <w:t>[r]</w:t>
      </w:r>
      <w:r>
        <w:rPr>
          <w:rFonts w:ascii="Arial"/>
          <w:color w:val="000000"/>
          <w:sz w:val="24"/>
        </w:rPr>
        <w:t>equired</w:t>
      </w:r>
      <w:r>
        <w:rPr>
          <w:rFonts w:ascii="Arial"/>
          <w:color w:val="000000"/>
          <w:sz w:val="24"/>
        </w:rPr>
        <w:t xml:space="preserve"> </w:t>
      </w:r>
      <w:r>
        <w:rPr>
          <w:rFonts w:ascii="Arial"/>
          <w:color w:val="000000"/>
          <w:sz w:val="24"/>
        </w:rPr>
        <w:t>on both Sailors Bay Road and on Harden Avenue</w:t>
      </w:r>
      <w:r>
        <w:rPr>
          <w:rFonts w:ascii="Arial"/>
          <w:color w:val="000000"/>
          <w:sz w:val="24"/>
        </w:rPr>
        <w:t>”</w:t>
      </w:r>
      <w:r>
        <w:rPr>
          <w:rFonts w:ascii="Arial"/>
          <w:color w:val="000000"/>
          <w:sz w:val="24"/>
        </w:rPr>
        <w:t xml:space="preserve">; is proposed </w:t>
      </w:r>
      <w:r>
        <w:rPr>
          <w:rFonts w:ascii="Arial"/>
          <w:color w:val="000000"/>
          <w:sz w:val="24"/>
        </w:rPr>
        <w:t>“</w:t>
      </w:r>
      <w:r>
        <w:rPr>
          <w:rFonts w:ascii="Arial"/>
          <w:color w:val="000000"/>
          <w:sz w:val="24"/>
        </w:rPr>
        <w:t>on Sailors Bay Road, partial on Harden Avenue (~40% of the length)</w:t>
      </w:r>
      <w:r>
        <w:rPr>
          <w:rFonts w:ascii="Arial"/>
          <w:color w:val="000000"/>
          <w:sz w:val="24"/>
        </w:rPr>
        <w:t>”</w:t>
      </w:r>
      <w:r>
        <w:rPr>
          <w:rFonts w:ascii="Arial"/>
          <w:color w:val="000000"/>
          <w:sz w:val="24"/>
        </w:rPr>
        <w:t xml:space="preserve">; and is </w:t>
      </w:r>
      <w:r>
        <w:rPr>
          <w:rFonts w:ascii="Arial"/>
          <w:color w:val="000000"/>
          <w:sz w:val="24"/>
        </w:rPr>
        <w:t>“</w:t>
      </w:r>
      <w:r>
        <w:rPr>
          <w:rFonts w:ascii="Arial"/>
          <w:color w:val="000000"/>
          <w:sz w:val="24"/>
        </w:rPr>
        <w:t>Acceptable</w:t>
      </w:r>
      <w:r>
        <w:rPr>
          <w:rFonts w:ascii="Arial"/>
          <w:color w:val="000000"/>
          <w:sz w:val="24"/>
        </w:rPr>
        <w:t>”</w:t>
      </w:r>
      <w:r>
        <w:rPr>
          <w:rFonts w:ascii="Arial"/>
          <w:color w:val="000000"/>
          <w:sz w:val="24"/>
        </w:rPr>
        <w:t>. This analysis was expanded in the comments:</w:t>
      </w:r>
    </w:p>
    <w:p>
      <w:pPr>
        <w:pStyle w:val="CaselawQuote"/>
        <w:spacing w:before="150" w:after="150"/>
        <w:ind w:left="1350"/>
        <w:jc w:val="left"/>
      </w:pPr>
      <w:r>
        <w:rPr>
          <w:rFonts w:ascii="Arial"/>
          <w:color w:val="000000"/>
          <w:sz w:val="22"/>
        </w:rPr>
        <w:t xml:space="preserve">“b) </w:t>
      </w:r>
      <w:r>
        <w:rPr>
          <w:rFonts w:ascii="Arial"/>
          <w:color w:val="000000"/>
          <w:sz w:val="22"/>
        </w:rPr>
        <w:t>Active Street Frontage</w:t>
      </w:r>
      <w:r>
        <w:br/>
      </w:r>
      <w:r>
        <w:rPr>
          <w:rFonts w:ascii="Arial"/>
          <w:color w:val="000000"/>
          <w:sz w:val="22"/>
        </w:rPr>
        <w:t xml:space="preserve"> </w:t>
      </w:r>
      <w:r>
        <w:rPr>
          <w:rFonts w:ascii="Arial"/>
          <w:color w:val="000000"/>
          <w:sz w:val="22"/>
        </w:rPr>
        <w:t>The proposal has the constraint</w:t>
      </w:r>
      <w:r>
        <w:rPr>
          <w:rFonts w:ascii="Arial"/>
          <w:color w:val="000000"/>
          <w:sz w:val="22"/>
        </w:rPr>
        <w:t xml:space="preserve">s that arise from retaining most of the existing structure of the building. The amended plans increased the size of the business premise at ground floor. The commercial space is now addressing both streets. </w:t>
      </w:r>
      <w:r>
        <w:rPr>
          <w:rFonts w:ascii="Arial"/>
          <w:color w:val="000000"/>
          <w:sz w:val="22"/>
        </w:rPr>
        <w:t>Taking into account</w:t>
      </w:r>
      <w:r>
        <w:rPr>
          <w:rFonts w:ascii="Arial"/>
          <w:color w:val="000000"/>
          <w:sz w:val="22"/>
        </w:rPr>
        <w:t xml:space="preserve"> the amended plans, the legal advice provided by Mills Oakley and the comments provided by Council’s Design Specialist, Council is satisfied that, after the proposed change of use, the building will have sufficient active street frontage to meet Clause 6.7 of WLEP 2012 on both Sailors Bay Road and Harden Avenue.”</w:t>
      </w:r>
    </w:p>
    <w:p>
      <w:pPr>
        <w:pStyle w:val="CaselawNumbered10"/>
        <w:numPr>
          <w:ilvl w:val="0"/>
          <w:numId w:val="41"/>
        </w:numPr>
        <w:spacing w:before="150" w:after="0"/>
        <w:ind w:left="600" w:hanging="600"/>
      </w:pPr>
      <w:r>
        <w:rPr>
          <w:rFonts w:ascii="Arial"/>
          <w:color w:val="000000"/>
          <w:sz w:val="24"/>
        </w:rPr>
        <w:t xml:space="preserve">In the sections summarising referrals to relevant officers of the Council, the Design Specialist was </w:t>
      </w:r>
      <w:r>
        <w:rPr>
          <w:rFonts w:ascii="Arial"/>
          <w:color w:val="000000"/>
          <w:sz w:val="24"/>
        </w:rPr>
        <w:t xml:space="preserve">recorded as having </w:t>
      </w:r>
      <w:r>
        <w:rPr>
          <w:rFonts w:ascii="Arial"/>
          <w:color w:val="000000"/>
          <w:sz w:val="24"/>
        </w:rPr>
        <w:t>“</w:t>
      </w:r>
      <w:r>
        <w:rPr>
          <w:rFonts w:ascii="Arial"/>
          <w:color w:val="000000"/>
          <w:sz w:val="24"/>
        </w:rPr>
        <w:t>no objection</w:t>
      </w:r>
      <w:r>
        <w:rPr>
          <w:rFonts w:ascii="Arial"/>
          <w:color w:val="000000"/>
          <w:sz w:val="24"/>
        </w:rPr>
        <w:t xml:space="preserve">” </w:t>
      </w:r>
      <w:r>
        <w:rPr>
          <w:rFonts w:ascii="Arial"/>
          <w:color w:val="000000"/>
          <w:sz w:val="24"/>
        </w:rPr>
        <w:t>and making the following comments:</w:t>
      </w:r>
    </w:p>
    <w:p>
      <w:pPr>
        <w:pStyle w:val="CaselawQuote"/>
        <w:spacing w:before="150" w:after="150"/>
        <w:ind w:left="1350"/>
        <w:jc w:val="left"/>
      </w:pPr>
      <w:r>
        <w:rPr>
          <w:rFonts w:ascii="Arial"/>
          <w:color w:val="000000"/>
          <w:sz w:val="22"/>
        </w:rPr>
        <w:t xml:space="preserve">“The </w:t>
      </w:r>
      <w:r>
        <w:rPr>
          <w:rFonts w:ascii="Arial"/>
          <w:color w:val="000000"/>
          <w:sz w:val="22"/>
        </w:rPr>
        <w:t>corner location while</w:t>
      </w:r>
      <w:r>
        <w:rPr>
          <w:rFonts w:ascii="Arial"/>
          <w:color w:val="000000"/>
          <w:sz w:val="22"/>
        </w:rPr>
        <w:t xml:space="preserve"> not visually prominent will impact the quality and character of Sailors Bay Road and Harden Avenue. Aligning the building frontage to the property boundary, consistent with the future provisions of the Willoughby Local Centres Strategy to 2036. Site access to a ground floor </w:t>
      </w:r>
      <w:r>
        <w:rPr>
          <w:rFonts w:ascii="Arial"/>
          <w:color w:val="000000"/>
          <w:sz w:val="22"/>
        </w:rPr>
        <w:t>undercroft</w:t>
      </w:r>
      <w:r>
        <w:rPr>
          <w:rFonts w:ascii="Arial"/>
          <w:color w:val="000000"/>
          <w:sz w:val="22"/>
        </w:rPr>
        <w:t xml:space="preserve"> carpark will be via Timms Lane. Any proposed streetscape works shall be consistent with the Council Adopted Northbridge Public Domain Plan -2021.</w:t>
      </w:r>
    </w:p>
    <w:p>
      <w:pPr>
        <w:pStyle w:val="CaselawQuote"/>
        <w:spacing w:before="150" w:after="150"/>
        <w:ind w:left="1350"/>
        <w:jc w:val="left"/>
      </w:pPr>
      <w:r>
        <w:rPr>
          <w:rFonts w:ascii="Arial"/>
          <w:color w:val="000000"/>
          <w:sz w:val="22"/>
        </w:rPr>
        <w:t>The development will retain and expand ground floor commercial/retail use to potentially provide active frontage to Sailors Bay Road and Harden Avenue.</w:t>
      </w:r>
    </w:p>
    <w:p>
      <w:pPr>
        <w:pStyle w:val="CaselawQuote"/>
        <w:spacing w:before="150" w:after="150"/>
        <w:ind w:left="1350"/>
        <w:jc w:val="left"/>
      </w:pPr>
      <w:r>
        <w:rPr>
          <w:rFonts w:ascii="Arial"/>
          <w:color w:val="000000"/>
          <w:sz w:val="22"/>
        </w:rPr>
        <w:t>The development does present a greatly improved built form, integrating active access/frontage to two street frontages. Pedestrian amenity is greatly improved through the integration of an awning to Sailors Bay Road.</w:t>
      </w:r>
    </w:p>
    <w:p>
      <w:pPr>
        <w:pStyle w:val="CaselawQuote"/>
        <w:spacing w:before="150" w:after="150"/>
        <w:ind w:left="1350"/>
        <w:jc w:val="left"/>
      </w:pPr>
      <w:r>
        <w:rPr>
          <w:rFonts w:ascii="Arial"/>
          <w:color w:val="000000"/>
          <w:sz w:val="22"/>
        </w:rPr>
        <w:t>The DA, comprising the building alignment to Sailors Bay Road is consistent with the directions in the Willoughby Local Centres Strategy to 2036.”</w:t>
      </w:r>
    </w:p>
    <w:p>
      <w:pPr>
        <w:pStyle w:val="CaselawNumbered10"/>
        <w:numPr>
          <w:ilvl w:val="0"/>
          <w:numId w:val="42"/>
        </w:numPr>
        <w:spacing w:before="150" w:after="0"/>
        <w:ind w:left="600" w:hanging="600"/>
      </w:pPr>
      <w:r>
        <w:rPr>
          <w:rFonts w:ascii="Arial"/>
          <w:color w:val="000000"/>
          <w:sz w:val="24"/>
        </w:rPr>
        <w:t>Attachment 3, the table summarising public submissions on the development application, addressed the issue of compliance with cl 6.7:</w:t>
      </w:r>
    </w:p>
    <w:tbl>
      <w:tblPr>
        <w:tblW w:w="0" w:type="auto"/>
        <w:tblCellSpacing w:w="0" w:type="auto"/>
        <w:tblInd w:w="115" w:type="dxa"/>
        <w:tblBorders>
          <w:top w:val="single" w:color="DDDDDD" w:sz="6" w:space="0"/>
          <w:left w:val="single" w:color="DDDDDD" w:sz="6" w:space="0"/>
          <w:bottom w:val="single" w:color="DDDDDD" w:sz="6" w:space="0"/>
          <w:right w:val="single" w:color="DDDDDD" w:sz="6" w:space="0"/>
          <w:insideH w:val="single" w:color="DDDDDD" w:sz="6" w:space="0"/>
          <w:insideV w:val="single" w:color="DDDDDD" w:sz="6" w:space="0"/>
        </w:tblBorders>
      </w:tblPr>
      <w:tblGrid>
        <w:gridCol w:w="2010"/>
        <w:gridCol w:w="11990"/>
      </w:tblGrid>
      <w:tr>
        <w:trPr/>
        <w:tc>
          <w:tcPr>
            <w:tcW w:w="2010" w:type="dxa"/>
            <w:vAlign w:val="center"/>
          </w:tcPr>
          <w:p>
            <w:pPr>
              <w:pStyle w:val="CaselawNormal"/>
              <w:spacing w:before="150" w:after="150"/>
              <w:ind w:left="600"/>
              <w:jc w:val="left"/>
            </w:pPr>
            <w:r>
              <w:rPr>
                <w:rFonts w:ascii="Arial"/>
                <w:b/>
                <w:color w:val="000000"/>
                <w:sz w:val="24"/>
              </w:rPr>
              <w:t>Issues raised</w:t>
            </w:r>
          </w:p>
        </w:tc>
        <w:tc>
          <w:tcPr>
            <w:tcW w:w="11990" w:type="dxa"/>
            <w:vAlign w:val="center"/>
          </w:tcPr>
          <w:p>
            <w:pPr>
              <w:pStyle w:val="CaselawNormal"/>
              <w:spacing w:before="150" w:after="150"/>
              <w:ind w:left="600"/>
              <w:jc w:val="left"/>
            </w:pPr>
            <w:r>
              <w:rPr>
                <w:rFonts w:ascii="Arial"/>
                <w:b/>
                <w:color w:val="000000"/>
                <w:sz w:val="24"/>
              </w:rPr>
              <w:t>Comments</w:t>
            </w:r>
          </w:p>
        </w:tc>
      </w:tr>
      <w:tr>
        <w:trPr/>
        <w:tc>
          <w:tcPr>
            <w:tcW w:w="2010" w:type="dxa"/>
            <w:vAlign w:val="center"/>
          </w:tcPr>
          <w:p>
            <w:pPr>
              <w:pStyle w:val="CaselawNormal"/>
              <w:spacing w:before="150" w:after="150"/>
              <w:ind w:left="600"/>
              <w:jc w:val="left"/>
            </w:pPr>
            <w:r>
              <w:rPr>
                <w:rFonts w:ascii="Arial"/>
                <w:color w:val="000000"/>
                <w:sz w:val="24"/>
              </w:rPr>
              <w:t>The development is prohibited given its failure to satisfy Clause 6.7 – Active Street Frontages of WLEP 2012/</w:t>
            </w:r>
            <w:r>
              <w:br/>
            </w:r>
            <w:r>
              <w:rPr>
                <w:rFonts w:ascii="Arial"/>
                <w:color w:val="000000"/>
                <w:sz w:val="24"/>
              </w:rPr>
              <w:t xml:space="preserve"> </w:t>
            </w:r>
            <w:r>
              <w:rPr>
                <w:rFonts w:ascii="Arial"/>
                <w:color w:val="000000"/>
                <w:sz w:val="24"/>
              </w:rPr>
              <w:t>the proposal is non-compliant with Clause 6.7 of the WLEP 2012</w:t>
            </w:r>
          </w:p>
        </w:tc>
        <w:tc>
          <w:tcPr>
            <w:tcW w:w="11990" w:type="dxa"/>
            <w:vAlign w:val="center"/>
          </w:tcPr>
          <w:p>
            <w:pPr>
              <w:pStyle w:val="CaselawNormal"/>
              <w:spacing w:before="150" w:after="150"/>
              <w:ind w:left="600"/>
              <w:jc w:val="left"/>
            </w:pPr>
            <w:r>
              <w:rPr>
                <w:rFonts w:ascii="Arial"/>
                <w:color w:val="000000"/>
                <w:sz w:val="24"/>
              </w:rPr>
              <w:t xml:space="preserve">The proposal is an adaptive reuse of the building into a shop top development. The partial car parking retention arises from the desire to retain significant parts of the existing building. As the existing structure is being retained, the columns, slabs and footings within the basement must also be retained and cannot be undermined by digging a new level below </w:t>
            </w:r>
            <w:r>
              <w:rPr>
                <w:rFonts w:ascii="Arial"/>
                <w:color w:val="000000"/>
                <w:sz w:val="24"/>
              </w:rPr>
              <w:t>in order to</w:t>
            </w:r>
            <w:r>
              <w:rPr>
                <w:rFonts w:ascii="Arial"/>
                <w:color w:val="000000"/>
                <w:sz w:val="24"/>
              </w:rPr>
              <w:t xml:space="preserve"> provide further basement car parking. It appears there is no reasonable alternative to the retention of the current parking arrangements on the site. Adaptive re-use of a building is regarded as a sustainable way, as the applicant notes:</w:t>
            </w:r>
          </w:p>
          <w:p>
            <w:pPr>
              <w:pStyle w:val="CaselawNormal"/>
              <w:spacing w:before="150" w:after="150"/>
              <w:ind w:left="600"/>
              <w:jc w:val="left"/>
            </w:pPr>
            <w:r>
              <w:rPr>
                <w:rFonts w:ascii="Arial"/>
                <w:i/>
                <w:color w:val="000000"/>
                <w:sz w:val="24"/>
              </w:rPr>
              <w:t xml:space="preserve">The retention of existing structures and the adaptive reuse of buildings is one of the most sustainable forms of creating new buildings. Building and construction accounts for nearly 40 per cent of energy-related carbon dioxide emissions. This includes 28 per cent from heating, </w:t>
            </w:r>
            <w:r>
              <w:rPr>
                <w:rFonts w:ascii="Arial"/>
                <w:i/>
                <w:color w:val="000000"/>
                <w:sz w:val="24"/>
              </w:rPr>
              <w:t>cooling</w:t>
            </w:r>
            <w:r>
              <w:rPr>
                <w:rFonts w:ascii="Arial"/>
                <w:i/>
                <w:color w:val="000000"/>
                <w:sz w:val="24"/>
              </w:rPr>
              <w:t xml:space="preserve"> and powering a structure, and 11 per cent from materials and construction. The applicant is committed to upgrading the existing building for extended use as a more carbon-efficient alternative to demolition’</w:t>
            </w:r>
            <w:r>
              <w:rPr>
                <w:rFonts w:ascii="Arial"/>
                <w:i/>
                <w:color w:val="000000"/>
                <w:sz w:val="24"/>
              </w:rPr>
              <w:t>.</w:t>
            </w:r>
          </w:p>
          <w:p>
            <w:pPr>
              <w:pStyle w:val="CaselawNormal"/>
              <w:spacing w:before="150" w:after="150"/>
              <w:ind w:left="600"/>
              <w:jc w:val="left"/>
            </w:pPr>
            <w:r>
              <w:rPr>
                <w:rFonts w:ascii="Arial"/>
                <w:color w:val="000000"/>
                <w:sz w:val="24"/>
              </w:rPr>
              <w:t>While every effort was made to accommodate as much commercial space at ground floor as possible (as depicted in the amended plans), the configuration must accommodate both car parking and commercial at ground floor.</w:t>
            </w:r>
          </w:p>
          <w:p>
            <w:pPr>
              <w:pStyle w:val="CaselawNormal"/>
              <w:spacing w:before="150" w:after="150"/>
              <w:ind w:left="600"/>
              <w:jc w:val="left"/>
            </w:pPr>
            <w:r>
              <w:rPr>
                <w:rFonts w:ascii="Arial"/>
                <w:color w:val="000000"/>
                <w:sz w:val="24"/>
              </w:rPr>
              <w:t>Notwithstanding the above, Mills Oakley provided legal advice on behalf of the applicant that the proposal is already compliant with Clause 6.7 Active Street Frontage.</w:t>
            </w:r>
          </w:p>
          <w:p>
            <w:pPr>
              <w:pStyle w:val="CaselawNormal"/>
              <w:spacing w:before="150" w:after="150"/>
              <w:ind w:left="600"/>
              <w:jc w:val="left"/>
            </w:pPr>
            <w:r>
              <w:rPr>
                <w:rFonts w:ascii="Arial"/>
                <w:color w:val="000000"/>
                <w:sz w:val="24"/>
              </w:rPr>
              <w:t xml:space="preserve">Council’s Design specialist is satisfied that the amended scheme sufficiently complies with the intent of Clause 6.7 – Active Street Frontages of WLEP 2012. More detailed assessment is contained in </w:t>
            </w:r>
            <w:r>
              <w:rPr>
                <w:rFonts w:ascii="Arial"/>
                <w:b/>
                <w:color w:val="000000"/>
                <w:sz w:val="24"/>
              </w:rPr>
              <w:t>Attachment 7</w:t>
            </w:r>
            <w:r>
              <w:rPr>
                <w:rFonts w:ascii="Arial"/>
                <w:color w:val="000000"/>
                <w:sz w:val="24"/>
              </w:rPr>
              <w:t>.</w:t>
            </w:r>
          </w:p>
        </w:tc>
      </w:tr>
      <w:tr>
        <w:trPr/>
        <w:tc>
          <w:tcPr>
            <w:tcW w:w="2010" w:type="dxa"/>
            <w:vAlign w:val="center"/>
          </w:tcPr>
          <w:p>
            <w:pPr>
              <w:pStyle w:val="CaselawNormal"/>
              <w:spacing w:before="150" w:after="150"/>
              <w:ind w:left="600"/>
              <w:jc w:val="left"/>
            </w:pPr>
            <w:r>
              <w:rPr>
                <w:rFonts w:ascii="Arial"/>
                <w:color w:val="000000"/>
                <w:sz w:val="24"/>
              </w:rPr>
              <w:t>Use at ground level, should not be for car parking</w:t>
            </w:r>
          </w:p>
        </w:tc>
        <w:tc>
          <w:tcPr>
            <w:tcW w:w="11990" w:type="dxa"/>
            <w:vAlign w:val="center"/>
          </w:tcPr>
          <w:p>
            <w:pPr>
              <w:pStyle w:val="CaselawNormal"/>
              <w:spacing w:before="150" w:after="150"/>
              <w:ind w:left="600"/>
              <w:jc w:val="left"/>
            </w:pPr>
            <w:r>
              <w:rPr>
                <w:rFonts w:ascii="Arial"/>
                <w:color w:val="000000"/>
                <w:sz w:val="24"/>
              </w:rPr>
              <w:t xml:space="preserve">The proposal is an adaptive reuse of an existing building. As the existing structure is being retained, the car parking level is also partially retained. Notwithstanding the retention of some of the current parking arrangements, sufficient commercial space is created at ground floor </w:t>
            </w:r>
            <w:r>
              <w:rPr>
                <w:rFonts w:ascii="Arial"/>
                <w:color w:val="000000"/>
                <w:sz w:val="24"/>
              </w:rPr>
              <w:t>in order to</w:t>
            </w:r>
            <w:r>
              <w:rPr>
                <w:rFonts w:ascii="Arial"/>
                <w:color w:val="000000"/>
                <w:sz w:val="24"/>
              </w:rPr>
              <w:t xml:space="preserve"> activate entirely the street frontage at Sailors Bay Road and partially, but satisfactory, the street frontage at Harden Avenue. Mills Oakley provided legal advice </w:t>
            </w:r>
            <w:r>
              <w:rPr>
                <w:rFonts w:ascii="Arial"/>
                <w:color w:val="000000"/>
                <w:sz w:val="24"/>
              </w:rPr>
              <w:t>in regard to</w:t>
            </w:r>
            <w:r>
              <w:rPr>
                <w:rFonts w:ascii="Arial"/>
                <w:color w:val="000000"/>
                <w:sz w:val="24"/>
              </w:rPr>
              <w:t xml:space="preserve"> Clause 6.7 Active Street Frontage. All premises at ground floor are commercial premises and are of sufficient size to activate both Sailors Bay Road and Harden Avenue.</w:t>
            </w:r>
            <w:r>
              <w:rPr>
                <w:rFonts w:ascii="Arial"/>
                <w:color w:val="000000"/>
                <w:sz w:val="24"/>
              </w:rPr>
              <w:t xml:space="preserve"> Moreover, Council’s Design Specialist is also </w:t>
            </w:r>
            <w:r>
              <w:rPr>
                <w:rFonts w:ascii="Arial"/>
                <w:color w:val="000000"/>
                <w:sz w:val="24"/>
              </w:rPr>
              <w:t xml:space="preserve">supportive of the amended scheme. </w:t>
            </w:r>
            <w:r>
              <w:rPr>
                <w:rFonts w:ascii="Arial"/>
                <w:color w:val="000000"/>
                <w:sz w:val="24"/>
              </w:rPr>
              <w:t>Taking into account</w:t>
            </w:r>
            <w:r>
              <w:rPr>
                <w:rFonts w:ascii="Arial"/>
                <w:color w:val="000000"/>
                <w:sz w:val="24"/>
              </w:rPr>
              <w:t xml:space="preserve"> the specifics of the site, the proposal is regarded as satisfactory. </w:t>
            </w:r>
          </w:p>
        </w:tc>
      </w:tr>
    </w:tbl>
    <w:p>
      <w:pPr>
        <w:pStyle w:val="CaselawNumbered10"/>
        <w:numPr>
          <w:ilvl w:val="0"/>
          <w:numId w:val="43"/>
        </w:numPr>
        <w:spacing w:before="150" w:after="0"/>
        <w:ind w:left="600" w:hanging="600"/>
      </w:pPr>
      <w:r>
        <w:rPr>
          <w:rFonts w:ascii="Arial"/>
          <w:color w:val="000000"/>
          <w:sz w:val="24"/>
        </w:rPr>
        <w:t xml:space="preserve">In Attachment 7, to which reference was made, the report addressed in more detail </w:t>
      </w:r>
      <w:r>
        <w:rPr>
          <w:rFonts w:ascii="Arial"/>
          <w:color w:val="000000"/>
          <w:sz w:val="24"/>
        </w:rPr>
        <w:t>“</w:t>
      </w:r>
      <w:r>
        <w:rPr>
          <w:rFonts w:ascii="Arial"/>
          <w:color w:val="000000"/>
          <w:sz w:val="24"/>
        </w:rPr>
        <w:t>compliance with clause 6.7 of WLEP 2012.</w:t>
      </w:r>
      <w:r>
        <w:rPr>
          <w:rFonts w:ascii="Arial"/>
          <w:color w:val="000000"/>
          <w:sz w:val="24"/>
        </w:rPr>
        <w:t xml:space="preserve">” </w:t>
      </w:r>
      <w:r>
        <w:rPr>
          <w:rFonts w:ascii="Arial"/>
          <w:color w:val="000000"/>
          <w:sz w:val="24"/>
        </w:rPr>
        <w:t xml:space="preserve">The report noted that </w:t>
      </w:r>
      <w:r>
        <w:br/>
      </w:r>
      <w:r>
        <w:rPr>
          <w:rFonts w:ascii="Arial"/>
          <w:color w:val="000000"/>
          <w:sz w:val="24"/>
        </w:rPr>
        <w:t xml:space="preserve"> </w:t>
      </w:r>
      <w:r>
        <w:rPr>
          <w:rFonts w:ascii="Arial"/>
          <w:color w:val="000000"/>
          <w:sz w:val="24"/>
        </w:rPr>
        <w:t>“</w:t>
      </w:r>
      <w:r>
        <w:rPr>
          <w:rFonts w:ascii="Arial"/>
          <w:color w:val="000000"/>
          <w:sz w:val="24"/>
        </w:rPr>
        <w:t>[a] number of objections raised concern that the proposed development fails to satisfy Clause 6.7 of the WLEP 2012.</w:t>
      </w:r>
      <w:r>
        <w:rPr>
          <w:rFonts w:ascii="Arial"/>
          <w:color w:val="000000"/>
          <w:sz w:val="24"/>
        </w:rPr>
        <w:t xml:space="preserve">” </w:t>
      </w:r>
      <w:r>
        <w:rPr>
          <w:rFonts w:ascii="Arial"/>
          <w:color w:val="000000"/>
          <w:sz w:val="24"/>
        </w:rPr>
        <w:t xml:space="preserve">The report noted that the development application </w:t>
      </w:r>
      <w:r>
        <w:rPr>
          <w:rFonts w:ascii="Arial"/>
          <w:color w:val="000000"/>
          <w:sz w:val="24"/>
        </w:rPr>
        <w:t>“</w:t>
      </w:r>
      <w:r>
        <w:rPr>
          <w:rFonts w:ascii="Arial"/>
          <w:color w:val="000000"/>
          <w:sz w:val="24"/>
        </w:rPr>
        <w:t>provide</w:t>
      </w:r>
      <w:r>
        <w:rPr>
          <w:rFonts w:ascii="Arial"/>
          <w:color w:val="000000"/>
          <w:sz w:val="24"/>
        </w:rPr>
        <w:t>s</w:t>
      </w:r>
      <w:r>
        <w:rPr>
          <w:rFonts w:ascii="Arial"/>
          <w:color w:val="000000"/>
          <w:sz w:val="24"/>
        </w:rPr>
        <w:t xml:space="preserve"> </w:t>
      </w:r>
      <w:r>
        <w:rPr>
          <w:rFonts w:ascii="Arial"/>
          <w:color w:val="000000"/>
          <w:sz w:val="24"/>
        </w:rPr>
        <w:t>for 12</w:t>
      </w:r>
      <w:r>
        <w:rPr>
          <w:rFonts w:ascii="Arial"/>
          <w:color w:val="000000"/>
          <w:sz w:val="24"/>
        </w:rPr>
        <w:t>8</w:t>
      </w:r>
      <w:r>
        <w:rPr>
          <w:rFonts w:ascii="Arial"/>
          <w:color w:val="000000"/>
          <w:sz w:val="24"/>
        </w:rPr>
        <w:t>m</w:t>
      </w:r>
      <w:r>
        <w:rPr>
          <w:rFonts w:ascii="Arial"/>
          <w:color w:val="000000"/>
          <w:sz w:val="24"/>
        </w:rPr>
        <w:t xml:space="preserve">2 </w:t>
      </w:r>
      <w:r>
        <w:rPr>
          <w:rFonts w:ascii="Arial"/>
          <w:color w:val="000000"/>
          <w:sz w:val="24"/>
        </w:rPr>
        <w:t xml:space="preserve">of commercial premise [sic] </w:t>
      </w:r>
      <w:r>
        <w:rPr>
          <w:rFonts w:ascii="Arial"/>
          <w:color w:val="000000"/>
          <w:sz w:val="24"/>
        </w:rPr>
        <w:t xml:space="preserve">with </w:t>
      </w:r>
      <w:r>
        <w:rPr>
          <w:rFonts w:ascii="Arial"/>
          <w:color w:val="000000"/>
          <w:sz w:val="24"/>
        </w:rPr>
        <w:t>access both from Sailors Bay Road and Harden Avenue.</w:t>
      </w:r>
      <w:r>
        <w:rPr>
          <w:rFonts w:ascii="Arial"/>
          <w:color w:val="000000"/>
          <w:sz w:val="24"/>
        </w:rPr>
        <w:t xml:space="preserve">” </w:t>
      </w:r>
      <w:r>
        <w:rPr>
          <w:rFonts w:ascii="Arial"/>
          <w:color w:val="000000"/>
          <w:sz w:val="24"/>
        </w:rPr>
        <w:t>An extract of the ground floor plan showed</w:t>
      </w:r>
      <w:r>
        <w:rPr>
          <w:rFonts w:ascii="Arial"/>
          <w:color w:val="000000"/>
          <w:sz w:val="24"/>
        </w:rPr>
        <w:t xml:space="preserve"> </w:t>
      </w:r>
      <w:r>
        <w:rPr>
          <w:rFonts w:ascii="Arial"/>
          <w:color w:val="000000"/>
          <w:sz w:val="24"/>
        </w:rPr>
        <w:t>the arrangement of the premises on the ground floor of the building.</w:t>
      </w:r>
      <w:r>
        <w:rPr>
          <w:rFonts w:ascii="Arial"/>
          <w:color w:val="000000"/>
          <w:sz w:val="24"/>
        </w:rPr>
        <w:t xml:space="preserve"> </w:t>
      </w:r>
      <w:r>
        <w:rPr>
          <w:rFonts w:ascii="Arial"/>
          <w:color w:val="000000"/>
          <w:sz w:val="24"/>
        </w:rPr>
        <w:t>A</w:t>
      </w:r>
      <w:r>
        <w:rPr>
          <w:rFonts w:ascii="Arial"/>
          <w:color w:val="000000"/>
          <w:sz w:val="24"/>
        </w:rPr>
        <w:t xml:space="preserve"> </w:t>
      </w:r>
      <w:r>
        <w:rPr>
          <w:rFonts w:ascii="Arial"/>
          <w:color w:val="000000"/>
          <w:sz w:val="24"/>
        </w:rPr>
        <w:t>larger business premises</w:t>
      </w:r>
      <w:r>
        <w:rPr>
          <w:rFonts w:ascii="Arial"/>
          <w:color w:val="000000"/>
          <w:sz w:val="24"/>
        </w:rPr>
        <w:t xml:space="preserve"> </w:t>
      </w:r>
      <w:r>
        <w:rPr>
          <w:rFonts w:ascii="Arial"/>
          <w:color w:val="000000"/>
          <w:sz w:val="24"/>
        </w:rPr>
        <w:t>was proposed</w:t>
      </w:r>
      <w:r>
        <w:rPr>
          <w:rFonts w:ascii="Arial"/>
          <w:color w:val="000000"/>
          <w:sz w:val="24"/>
        </w:rPr>
        <w:t xml:space="preserve"> </w:t>
      </w:r>
      <w:r>
        <w:rPr>
          <w:rFonts w:ascii="Arial"/>
          <w:color w:val="000000"/>
          <w:sz w:val="24"/>
        </w:rPr>
        <w:t>on the corner of Sailors Bay Road and Harden Avenue, with access of</w:t>
      </w:r>
      <w:r>
        <w:rPr>
          <w:rFonts w:ascii="Arial"/>
          <w:color w:val="000000"/>
          <w:sz w:val="24"/>
        </w:rPr>
        <w:t>f</w:t>
      </w:r>
      <w:r>
        <w:rPr>
          <w:rFonts w:ascii="Arial"/>
          <w:color w:val="000000"/>
          <w:sz w:val="24"/>
        </w:rPr>
        <w:t xml:space="preserve"> </w:t>
      </w:r>
      <w:r>
        <w:rPr>
          <w:rFonts w:ascii="Arial"/>
          <w:color w:val="000000"/>
          <w:sz w:val="24"/>
        </w:rPr>
        <w:t xml:space="preserve">Sailors Bay Road, </w:t>
      </w:r>
      <w:r>
        <w:rPr>
          <w:rFonts w:ascii="Arial"/>
          <w:color w:val="000000"/>
          <w:sz w:val="24"/>
        </w:rPr>
        <w:t>with</w:t>
      </w:r>
      <w:r>
        <w:rPr>
          <w:rFonts w:ascii="Arial"/>
          <w:color w:val="000000"/>
          <w:sz w:val="24"/>
        </w:rPr>
        <w:t xml:space="preserve"> </w:t>
      </w:r>
      <w:r>
        <w:rPr>
          <w:rFonts w:ascii="Arial"/>
          <w:color w:val="000000"/>
          <w:sz w:val="24"/>
        </w:rPr>
        <w:t>a smaller business premises facing and with access o</w:t>
      </w:r>
      <w:r>
        <w:rPr>
          <w:rFonts w:ascii="Arial"/>
          <w:color w:val="000000"/>
          <w:sz w:val="24"/>
        </w:rPr>
        <w:t>f</w:t>
      </w:r>
      <w:r>
        <w:rPr>
          <w:rFonts w:ascii="Arial"/>
          <w:color w:val="000000"/>
          <w:sz w:val="24"/>
        </w:rPr>
        <w:t xml:space="preserve">f Harden Avenue. The </w:t>
      </w:r>
      <w:r>
        <w:rPr>
          <w:rFonts w:ascii="Arial"/>
          <w:color w:val="000000"/>
          <w:sz w:val="24"/>
        </w:rPr>
        <w:t xml:space="preserve">plan showed the </w:t>
      </w:r>
      <w:r>
        <w:rPr>
          <w:rFonts w:ascii="Arial"/>
          <w:color w:val="000000"/>
          <w:sz w:val="24"/>
        </w:rPr>
        <w:t xml:space="preserve">existing carpark </w:t>
      </w:r>
      <w:r>
        <w:rPr>
          <w:rFonts w:ascii="Arial"/>
          <w:color w:val="000000"/>
          <w:sz w:val="24"/>
        </w:rPr>
        <w:t>continuing</w:t>
      </w:r>
      <w:r>
        <w:rPr>
          <w:rFonts w:ascii="Arial"/>
          <w:color w:val="000000"/>
          <w:sz w:val="24"/>
        </w:rPr>
        <w:t xml:space="preserve"> </w:t>
      </w:r>
      <w:r>
        <w:rPr>
          <w:rFonts w:ascii="Arial"/>
          <w:color w:val="000000"/>
          <w:sz w:val="24"/>
        </w:rPr>
        <w:t>to have access off Timms Lane only. The report noted that:</w:t>
      </w:r>
    </w:p>
    <w:p>
      <w:pPr>
        <w:pStyle w:val="CaselawQuote"/>
        <w:spacing w:before="150" w:after="150"/>
        <w:ind w:left="1350"/>
        <w:jc w:val="left"/>
      </w:pPr>
      <w:r>
        <w:rPr>
          <w:rFonts w:ascii="Arial"/>
          <w:color w:val="000000"/>
          <w:sz w:val="22"/>
        </w:rPr>
        <w:t>“This arrangement</w:t>
      </w:r>
      <w:r>
        <w:rPr>
          <w:rFonts w:ascii="Arial"/>
          <w:color w:val="000000"/>
          <w:sz w:val="22"/>
        </w:rPr>
        <w:t xml:space="preserve"> arises from the desire to retain most of the structure of the existing building and part of the existing parking arrangement. Vehicular access to the rear of the site, via ramps from Timms Lane, is also retained. The car park currently </w:t>
      </w:r>
      <w:r>
        <w:rPr>
          <w:rFonts w:ascii="Arial"/>
          <w:color w:val="000000"/>
          <w:sz w:val="22"/>
        </w:rPr>
        <w:t>provides</w:t>
      </w:r>
      <w:r>
        <w:rPr>
          <w:rFonts w:ascii="Arial"/>
          <w:color w:val="000000"/>
          <w:sz w:val="22"/>
        </w:rPr>
        <w:t xml:space="preserve"> for 25 car spaces over two levels (ground floor and basement) plus two spaces external to the building, adjoining Timms Lane. The car parking spaces at ground level and the basement are proposed to be reduced to 18 spaces (10 spaces at basement level, plus 7 spaces at ground floor, plus 1 space external to the building on Timms Lane to be used both by the business tenancies and the removalist vans).”</w:t>
      </w:r>
    </w:p>
    <w:p>
      <w:pPr>
        <w:pStyle w:val="CaselawNumbered10"/>
        <w:numPr>
          <w:ilvl w:val="0"/>
          <w:numId w:val="44"/>
        </w:numPr>
        <w:spacing w:before="150" w:after="0"/>
        <w:ind w:left="600" w:hanging="600"/>
      </w:pPr>
      <w:r>
        <w:rPr>
          <w:rFonts w:ascii="Arial"/>
          <w:color w:val="000000"/>
          <w:sz w:val="24"/>
        </w:rPr>
        <w:t>The report summarised the legal advice of the applicant</w:t>
      </w:r>
      <w:r>
        <w:rPr>
          <w:rFonts w:ascii="Arial"/>
          <w:color w:val="000000"/>
          <w:sz w:val="24"/>
        </w:rPr>
        <w:t>’</w:t>
      </w:r>
      <w:r>
        <w:rPr>
          <w:rFonts w:ascii="Arial"/>
          <w:color w:val="000000"/>
          <w:sz w:val="24"/>
        </w:rPr>
        <w:t>s solicitors on why this arrangement complied with cl 6.7:</w:t>
      </w:r>
    </w:p>
    <w:p>
      <w:pPr>
        <w:pStyle w:val="CaselawQuote"/>
        <w:spacing w:before="150" w:after="150"/>
        <w:ind w:left="1350"/>
        <w:jc w:val="left"/>
      </w:pPr>
      <w:r>
        <w:rPr>
          <w:rFonts w:ascii="Arial"/>
          <w:color w:val="000000"/>
          <w:sz w:val="22"/>
        </w:rPr>
        <w:t>“Mills Oakley provided legal advice on 22 December 2020 on behalf of the applicant. Mills Oakley argues why the proposal chose to partially retain the existing car park in lieu of new business and/or retail premises at ground floor along Harden Avenue and why the proposal complies with Clause 6.7 of the WLEP 2012:</w:t>
      </w:r>
    </w:p>
    <w:p>
      <w:pPr>
        <w:pStyle w:val="CaselawQuote0"/>
        <w:spacing w:before="150" w:after="150"/>
        <w:ind w:left="2100"/>
        <w:jc w:val="left"/>
      </w:pPr>
      <w:r>
        <w:rPr>
          <w:rFonts w:ascii="Arial"/>
          <w:color w:val="000000"/>
          <w:sz w:val="22"/>
        </w:rPr>
        <w:t xml:space="preserve">● the proposed ground floor will contain a business premise which faces both Sailors Bay Road and Harden Avenue and so the application complies with clause 6.7 of the WLEP </w:t>
      </w:r>
      <w:r>
        <w:rPr>
          <w:rFonts w:ascii="Arial"/>
          <w:color w:val="000000"/>
          <w:sz w:val="22"/>
        </w:rPr>
        <w:t>2012;</w:t>
      </w:r>
    </w:p>
    <w:p>
      <w:pPr>
        <w:pStyle w:val="CaselawQuote0"/>
        <w:spacing w:before="150" w:after="150"/>
        <w:ind w:left="2100"/>
        <w:jc w:val="left"/>
      </w:pPr>
      <w:r>
        <w:rPr>
          <w:rFonts w:ascii="Arial"/>
          <w:color w:val="000000"/>
          <w:sz w:val="22"/>
        </w:rPr>
        <w:t xml:space="preserve">● there is presently no commercial activity on Harden Avenue, and it is almost entirely a residential street with the exception of the Sailors Bay Road </w:t>
      </w:r>
      <w:r>
        <w:rPr>
          <w:rFonts w:ascii="Arial"/>
          <w:color w:val="000000"/>
          <w:sz w:val="22"/>
        </w:rPr>
        <w:t>intersection;</w:t>
      </w:r>
    </w:p>
    <w:p>
      <w:pPr>
        <w:pStyle w:val="CaselawQuote0"/>
        <w:spacing w:before="150" w:after="150"/>
        <w:ind w:left="2100"/>
        <w:jc w:val="left"/>
      </w:pPr>
      <w:r>
        <w:rPr>
          <w:rFonts w:ascii="Arial"/>
          <w:color w:val="000000"/>
          <w:sz w:val="22"/>
        </w:rPr>
        <w:t xml:space="preserve">● the proposal will provide more active frontage than the existing </w:t>
      </w:r>
      <w:r>
        <w:rPr>
          <w:rFonts w:ascii="Arial"/>
          <w:color w:val="000000"/>
          <w:sz w:val="22"/>
        </w:rPr>
        <w:t>development;</w:t>
      </w:r>
    </w:p>
    <w:p>
      <w:pPr>
        <w:pStyle w:val="CaselawQuote0"/>
        <w:spacing w:before="150" w:after="150"/>
        <w:ind w:left="2100"/>
        <w:jc w:val="left"/>
      </w:pPr>
      <w:r>
        <w:rPr>
          <w:rFonts w:ascii="Arial"/>
          <w:color w:val="000000"/>
          <w:sz w:val="22"/>
        </w:rPr>
        <w:t xml:space="preserve">● the provision of a further level of basement car parking is not </w:t>
      </w:r>
      <w:r>
        <w:rPr>
          <w:rFonts w:ascii="Arial"/>
          <w:color w:val="000000"/>
          <w:sz w:val="22"/>
        </w:rPr>
        <w:t>feasible;</w:t>
      </w:r>
    </w:p>
    <w:p>
      <w:pPr>
        <w:pStyle w:val="CaselawQuote0"/>
        <w:spacing w:before="150" w:after="150"/>
        <w:ind w:left="2100"/>
        <w:jc w:val="left"/>
      </w:pPr>
      <w:r>
        <w:rPr>
          <w:rFonts w:ascii="Arial"/>
          <w:color w:val="000000"/>
          <w:sz w:val="22"/>
        </w:rPr>
        <w:t xml:space="preserve">● the car park is not a ground floor premises facing the </w:t>
      </w:r>
      <w:r>
        <w:rPr>
          <w:rFonts w:ascii="Arial"/>
          <w:color w:val="000000"/>
          <w:sz w:val="22"/>
        </w:rPr>
        <w:t>street;</w:t>
      </w:r>
    </w:p>
    <w:p>
      <w:pPr>
        <w:pStyle w:val="CaselawQuote0"/>
        <w:spacing w:before="150" w:after="150"/>
        <w:ind w:left="2100"/>
        <w:jc w:val="left"/>
      </w:pPr>
      <w:r>
        <w:rPr>
          <w:rFonts w:ascii="Arial"/>
          <w:color w:val="000000"/>
          <w:sz w:val="22"/>
        </w:rPr>
        <w:t xml:space="preserve">● </w:t>
      </w:r>
      <w:r>
        <w:rPr>
          <w:rFonts w:ascii="Arial"/>
          <w:color w:val="000000"/>
          <w:sz w:val="22"/>
        </w:rPr>
        <w:t>‘vehicular access’ is an exception to the requirements for active street frontages under clause 6.7(4) of the WLEP 2012; and</w:t>
      </w:r>
    </w:p>
    <w:p>
      <w:pPr>
        <w:pStyle w:val="CaselawQuote0"/>
        <w:spacing w:before="150" w:after="150"/>
        <w:ind w:left="2100"/>
        <w:jc w:val="left"/>
      </w:pPr>
      <w:r>
        <w:rPr>
          <w:rFonts w:ascii="Arial"/>
          <w:color w:val="000000"/>
          <w:sz w:val="22"/>
        </w:rPr>
        <w:t xml:space="preserve">● Council accepted that the existing car parking arrangements needed to be retained including </w:t>
      </w:r>
      <w:r>
        <w:rPr>
          <w:rFonts w:ascii="Arial"/>
          <w:color w:val="000000"/>
          <w:sz w:val="22"/>
        </w:rPr>
        <w:t>in light of</w:t>
      </w:r>
      <w:r>
        <w:rPr>
          <w:rFonts w:ascii="Arial"/>
          <w:color w:val="000000"/>
          <w:sz w:val="22"/>
        </w:rPr>
        <w:t xml:space="preserve"> the above considerations in its assessment of the previous DA.</w:t>
      </w:r>
    </w:p>
    <w:p>
      <w:pPr>
        <w:pStyle w:val="CaselawQuote"/>
        <w:spacing w:before="150" w:after="150"/>
        <w:ind w:left="1350"/>
        <w:jc w:val="left"/>
      </w:pPr>
      <w:r>
        <w:rPr>
          <w:rFonts w:ascii="Arial"/>
          <w:color w:val="000000"/>
          <w:sz w:val="22"/>
        </w:rPr>
        <w:t>Mills Oakley concludes that all premises on the ground floor of the building facing the street are to be used for the purposes of business premises or retail premises, and therefore the proposal complies with Clause 6.7 of the WLEP 2012.”</w:t>
      </w:r>
    </w:p>
    <w:p>
      <w:pPr>
        <w:pStyle w:val="CaselawNumbered10"/>
        <w:numPr>
          <w:ilvl w:val="0"/>
          <w:numId w:val="45"/>
        </w:numPr>
        <w:spacing w:before="150" w:after="0"/>
        <w:ind w:left="600" w:hanging="600"/>
      </w:pPr>
      <w:r>
        <w:rPr>
          <w:rFonts w:ascii="Arial"/>
          <w:color w:val="000000"/>
          <w:sz w:val="24"/>
        </w:rPr>
        <w:t>Attachment 7 of t</w:t>
      </w:r>
      <w:r>
        <w:rPr>
          <w:rFonts w:ascii="Arial"/>
          <w:color w:val="000000"/>
          <w:sz w:val="24"/>
        </w:rPr>
        <w:t xml:space="preserve">he report quoted the definition of </w:t>
      </w:r>
      <w:r>
        <w:rPr>
          <w:rFonts w:ascii="Arial"/>
          <w:color w:val="000000"/>
          <w:sz w:val="24"/>
        </w:rPr>
        <w:t>“</w:t>
      </w:r>
      <w:r>
        <w:rPr>
          <w:rFonts w:ascii="Arial"/>
          <w:color w:val="000000"/>
          <w:sz w:val="24"/>
        </w:rPr>
        <w:t>active street frontage</w:t>
      </w:r>
      <w:r>
        <w:rPr>
          <w:rFonts w:ascii="Arial"/>
          <w:color w:val="000000"/>
          <w:sz w:val="24"/>
        </w:rPr>
        <w:t xml:space="preserve">” </w:t>
      </w:r>
      <w:r>
        <w:rPr>
          <w:rFonts w:ascii="Arial"/>
          <w:color w:val="000000"/>
          <w:sz w:val="24"/>
        </w:rPr>
        <w:t xml:space="preserve">in </w:t>
      </w:r>
      <w:r>
        <w:br/>
      </w:r>
      <w:r>
        <w:rPr>
          <w:rFonts w:ascii="Arial"/>
          <w:color w:val="000000"/>
          <w:sz w:val="24"/>
        </w:rPr>
        <w:t xml:space="preserve"> </w:t>
      </w:r>
      <w:r>
        <w:rPr>
          <w:rFonts w:ascii="Arial"/>
          <w:color w:val="000000"/>
          <w:sz w:val="24"/>
        </w:rPr>
        <w:t>cl 6.7(5) and analysed whether the carpark was required to have an active street frontage to Harden Avenue:</w:t>
      </w:r>
    </w:p>
    <w:p>
      <w:pPr>
        <w:pStyle w:val="CaselawQuote"/>
        <w:spacing w:before="150" w:after="150"/>
        <w:ind w:left="1350"/>
        <w:jc w:val="left"/>
      </w:pPr>
      <w:r>
        <w:rPr>
          <w:rFonts w:ascii="Arial"/>
          <w:color w:val="000000"/>
          <w:sz w:val="22"/>
        </w:rPr>
        <w:t>“The use of ‘premises’ in the context of the Standard Instrument refers to a space/ room/s with associated facilities that has a certain specific use, generally mentioned forward to the word ‘premises’, as is the case of the ‘commercial premises’:</w:t>
      </w:r>
    </w:p>
    <w:p>
      <w:pPr>
        <w:pStyle w:val="CaselawQuote0"/>
        <w:spacing w:before="150" w:after="150"/>
        <w:ind w:left="2100"/>
        <w:jc w:val="left"/>
      </w:pPr>
      <w:r>
        <w:rPr>
          <w:rFonts w:ascii="Arial"/>
          <w:b/>
          <w:i/>
          <w:color w:val="000000"/>
          <w:sz w:val="22"/>
        </w:rPr>
        <w:t>commercial premises</w:t>
      </w:r>
      <w:r>
        <w:rPr>
          <w:rFonts w:ascii="Arial"/>
          <w:i/>
          <w:color w:val="000000"/>
          <w:sz w:val="22"/>
        </w:rPr>
        <w:t xml:space="preserve"> means any of the following – </w:t>
      </w:r>
    </w:p>
    <w:p>
      <w:pPr>
        <w:pStyle w:val="CaselawQuote1"/>
        <w:spacing w:before="150" w:after="150"/>
        <w:ind w:left="2850"/>
        <w:jc w:val="left"/>
      </w:pPr>
      <w:r>
        <w:rPr>
          <w:rFonts w:ascii="Arial"/>
          <w:i/>
          <w:color w:val="000000"/>
          <w:sz w:val="22"/>
        </w:rPr>
        <w:t>(a) Business premises.</w:t>
      </w:r>
    </w:p>
    <w:p>
      <w:pPr>
        <w:pStyle w:val="CaselawQuote1"/>
        <w:spacing w:before="150" w:after="150"/>
        <w:ind w:left="2850"/>
        <w:jc w:val="left"/>
      </w:pPr>
      <w:r>
        <w:rPr>
          <w:rFonts w:ascii="Arial"/>
          <w:i/>
          <w:color w:val="000000"/>
          <w:sz w:val="22"/>
        </w:rPr>
        <w:t>(b) Office premises,</w:t>
      </w:r>
    </w:p>
    <w:p>
      <w:pPr>
        <w:pStyle w:val="CaselawQuote1"/>
        <w:spacing w:before="150" w:after="150"/>
        <w:ind w:left="2850"/>
        <w:jc w:val="left"/>
      </w:pPr>
      <w:r>
        <w:rPr>
          <w:rFonts w:ascii="Arial"/>
          <w:i/>
          <w:color w:val="000000"/>
          <w:sz w:val="22"/>
        </w:rPr>
        <w:t>(c) Retail premises.</w:t>
      </w:r>
    </w:p>
    <w:p>
      <w:pPr>
        <w:pStyle w:val="CaselawQuote"/>
        <w:spacing w:before="150" w:after="150"/>
        <w:ind w:left="1350"/>
        <w:jc w:val="left"/>
      </w:pPr>
      <w:r>
        <w:rPr>
          <w:rFonts w:ascii="Arial"/>
          <w:color w:val="000000"/>
          <w:sz w:val="22"/>
        </w:rPr>
        <w:t>Other words in the WLEP 2012 Dictionary are defined to make reference to ‘buildings’ or ‘places’ instead of ‘premises’, as for example</w:t>
      </w:r>
    </w:p>
    <w:p>
      <w:pPr>
        <w:pStyle w:val="CaselawQuote0"/>
        <w:spacing w:before="150" w:after="150"/>
        <w:ind w:left="2100"/>
        <w:jc w:val="left"/>
      </w:pPr>
      <w:r>
        <w:rPr>
          <w:rFonts w:ascii="Arial"/>
          <w:b/>
          <w:i/>
          <w:color w:val="000000"/>
          <w:sz w:val="22"/>
        </w:rPr>
        <w:t>community facility</w:t>
      </w:r>
      <w:r>
        <w:rPr>
          <w:rFonts w:ascii="Arial"/>
          <w:color w:val="000000"/>
          <w:sz w:val="22"/>
        </w:rPr>
        <w:t xml:space="preserve"> means a building or place…</w:t>
      </w:r>
    </w:p>
    <w:p>
      <w:pPr>
        <w:pStyle w:val="CaselawQuote"/>
        <w:spacing w:before="150" w:after="150"/>
        <w:ind w:left="1350"/>
        <w:jc w:val="left"/>
      </w:pPr>
      <w:r>
        <w:rPr>
          <w:rFonts w:ascii="Arial"/>
          <w:color w:val="000000"/>
          <w:sz w:val="22"/>
        </w:rPr>
        <w:t>In this case, ‘building’ refers to the entire structure, car parking included. Consequently, car parking is not regarded as a premises. Neither is in the case of ‘a change of use of a premises’ that does not automatically imply change of use of associated car parking.</w:t>
      </w:r>
    </w:p>
    <w:p>
      <w:pPr>
        <w:pStyle w:val="CaselawQuote"/>
        <w:spacing w:before="150" w:after="150"/>
        <w:ind w:left="1350"/>
        <w:jc w:val="left"/>
      </w:pPr>
      <w:r>
        <w:rPr>
          <w:rFonts w:ascii="Arial"/>
          <w:color w:val="000000"/>
          <w:sz w:val="22"/>
        </w:rPr>
        <w:t>Furthermore, in this specific case, ground floor car parking is accessed from Timms Lane and so, it is not facing Sailors Bay Road or Harden Avenue.”</w:t>
      </w:r>
    </w:p>
    <w:p>
      <w:pPr>
        <w:pStyle w:val="CaselawNumbered10"/>
        <w:numPr>
          <w:ilvl w:val="0"/>
          <w:numId w:val="46"/>
        </w:numPr>
        <w:spacing w:before="150" w:after="0"/>
        <w:ind w:left="600" w:hanging="600"/>
      </w:pPr>
      <w:r>
        <w:rPr>
          <w:rFonts w:ascii="Arial"/>
          <w:color w:val="000000"/>
          <w:sz w:val="24"/>
        </w:rPr>
        <w:t>The report then analysed the balance of the premises on the ground floor to assess whether they have an active street frontage:</w:t>
      </w:r>
    </w:p>
    <w:p>
      <w:pPr>
        <w:pStyle w:val="CaselawQuote"/>
        <w:spacing w:before="150" w:after="150"/>
        <w:ind w:left="1350"/>
        <w:jc w:val="left"/>
      </w:pPr>
      <w:r>
        <w:rPr>
          <w:rFonts w:ascii="Arial"/>
          <w:color w:val="000000"/>
          <w:sz w:val="22"/>
        </w:rPr>
        <w:t>“</w:t>
      </w:r>
      <w:r>
        <w:rPr>
          <w:rFonts w:ascii="Arial"/>
          <w:color w:val="000000"/>
          <w:sz w:val="22"/>
        </w:rPr>
        <w:t xml:space="preserve">Notwithstanding the retention of some of the current parking arrangements, satisfactory amount of business premises is created at ground floor </w:t>
      </w:r>
      <w:r>
        <w:rPr>
          <w:rFonts w:ascii="Arial"/>
          <w:color w:val="000000"/>
          <w:sz w:val="22"/>
        </w:rPr>
        <w:t>in order to</w:t>
      </w:r>
      <w:r>
        <w:rPr>
          <w:rFonts w:ascii="Arial"/>
          <w:color w:val="000000"/>
          <w:sz w:val="22"/>
        </w:rPr>
        <w:t xml:space="preserve"> activate both street frontages (Sailors Bay Road and Harden Avenue) and all premises on the ground floor of the building facing the street are used for the purposes of business premises.</w:t>
      </w:r>
    </w:p>
    <w:p>
      <w:pPr>
        <w:pStyle w:val="CaselawQuote"/>
        <w:spacing w:before="150" w:after="150"/>
        <w:ind w:left="1350"/>
        <w:jc w:val="left"/>
      </w:pPr>
      <w:r>
        <w:rPr>
          <w:rFonts w:ascii="Arial"/>
          <w:color w:val="000000"/>
          <w:sz w:val="22"/>
        </w:rPr>
        <w:t>Furthermore, Council’s Design Specialist advised he is satisfied that the amended scheme complies with the intent of Clause 6.7 – Active Street Frontages of WLEP 2012, “</w:t>
      </w:r>
      <w:r>
        <w:rPr>
          <w:rFonts w:ascii="Arial"/>
          <w:i/>
          <w:color w:val="000000"/>
          <w:sz w:val="22"/>
        </w:rPr>
        <w:t>to promote uses that attract pedestrian traffic along certain ground floor street frontages</w:t>
      </w:r>
      <w:r>
        <w:rPr>
          <w:rFonts w:ascii="Arial"/>
          <w:color w:val="000000"/>
          <w:sz w:val="22"/>
        </w:rPr>
        <w:t>”:</w:t>
      </w:r>
    </w:p>
    <w:p>
      <w:pPr>
        <w:pStyle w:val="CaselawQuote0"/>
        <w:spacing w:before="150" w:after="150"/>
        <w:ind w:left="2100"/>
        <w:jc w:val="left"/>
      </w:pPr>
      <w:r>
        <w:rPr>
          <w:rFonts w:ascii="Arial"/>
          <w:i/>
          <w:color w:val="000000"/>
          <w:sz w:val="22"/>
        </w:rPr>
        <w:t>“The development does present a greatly improved built form, integrating active access/ frontage to two street frontages”.</w:t>
      </w:r>
    </w:p>
    <w:p>
      <w:pPr>
        <w:pStyle w:val="CaselawQuote"/>
        <w:spacing w:before="150" w:after="150"/>
        <w:ind w:left="1350"/>
        <w:jc w:val="left"/>
      </w:pPr>
      <w:r>
        <w:rPr>
          <w:rFonts w:ascii="Arial"/>
          <w:color w:val="000000"/>
          <w:sz w:val="22"/>
        </w:rPr>
        <w:t>Clause 6.7(3) of the WLEP 2012 states:</w:t>
      </w:r>
    </w:p>
    <w:p>
      <w:pPr>
        <w:pStyle w:val="CaselawQuote0"/>
        <w:spacing w:before="150" w:after="150"/>
        <w:ind w:left="2100"/>
        <w:jc w:val="left"/>
      </w:pPr>
      <w:r>
        <w:rPr>
          <w:rFonts w:ascii="Arial"/>
          <w:i/>
          <w:color w:val="000000"/>
          <w:sz w:val="22"/>
        </w:rPr>
        <w:t>Development consent must not be granted to the erection of a building, or a change of use of a building, on land to which this clause applies unless the consent authority is satisfied that the building will have an active street frontage after its erection or change of use.</w:t>
      </w:r>
    </w:p>
    <w:p>
      <w:pPr>
        <w:pStyle w:val="CaselawQuote"/>
        <w:spacing w:before="150" w:after="150"/>
        <w:ind w:left="1350"/>
        <w:jc w:val="left"/>
      </w:pPr>
      <w:r>
        <w:rPr>
          <w:rFonts w:ascii="Arial"/>
          <w:color w:val="000000"/>
          <w:sz w:val="22"/>
        </w:rPr>
        <w:t>Taking the above into account, Council is satisfied that the building will have sufficient active street frontage after the change of use to meet Clause 6.7 of WLEP 2012 on both Sailors Bay Road and Harden Avenue.”</w:t>
      </w:r>
    </w:p>
    <w:p>
      <w:pPr>
        <w:pStyle w:val="CaselawNumbered10"/>
        <w:numPr>
          <w:ilvl w:val="0"/>
          <w:numId w:val="47"/>
        </w:numPr>
        <w:spacing w:before="150" w:after="0"/>
        <w:ind w:left="600" w:hanging="600"/>
      </w:pPr>
      <w:r>
        <w:rPr>
          <w:rFonts w:ascii="Arial"/>
          <w:color w:val="000000"/>
          <w:sz w:val="24"/>
        </w:rPr>
        <w:t>The primary judge concluded</w:t>
      </w:r>
      <w:r>
        <w:rPr>
          <w:rFonts w:ascii="Arial"/>
          <w:color w:val="000000"/>
          <w:sz w:val="24"/>
        </w:rPr>
        <w:t>,</w:t>
      </w:r>
      <w:r>
        <w:rPr>
          <w:rFonts w:ascii="Arial"/>
          <w:color w:val="000000"/>
          <w:sz w:val="24"/>
        </w:rPr>
        <w:t xml:space="preserve"> </w:t>
      </w:r>
      <w:r>
        <w:rPr>
          <w:rFonts w:ascii="Arial"/>
          <w:color w:val="000000"/>
          <w:sz w:val="24"/>
        </w:rPr>
        <w:t xml:space="preserve">without any explanation, that Mr </w:t>
      </w:r>
      <w:r>
        <w:rPr>
          <w:rFonts w:ascii="Arial"/>
          <w:color w:val="000000"/>
          <w:sz w:val="24"/>
        </w:rPr>
        <w:t>Lahoud</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ground 2, that the Panel</w:t>
      </w:r>
      <w:r>
        <w:rPr>
          <w:rFonts w:ascii="Arial"/>
          <w:color w:val="000000"/>
          <w:sz w:val="24"/>
        </w:rPr>
        <w:t>’</w:t>
      </w:r>
      <w:r>
        <w:rPr>
          <w:rFonts w:ascii="Arial"/>
          <w:color w:val="000000"/>
          <w:sz w:val="24"/>
        </w:rPr>
        <w:t>s decision was in breach of cl 6.7, was established:</w:t>
      </w:r>
    </w:p>
    <w:p>
      <w:pPr>
        <w:pStyle w:val="CaselawQuote"/>
        <w:spacing w:before="150" w:after="150"/>
        <w:ind w:left="1350"/>
        <w:jc w:val="left"/>
      </w:pPr>
      <w:r>
        <w:rPr>
          <w:rFonts w:ascii="Arial"/>
          <w:color w:val="000000"/>
          <w:sz w:val="22"/>
        </w:rPr>
        <w:t>“This ground can be disposed of comparatively briefly. First, the terms of cl 6.7 of the LEP are ones which had put a requirement for satisfaction on the Planning Panel that what was mandated – the activation of the entire street frontage along Harden Avenue for the entirety of its length adjacent to the site – was achieved. Despite the valiant endeavours of Mr Galasso to explain why it should be concluded that it had been achieved, there is no proper basis in fact on any rational construction of the wording of the clause that could have led the Planning Panel to have concluded that it was satisfied”: at [186].</w:t>
      </w:r>
    </w:p>
    <w:p>
      <w:pPr>
        <w:pStyle w:val="CaselawNumbered10"/>
        <w:numPr>
          <w:ilvl w:val="0"/>
          <w:numId w:val="48"/>
        </w:numPr>
        <w:spacing w:before="150" w:after="0"/>
        <w:ind w:left="600" w:hanging="600"/>
      </w:pPr>
      <w:r>
        <w:rPr>
          <w:rFonts w:ascii="Arial"/>
          <w:color w:val="000000"/>
          <w:sz w:val="24"/>
        </w:rPr>
        <w:t xml:space="preserve">The reason </w:t>
      </w:r>
      <w:r>
        <w:rPr>
          <w:rFonts w:ascii="Arial"/>
          <w:color w:val="000000"/>
          <w:sz w:val="24"/>
        </w:rPr>
        <w:t>w</w:t>
      </w:r>
      <w:r>
        <w:rPr>
          <w:rFonts w:ascii="Arial"/>
          <w:color w:val="000000"/>
          <w:sz w:val="24"/>
        </w:rPr>
        <w:t>as</w:t>
      </w:r>
      <w:r>
        <w:rPr>
          <w:rFonts w:ascii="Arial"/>
          <w:color w:val="000000"/>
          <w:sz w:val="24"/>
        </w:rPr>
        <w:t xml:space="preserve"> </w:t>
      </w:r>
      <w:r>
        <w:rPr>
          <w:rFonts w:ascii="Arial"/>
          <w:color w:val="000000"/>
          <w:sz w:val="24"/>
        </w:rPr>
        <w:t>that</w:t>
      </w:r>
      <w:r>
        <w:rPr>
          <w:rFonts w:ascii="Arial"/>
          <w:color w:val="000000"/>
          <w:sz w:val="24"/>
        </w:rPr>
        <w:t>:</w:t>
      </w:r>
    </w:p>
    <w:p>
      <w:pPr>
        <w:pStyle w:val="CaselawQuote"/>
        <w:spacing w:before="150" w:after="150"/>
        <w:ind w:left="1350"/>
        <w:jc w:val="left"/>
      </w:pPr>
      <w:r>
        <w:rPr>
          <w:rFonts w:ascii="Arial"/>
          <w:color w:val="000000"/>
          <w:sz w:val="22"/>
        </w:rPr>
        <w:t>“There was no evidence before the Planning Panel that would have permitted it, in the sense addressed by the Court of Appeal at [75] of </w:t>
      </w:r>
      <w:r>
        <w:rPr>
          <w:rFonts w:ascii="Arial"/>
          <w:i/>
          <w:color w:val="000000"/>
          <w:sz w:val="22"/>
        </w:rPr>
        <w:t>El Khouri</w:t>
      </w:r>
      <w:r>
        <w:rPr>
          <w:rFonts w:ascii="Arial"/>
          <w:color w:val="000000"/>
          <w:sz w:val="22"/>
        </w:rPr>
        <w:t> that, in its consideration of cl 6.7 of the LEP, there was a proper evidentiary basis upon which it could conclude that the provision had been satisfied.”: at [189].</w:t>
      </w:r>
    </w:p>
    <w:p>
      <w:pPr>
        <w:pStyle w:val="CaselawNumbered10"/>
        <w:numPr>
          <w:ilvl w:val="0"/>
          <w:numId w:val="49"/>
        </w:numPr>
        <w:spacing w:before="150" w:after="0"/>
        <w:ind w:left="600" w:hanging="600"/>
      </w:pPr>
      <w:r>
        <w:rPr>
          <w:rFonts w:ascii="Arial"/>
          <w:color w:val="000000"/>
          <w:sz w:val="24"/>
        </w:rPr>
        <w:t>Nevertheless, the primary judge</w:t>
      </w:r>
      <w:r>
        <w:rPr>
          <w:rFonts w:ascii="Arial"/>
          <w:color w:val="000000"/>
          <w:sz w:val="24"/>
        </w:rPr>
        <w:t>,</w:t>
      </w:r>
      <w:r>
        <w:rPr>
          <w:rFonts w:ascii="Arial"/>
          <w:color w:val="000000"/>
          <w:sz w:val="24"/>
        </w:rPr>
        <w:t xml:space="preserve"> </w:t>
      </w:r>
      <w:r>
        <w:rPr>
          <w:rFonts w:ascii="Arial"/>
          <w:color w:val="000000"/>
          <w:sz w:val="24"/>
        </w:rPr>
        <w:t xml:space="preserve">in the exercise of his discretion, declined to </w:t>
      </w:r>
      <w:r>
        <w:rPr>
          <w:rFonts w:ascii="Arial"/>
          <w:color w:val="000000"/>
          <w:sz w:val="24"/>
        </w:rPr>
        <w:t>“</w:t>
      </w:r>
      <w:r>
        <w:rPr>
          <w:rFonts w:ascii="Arial"/>
          <w:color w:val="000000"/>
          <w:sz w:val="24"/>
        </w:rPr>
        <w:t>order</w:t>
      </w:r>
      <w:r>
        <w:rPr>
          <w:rFonts w:ascii="Arial"/>
          <w:color w:val="000000"/>
          <w:sz w:val="24"/>
        </w:rPr>
        <w:t xml:space="preserve"> </w:t>
      </w:r>
      <w:r>
        <w:rPr>
          <w:rFonts w:ascii="Arial"/>
          <w:color w:val="000000"/>
          <w:sz w:val="24"/>
        </w:rPr>
        <w:t>any</w:t>
      </w:r>
      <w:r>
        <w:rPr>
          <w:rFonts w:ascii="Arial"/>
          <w:color w:val="000000"/>
          <w:sz w:val="24"/>
        </w:rPr>
        <w:t xml:space="preserve"> </w:t>
      </w:r>
      <w:r>
        <w:rPr>
          <w:rFonts w:ascii="Arial"/>
          <w:color w:val="000000"/>
          <w:sz w:val="24"/>
        </w:rPr>
        <w:t>intervention with</w:t>
      </w:r>
      <w:r>
        <w:rPr>
          <w:rFonts w:ascii="Arial"/>
          <w:color w:val="000000"/>
          <w:sz w:val="24"/>
        </w:rPr>
        <w:t xml:space="preserve">” </w:t>
      </w:r>
      <w:r>
        <w:rPr>
          <w:rFonts w:ascii="Arial"/>
          <w:color w:val="000000"/>
          <w:sz w:val="24"/>
        </w:rPr>
        <w:t>the development consent:</w:t>
      </w:r>
    </w:p>
    <w:p>
      <w:pPr>
        <w:pStyle w:val="CaselawQuote"/>
        <w:spacing w:before="150" w:after="150"/>
        <w:ind w:left="1350"/>
        <w:jc w:val="left"/>
      </w:pPr>
      <w:r>
        <w:rPr>
          <w:rFonts w:ascii="Arial"/>
          <w:color w:val="000000"/>
          <w:sz w:val="22"/>
        </w:rPr>
        <w:t xml:space="preserve">“As a matter of the exercise of my discretion pursuant to s 46(1) </w:t>
      </w:r>
      <w:r>
        <w:rPr>
          <w:rFonts w:ascii="Arial"/>
          <w:color w:val="000000"/>
          <w:sz w:val="22"/>
        </w:rPr>
        <w:t>[sic, s 9.46(1)]</w:t>
      </w:r>
      <w:r>
        <w:rPr>
          <w:rFonts w:ascii="Arial"/>
          <w:color w:val="000000"/>
          <w:sz w:val="22"/>
        </w:rPr>
        <w:t xml:space="preserve"> of the EPA Act, I, too, am satisfied that, on the merits of those aspects of the </w:t>
      </w:r>
      <w:r>
        <w:rPr>
          <w:rFonts w:ascii="Arial"/>
          <w:color w:val="000000"/>
          <w:sz w:val="22"/>
        </w:rPr>
        <w:t>proposal relevant to the issue of activation of the Harden Avenue street frontage, there will be sufficient activation on that frontage when compared to what was the pre-existing position, that it is not appropriate to order any intervention the Company’s development consent on the basis of non-compliance with cl 6.7 of the LEP.”: at [197].</w:t>
      </w:r>
    </w:p>
    <w:p>
      <w:pPr>
        <w:pStyle w:val="CaselawNumbered10"/>
        <w:numPr>
          <w:ilvl w:val="0"/>
          <w:numId w:val="50"/>
        </w:numPr>
        <w:spacing w:before="150" w:after="0"/>
        <w:ind w:left="600" w:hanging="600"/>
      </w:pPr>
      <w:r>
        <w:rPr>
          <w:rFonts w:ascii="Arial"/>
          <w:color w:val="000000"/>
          <w:sz w:val="24"/>
        </w:rPr>
        <w:t xml:space="preserve">Both Mr </w:t>
      </w:r>
      <w:r>
        <w:rPr>
          <w:rFonts w:ascii="Arial"/>
          <w:color w:val="000000"/>
          <w:sz w:val="24"/>
        </w:rPr>
        <w:t>Lahoud</w:t>
      </w:r>
      <w:r>
        <w:rPr>
          <w:rFonts w:ascii="Arial"/>
          <w:color w:val="000000"/>
          <w:sz w:val="24"/>
        </w:rPr>
        <w:t xml:space="preserve"> </w:t>
      </w:r>
      <w:r>
        <w:rPr>
          <w:rFonts w:ascii="Arial"/>
          <w:color w:val="000000"/>
          <w:sz w:val="24"/>
        </w:rPr>
        <w:t>and Helm challenged the primary judge</w:t>
      </w:r>
      <w:r>
        <w:rPr>
          <w:rFonts w:ascii="Arial"/>
          <w:color w:val="000000"/>
          <w:sz w:val="24"/>
        </w:rPr>
        <w:t>’</w:t>
      </w:r>
      <w:r>
        <w:rPr>
          <w:rFonts w:ascii="Arial"/>
          <w:color w:val="000000"/>
          <w:sz w:val="24"/>
        </w:rPr>
        <w:t xml:space="preserve">s findings, Mr </w:t>
      </w:r>
      <w:r>
        <w:rPr>
          <w:rFonts w:ascii="Arial"/>
          <w:color w:val="000000"/>
          <w:sz w:val="24"/>
        </w:rPr>
        <w:t>Lahoud</w:t>
      </w:r>
      <w:r>
        <w:rPr>
          <w:rFonts w:ascii="Arial"/>
          <w:color w:val="000000"/>
          <w:sz w:val="24"/>
        </w:rPr>
        <w:t xml:space="preserve"> </w:t>
      </w:r>
      <w:r>
        <w:rPr>
          <w:rFonts w:ascii="Arial"/>
          <w:color w:val="000000"/>
          <w:sz w:val="24"/>
        </w:rPr>
        <w:t>the finding not to order any intervention in the development consent (ground 6) and Helm the finding that the Panel</w:t>
      </w:r>
      <w:r>
        <w:rPr>
          <w:rFonts w:ascii="Arial"/>
          <w:color w:val="000000"/>
          <w:sz w:val="24"/>
        </w:rPr>
        <w:t>’</w:t>
      </w:r>
      <w:r>
        <w:rPr>
          <w:rFonts w:ascii="Arial"/>
          <w:color w:val="000000"/>
          <w:sz w:val="24"/>
        </w:rPr>
        <w:t>s decision contravened cl 6.7 (contention 3</w:t>
      </w:r>
      <w:r>
        <w:rPr>
          <w:rFonts w:ascii="Arial"/>
          <w:color w:val="000000"/>
          <w:sz w:val="24"/>
        </w:rPr>
        <w:t xml:space="preserve"> </w:t>
      </w:r>
      <w:r>
        <w:rPr>
          <w:rFonts w:ascii="Arial"/>
          <w:color w:val="000000"/>
          <w:sz w:val="24"/>
        </w:rPr>
        <w:t>in its notice of contention</w:t>
      </w:r>
      <w:r>
        <w:rPr>
          <w:rFonts w:ascii="Arial"/>
          <w:color w:val="000000"/>
          <w:sz w:val="24"/>
        </w:rPr>
        <w:t>)</w:t>
      </w:r>
      <w:r>
        <w:rPr>
          <w:rFonts w:ascii="Arial"/>
          <w:color w:val="000000"/>
          <w:sz w:val="24"/>
        </w:rPr>
        <w:t>.</w:t>
      </w:r>
    </w:p>
    <w:p>
      <w:pPr>
        <w:pStyle w:val="CaselawNumbered10"/>
        <w:numPr>
          <w:ilvl w:val="0"/>
          <w:numId w:val="50"/>
        </w:numPr>
        <w:spacing w:before="150" w:after="0"/>
        <w:ind w:left="600" w:hanging="600"/>
      </w:pPr>
      <w:r>
        <w:rPr>
          <w:rFonts w:ascii="Arial"/>
          <w:color w:val="000000"/>
          <w:sz w:val="24"/>
        </w:rPr>
        <w:t>I will begin with Helm</w:t>
      </w:r>
      <w:r>
        <w:rPr>
          <w:rFonts w:ascii="Arial"/>
          <w:color w:val="000000"/>
          <w:sz w:val="24"/>
        </w:rPr>
        <w:t>’</w:t>
      </w:r>
      <w:r>
        <w:rPr>
          <w:rFonts w:ascii="Arial"/>
          <w:color w:val="000000"/>
          <w:sz w:val="24"/>
        </w:rPr>
        <w:t xml:space="preserve">s contention, as </w:t>
      </w:r>
      <w:r>
        <w:rPr>
          <w:rFonts w:ascii="Arial"/>
          <w:color w:val="000000"/>
          <w:sz w:val="24"/>
        </w:rPr>
        <w:t xml:space="preserve">if it is </w:t>
      </w:r>
      <w:r>
        <w:rPr>
          <w:rFonts w:ascii="Arial"/>
          <w:color w:val="000000"/>
          <w:sz w:val="24"/>
        </w:rPr>
        <w:t xml:space="preserve">upheld it is unnecessary to decide Mr </w:t>
      </w:r>
      <w:r>
        <w:rPr>
          <w:rFonts w:ascii="Arial"/>
          <w:color w:val="000000"/>
          <w:sz w:val="24"/>
        </w:rPr>
        <w:t>Lahoud</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ground of appeal.</w:t>
      </w:r>
    </w:p>
    <w:p>
      <w:pPr>
        <w:pStyle w:val="CaselawNumbered10"/>
        <w:numPr>
          <w:ilvl w:val="0"/>
          <w:numId w:val="50"/>
        </w:numPr>
        <w:spacing w:before="150" w:after="0"/>
        <w:ind w:left="600" w:hanging="600"/>
      </w:pPr>
      <w:r>
        <w:rPr>
          <w:rFonts w:ascii="Arial"/>
          <w:color w:val="000000"/>
          <w:sz w:val="24"/>
        </w:rPr>
        <w:t xml:space="preserve">The question of whether the building as proposed to be redeveloped </w:t>
      </w:r>
      <w:r>
        <w:rPr>
          <w:rFonts w:ascii="Arial"/>
          <w:color w:val="000000"/>
          <w:sz w:val="24"/>
        </w:rPr>
        <w:t xml:space="preserve">will be a building that </w:t>
      </w:r>
      <w:r>
        <w:rPr>
          <w:rFonts w:ascii="Arial"/>
          <w:color w:val="000000"/>
          <w:sz w:val="24"/>
        </w:rPr>
        <w:t xml:space="preserve">has an active street frontage </w:t>
      </w:r>
      <w:r>
        <w:rPr>
          <w:rFonts w:ascii="Arial"/>
          <w:color w:val="000000"/>
          <w:sz w:val="24"/>
        </w:rPr>
        <w:t xml:space="preserve">within the </w:t>
      </w:r>
      <w:r>
        <w:rPr>
          <w:rFonts w:ascii="Arial"/>
          <w:color w:val="000000"/>
          <w:sz w:val="24"/>
        </w:rPr>
        <w:t xml:space="preserve">statutory </w:t>
      </w:r>
      <w:r>
        <w:rPr>
          <w:rFonts w:ascii="Arial"/>
          <w:color w:val="000000"/>
          <w:sz w:val="24"/>
        </w:rPr>
        <w:t xml:space="preserve">description in cl 6.7(5) was not a jurisdictional fact: as to what </w:t>
      </w:r>
      <w:r>
        <w:rPr>
          <w:rFonts w:ascii="Arial"/>
          <w:color w:val="000000"/>
          <w:sz w:val="24"/>
        </w:rPr>
        <w:t>is a jurisdictional fact</w:t>
      </w:r>
      <w:r>
        <w:rPr>
          <w:rFonts w:ascii="Arial"/>
          <w:color w:val="000000"/>
          <w:sz w:val="24"/>
        </w:rPr>
        <w:t xml:space="preserve">, see </w:t>
      </w:r>
      <w:r>
        <w:rPr>
          <w:rFonts w:ascii="Arial"/>
          <w:i/>
          <w:color w:val="000000"/>
          <w:sz w:val="24"/>
        </w:rPr>
        <w:t xml:space="preserve">El Khouri v </w:t>
      </w:r>
      <w:r>
        <w:rPr>
          <w:rFonts w:ascii="Arial"/>
          <w:i/>
          <w:color w:val="000000"/>
          <w:sz w:val="24"/>
        </w:rPr>
        <w:t>Gemaveld</w:t>
      </w:r>
      <w:r>
        <w:rPr>
          <w:rFonts w:ascii="Arial"/>
          <w:i/>
          <w:color w:val="000000"/>
          <w:sz w:val="24"/>
        </w:rPr>
        <w:t xml:space="preserve"> Pty Ltd</w:t>
      </w:r>
      <w:r>
        <w:rPr>
          <w:rFonts w:ascii="Arial"/>
          <w:color w:val="000000"/>
          <w:sz w:val="24"/>
        </w:rPr>
        <w:t xml:space="preserve"> </w:t>
      </w:r>
      <w:r>
        <w:rPr>
          <w:rFonts w:ascii="Arial"/>
          <w:color w:val="000000"/>
          <w:sz w:val="24"/>
        </w:rPr>
        <w:t xml:space="preserve">(2023) 256 LGERA 24; [2023] NSWCA 78 at [33]. Rather, the question was one for the Panel to decide. That is made plain by the terms of cl 6.7(3): the consent authority is to determine whether it </w:t>
      </w:r>
      <w:r>
        <w:rPr>
          <w:rFonts w:ascii="Arial"/>
          <w:color w:val="000000"/>
          <w:sz w:val="24"/>
        </w:rPr>
        <w:t>“</w:t>
      </w:r>
      <w:r>
        <w:rPr>
          <w:rFonts w:ascii="Arial"/>
          <w:color w:val="000000"/>
          <w:sz w:val="24"/>
        </w:rPr>
        <w:t>is satisfied that the building will have an active street frontage</w:t>
      </w:r>
      <w:r>
        <w:rPr>
          <w:rFonts w:ascii="Arial"/>
          <w:color w:val="000000"/>
          <w:sz w:val="24"/>
        </w:rPr>
        <w:t xml:space="preserve">” </w:t>
      </w:r>
      <w:r>
        <w:rPr>
          <w:rFonts w:ascii="Arial"/>
          <w:color w:val="000000"/>
          <w:sz w:val="24"/>
        </w:rPr>
        <w:t>after the erection or change o</w:t>
      </w:r>
      <w:r>
        <w:rPr>
          <w:rFonts w:ascii="Arial"/>
          <w:color w:val="000000"/>
          <w:sz w:val="24"/>
        </w:rPr>
        <w:t>f</w:t>
      </w:r>
      <w:r>
        <w:rPr>
          <w:rFonts w:ascii="Arial"/>
          <w:color w:val="000000"/>
          <w:sz w:val="24"/>
        </w:rPr>
        <w:t xml:space="preserve"> </w:t>
      </w:r>
      <w:r>
        <w:rPr>
          <w:rFonts w:ascii="Arial"/>
          <w:color w:val="000000"/>
          <w:sz w:val="24"/>
        </w:rPr>
        <w:t xml:space="preserve">use of the building. This involves the consent authority deciding whether the facts found by it fall within or without the statutory description of </w:t>
      </w:r>
      <w:r>
        <w:rPr>
          <w:rFonts w:ascii="Arial"/>
          <w:color w:val="000000"/>
          <w:sz w:val="24"/>
        </w:rPr>
        <w:t>“</w:t>
      </w:r>
      <w:r>
        <w:rPr>
          <w:rFonts w:ascii="Arial"/>
          <w:color w:val="000000"/>
          <w:sz w:val="24"/>
        </w:rPr>
        <w:t>active street frontage</w:t>
      </w:r>
      <w:r>
        <w:rPr>
          <w:rFonts w:ascii="Arial"/>
          <w:color w:val="000000"/>
          <w:sz w:val="24"/>
        </w:rPr>
        <w:t xml:space="preserve">” </w:t>
      </w:r>
      <w:r>
        <w:rPr>
          <w:rFonts w:ascii="Arial"/>
          <w:color w:val="000000"/>
          <w:sz w:val="24"/>
        </w:rPr>
        <w:t>in cl 6.7(5).</w:t>
      </w:r>
      <w:r>
        <w:rPr>
          <w:rFonts w:ascii="Arial"/>
          <w:color w:val="000000"/>
          <w:sz w:val="24"/>
        </w:rPr>
        <w:t xml:space="preserve"> </w:t>
      </w:r>
      <w:r>
        <w:rPr>
          <w:rFonts w:ascii="Arial"/>
          <w:color w:val="000000"/>
          <w:sz w:val="24"/>
        </w:rPr>
        <w:t>The consent authority</w:t>
      </w:r>
      <w:r>
        <w:rPr>
          <w:rFonts w:ascii="Arial"/>
          <w:color w:val="000000"/>
          <w:sz w:val="24"/>
        </w:rPr>
        <w:t>’</w:t>
      </w:r>
      <w:r>
        <w:rPr>
          <w:rFonts w:ascii="Arial"/>
          <w:color w:val="000000"/>
          <w:sz w:val="24"/>
        </w:rPr>
        <w:t xml:space="preserve">s decision of satisfaction or non-satisfaction as to whether the building will have an active street frontage is reviewable, not as a jurisdictional fact, but only for jurisdictional error. As the High Court recently observed in </w:t>
      </w:r>
      <w:r>
        <w:rPr>
          <w:rFonts w:ascii="Arial"/>
          <w:i/>
          <w:color w:val="000000"/>
          <w:sz w:val="24"/>
        </w:rPr>
        <w:t>LPDT v Minister for Immigration, Citizenship, Migrant Services and Multicultural Affairs &amp; Anor</w:t>
      </w:r>
      <w:r>
        <w:rPr>
          <w:rFonts w:ascii="Arial"/>
          <w:color w:val="000000"/>
          <w:sz w:val="24"/>
        </w:rPr>
        <w:t xml:space="preserve"> </w:t>
      </w:r>
      <w:r>
        <w:rPr>
          <w:rFonts w:ascii="Arial"/>
          <w:color w:val="000000"/>
          <w:sz w:val="24"/>
        </w:rPr>
        <w:t>[2024] HCA 12 at [3]:</w:t>
      </w:r>
    </w:p>
    <w:p>
      <w:pPr>
        <w:pStyle w:val="CaselawQuote"/>
        <w:spacing w:before="150" w:after="150"/>
        <w:ind w:left="1350"/>
        <w:jc w:val="left"/>
      </w:pPr>
      <w:r>
        <w:rPr>
          <w:rFonts w:ascii="Arial"/>
          <w:color w:val="000000"/>
          <w:sz w:val="22"/>
        </w:rPr>
        <w:t xml:space="preserve">“Jurisdictional error on the part of a statutory decision-maker in making a decision can </w:t>
      </w:r>
      <w:r>
        <w:rPr>
          <w:rFonts w:ascii="Arial"/>
          <w:color w:val="000000"/>
          <w:sz w:val="22"/>
        </w:rPr>
        <w:t>include:</w:t>
      </w:r>
      <w:r>
        <w:rPr>
          <w:rFonts w:ascii="Arial"/>
          <w:color w:val="000000"/>
          <w:sz w:val="22"/>
        </w:rPr>
        <w:t xml:space="preserve"> misunderstanding the applicable law; asking the wrong question; exceeding the bounds of reasonableness; identifying a wrong issue; ignoring relevant material; relying on irrelevant material; in some cases, making an erroneous finding or reaching a mistaken conclusion; or failing to observe some applicable requirement of procedural fairness.”</w:t>
      </w:r>
    </w:p>
    <w:p>
      <w:pPr>
        <w:pStyle w:val="CaselawNumbered10"/>
        <w:numPr>
          <w:ilvl w:val="0"/>
          <w:numId w:val="51"/>
        </w:numPr>
        <w:spacing w:before="150" w:after="0"/>
        <w:ind w:left="600" w:hanging="600"/>
      </w:pPr>
      <w:r>
        <w:rPr>
          <w:rFonts w:ascii="Arial"/>
          <w:color w:val="000000"/>
          <w:sz w:val="24"/>
        </w:rPr>
        <w:t xml:space="preserve">Mr </w:t>
      </w:r>
      <w:r>
        <w:rPr>
          <w:rFonts w:ascii="Arial"/>
          <w:color w:val="000000"/>
          <w:sz w:val="24"/>
        </w:rPr>
        <w:t>Lahoud</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 xml:space="preserve">ground 2 </w:t>
      </w:r>
      <w:r>
        <w:rPr>
          <w:rFonts w:ascii="Arial"/>
          <w:color w:val="000000"/>
          <w:sz w:val="24"/>
        </w:rPr>
        <w:t xml:space="preserve">of the judicial review summons </w:t>
      </w:r>
      <w:r>
        <w:rPr>
          <w:rFonts w:ascii="Arial"/>
          <w:color w:val="000000"/>
          <w:sz w:val="24"/>
        </w:rPr>
        <w:t>sought to challenge the Panel</w:t>
      </w:r>
      <w:r>
        <w:rPr>
          <w:rFonts w:ascii="Arial"/>
          <w:color w:val="000000"/>
          <w:sz w:val="24"/>
        </w:rPr>
        <w:t>’</w:t>
      </w:r>
      <w:r>
        <w:rPr>
          <w:rFonts w:ascii="Arial"/>
          <w:color w:val="000000"/>
          <w:sz w:val="24"/>
        </w:rPr>
        <w:t xml:space="preserve">s decision that it was satisfied that the building will have an active street </w:t>
      </w:r>
      <w:r>
        <w:rPr>
          <w:rFonts w:ascii="Arial"/>
          <w:color w:val="000000"/>
          <w:sz w:val="24"/>
        </w:rPr>
        <w:t xml:space="preserve">frontage for misunderstanding the statutory description of active street frontage in cl 6.7(5), asking the wrong question, identifying a wrong </w:t>
      </w:r>
      <w:r>
        <w:rPr>
          <w:rFonts w:ascii="Arial"/>
          <w:color w:val="000000"/>
          <w:sz w:val="24"/>
        </w:rPr>
        <w:t>issue</w:t>
      </w:r>
      <w:r>
        <w:rPr>
          <w:rFonts w:ascii="Arial"/>
          <w:color w:val="000000"/>
          <w:sz w:val="24"/>
        </w:rPr>
        <w:t xml:space="preserve"> </w:t>
      </w:r>
      <w:r>
        <w:rPr>
          <w:rFonts w:ascii="Arial"/>
          <w:color w:val="000000"/>
          <w:sz w:val="24"/>
        </w:rPr>
        <w:t>and exceeding the bounds of reasonableness: see the primary judge</w:t>
      </w:r>
      <w:r>
        <w:rPr>
          <w:rFonts w:ascii="Arial"/>
          <w:color w:val="000000"/>
          <w:sz w:val="24"/>
        </w:rPr>
        <w:t>’</w:t>
      </w:r>
      <w:r>
        <w:rPr>
          <w:rFonts w:ascii="Arial"/>
          <w:color w:val="000000"/>
          <w:sz w:val="24"/>
        </w:rPr>
        <w:t xml:space="preserve">s extract of ground 2 in [156] of the judgment. </w:t>
      </w:r>
    </w:p>
    <w:p>
      <w:pPr>
        <w:pStyle w:val="CaselawNumbered10"/>
        <w:numPr>
          <w:ilvl w:val="0"/>
          <w:numId w:val="51"/>
        </w:numPr>
        <w:spacing w:before="150" w:after="0"/>
        <w:ind w:left="600" w:hanging="600"/>
      </w:pPr>
      <w:r>
        <w:rPr>
          <w:rFonts w:ascii="Arial"/>
          <w:color w:val="000000"/>
          <w:sz w:val="24"/>
        </w:rPr>
        <w:t xml:space="preserve">The primary judge nevertheless appears to have upheld ground 2 </w:t>
      </w:r>
      <w:r>
        <w:rPr>
          <w:rFonts w:ascii="Arial"/>
          <w:color w:val="000000"/>
          <w:sz w:val="24"/>
        </w:rPr>
        <w:t>for the reason</w:t>
      </w:r>
      <w:r>
        <w:rPr>
          <w:rFonts w:ascii="Arial"/>
          <w:color w:val="000000"/>
          <w:sz w:val="24"/>
        </w:rPr>
        <w:t xml:space="preserve"> </w:t>
      </w:r>
      <w:r>
        <w:rPr>
          <w:rFonts w:ascii="Arial"/>
          <w:color w:val="000000"/>
          <w:sz w:val="24"/>
        </w:rPr>
        <w:t>that</w:t>
      </w:r>
      <w:r>
        <w:rPr>
          <w:rFonts w:ascii="Arial"/>
          <w:color w:val="000000"/>
          <w:sz w:val="24"/>
        </w:rPr>
        <w:t xml:space="preserve"> </w:t>
      </w:r>
      <w:r>
        <w:rPr>
          <w:rFonts w:ascii="Arial"/>
          <w:color w:val="000000"/>
          <w:sz w:val="24"/>
        </w:rPr>
        <w:t>“</w:t>
      </w:r>
      <w:r>
        <w:rPr>
          <w:rFonts w:ascii="Arial"/>
          <w:color w:val="000000"/>
          <w:sz w:val="24"/>
        </w:rPr>
        <w:t xml:space="preserve">there is no proper basis in fact on any rational construction of the wording of </w:t>
      </w:r>
      <w:r>
        <w:rPr>
          <w:rFonts w:ascii="Arial"/>
          <w:color w:val="000000"/>
          <w:sz w:val="24"/>
        </w:rPr>
        <w:t>the</w:t>
      </w:r>
      <w:r>
        <w:rPr>
          <w:rFonts w:ascii="Arial"/>
          <w:color w:val="000000"/>
          <w:sz w:val="24"/>
        </w:rPr>
        <w:t xml:space="preserve"> </w:t>
      </w:r>
      <w:r>
        <w:rPr>
          <w:rFonts w:ascii="Arial"/>
          <w:color w:val="000000"/>
          <w:sz w:val="24"/>
        </w:rPr>
        <w:t>clause that could have led the Planning Panel to have concluded that it was satisfied.</w:t>
      </w:r>
      <w:r>
        <w:rPr>
          <w:rFonts w:ascii="Arial"/>
          <w:color w:val="000000"/>
          <w:sz w:val="24"/>
        </w:rPr>
        <w:t xml:space="preserve">” </w:t>
      </w:r>
      <w:r>
        <w:rPr>
          <w:rFonts w:ascii="Arial"/>
          <w:color w:val="000000"/>
          <w:sz w:val="24"/>
        </w:rPr>
        <w:t>(</w:t>
      </w:r>
      <w:r>
        <w:rPr>
          <w:rFonts w:ascii="Arial"/>
          <w:color w:val="000000"/>
          <w:sz w:val="24"/>
        </w:rPr>
        <w:t>at</w:t>
      </w:r>
      <w:r>
        <w:rPr>
          <w:rFonts w:ascii="Arial"/>
          <w:color w:val="000000"/>
          <w:sz w:val="24"/>
        </w:rPr>
        <w:t xml:space="preserve"> </w:t>
      </w:r>
      <w:r>
        <w:rPr>
          <w:rFonts w:ascii="Arial"/>
          <w:color w:val="000000"/>
          <w:sz w:val="24"/>
        </w:rPr>
        <w:t>[186]).</w:t>
      </w:r>
      <w:r>
        <w:rPr>
          <w:rFonts w:ascii="Arial"/>
          <w:color w:val="000000"/>
          <w:sz w:val="24"/>
        </w:rPr>
        <w:t xml:space="preserve"> </w:t>
      </w:r>
      <w:r>
        <w:rPr>
          <w:rFonts w:ascii="Arial"/>
          <w:color w:val="000000"/>
          <w:sz w:val="24"/>
        </w:rPr>
        <w:t xml:space="preserve">The primary judge did not explain what he believed to be </w:t>
      </w:r>
      <w:r>
        <w:rPr>
          <w:rFonts w:ascii="Arial"/>
          <w:color w:val="000000"/>
          <w:sz w:val="24"/>
        </w:rPr>
        <w:t>“</w:t>
      </w:r>
      <w:r>
        <w:rPr>
          <w:rFonts w:ascii="Arial"/>
          <w:color w:val="000000"/>
          <w:sz w:val="24"/>
        </w:rPr>
        <w:t>any rational construction of the wording of the clause</w:t>
      </w:r>
      <w:r>
        <w:rPr>
          <w:rFonts w:ascii="Arial"/>
          <w:color w:val="000000"/>
          <w:sz w:val="24"/>
        </w:rPr>
        <w:t xml:space="preserve">” </w:t>
      </w:r>
      <w:r>
        <w:rPr>
          <w:rFonts w:ascii="Arial"/>
          <w:color w:val="000000"/>
          <w:sz w:val="24"/>
        </w:rPr>
        <w:t>or whether he believed the Panel had construed the clause differently to whatever this construction of the wording of the clause might be.</w:t>
      </w:r>
      <w:r>
        <w:rPr>
          <w:rFonts w:ascii="Arial"/>
          <w:color w:val="000000"/>
          <w:sz w:val="24"/>
        </w:rPr>
        <w:t xml:space="preserve"> </w:t>
      </w:r>
      <w:r>
        <w:rPr>
          <w:rFonts w:ascii="Arial"/>
          <w:color w:val="000000"/>
          <w:sz w:val="24"/>
        </w:rPr>
        <w:t xml:space="preserve">The primary judge also did not explain why he found there to be </w:t>
      </w:r>
      <w:r>
        <w:rPr>
          <w:rFonts w:ascii="Arial"/>
          <w:color w:val="000000"/>
          <w:sz w:val="24"/>
        </w:rPr>
        <w:t>“</w:t>
      </w:r>
      <w:r>
        <w:rPr>
          <w:rFonts w:ascii="Arial"/>
          <w:color w:val="000000"/>
          <w:sz w:val="24"/>
        </w:rPr>
        <w:t>no proper basis in fact</w:t>
      </w:r>
      <w:r>
        <w:rPr>
          <w:rFonts w:ascii="Arial"/>
          <w:color w:val="000000"/>
          <w:sz w:val="24"/>
        </w:rPr>
        <w:t xml:space="preserve">” </w:t>
      </w:r>
      <w:r>
        <w:rPr>
          <w:rFonts w:ascii="Arial"/>
          <w:color w:val="000000"/>
          <w:sz w:val="24"/>
        </w:rPr>
        <w:t xml:space="preserve">in the material before the Panel for it to conclude that it was satisfied that the building will have an active street frontage. </w:t>
      </w:r>
    </w:p>
    <w:p>
      <w:pPr>
        <w:pStyle w:val="CaselawNumbered10"/>
        <w:numPr>
          <w:ilvl w:val="0"/>
          <w:numId w:val="51"/>
        </w:numPr>
        <w:spacing w:before="150" w:after="0"/>
        <w:ind w:left="600" w:hanging="600"/>
      </w:pPr>
      <w:r>
        <w:rPr>
          <w:rFonts w:ascii="Arial"/>
          <w:color w:val="000000"/>
          <w:sz w:val="24"/>
        </w:rPr>
        <w:t>The Panel</w:t>
      </w:r>
      <w:r>
        <w:rPr>
          <w:rFonts w:ascii="Arial"/>
          <w:color w:val="000000"/>
          <w:sz w:val="24"/>
        </w:rPr>
        <w:t>’</w:t>
      </w:r>
      <w:r>
        <w:rPr>
          <w:rFonts w:ascii="Arial"/>
          <w:color w:val="000000"/>
          <w:sz w:val="24"/>
        </w:rPr>
        <w:t xml:space="preserve">s decision could not be reviewed for merely being wrong in fact. If the material before the Panel reasonably admitted of different conclusions as to whether the building as proposed to be redeveloped fell within or without the statutory description of </w:t>
      </w:r>
      <w:r>
        <w:rPr>
          <w:rFonts w:ascii="Arial"/>
          <w:color w:val="000000"/>
          <w:sz w:val="24"/>
        </w:rPr>
        <w:t>“</w:t>
      </w:r>
      <w:r>
        <w:rPr>
          <w:rFonts w:ascii="Arial"/>
          <w:color w:val="000000"/>
          <w:sz w:val="24"/>
        </w:rPr>
        <w:t>active street frontage</w:t>
      </w:r>
      <w:r>
        <w:rPr>
          <w:rFonts w:ascii="Arial"/>
          <w:color w:val="000000"/>
          <w:sz w:val="24"/>
        </w:rPr>
        <w:t xml:space="preserve">” </w:t>
      </w:r>
      <w:r>
        <w:rPr>
          <w:rFonts w:ascii="Arial"/>
          <w:color w:val="000000"/>
          <w:sz w:val="24"/>
        </w:rPr>
        <w:t xml:space="preserve">in cl 6.7(5), a decision either way by the Panel could not </w:t>
      </w:r>
      <w:r>
        <w:rPr>
          <w:rFonts w:ascii="Arial"/>
          <w:color w:val="000000"/>
          <w:sz w:val="24"/>
        </w:rPr>
        <w:t xml:space="preserve">be </w:t>
      </w:r>
      <w:r>
        <w:rPr>
          <w:rFonts w:ascii="Arial"/>
          <w:color w:val="000000"/>
          <w:sz w:val="24"/>
        </w:rPr>
        <w:t>disturbed</w:t>
      </w:r>
      <w:r>
        <w:rPr>
          <w:rFonts w:ascii="Arial"/>
          <w:color w:val="000000"/>
          <w:sz w:val="24"/>
        </w:rPr>
        <w:t xml:space="preserve"> </w:t>
      </w:r>
      <w:r>
        <w:rPr>
          <w:rFonts w:ascii="Arial"/>
          <w:color w:val="000000"/>
          <w:sz w:val="24"/>
        </w:rPr>
        <w:t xml:space="preserve">for </w:t>
      </w:r>
      <w:r>
        <w:rPr>
          <w:rFonts w:ascii="Arial"/>
          <w:color w:val="000000"/>
          <w:sz w:val="24"/>
        </w:rPr>
        <w:t xml:space="preserve">merely being wrong in fact: </w:t>
      </w:r>
      <w:r>
        <w:rPr>
          <w:rFonts w:ascii="Arial"/>
          <w:i/>
          <w:color w:val="000000"/>
          <w:sz w:val="24"/>
        </w:rPr>
        <w:t xml:space="preserve">Australian Gas </w:t>
      </w:r>
      <w:r>
        <w:rPr>
          <w:rFonts w:ascii="Arial"/>
          <w:i/>
          <w:color w:val="000000"/>
          <w:sz w:val="24"/>
        </w:rPr>
        <w:t>Light</w:t>
      </w:r>
      <w:r>
        <w:rPr>
          <w:rFonts w:ascii="Arial"/>
          <w:i/>
          <w:color w:val="000000"/>
          <w:sz w:val="24"/>
        </w:rPr>
        <w:t xml:space="preserve"> </w:t>
      </w:r>
      <w:r>
        <w:rPr>
          <w:rFonts w:ascii="Arial"/>
          <w:i/>
          <w:color w:val="000000"/>
          <w:sz w:val="24"/>
        </w:rPr>
        <w:t>Co v Valuer</w:t>
      </w:r>
      <w:r>
        <w:rPr>
          <w:rFonts w:ascii="Arial"/>
          <w:i/>
          <w:color w:val="000000"/>
          <w:sz w:val="24"/>
        </w:rPr>
        <w:t>-</w:t>
      </w:r>
      <w:r>
        <w:rPr>
          <w:rFonts w:ascii="Arial"/>
          <w:i/>
          <w:color w:val="000000"/>
          <w:sz w:val="24"/>
        </w:rPr>
        <w:t>General</w:t>
      </w:r>
      <w:r>
        <w:rPr>
          <w:rFonts w:ascii="Arial"/>
          <w:color w:val="000000"/>
          <w:sz w:val="24"/>
        </w:rPr>
        <w:t xml:space="preserve"> </w:t>
      </w:r>
      <w:r>
        <w:rPr>
          <w:rFonts w:ascii="Arial"/>
          <w:color w:val="000000"/>
          <w:sz w:val="24"/>
        </w:rPr>
        <w:t xml:space="preserve">(1940) 40 SR (NSW) 126 at 138; </w:t>
      </w:r>
      <w:r>
        <w:rPr>
          <w:rFonts w:ascii="Arial"/>
          <w:i/>
          <w:color w:val="000000"/>
          <w:sz w:val="24"/>
        </w:rPr>
        <w:t>NSW</w:t>
      </w:r>
      <w:r>
        <w:rPr>
          <w:rFonts w:ascii="Arial"/>
          <w:i/>
          <w:color w:val="000000"/>
          <w:sz w:val="24"/>
        </w:rPr>
        <w:t xml:space="preserve"> Associated Blue-Metal Quarries Ltd v Federal Commissioner of Taxation</w:t>
      </w:r>
      <w:r>
        <w:rPr>
          <w:rFonts w:ascii="Arial"/>
          <w:color w:val="000000"/>
          <w:sz w:val="24"/>
        </w:rPr>
        <w:t xml:space="preserve"> </w:t>
      </w:r>
      <w:r>
        <w:rPr>
          <w:rFonts w:ascii="Arial"/>
          <w:color w:val="000000"/>
          <w:sz w:val="24"/>
        </w:rPr>
        <w:t xml:space="preserve">(1956) 94 CLR </w:t>
      </w:r>
      <w:r>
        <w:rPr>
          <w:rFonts w:ascii="Arial"/>
          <w:color w:val="000000"/>
          <w:sz w:val="24"/>
        </w:rPr>
        <w:t>509</w:t>
      </w:r>
      <w:r>
        <w:rPr>
          <w:rFonts w:ascii="Arial"/>
          <w:color w:val="000000"/>
          <w:sz w:val="24"/>
        </w:rPr>
        <w:t xml:space="preserve"> </w:t>
      </w:r>
      <w:r>
        <w:rPr>
          <w:rFonts w:ascii="Arial"/>
          <w:color w:val="000000"/>
          <w:sz w:val="24"/>
        </w:rPr>
        <w:t xml:space="preserve">at 512; </w:t>
      </w:r>
      <w:r>
        <w:rPr>
          <w:rFonts w:ascii="Arial"/>
          <w:i/>
          <w:color w:val="000000"/>
          <w:sz w:val="24"/>
        </w:rPr>
        <w:t>Hope v Bathurst City Council</w:t>
      </w:r>
      <w:r>
        <w:rPr>
          <w:rFonts w:ascii="Arial"/>
          <w:color w:val="000000"/>
          <w:sz w:val="24"/>
        </w:rPr>
        <w:t xml:space="preserve"> </w:t>
      </w:r>
      <w:r>
        <w:rPr>
          <w:rFonts w:ascii="Arial"/>
          <w:color w:val="000000"/>
          <w:sz w:val="24"/>
        </w:rPr>
        <w:t>(1980) 144 CLR 1 at 8.</w:t>
      </w:r>
    </w:p>
    <w:p>
      <w:pPr>
        <w:pStyle w:val="CaselawNumbered10"/>
        <w:numPr>
          <w:ilvl w:val="0"/>
          <w:numId w:val="51"/>
        </w:numPr>
        <w:spacing w:before="150" w:after="0"/>
        <w:ind w:left="600" w:hanging="600"/>
      </w:pPr>
      <w:r>
        <w:rPr>
          <w:rFonts w:ascii="Arial"/>
          <w:color w:val="000000"/>
          <w:sz w:val="24"/>
        </w:rPr>
        <w:t xml:space="preserve">In this case, the Active Street Frontages Map, referred to in cl 6.7(2), identified Sailors Bay Road and Harden Avenue, </w:t>
      </w:r>
      <w:r>
        <w:rPr>
          <w:rFonts w:ascii="Arial"/>
          <w:color w:val="000000"/>
          <w:sz w:val="24"/>
        </w:rPr>
        <w:t xml:space="preserve">but not Timms Lane, as being streets requiring an active street frontage. As a consequence, for the purposes of the statutory description of </w:t>
      </w:r>
      <w:r>
        <w:rPr>
          <w:rFonts w:ascii="Arial"/>
          <w:color w:val="000000"/>
          <w:sz w:val="24"/>
        </w:rPr>
        <w:t>“</w:t>
      </w:r>
      <w:r>
        <w:rPr>
          <w:rFonts w:ascii="Arial"/>
          <w:color w:val="000000"/>
          <w:sz w:val="24"/>
        </w:rPr>
        <w:t>active street frontage</w:t>
      </w:r>
      <w:r>
        <w:rPr>
          <w:rFonts w:ascii="Arial"/>
          <w:color w:val="000000"/>
          <w:sz w:val="24"/>
        </w:rPr>
        <w:t xml:space="preserve">” </w:t>
      </w:r>
      <w:r>
        <w:rPr>
          <w:rFonts w:ascii="Arial"/>
          <w:color w:val="000000"/>
          <w:sz w:val="24"/>
        </w:rPr>
        <w:t>in cl 6.7(5), the relevant inquir</w:t>
      </w:r>
      <w:r>
        <w:rPr>
          <w:rFonts w:ascii="Arial"/>
          <w:color w:val="000000"/>
          <w:sz w:val="24"/>
        </w:rPr>
        <w:t>y</w:t>
      </w:r>
      <w:r>
        <w:rPr>
          <w:rFonts w:ascii="Arial"/>
          <w:color w:val="000000"/>
          <w:sz w:val="24"/>
        </w:rPr>
        <w:t xml:space="preserve"> </w:t>
      </w:r>
      <w:r>
        <w:rPr>
          <w:rFonts w:ascii="Arial"/>
          <w:color w:val="000000"/>
          <w:sz w:val="24"/>
        </w:rPr>
        <w:t xml:space="preserve">concerned the premises on the ground floor of the building </w:t>
      </w:r>
      <w:r>
        <w:rPr>
          <w:rFonts w:ascii="Arial"/>
          <w:color w:val="000000"/>
          <w:sz w:val="24"/>
        </w:rPr>
        <w:t>“</w:t>
      </w:r>
      <w:r>
        <w:rPr>
          <w:rFonts w:ascii="Arial"/>
          <w:color w:val="000000"/>
          <w:sz w:val="24"/>
        </w:rPr>
        <w:t>facing</w:t>
      </w:r>
      <w:r>
        <w:rPr>
          <w:rFonts w:ascii="Arial"/>
          <w:color w:val="000000"/>
          <w:sz w:val="24"/>
        </w:rPr>
        <w:t xml:space="preserve">” </w:t>
      </w:r>
      <w:r>
        <w:rPr>
          <w:rFonts w:ascii="Arial"/>
          <w:color w:val="000000"/>
          <w:sz w:val="24"/>
        </w:rPr>
        <w:t>one o</w:t>
      </w:r>
      <w:r>
        <w:rPr>
          <w:rFonts w:ascii="Arial"/>
          <w:color w:val="000000"/>
          <w:sz w:val="24"/>
        </w:rPr>
        <w:t>r</w:t>
      </w:r>
      <w:r>
        <w:rPr>
          <w:rFonts w:ascii="Arial"/>
          <w:color w:val="000000"/>
          <w:sz w:val="24"/>
        </w:rPr>
        <w:t xml:space="preserve"> </w:t>
      </w:r>
      <w:r>
        <w:rPr>
          <w:rFonts w:ascii="Arial"/>
          <w:color w:val="000000"/>
          <w:sz w:val="24"/>
        </w:rPr>
        <w:t xml:space="preserve">other or both of Sailors Bay Road </w:t>
      </w:r>
      <w:r>
        <w:rPr>
          <w:rFonts w:ascii="Arial"/>
          <w:color w:val="000000"/>
          <w:sz w:val="24"/>
        </w:rPr>
        <w:t>or</w:t>
      </w:r>
      <w:r>
        <w:rPr>
          <w:rFonts w:ascii="Arial"/>
          <w:color w:val="000000"/>
          <w:sz w:val="24"/>
        </w:rPr>
        <w:t xml:space="preserve"> </w:t>
      </w:r>
      <w:r>
        <w:rPr>
          <w:rFonts w:ascii="Arial"/>
          <w:color w:val="000000"/>
          <w:sz w:val="24"/>
        </w:rPr>
        <w:t>Harden Avenue. All premises on the ground floor of the building facing Sailors Bay Road or Harden Avenue</w:t>
      </w:r>
      <w:r>
        <w:rPr>
          <w:rFonts w:ascii="Arial"/>
          <w:color w:val="000000"/>
          <w:sz w:val="24"/>
        </w:rPr>
        <w:t xml:space="preserve"> </w:t>
      </w:r>
      <w:r>
        <w:rPr>
          <w:rFonts w:ascii="Arial"/>
          <w:color w:val="000000"/>
          <w:sz w:val="24"/>
        </w:rPr>
        <w:t>w</w:t>
      </w:r>
      <w:r>
        <w:rPr>
          <w:rFonts w:ascii="Arial"/>
          <w:color w:val="000000"/>
          <w:sz w:val="24"/>
        </w:rPr>
        <w:t>ere to be used for the purposes of business premises or retail premises.</w:t>
      </w:r>
    </w:p>
    <w:p>
      <w:pPr>
        <w:pStyle w:val="CaselawNumbered10"/>
        <w:numPr>
          <w:ilvl w:val="0"/>
          <w:numId w:val="51"/>
        </w:numPr>
        <w:spacing w:before="150" w:after="0"/>
        <w:ind w:left="600" w:hanging="600"/>
      </w:pPr>
      <w:r>
        <w:rPr>
          <w:rFonts w:ascii="Arial"/>
          <w:color w:val="000000"/>
          <w:sz w:val="24"/>
        </w:rPr>
        <w:t xml:space="preserve">The Panel found, on </w:t>
      </w:r>
      <w:r>
        <w:rPr>
          <w:rFonts w:ascii="Arial"/>
          <w:color w:val="000000"/>
          <w:sz w:val="24"/>
        </w:rPr>
        <w:t xml:space="preserve">the material </w:t>
      </w:r>
      <w:r>
        <w:rPr>
          <w:rFonts w:ascii="Arial"/>
          <w:color w:val="000000"/>
          <w:sz w:val="24"/>
        </w:rPr>
        <w:t>before it</w:t>
      </w:r>
      <w:r>
        <w:rPr>
          <w:rFonts w:ascii="Arial"/>
          <w:color w:val="000000"/>
          <w:sz w:val="24"/>
        </w:rPr>
        <w:t>,</w:t>
      </w:r>
      <w:r>
        <w:rPr>
          <w:rFonts w:ascii="Arial"/>
          <w:color w:val="000000"/>
          <w:sz w:val="24"/>
        </w:rPr>
        <w:t xml:space="preserve"> </w:t>
      </w:r>
      <w:r>
        <w:rPr>
          <w:rFonts w:ascii="Arial"/>
          <w:color w:val="000000"/>
          <w:sz w:val="24"/>
        </w:rPr>
        <w:t xml:space="preserve">that of the three premises on the ground floor of the building, two premises faced Sailors Bay Road or Harden Avenue, being the two proposed business premises, and one faced Timms Lane, being the existing carpark. The Panel found that as the existing carpark only had access off Timms Lane, and no access off Harden Avenue, the carpark was not </w:t>
      </w:r>
      <w:r>
        <w:rPr>
          <w:rFonts w:ascii="Arial"/>
          <w:color w:val="000000"/>
          <w:sz w:val="24"/>
        </w:rPr>
        <w:t>“</w:t>
      </w:r>
      <w:r>
        <w:rPr>
          <w:rFonts w:ascii="Arial"/>
          <w:color w:val="000000"/>
          <w:sz w:val="24"/>
        </w:rPr>
        <w:t>premises on the ground floor of the building facing</w:t>
      </w:r>
      <w:r>
        <w:rPr>
          <w:rFonts w:ascii="Arial"/>
          <w:color w:val="000000"/>
          <w:sz w:val="24"/>
        </w:rPr>
        <w:t xml:space="preserve">” </w:t>
      </w:r>
      <w:r>
        <w:rPr>
          <w:rFonts w:ascii="Arial"/>
          <w:color w:val="000000"/>
          <w:sz w:val="24"/>
        </w:rPr>
        <w:t>a street that required an active street frontage, being either Sailors Bay Road or Harden Avenue.</w:t>
      </w:r>
    </w:p>
    <w:p>
      <w:pPr>
        <w:pStyle w:val="CaselawNumbered10"/>
        <w:numPr>
          <w:ilvl w:val="0"/>
          <w:numId w:val="51"/>
        </w:numPr>
        <w:spacing w:before="150" w:after="0"/>
        <w:ind w:left="600" w:hanging="600"/>
      </w:pPr>
      <w:r>
        <w:rPr>
          <w:rFonts w:ascii="Arial"/>
          <w:color w:val="000000"/>
          <w:sz w:val="24"/>
        </w:rPr>
        <w:t xml:space="preserve">As a consequence, the Panel found that the proposed building fell within the statutory description in cl 6.7(5) of having an </w:t>
      </w:r>
      <w:r>
        <w:rPr>
          <w:rFonts w:ascii="Arial"/>
          <w:color w:val="000000"/>
          <w:sz w:val="24"/>
        </w:rPr>
        <w:t>“</w:t>
      </w:r>
      <w:r>
        <w:rPr>
          <w:rFonts w:ascii="Arial"/>
          <w:color w:val="000000"/>
          <w:sz w:val="24"/>
        </w:rPr>
        <w:t>active street frontage</w:t>
      </w:r>
      <w:r>
        <w:rPr>
          <w:rFonts w:ascii="Arial"/>
          <w:color w:val="000000"/>
          <w:sz w:val="24"/>
        </w:rPr>
        <w:t xml:space="preserve">” </w:t>
      </w:r>
      <w:r>
        <w:rPr>
          <w:rFonts w:ascii="Arial"/>
          <w:color w:val="000000"/>
          <w:sz w:val="24"/>
        </w:rPr>
        <w:t xml:space="preserve">because all of the premises on the ground floor of the building facing Sailors Bay Road or Harden Avenue, being the </w:t>
      </w:r>
      <w:r>
        <w:rPr>
          <w:rFonts w:ascii="Arial"/>
          <w:color w:val="000000"/>
          <w:sz w:val="24"/>
        </w:rPr>
        <w:t>two business</w:t>
      </w:r>
      <w:r>
        <w:rPr>
          <w:rFonts w:ascii="Arial"/>
          <w:color w:val="000000"/>
          <w:sz w:val="24"/>
        </w:rPr>
        <w:t xml:space="preserve"> </w:t>
      </w:r>
      <w:r>
        <w:rPr>
          <w:rFonts w:ascii="Arial"/>
          <w:color w:val="000000"/>
          <w:sz w:val="24"/>
        </w:rPr>
        <w:t xml:space="preserve">premises, will be used for the purposes of business premises. As the Panel was satisfied that the building will have an active street frontage after the change of use of the ground floor of the building, the Panel was </w:t>
      </w:r>
      <w:r>
        <w:rPr>
          <w:rFonts w:ascii="Arial"/>
          <w:color w:val="000000"/>
          <w:sz w:val="24"/>
        </w:rPr>
        <w:t>not precluded by</w:t>
      </w:r>
      <w:r>
        <w:rPr>
          <w:rFonts w:ascii="Arial"/>
          <w:color w:val="000000"/>
          <w:sz w:val="24"/>
        </w:rPr>
        <w:t xml:space="preserve"> </w:t>
      </w:r>
      <w:r>
        <w:rPr>
          <w:rFonts w:ascii="Arial"/>
          <w:color w:val="000000"/>
          <w:sz w:val="24"/>
        </w:rPr>
        <w:t xml:space="preserve">cl 6.7(3) </w:t>
      </w:r>
      <w:r>
        <w:rPr>
          <w:rFonts w:ascii="Arial"/>
          <w:color w:val="000000"/>
          <w:sz w:val="24"/>
        </w:rPr>
        <w:t>from</w:t>
      </w:r>
      <w:r>
        <w:rPr>
          <w:rFonts w:ascii="Arial"/>
          <w:color w:val="000000"/>
          <w:sz w:val="24"/>
        </w:rPr>
        <w:t xml:space="preserve"> </w:t>
      </w:r>
      <w:r>
        <w:rPr>
          <w:rFonts w:ascii="Arial"/>
          <w:color w:val="000000"/>
          <w:sz w:val="24"/>
        </w:rPr>
        <w:t>grant</w:t>
      </w:r>
      <w:r>
        <w:rPr>
          <w:rFonts w:ascii="Arial"/>
          <w:color w:val="000000"/>
          <w:sz w:val="24"/>
        </w:rPr>
        <w:t>ing</w:t>
      </w:r>
      <w:r>
        <w:rPr>
          <w:rFonts w:ascii="Arial"/>
          <w:color w:val="000000"/>
          <w:sz w:val="24"/>
        </w:rPr>
        <w:t xml:space="preserve"> </w:t>
      </w:r>
      <w:r>
        <w:rPr>
          <w:rFonts w:ascii="Arial"/>
          <w:color w:val="000000"/>
          <w:sz w:val="24"/>
        </w:rPr>
        <w:t>consent to the change of use of the building.</w:t>
      </w:r>
    </w:p>
    <w:p>
      <w:pPr>
        <w:pStyle w:val="CaselawNumbered10"/>
        <w:numPr>
          <w:ilvl w:val="0"/>
          <w:numId w:val="51"/>
        </w:numPr>
        <w:spacing w:before="150" w:after="0"/>
        <w:ind w:left="600" w:hanging="600"/>
      </w:pPr>
      <w:r>
        <w:rPr>
          <w:rFonts w:ascii="Arial"/>
          <w:color w:val="000000"/>
          <w:sz w:val="24"/>
        </w:rPr>
        <w:t>The Panel</w:t>
      </w:r>
      <w:r>
        <w:rPr>
          <w:rFonts w:ascii="Arial"/>
          <w:color w:val="000000"/>
          <w:sz w:val="24"/>
        </w:rPr>
        <w:t>’</w:t>
      </w:r>
      <w:r>
        <w:rPr>
          <w:rFonts w:ascii="Arial"/>
          <w:color w:val="000000"/>
          <w:sz w:val="24"/>
        </w:rPr>
        <w:t xml:space="preserve">s finding that the facts concerning the business </w:t>
      </w:r>
      <w:r>
        <w:rPr>
          <w:rFonts w:ascii="Arial"/>
          <w:color w:val="000000"/>
          <w:sz w:val="24"/>
        </w:rPr>
        <w:t>premises</w:t>
      </w:r>
      <w:r>
        <w:rPr>
          <w:rFonts w:ascii="Arial"/>
          <w:color w:val="000000"/>
          <w:sz w:val="24"/>
        </w:rPr>
        <w:t xml:space="preserve">’ </w:t>
      </w:r>
      <w:r>
        <w:rPr>
          <w:rFonts w:ascii="Arial"/>
          <w:color w:val="000000"/>
          <w:sz w:val="24"/>
        </w:rPr>
        <w:t>access to, but the carpark</w:t>
      </w:r>
      <w:r>
        <w:rPr>
          <w:rFonts w:ascii="Arial"/>
          <w:color w:val="000000"/>
          <w:sz w:val="24"/>
        </w:rPr>
        <w:t>’</w:t>
      </w:r>
      <w:r>
        <w:rPr>
          <w:rFonts w:ascii="Arial"/>
          <w:color w:val="000000"/>
          <w:sz w:val="24"/>
        </w:rPr>
        <w:t>s lack of access to, Sailors Bay Road or Harden Avenue, caused the building</w:t>
      </w:r>
      <w:r>
        <w:rPr>
          <w:rFonts w:ascii="Arial"/>
          <w:color w:val="000000"/>
          <w:sz w:val="24"/>
        </w:rPr>
        <w:t xml:space="preserve"> </w:t>
      </w:r>
      <w:r>
        <w:rPr>
          <w:rFonts w:ascii="Arial"/>
          <w:color w:val="000000"/>
          <w:sz w:val="24"/>
        </w:rPr>
        <w:t>to</w:t>
      </w:r>
      <w:r>
        <w:rPr>
          <w:rFonts w:ascii="Arial"/>
          <w:color w:val="000000"/>
          <w:sz w:val="24"/>
        </w:rPr>
        <w:t xml:space="preserve"> </w:t>
      </w:r>
      <w:r>
        <w:rPr>
          <w:rFonts w:ascii="Arial"/>
          <w:color w:val="000000"/>
          <w:sz w:val="24"/>
        </w:rPr>
        <w:t xml:space="preserve">fall within the statutory description in cl 6.7(5) of being a building that has an active street frontage was reasonably open to the Panel. The facts inferred by the Panel concerning access to the street </w:t>
      </w:r>
      <w:r>
        <w:rPr>
          <w:rFonts w:ascii="Arial"/>
          <w:color w:val="000000"/>
          <w:sz w:val="24"/>
        </w:rPr>
        <w:t>were capable of supporting</w:t>
      </w:r>
      <w:r>
        <w:rPr>
          <w:rFonts w:ascii="Arial"/>
          <w:color w:val="000000"/>
          <w:sz w:val="24"/>
        </w:rPr>
        <w:t xml:space="preserve"> </w:t>
      </w:r>
      <w:r>
        <w:rPr>
          <w:rFonts w:ascii="Arial"/>
          <w:color w:val="000000"/>
          <w:sz w:val="24"/>
        </w:rPr>
        <w:t>the Panel</w:t>
      </w:r>
      <w:r>
        <w:rPr>
          <w:rFonts w:ascii="Arial"/>
          <w:color w:val="000000"/>
          <w:sz w:val="24"/>
        </w:rPr>
        <w:t>’</w:t>
      </w:r>
      <w:r>
        <w:rPr>
          <w:rFonts w:ascii="Arial"/>
          <w:color w:val="000000"/>
          <w:sz w:val="24"/>
        </w:rPr>
        <w:t>s finding that the building has an active street frontage and there was evidence capable of supporting the Panel</w:t>
      </w:r>
      <w:r>
        <w:rPr>
          <w:rFonts w:ascii="Arial"/>
          <w:color w:val="000000"/>
          <w:sz w:val="24"/>
        </w:rPr>
        <w:t>’</w:t>
      </w:r>
      <w:r>
        <w:rPr>
          <w:rFonts w:ascii="Arial"/>
          <w:color w:val="000000"/>
          <w:sz w:val="24"/>
        </w:rPr>
        <w:t>s inferences of fact.</w:t>
      </w:r>
    </w:p>
    <w:p>
      <w:pPr>
        <w:pStyle w:val="CaselawNumbered10"/>
        <w:numPr>
          <w:ilvl w:val="0"/>
          <w:numId w:val="51"/>
        </w:numPr>
        <w:spacing w:before="150" w:after="0"/>
        <w:ind w:left="600" w:hanging="600"/>
      </w:pPr>
      <w:r>
        <w:rPr>
          <w:rFonts w:ascii="Arial"/>
          <w:color w:val="000000"/>
          <w:sz w:val="24"/>
        </w:rPr>
        <w:t>The Panel</w:t>
      </w:r>
      <w:r>
        <w:rPr>
          <w:rFonts w:ascii="Arial"/>
          <w:color w:val="000000"/>
          <w:sz w:val="24"/>
        </w:rPr>
        <w:t>’</w:t>
      </w:r>
      <w:r>
        <w:rPr>
          <w:rFonts w:ascii="Arial"/>
          <w:color w:val="000000"/>
          <w:sz w:val="24"/>
        </w:rPr>
        <w:t xml:space="preserve">s finding that the building has an active street frontage did not involve any </w:t>
      </w:r>
      <w:r>
        <w:rPr>
          <w:rFonts w:ascii="Arial"/>
          <w:color w:val="000000"/>
          <w:sz w:val="24"/>
        </w:rPr>
        <w:t>jurisdictional</w:t>
      </w:r>
      <w:r>
        <w:rPr>
          <w:rFonts w:ascii="Arial"/>
          <w:color w:val="000000"/>
          <w:sz w:val="24"/>
        </w:rPr>
        <w:t xml:space="preserve"> </w:t>
      </w:r>
      <w:r>
        <w:rPr>
          <w:rFonts w:ascii="Arial"/>
          <w:color w:val="000000"/>
          <w:sz w:val="24"/>
        </w:rPr>
        <w:t>error. The Panel did not misconstrue cl 6.7(5),</w:t>
      </w:r>
      <w:r>
        <w:rPr>
          <w:rFonts w:ascii="Arial"/>
          <w:color w:val="000000"/>
          <w:sz w:val="24"/>
        </w:rPr>
        <w:t xml:space="preserve"> </w:t>
      </w:r>
      <w:r>
        <w:rPr>
          <w:rFonts w:ascii="Arial"/>
          <w:color w:val="000000"/>
          <w:sz w:val="24"/>
        </w:rPr>
        <w:t xml:space="preserve">ask itself the wrong question or identify a wrong issue. In particular, the Panel did not </w:t>
      </w:r>
      <w:r>
        <w:rPr>
          <w:rFonts w:ascii="Arial"/>
          <w:color w:val="000000"/>
          <w:sz w:val="24"/>
        </w:rPr>
        <w:t xml:space="preserve">misunderstand the ordinary meaning of the words </w:t>
      </w:r>
      <w:r>
        <w:rPr>
          <w:rFonts w:ascii="Arial"/>
          <w:color w:val="000000"/>
          <w:sz w:val="24"/>
        </w:rPr>
        <w:t>“</w:t>
      </w:r>
      <w:r>
        <w:rPr>
          <w:rFonts w:ascii="Arial"/>
          <w:color w:val="000000"/>
          <w:sz w:val="24"/>
        </w:rPr>
        <w:t>facing the street</w:t>
      </w:r>
      <w:r>
        <w:rPr>
          <w:rFonts w:ascii="Arial"/>
          <w:color w:val="000000"/>
          <w:sz w:val="24"/>
        </w:rPr>
        <w:t>”</w:t>
      </w:r>
      <w:r>
        <w:rPr>
          <w:rFonts w:ascii="Arial"/>
          <w:color w:val="000000"/>
          <w:sz w:val="24"/>
        </w:rPr>
        <w:t xml:space="preserve"> </w:t>
      </w:r>
      <w:r>
        <w:rPr>
          <w:rFonts w:ascii="Arial"/>
          <w:color w:val="000000"/>
          <w:sz w:val="24"/>
        </w:rPr>
        <w:t>in s 6.7(5)</w:t>
      </w:r>
      <w:r>
        <w:rPr>
          <w:rFonts w:ascii="Arial"/>
          <w:color w:val="000000"/>
          <w:sz w:val="24"/>
        </w:rPr>
        <w:t xml:space="preserve">. The </w:t>
      </w:r>
      <w:r>
        <w:rPr>
          <w:rFonts w:ascii="Arial"/>
          <w:color w:val="000000"/>
          <w:sz w:val="24"/>
        </w:rPr>
        <w:t>“</w:t>
      </w:r>
      <w:r>
        <w:rPr>
          <w:rFonts w:ascii="Arial"/>
          <w:color w:val="000000"/>
          <w:sz w:val="24"/>
        </w:rPr>
        <w:t>street</w:t>
      </w:r>
      <w:r>
        <w:rPr>
          <w:rFonts w:ascii="Arial"/>
          <w:color w:val="000000"/>
          <w:sz w:val="24"/>
        </w:rPr>
        <w:t xml:space="preserve">” </w:t>
      </w:r>
      <w:r>
        <w:rPr>
          <w:rFonts w:ascii="Arial"/>
          <w:color w:val="000000"/>
          <w:sz w:val="24"/>
        </w:rPr>
        <w:t xml:space="preserve">refers to a street identified in the Active Street Frontages Map, in this case Sailors Bay Road or Harden Avenue, not Timms Lane. </w:t>
      </w:r>
      <w:r>
        <w:rPr>
          <w:rFonts w:ascii="Arial"/>
          <w:color w:val="000000"/>
          <w:sz w:val="24"/>
        </w:rPr>
        <w:t>“</w:t>
      </w:r>
      <w:r>
        <w:rPr>
          <w:rFonts w:ascii="Arial"/>
          <w:color w:val="000000"/>
          <w:sz w:val="24"/>
        </w:rPr>
        <w:t>Facing</w:t>
      </w:r>
      <w:r>
        <w:rPr>
          <w:rFonts w:ascii="Arial"/>
          <w:color w:val="000000"/>
          <w:sz w:val="24"/>
        </w:rPr>
        <w:t xml:space="preserve">” </w:t>
      </w:r>
      <w:r>
        <w:rPr>
          <w:rFonts w:ascii="Arial"/>
          <w:color w:val="000000"/>
          <w:sz w:val="24"/>
        </w:rPr>
        <w:t xml:space="preserve">the street, in the context of a building having an active street frontage, refers to premises having access from the street, whether pedestrian or vehicular. </w:t>
      </w:r>
      <w:r>
        <w:rPr>
          <w:rFonts w:ascii="Arial"/>
          <w:color w:val="000000"/>
          <w:sz w:val="24"/>
        </w:rPr>
        <w:t>Premises that cannot be accessed from a street needing to have an active street frontage do not face that street.</w:t>
      </w:r>
    </w:p>
    <w:p>
      <w:pPr>
        <w:pStyle w:val="CaselawNumbered10"/>
        <w:numPr>
          <w:ilvl w:val="0"/>
          <w:numId w:val="51"/>
        </w:numPr>
        <w:spacing w:before="150" w:after="0"/>
        <w:ind w:left="600" w:hanging="600"/>
      </w:pPr>
      <w:r>
        <w:rPr>
          <w:rFonts w:ascii="Arial"/>
          <w:color w:val="000000"/>
          <w:sz w:val="24"/>
        </w:rPr>
        <w:t xml:space="preserve">In these circumstances, the primary judge erred in finding that </w:t>
      </w:r>
      <w:r>
        <w:rPr>
          <w:rFonts w:ascii="Arial"/>
          <w:color w:val="000000"/>
          <w:sz w:val="24"/>
        </w:rPr>
        <w:t>“</w:t>
      </w:r>
      <w:r>
        <w:rPr>
          <w:rFonts w:ascii="Arial"/>
          <w:color w:val="000000"/>
          <w:sz w:val="24"/>
        </w:rPr>
        <w:t>there is no proper basis in fact on any rational construction of the wording of the clause that could have led the Planning Panel to have concluded that it was satisfied</w:t>
      </w:r>
      <w:r>
        <w:rPr>
          <w:rFonts w:ascii="Arial"/>
          <w:color w:val="000000"/>
          <w:sz w:val="24"/>
        </w:rPr>
        <w:t xml:space="preserve">” </w:t>
      </w:r>
      <w:r>
        <w:rPr>
          <w:rFonts w:ascii="Arial"/>
          <w:color w:val="000000"/>
          <w:sz w:val="24"/>
        </w:rPr>
        <w:t xml:space="preserve">(at [186]). There was a proper basis in fact on the material before the Panel, </w:t>
      </w:r>
      <w:r>
        <w:rPr>
          <w:rFonts w:ascii="Arial"/>
          <w:color w:val="000000"/>
          <w:sz w:val="24"/>
        </w:rPr>
        <w:t xml:space="preserve">and </w:t>
      </w:r>
      <w:r>
        <w:rPr>
          <w:rFonts w:ascii="Arial"/>
          <w:color w:val="000000"/>
          <w:sz w:val="24"/>
        </w:rPr>
        <w:t xml:space="preserve">on </w:t>
      </w:r>
      <w:r>
        <w:rPr>
          <w:rFonts w:ascii="Arial"/>
          <w:color w:val="000000"/>
          <w:sz w:val="24"/>
        </w:rPr>
        <w:t xml:space="preserve">a </w:t>
      </w:r>
      <w:r>
        <w:rPr>
          <w:rFonts w:ascii="Arial"/>
          <w:color w:val="000000"/>
          <w:sz w:val="24"/>
        </w:rPr>
        <w:t xml:space="preserve">proper construction of the statutory description of </w:t>
      </w:r>
      <w:r>
        <w:rPr>
          <w:rFonts w:ascii="Arial"/>
          <w:color w:val="000000"/>
          <w:sz w:val="24"/>
        </w:rPr>
        <w:t>“</w:t>
      </w:r>
      <w:r>
        <w:rPr>
          <w:rFonts w:ascii="Arial"/>
          <w:color w:val="000000"/>
          <w:sz w:val="24"/>
        </w:rPr>
        <w:t>active street frontage</w:t>
      </w:r>
      <w:r>
        <w:rPr>
          <w:rFonts w:ascii="Arial"/>
          <w:color w:val="000000"/>
          <w:sz w:val="24"/>
        </w:rPr>
        <w:t xml:space="preserve">” </w:t>
      </w:r>
      <w:r>
        <w:rPr>
          <w:rFonts w:ascii="Arial"/>
          <w:color w:val="000000"/>
          <w:sz w:val="24"/>
        </w:rPr>
        <w:t>in cl 6.7(5)</w:t>
      </w:r>
      <w:r>
        <w:rPr>
          <w:rFonts w:ascii="Arial"/>
          <w:color w:val="000000"/>
          <w:sz w:val="24"/>
        </w:rPr>
        <w:t>,</w:t>
      </w:r>
      <w:r>
        <w:rPr>
          <w:rFonts w:ascii="Arial"/>
          <w:color w:val="000000"/>
          <w:sz w:val="24"/>
        </w:rPr>
        <w:t xml:space="preserve"> </w:t>
      </w:r>
      <w:r>
        <w:rPr>
          <w:rFonts w:ascii="Arial"/>
          <w:color w:val="000000"/>
          <w:sz w:val="24"/>
        </w:rPr>
        <w:t xml:space="preserve">for the Panel to conclude that the building </w:t>
      </w:r>
      <w:r>
        <w:rPr>
          <w:rFonts w:ascii="Arial"/>
          <w:color w:val="000000"/>
          <w:sz w:val="24"/>
        </w:rPr>
        <w:t>will have</w:t>
      </w:r>
      <w:r>
        <w:rPr>
          <w:rFonts w:ascii="Arial"/>
          <w:color w:val="000000"/>
          <w:sz w:val="24"/>
        </w:rPr>
        <w:t xml:space="preserve"> </w:t>
      </w:r>
      <w:r>
        <w:rPr>
          <w:rFonts w:ascii="Arial"/>
          <w:color w:val="000000"/>
          <w:sz w:val="24"/>
        </w:rPr>
        <w:t>an active street frontage.</w:t>
      </w:r>
      <w:r>
        <w:rPr>
          <w:rFonts w:ascii="Arial"/>
          <w:color w:val="000000"/>
          <w:sz w:val="24"/>
        </w:rPr>
        <w:t xml:space="preserve"> </w:t>
      </w:r>
      <w:r>
        <w:rPr>
          <w:rFonts w:ascii="Arial"/>
          <w:color w:val="000000"/>
          <w:sz w:val="24"/>
        </w:rPr>
        <w:t>As this is sufficient to uphold the Panel</w:t>
      </w:r>
      <w:r>
        <w:rPr>
          <w:rFonts w:ascii="Arial"/>
          <w:color w:val="000000"/>
          <w:sz w:val="24"/>
        </w:rPr>
        <w:t>’</w:t>
      </w:r>
      <w:r>
        <w:rPr>
          <w:rFonts w:ascii="Arial"/>
          <w:color w:val="000000"/>
          <w:sz w:val="24"/>
        </w:rPr>
        <w:t>s conclusion, it is not necessary to express any view about the correctness of other aspects of the Mills Oakley advice considered by the Panel.</w:t>
      </w:r>
    </w:p>
    <w:p>
      <w:pPr>
        <w:pStyle w:val="CaselawNumbered10"/>
        <w:numPr>
          <w:ilvl w:val="0"/>
          <w:numId w:val="51"/>
        </w:numPr>
        <w:spacing w:before="150" w:after="0"/>
        <w:ind w:left="600" w:hanging="600"/>
      </w:pPr>
      <w:r>
        <w:rPr>
          <w:rFonts w:ascii="Arial"/>
          <w:color w:val="000000"/>
          <w:sz w:val="24"/>
        </w:rPr>
        <w:t>Helm</w:t>
      </w:r>
      <w:r>
        <w:rPr>
          <w:rFonts w:ascii="Arial"/>
          <w:color w:val="000000"/>
          <w:sz w:val="24"/>
        </w:rPr>
        <w:t>’</w:t>
      </w:r>
      <w:r>
        <w:rPr>
          <w:rFonts w:ascii="Arial"/>
          <w:color w:val="000000"/>
          <w:sz w:val="24"/>
        </w:rPr>
        <w:t xml:space="preserve">s contention </w:t>
      </w:r>
      <w:r>
        <w:rPr>
          <w:rFonts w:ascii="Arial"/>
          <w:color w:val="000000"/>
          <w:sz w:val="24"/>
        </w:rPr>
        <w:t xml:space="preserve">3 </w:t>
      </w:r>
      <w:r>
        <w:rPr>
          <w:rFonts w:ascii="Arial"/>
          <w:color w:val="000000"/>
          <w:sz w:val="24"/>
        </w:rPr>
        <w:t>should therefore be upheld and the primary judge</w:t>
      </w:r>
      <w:r>
        <w:rPr>
          <w:rFonts w:ascii="Arial"/>
          <w:color w:val="000000"/>
          <w:sz w:val="24"/>
        </w:rPr>
        <w:t>’</w:t>
      </w:r>
      <w:r>
        <w:rPr>
          <w:rFonts w:ascii="Arial"/>
          <w:color w:val="000000"/>
          <w:sz w:val="24"/>
        </w:rPr>
        <w:t xml:space="preserve">s finding that Mr </w:t>
      </w:r>
      <w:r>
        <w:rPr>
          <w:rFonts w:ascii="Arial"/>
          <w:color w:val="000000"/>
          <w:sz w:val="24"/>
        </w:rPr>
        <w:t>Lahoud</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 xml:space="preserve">ground </w:t>
      </w:r>
      <w:r>
        <w:rPr>
          <w:rFonts w:ascii="Arial"/>
          <w:color w:val="000000"/>
          <w:sz w:val="24"/>
        </w:rPr>
        <w:t xml:space="preserve">2 </w:t>
      </w:r>
      <w:r>
        <w:rPr>
          <w:rFonts w:ascii="Arial"/>
          <w:color w:val="000000"/>
          <w:sz w:val="24"/>
        </w:rPr>
        <w:t xml:space="preserve">of the judicial review summons had been established set aside. This makes it unnecessary to decide Mr </w:t>
      </w:r>
      <w:r>
        <w:rPr>
          <w:rFonts w:ascii="Arial"/>
          <w:color w:val="000000"/>
          <w:sz w:val="24"/>
        </w:rPr>
        <w:t>Lahoud</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ground of appeal 6, that the primary judge</w:t>
      </w:r>
      <w:r>
        <w:rPr>
          <w:rFonts w:ascii="Arial"/>
          <w:color w:val="000000"/>
          <w:sz w:val="24"/>
        </w:rPr>
        <w:t>’</w:t>
      </w:r>
      <w:r>
        <w:rPr>
          <w:rFonts w:ascii="Arial"/>
          <w:color w:val="000000"/>
          <w:sz w:val="24"/>
        </w:rPr>
        <w:t>s exercise of discretion</w:t>
      </w:r>
      <w:r>
        <w:rPr>
          <w:rFonts w:ascii="Arial"/>
          <w:color w:val="000000"/>
          <w:sz w:val="24"/>
        </w:rPr>
        <w:t xml:space="preserve"> </w:t>
      </w:r>
      <w:r>
        <w:rPr>
          <w:rFonts w:ascii="Arial"/>
          <w:color w:val="000000"/>
          <w:sz w:val="24"/>
        </w:rPr>
        <w:t>miscarried in declining</w:t>
      </w:r>
      <w:r>
        <w:rPr>
          <w:rFonts w:ascii="Arial"/>
          <w:color w:val="000000"/>
          <w:sz w:val="24"/>
        </w:rPr>
        <w:t xml:space="preserve"> </w:t>
      </w:r>
      <w:r>
        <w:rPr>
          <w:rFonts w:ascii="Arial"/>
          <w:color w:val="000000"/>
          <w:sz w:val="24"/>
        </w:rPr>
        <w:t xml:space="preserve">to grant declaratory relief </w:t>
      </w:r>
      <w:r>
        <w:rPr>
          <w:rFonts w:ascii="Arial"/>
          <w:color w:val="000000"/>
          <w:sz w:val="24"/>
        </w:rPr>
        <w:t xml:space="preserve">to remedy the breach of cl 6.7. </w:t>
      </w:r>
      <w:r>
        <w:rPr>
          <w:rFonts w:ascii="Arial"/>
          <w:color w:val="000000"/>
          <w:sz w:val="24"/>
        </w:rPr>
        <w:t>I</w:t>
      </w:r>
      <w:r>
        <w:rPr>
          <w:rFonts w:ascii="Arial"/>
          <w:color w:val="000000"/>
          <w:sz w:val="24"/>
        </w:rPr>
        <w:t>f the Panel</w:t>
      </w:r>
      <w:r>
        <w:rPr>
          <w:rFonts w:ascii="Arial"/>
          <w:color w:val="000000"/>
          <w:sz w:val="24"/>
        </w:rPr>
        <w:t>’</w:t>
      </w:r>
      <w:r>
        <w:rPr>
          <w:rFonts w:ascii="Arial"/>
          <w:color w:val="000000"/>
          <w:sz w:val="24"/>
        </w:rPr>
        <w:t>s d</w:t>
      </w:r>
      <w:r>
        <w:rPr>
          <w:rFonts w:ascii="Arial"/>
          <w:color w:val="000000"/>
          <w:sz w:val="24"/>
        </w:rPr>
        <w:t>ecision</w:t>
      </w:r>
      <w:r>
        <w:rPr>
          <w:rFonts w:ascii="Arial"/>
          <w:color w:val="000000"/>
          <w:sz w:val="24"/>
        </w:rPr>
        <w:t xml:space="preserve"> </w:t>
      </w:r>
      <w:r>
        <w:rPr>
          <w:rFonts w:ascii="Arial"/>
          <w:color w:val="000000"/>
          <w:sz w:val="24"/>
        </w:rPr>
        <w:t>was not in breach of cl 6.7, there is no occasion to consider whether and what relief should be granted to remedy a breach.</w:t>
      </w:r>
    </w:p>
    <w:p>
      <w:pPr>
        <w:pStyle w:val="CaselawHeading2"/>
        <w:keepNext/>
        <w:spacing w:before="150" w:after="150" w:line="264"/>
        <w:ind w:left="0"/>
        <w:jc w:val="left"/>
      </w:pPr>
      <w:r>
        <w:rPr>
          <w:rFonts w:ascii="Arial"/>
        </w:rPr>
        <w:t>The shop top housing grounds</w:t>
      </w:r>
    </w:p>
    <w:p>
      <w:pPr>
        <w:pStyle w:val="CaselawNumbered10"/>
        <w:numPr>
          <w:ilvl w:val="0"/>
          <w:numId w:val="52"/>
        </w:numPr>
        <w:spacing w:before="150" w:after="0"/>
        <w:ind w:left="600" w:hanging="600"/>
      </w:pPr>
      <w:r>
        <w:rPr>
          <w:rFonts w:ascii="Arial"/>
          <w:color w:val="000000"/>
          <w:sz w:val="24"/>
        </w:rPr>
        <w:t xml:space="preserve">The proposed development was approved by the Panel as being for the permissible development of </w:t>
      </w:r>
      <w:r>
        <w:rPr>
          <w:rFonts w:ascii="Arial"/>
          <w:color w:val="000000"/>
          <w:sz w:val="24"/>
        </w:rPr>
        <w:t>“</w:t>
      </w:r>
      <w:r>
        <w:rPr>
          <w:rFonts w:ascii="Arial"/>
          <w:color w:val="000000"/>
          <w:sz w:val="24"/>
        </w:rPr>
        <w:t>shop top housing</w:t>
      </w:r>
      <w:r>
        <w:rPr>
          <w:rFonts w:ascii="Arial"/>
          <w:color w:val="000000"/>
          <w:sz w:val="24"/>
        </w:rPr>
        <w:t>”</w:t>
      </w:r>
      <w:r>
        <w:rPr>
          <w:rFonts w:ascii="Arial"/>
          <w:color w:val="000000"/>
          <w:sz w:val="24"/>
        </w:rPr>
        <w:t xml:space="preserve">. Development for </w:t>
      </w:r>
      <w:r>
        <w:rPr>
          <w:rFonts w:ascii="Arial"/>
          <w:color w:val="000000"/>
          <w:sz w:val="24"/>
        </w:rPr>
        <w:t>“</w:t>
      </w:r>
      <w:r>
        <w:rPr>
          <w:rFonts w:ascii="Arial"/>
          <w:color w:val="000000"/>
          <w:sz w:val="24"/>
        </w:rPr>
        <w:t>s</w:t>
      </w:r>
      <w:r>
        <w:rPr>
          <w:rFonts w:ascii="Arial"/>
          <w:color w:val="000000"/>
          <w:sz w:val="24"/>
        </w:rPr>
        <w:t>hop</w:t>
      </w:r>
      <w:r>
        <w:rPr>
          <w:rFonts w:ascii="Arial"/>
          <w:color w:val="000000"/>
          <w:sz w:val="24"/>
        </w:rPr>
        <w:t xml:space="preserve"> </w:t>
      </w:r>
      <w:r>
        <w:rPr>
          <w:rFonts w:ascii="Arial"/>
          <w:color w:val="000000"/>
          <w:sz w:val="24"/>
        </w:rPr>
        <w:t>top housing</w:t>
      </w:r>
      <w:r>
        <w:rPr>
          <w:rFonts w:ascii="Arial"/>
          <w:color w:val="000000"/>
          <w:sz w:val="24"/>
        </w:rPr>
        <w:t xml:space="preserve">” </w:t>
      </w:r>
      <w:r>
        <w:rPr>
          <w:rFonts w:ascii="Arial"/>
          <w:color w:val="000000"/>
          <w:sz w:val="24"/>
        </w:rPr>
        <w:t>is permissible with consent in the B2 Local Centre zone under WLEP, but</w:t>
      </w:r>
      <w:r>
        <w:rPr>
          <w:rFonts w:ascii="Arial"/>
          <w:color w:val="000000"/>
          <w:sz w:val="24"/>
        </w:rPr>
        <w:t xml:space="preserve"> </w:t>
      </w:r>
      <w:r>
        <w:rPr>
          <w:rFonts w:ascii="Arial"/>
          <w:color w:val="000000"/>
          <w:sz w:val="24"/>
        </w:rPr>
        <w:t>residential accommodation is prohibited</w:t>
      </w:r>
      <w:r>
        <w:rPr>
          <w:rFonts w:ascii="Arial"/>
          <w:color w:val="000000"/>
          <w:sz w:val="24"/>
        </w:rPr>
        <w:t>.</w:t>
      </w:r>
      <w:r>
        <w:rPr>
          <w:rFonts w:ascii="Arial"/>
          <w:color w:val="000000"/>
          <w:sz w:val="24"/>
        </w:rPr>
        <w:t xml:space="preserve"> </w:t>
      </w:r>
      <w:r>
        <w:rPr>
          <w:rFonts w:ascii="Arial"/>
          <w:color w:val="000000"/>
          <w:sz w:val="24"/>
        </w:rPr>
        <w:t>“</w:t>
      </w:r>
      <w:r>
        <w:rPr>
          <w:rFonts w:ascii="Arial"/>
          <w:color w:val="000000"/>
          <w:sz w:val="24"/>
        </w:rPr>
        <w:t>Sh</w:t>
      </w:r>
      <w:r>
        <w:rPr>
          <w:rFonts w:ascii="Arial"/>
          <w:color w:val="000000"/>
          <w:sz w:val="24"/>
        </w:rPr>
        <w:t>op top housing</w:t>
      </w:r>
      <w:r>
        <w:rPr>
          <w:rFonts w:ascii="Arial"/>
          <w:color w:val="000000"/>
          <w:sz w:val="24"/>
        </w:rPr>
        <w:t xml:space="preserve">” </w:t>
      </w:r>
      <w:r>
        <w:rPr>
          <w:rFonts w:ascii="Arial"/>
          <w:color w:val="000000"/>
          <w:sz w:val="24"/>
        </w:rPr>
        <w:t xml:space="preserve">is defined in the Dictionary to WLEP to mean </w:t>
      </w:r>
      <w:r>
        <w:rPr>
          <w:rFonts w:ascii="Arial"/>
          <w:color w:val="000000"/>
          <w:sz w:val="24"/>
        </w:rPr>
        <w:t>“</w:t>
      </w:r>
      <w:r>
        <w:rPr>
          <w:rFonts w:ascii="Arial"/>
          <w:color w:val="000000"/>
          <w:sz w:val="24"/>
        </w:rPr>
        <w:t>one or more dwelling</w:t>
      </w:r>
      <w:r>
        <w:rPr>
          <w:rFonts w:ascii="Arial"/>
          <w:color w:val="000000"/>
          <w:sz w:val="24"/>
        </w:rPr>
        <w:t>s</w:t>
      </w:r>
      <w:r>
        <w:rPr>
          <w:rFonts w:ascii="Arial"/>
          <w:color w:val="000000"/>
          <w:sz w:val="24"/>
        </w:rPr>
        <w:t xml:space="preserve"> </w:t>
      </w:r>
      <w:r>
        <w:rPr>
          <w:rFonts w:ascii="Arial"/>
          <w:color w:val="000000"/>
          <w:sz w:val="24"/>
        </w:rPr>
        <w:t>located above ground floor retail premises</w:t>
      </w:r>
      <w:r>
        <w:rPr>
          <w:rFonts w:ascii="Arial"/>
          <w:color w:val="000000"/>
          <w:sz w:val="24"/>
        </w:rPr>
        <w:t xml:space="preserve"> </w:t>
      </w:r>
      <w:r>
        <w:rPr>
          <w:rFonts w:ascii="Arial"/>
          <w:color w:val="000000"/>
          <w:sz w:val="24"/>
        </w:rPr>
        <w:t>or business premises</w:t>
      </w:r>
      <w:r>
        <w:rPr>
          <w:rFonts w:ascii="Arial"/>
          <w:color w:val="000000"/>
          <w:sz w:val="24"/>
        </w:rPr>
        <w:t>.</w:t>
      </w:r>
      <w:r>
        <w:rPr>
          <w:rFonts w:ascii="Arial"/>
          <w:color w:val="000000"/>
          <w:sz w:val="24"/>
        </w:rPr>
        <w:t xml:space="preserve">” </w:t>
      </w:r>
      <w:r>
        <w:rPr>
          <w:rFonts w:ascii="Arial"/>
          <w:color w:val="000000"/>
          <w:sz w:val="24"/>
        </w:rPr>
        <w:t xml:space="preserve">A </w:t>
      </w:r>
      <w:r>
        <w:rPr>
          <w:rFonts w:ascii="Arial"/>
          <w:color w:val="000000"/>
          <w:sz w:val="24"/>
        </w:rPr>
        <w:t>“</w:t>
      </w:r>
      <w:r>
        <w:rPr>
          <w:rFonts w:ascii="Arial"/>
          <w:color w:val="000000"/>
          <w:sz w:val="24"/>
        </w:rPr>
        <w:t>dwelling</w:t>
      </w:r>
      <w:r>
        <w:rPr>
          <w:rFonts w:ascii="Arial"/>
          <w:color w:val="000000"/>
          <w:sz w:val="24"/>
        </w:rPr>
        <w:t xml:space="preserve">” </w:t>
      </w:r>
      <w:r>
        <w:rPr>
          <w:rFonts w:ascii="Arial"/>
          <w:color w:val="000000"/>
          <w:sz w:val="24"/>
        </w:rPr>
        <w:t xml:space="preserve">is defined in the Dictionary to mean </w:t>
      </w:r>
      <w:r>
        <w:rPr>
          <w:rFonts w:ascii="Arial"/>
          <w:color w:val="000000"/>
          <w:sz w:val="24"/>
        </w:rPr>
        <w:t>“</w:t>
      </w:r>
      <w:r>
        <w:rPr>
          <w:rFonts w:ascii="Arial"/>
          <w:color w:val="000000"/>
          <w:sz w:val="24"/>
        </w:rPr>
        <w:t>a room or suite of rooms occupied or used or so constructed or adapted as to be capable of being occupied or used as a separate domicile.</w:t>
      </w:r>
      <w:r>
        <w:rPr>
          <w:rFonts w:ascii="Arial"/>
          <w:color w:val="000000"/>
          <w:sz w:val="24"/>
        </w:rPr>
        <w:t>”</w:t>
      </w:r>
    </w:p>
    <w:p>
      <w:pPr>
        <w:pStyle w:val="CaselawNumbered10"/>
        <w:numPr>
          <w:ilvl w:val="0"/>
          <w:numId w:val="52"/>
        </w:numPr>
        <w:spacing w:before="150" w:after="0"/>
        <w:ind w:left="600" w:hanging="600"/>
      </w:pPr>
      <w:r>
        <w:rPr>
          <w:rFonts w:ascii="Arial"/>
          <w:color w:val="000000"/>
          <w:sz w:val="24"/>
        </w:rPr>
        <w:t xml:space="preserve">The Panel determined to grant development consent to the </w:t>
      </w:r>
      <w:r>
        <w:rPr>
          <w:rFonts w:ascii="Arial"/>
          <w:color w:val="000000"/>
          <w:sz w:val="24"/>
        </w:rPr>
        <w:t>“</w:t>
      </w:r>
      <w:r>
        <w:rPr>
          <w:rFonts w:ascii="Arial"/>
          <w:color w:val="000000"/>
          <w:sz w:val="24"/>
        </w:rPr>
        <w:t>[a]</w:t>
      </w:r>
      <w:r>
        <w:rPr>
          <w:rFonts w:ascii="Arial"/>
          <w:color w:val="000000"/>
          <w:sz w:val="24"/>
        </w:rPr>
        <w:t>daptive</w:t>
      </w:r>
      <w:r>
        <w:rPr>
          <w:rFonts w:ascii="Arial"/>
          <w:color w:val="000000"/>
          <w:sz w:val="24"/>
        </w:rPr>
        <w:t xml:space="preserve"> </w:t>
      </w:r>
      <w:r>
        <w:rPr>
          <w:rFonts w:ascii="Arial"/>
          <w:color w:val="000000"/>
          <w:sz w:val="24"/>
        </w:rPr>
        <w:t xml:space="preserve">conversion of the existing building into shop top housing, including additional </w:t>
      </w:r>
      <w:r>
        <w:rPr>
          <w:rFonts w:ascii="Arial"/>
          <w:color w:val="000000"/>
          <w:sz w:val="24"/>
        </w:rPr>
        <w:t>level</w:t>
      </w:r>
      <w:r>
        <w:rPr>
          <w:rFonts w:ascii="Arial"/>
          <w:color w:val="000000"/>
          <w:sz w:val="24"/>
        </w:rPr>
        <w:t>”</w:t>
      </w:r>
      <w:r>
        <w:rPr>
          <w:rFonts w:ascii="Arial"/>
          <w:color w:val="000000"/>
          <w:sz w:val="24"/>
        </w:rPr>
        <w:t xml:space="preserve"> </w:t>
      </w:r>
      <w:r>
        <w:rPr>
          <w:rFonts w:ascii="Arial"/>
          <w:color w:val="000000"/>
          <w:sz w:val="24"/>
        </w:rPr>
        <w:t>(Notice of Determination of a Development Application).</w:t>
      </w:r>
      <w:r>
        <w:rPr>
          <w:rFonts w:ascii="Arial"/>
          <w:color w:val="000000"/>
          <w:sz w:val="24"/>
        </w:rPr>
        <w:t xml:space="preserve"> </w:t>
      </w:r>
      <w:r>
        <w:rPr>
          <w:rFonts w:ascii="Arial"/>
          <w:color w:val="000000"/>
          <w:sz w:val="24"/>
        </w:rPr>
        <w:t>The Panel</w:t>
      </w:r>
      <w:r>
        <w:rPr>
          <w:rFonts w:ascii="Arial"/>
          <w:color w:val="000000"/>
          <w:sz w:val="24"/>
        </w:rPr>
        <w:t>’</w:t>
      </w:r>
      <w:r>
        <w:rPr>
          <w:rFonts w:ascii="Arial"/>
          <w:color w:val="000000"/>
          <w:sz w:val="24"/>
        </w:rPr>
        <w:t xml:space="preserve">s reasons were </w:t>
      </w:r>
      <w:r>
        <w:rPr>
          <w:rFonts w:ascii="Arial"/>
          <w:color w:val="000000"/>
          <w:sz w:val="24"/>
        </w:rPr>
        <w:t xml:space="preserve">stated in the Determination and Statement of Reasons to include </w:t>
      </w:r>
      <w:r>
        <w:rPr>
          <w:rFonts w:ascii="Arial"/>
          <w:color w:val="000000"/>
          <w:sz w:val="24"/>
        </w:rPr>
        <w:t xml:space="preserve">the </w:t>
      </w:r>
      <w:r>
        <w:rPr>
          <w:rFonts w:ascii="Arial"/>
          <w:color w:val="000000"/>
          <w:sz w:val="24"/>
        </w:rPr>
        <w:t>“</w:t>
      </w:r>
      <w:r>
        <w:rPr>
          <w:rFonts w:ascii="Arial"/>
          <w:color w:val="000000"/>
          <w:sz w:val="24"/>
        </w:rPr>
        <w:t xml:space="preserve">reasons outlined in the Council </w:t>
      </w:r>
      <w:r>
        <w:rPr>
          <w:rFonts w:ascii="Arial"/>
          <w:color w:val="000000"/>
          <w:sz w:val="24"/>
        </w:rPr>
        <w:t>assessment</w:t>
      </w:r>
      <w:r>
        <w:rPr>
          <w:rFonts w:ascii="Arial"/>
          <w:color w:val="000000"/>
          <w:sz w:val="24"/>
        </w:rPr>
        <w:t xml:space="preserve"> </w:t>
      </w:r>
      <w:r>
        <w:rPr>
          <w:rFonts w:ascii="Arial"/>
          <w:color w:val="000000"/>
          <w:sz w:val="24"/>
        </w:rPr>
        <w:t>report</w:t>
      </w:r>
      <w:r>
        <w:rPr>
          <w:rFonts w:ascii="Arial"/>
          <w:color w:val="000000"/>
          <w:sz w:val="24"/>
        </w:rPr>
        <w:t>”</w:t>
      </w:r>
      <w:r>
        <w:rPr>
          <w:rFonts w:ascii="Arial"/>
          <w:color w:val="000000"/>
          <w:sz w:val="24"/>
        </w:rPr>
        <w:t>. The report accepted that the proposed development was for s</w:t>
      </w:r>
      <w:r>
        <w:rPr>
          <w:rFonts w:ascii="Arial"/>
          <w:color w:val="000000"/>
          <w:sz w:val="24"/>
        </w:rPr>
        <w:t>h</w:t>
      </w:r>
      <w:r>
        <w:rPr>
          <w:rFonts w:ascii="Arial"/>
          <w:color w:val="000000"/>
          <w:sz w:val="24"/>
        </w:rPr>
        <w:t>op top housing.</w:t>
      </w:r>
    </w:p>
    <w:p>
      <w:pPr>
        <w:pStyle w:val="CaselawNumbered10"/>
        <w:numPr>
          <w:ilvl w:val="0"/>
          <w:numId w:val="52"/>
        </w:numPr>
        <w:spacing w:before="150" w:after="0"/>
        <w:ind w:left="600" w:hanging="600"/>
      </w:pPr>
      <w:r>
        <w:rPr>
          <w:rFonts w:ascii="Arial"/>
          <w:color w:val="000000"/>
          <w:sz w:val="24"/>
        </w:rPr>
        <w:t>G</w:t>
      </w:r>
      <w:r>
        <w:rPr>
          <w:rFonts w:ascii="Arial"/>
          <w:color w:val="000000"/>
          <w:sz w:val="24"/>
        </w:rPr>
        <w:t xml:space="preserve">round 3 of the </w:t>
      </w:r>
      <w:r>
        <w:rPr>
          <w:rFonts w:ascii="Arial"/>
          <w:color w:val="000000"/>
          <w:sz w:val="24"/>
        </w:rPr>
        <w:t>judicial review summons challenged the Panel</w:t>
      </w:r>
      <w:r>
        <w:rPr>
          <w:rFonts w:ascii="Arial"/>
          <w:color w:val="000000"/>
          <w:sz w:val="24"/>
        </w:rPr>
        <w:t>’</w:t>
      </w:r>
      <w:r>
        <w:rPr>
          <w:rFonts w:ascii="Arial"/>
          <w:color w:val="000000"/>
          <w:sz w:val="24"/>
        </w:rPr>
        <w:t xml:space="preserve">s decision that the development was for shop top housing. </w:t>
      </w:r>
      <w:r>
        <w:rPr>
          <w:rFonts w:ascii="Arial"/>
          <w:color w:val="000000"/>
          <w:sz w:val="24"/>
        </w:rPr>
        <w:t xml:space="preserve">Mr </w:t>
      </w:r>
      <w:r>
        <w:rPr>
          <w:rFonts w:ascii="Arial"/>
          <w:color w:val="000000"/>
          <w:sz w:val="24"/>
        </w:rPr>
        <w:t>Lahoud</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 xml:space="preserve">argument was that the carpark on the ground floor of the building should be characterised as being for residential accommodation, as </w:t>
      </w:r>
      <w:r>
        <w:rPr>
          <w:rFonts w:ascii="Arial"/>
          <w:color w:val="000000"/>
          <w:sz w:val="24"/>
        </w:rPr>
        <w:t>all of</w:t>
      </w:r>
      <w:r>
        <w:rPr>
          <w:rFonts w:ascii="Arial"/>
          <w:color w:val="000000"/>
          <w:sz w:val="24"/>
        </w:rPr>
        <w:t xml:space="preserve"> </w:t>
      </w:r>
      <w:r>
        <w:rPr>
          <w:rFonts w:ascii="Arial"/>
          <w:color w:val="000000"/>
          <w:sz w:val="24"/>
        </w:rPr>
        <w:t xml:space="preserve">the carparking spaces, except for a limited number allocated for use by the business premises on the ground floor, will be allocated for use </w:t>
      </w:r>
      <w:r>
        <w:rPr>
          <w:rFonts w:ascii="Arial"/>
          <w:color w:val="000000"/>
          <w:sz w:val="24"/>
        </w:rPr>
        <w:t>by the occupants of</w:t>
      </w:r>
      <w:r>
        <w:rPr>
          <w:rFonts w:ascii="Arial"/>
          <w:color w:val="000000"/>
          <w:sz w:val="24"/>
        </w:rPr>
        <w:t xml:space="preserve"> </w:t>
      </w:r>
      <w:r>
        <w:rPr>
          <w:rFonts w:ascii="Arial"/>
          <w:color w:val="000000"/>
          <w:sz w:val="24"/>
        </w:rPr>
        <w:t xml:space="preserve">the new apartments in the building. In this circumstance, </w:t>
      </w:r>
      <w:r>
        <w:rPr>
          <w:rFonts w:ascii="Arial"/>
          <w:color w:val="000000"/>
          <w:sz w:val="24"/>
        </w:rPr>
        <w:t>all of</w:t>
      </w:r>
      <w:r>
        <w:rPr>
          <w:rFonts w:ascii="Arial"/>
          <w:color w:val="000000"/>
          <w:sz w:val="24"/>
        </w:rPr>
        <w:t xml:space="preserve"> </w:t>
      </w:r>
      <w:r>
        <w:rPr>
          <w:rFonts w:ascii="Arial"/>
          <w:color w:val="000000"/>
          <w:sz w:val="24"/>
        </w:rPr>
        <w:t xml:space="preserve">the dwellings are not </w:t>
      </w:r>
      <w:r>
        <w:rPr>
          <w:rFonts w:ascii="Arial"/>
          <w:color w:val="000000"/>
          <w:sz w:val="24"/>
        </w:rPr>
        <w:t>“</w:t>
      </w:r>
      <w:r>
        <w:rPr>
          <w:rFonts w:ascii="Arial"/>
          <w:color w:val="000000"/>
          <w:sz w:val="24"/>
        </w:rPr>
        <w:t>above</w:t>
      </w:r>
      <w:r>
        <w:rPr>
          <w:rFonts w:ascii="Arial"/>
          <w:color w:val="000000"/>
          <w:sz w:val="24"/>
        </w:rPr>
        <w:t xml:space="preserve">” </w:t>
      </w:r>
      <w:r>
        <w:rPr>
          <w:rFonts w:ascii="Arial"/>
          <w:color w:val="000000"/>
          <w:sz w:val="24"/>
        </w:rPr>
        <w:t>ground floor retail premises or business premises. This argument did not depend on challenging the correctness of the primary judge</w:t>
      </w:r>
      <w:r>
        <w:rPr>
          <w:rFonts w:ascii="Arial"/>
          <w:color w:val="000000"/>
          <w:sz w:val="24"/>
        </w:rPr>
        <w:t>’</w:t>
      </w:r>
      <w:r>
        <w:rPr>
          <w:rFonts w:ascii="Arial"/>
          <w:color w:val="000000"/>
          <w:sz w:val="24"/>
        </w:rPr>
        <w:t xml:space="preserve">s earlier decision, when the Senior Commissioner of the Court, in </w:t>
      </w:r>
      <w:r>
        <w:rPr>
          <w:rFonts w:ascii="Arial"/>
          <w:i/>
          <w:color w:val="000000"/>
          <w:sz w:val="24"/>
        </w:rPr>
        <w:t>Arco Iris Trading Pty Ltd v North Sydney Council</w:t>
      </w:r>
      <w:r>
        <w:rPr>
          <w:rFonts w:ascii="Arial"/>
          <w:color w:val="000000"/>
          <w:sz w:val="24"/>
        </w:rPr>
        <w:t xml:space="preserve"> </w:t>
      </w:r>
      <w:r>
        <w:rPr>
          <w:rFonts w:ascii="Arial"/>
          <w:color w:val="000000"/>
          <w:sz w:val="24"/>
        </w:rPr>
        <w:t>[2015] NSWLEC 1113 (</w:t>
      </w:r>
      <w:r>
        <w:rPr>
          <w:rFonts w:ascii="Arial"/>
          <w:i/>
          <w:color w:val="000000"/>
          <w:sz w:val="24"/>
        </w:rPr>
        <w:t>Arco Iris Trading</w:t>
      </w:r>
      <w:r>
        <w:rPr>
          <w:rFonts w:ascii="Arial"/>
          <w:color w:val="000000"/>
          <w:sz w:val="24"/>
        </w:rPr>
        <w:t>)</w:t>
      </w:r>
      <w:r>
        <w:rPr>
          <w:rFonts w:ascii="Arial"/>
          <w:color w:val="000000"/>
          <w:sz w:val="24"/>
        </w:rPr>
        <w:t>. In that case, the primary judge held</w:t>
      </w:r>
      <w:r>
        <w:rPr>
          <w:rFonts w:ascii="Arial"/>
          <w:color w:val="000000"/>
          <w:sz w:val="24"/>
        </w:rPr>
        <w:t xml:space="preserve"> </w:t>
      </w:r>
      <w:r>
        <w:rPr>
          <w:rFonts w:ascii="Arial"/>
          <w:color w:val="000000"/>
          <w:sz w:val="24"/>
        </w:rPr>
        <w:t xml:space="preserve">that </w:t>
      </w:r>
      <w:r>
        <w:rPr>
          <w:rFonts w:ascii="Arial"/>
          <w:color w:val="000000"/>
          <w:sz w:val="24"/>
        </w:rPr>
        <w:t xml:space="preserve">for the purposes of the definition of </w:t>
      </w:r>
      <w:r>
        <w:rPr>
          <w:rFonts w:ascii="Arial"/>
          <w:color w:val="000000"/>
          <w:sz w:val="24"/>
        </w:rPr>
        <w:t>“</w:t>
      </w:r>
      <w:r>
        <w:rPr>
          <w:rFonts w:ascii="Arial"/>
          <w:color w:val="000000"/>
          <w:sz w:val="24"/>
        </w:rPr>
        <w:t>shop top housing</w:t>
      </w:r>
      <w:r>
        <w:rPr>
          <w:rFonts w:ascii="Arial"/>
          <w:color w:val="000000"/>
          <w:sz w:val="24"/>
        </w:rPr>
        <w:t>”</w:t>
      </w:r>
      <w:r>
        <w:rPr>
          <w:rFonts w:ascii="Arial"/>
          <w:color w:val="000000"/>
          <w:sz w:val="24"/>
        </w:rPr>
        <w:t>, the dwelling</w:t>
      </w:r>
      <w:r>
        <w:rPr>
          <w:rFonts w:ascii="Arial"/>
          <w:color w:val="000000"/>
          <w:sz w:val="24"/>
        </w:rPr>
        <w:t>s</w:t>
      </w:r>
      <w:r>
        <w:rPr>
          <w:rFonts w:ascii="Arial"/>
          <w:color w:val="000000"/>
          <w:sz w:val="24"/>
        </w:rPr>
        <w:t xml:space="preserve"> </w:t>
      </w:r>
      <w:r>
        <w:rPr>
          <w:rFonts w:ascii="Arial"/>
          <w:color w:val="000000"/>
          <w:sz w:val="24"/>
        </w:rPr>
        <w:t>do not need to be vertically directly above the ground floor retail premises or business premises but can be laterally displaced provided the floor of the dwelling</w:t>
      </w:r>
      <w:r>
        <w:rPr>
          <w:rFonts w:ascii="Arial"/>
          <w:color w:val="000000"/>
          <w:sz w:val="24"/>
        </w:rPr>
        <w:t>s</w:t>
      </w:r>
      <w:r>
        <w:rPr>
          <w:rFonts w:ascii="Arial"/>
          <w:color w:val="000000"/>
          <w:sz w:val="24"/>
        </w:rPr>
        <w:t xml:space="preserve"> </w:t>
      </w:r>
      <w:r>
        <w:rPr>
          <w:rFonts w:ascii="Arial"/>
          <w:color w:val="000000"/>
          <w:sz w:val="24"/>
        </w:rPr>
        <w:t>is higher than the ceiling of the ground floor retail premises or business premises.</w:t>
      </w:r>
    </w:p>
    <w:p>
      <w:pPr>
        <w:pStyle w:val="CaselawNumbered10"/>
        <w:numPr>
          <w:ilvl w:val="0"/>
          <w:numId w:val="52"/>
        </w:numPr>
        <w:spacing w:before="150" w:after="0"/>
        <w:ind w:left="600" w:hanging="600"/>
      </w:pPr>
      <w:r>
        <w:rPr>
          <w:rFonts w:ascii="Arial"/>
          <w:color w:val="000000"/>
          <w:sz w:val="24"/>
        </w:rPr>
        <w:t xml:space="preserve">Mr </w:t>
      </w:r>
      <w:r>
        <w:rPr>
          <w:rFonts w:ascii="Arial"/>
          <w:color w:val="000000"/>
          <w:sz w:val="24"/>
        </w:rPr>
        <w:t>Lahoud</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argument was encapsulated in his senior counsel</w:t>
      </w:r>
      <w:r>
        <w:rPr>
          <w:rFonts w:ascii="Arial"/>
          <w:color w:val="000000"/>
          <w:sz w:val="24"/>
        </w:rPr>
        <w:t>’</w:t>
      </w:r>
      <w:r>
        <w:rPr>
          <w:rFonts w:ascii="Arial"/>
          <w:color w:val="000000"/>
          <w:sz w:val="24"/>
        </w:rPr>
        <w:t>s written submission, quoted by the primary judge in [207]:</w:t>
      </w:r>
    </w:p>
    <w:p>
      <w:pPr>
        <w:pStyle w:val="CaselawQuote"/>
        <w:spacing w:before="150" w:after="150"/>
        <w:ind w:left="1350"/>
        <w:jc w:val="left"/>
      </w:pPr>
      <w:r>
        <w:rPr>
          <w:rFonts w:ascii="Arial"/>
          <w:color w:val="000000"/>
          <w:sz w:val="22"/>
        </w:rPr>
        <w:t>“56.</w:t>
      </w:r>
      <w:r>
        <w:rPr>
          <w:rFonts w:ascii="Arial"/>
          <w:color w:val="000000"/>
          <w:sz w:val="22"/>
        </w:rPr>
        <w:t xml:space="preserve"> </w:t>
      </w:r>
      <w:r>
        <w:rPr>
          <w:rFonts w:ascii="Arial"/>
          <w:color w:val="000000"/>
          <w:sz w:val="22"/>
        </w:rPr>
        <w:t>… Only one of the car spaces is designated for use by the business premises. Adopting the Court’s approach to the characterisation of car parking spaces in</w:t>
      </w:r>
      <w:r>
        <w:rPr>
          <w:rFonts w:ascii="Arial"/>
          <w:color w:val="000000"/>
          <w:sz w:val="22"/>
        </w:rPr>
        <w:t xml:space="preserve"> </w:t>
      </w:r>
      <w:r>
        <w:rPr>
          <w:rFonts w:ascii="Arial"/>
          <w:color w:val="000000"/>
          <w:sz w:val="22"/>
        </w:rPr>
        <w:t>Arco Iris Trading Pty Ltd v North Sydney Council</w:t>
      </w:r>
      <w:r>
        <w:rPr>
          <w:rFonts w:ascii="Arial"/>
          <w:color w:val="000000"/>
          <w:sz w:val="22"/>
        </w:rPr>
        <w:t xml:space="preserve"> </w:t>
      </w:r>
      <w:r>
        <w:rPr>
          <w:rFonts w:ascii="Arial"/>
          <w:color w:val="000000"/>
          <w:sz w:val="22"/>
        </w:rPr>
        <w:t>[2015]</w:t>
      </w:r>
      <w:r>
        <w:rPr>
          <w:rFonts w:ascii="Arial"/>
          <w:color w:val="000000"/>
          <w:sz w:val="22"/>
        </w:rPr>
        <w:t xml:space="preserve"> </w:t>
      </w:r>
      <w:r>
        <w:rPr>
          <w:rFonts w:ascii="Arial"/>
          <w:color w:val="000000"/>
          <w:sz w:val="22"/>
        </w:rPr>
        <w:t>NSWLEC</w:t>
      </w:r>
      <w:r>
        <w:rPr>
          <w:rFonts w:ascii="Arial"/>
          <w:color w:val="000000"/>
          <w:sz w:val="22"/>
        </w:rPr>
        <w:t xml:space="preserve"> </w:t>
      </w:r>
      <w:r>
        <w:rPr>
          <w:rFonts w:ascii="Arial"/>
          <w:color w:val="000000"/>
          <w:sz w:val="22"/>
        </w:rPr>
        <w:t>1113 at [23]</w:t>
      </w:r>
      <w:r>
        <w:rPr>
          <w:rFonts w:ascii="Arial"/>
          <w:color w:val="000000"/>
          <w:sz w:val="22"/>
        </w:rPr>
        <w:t xml:space="preserve"/>
      </w:r>
      <w:r>
        <w:rPr>
          <w:rFonts w:ascii="Arial"/>
          <w:color w:val="000000"/>
          <w:sz w:val="22"/>
        </w:rPr>
        <w:noBreakHyphen/>
      </w:r>
      <w:r>
        <w:rPr>
          <w:rFonts w:ascii="Arial"/>
          <w:color w:val="000000"/>
          <w:sz w:val="22"/>
        </w:rPr>
        <w:t>[30], the car spaces are properly characterised as for residential uses, not business or retail premises, and bearing in mind that the test is whether dwellings are above the</w:t>
      </w:r>
      <w:r>
        <w:rPr>
          <w:rFonts w:ascii="Arial"/>
          <w:color w:val="000000"/>
          <w:sz w:val="22"/>
        </w:rPr>
        <w:t xml:space="preserve"> </w:t>
      </w:r>
      <w:r>
        <w:rPr>
          <w:rFonts w:ascii="Arial"/>
          <w:color w:val="000000"/>
          <w:sz w:val="22"/>
        </w:rPr>
        <w:t>ground</w:t>
      </w:r>
      <w:r>
        <w:rPr>
          <w:rFonts w:ascii="Arial"/>
          <w:color w:val="000000"/>
          <w:sz w:val="22"/>
        </w:rPr>
        <w:t xml:space="preserve"> </w:t>
      </w:r>
      <w:r>
        <w:rPr>
          <w:rFonts w:ascii="Arial"/>
          <w:color w:val="000000"/>
          <w:sz w:val="22"/>
        </w:rPr>
        <w:t>floor, whether there is required to be a true vertical correlation or it is permissible for there to be a lateral displacement, the proposed dwellings are not “above” business or retail premises.”</w:t>
      </w:r>
    </w:p>
    <w:p>
      <w:pPr>
        <w:pStyle w:val="CaselawNumbered10"/>
        <w:numPr>
          <w:ilvl w:val="0"/>
          <w:numId w:val="53"/>
        </w:numPr>
        <w:spacing w:before="150" w:after="0"/>
        <w:ind w:left="600" w:hanging="600"/>
      </w:pPr>
      <w:r>
        <w:rPr>
          <w:rFonts w:ascii="Arial"/>
          <w:color w:val="000000"/>
          <w:sz w:val="24"/>
        </w:rPr>
        <w:t>The primary judge found</w:t>
      </w:r>
      <w:r>
        <w:rPr>
          <w:rFonts w:ascii="Arial"/>
          <w:color w:val="000000"/>
          <w:sz w:val="24"/>
        </w:rPr>
        <w:t xml:space="preserve"> </w:t>
      </w:r>
      <w:r>
        <w:rPr>
          <w:rFonts w:ascii="Arial"/>
          <w:color w:val="000000"/>
          <w:sz w:val="24"/>
        </w:rPr>
        <w:t>that</w:t>
      </w:r>
      <w:r>
        <w:rPr>
          <w:rFonts w:ascii="Arial"/>
          <w:color w:val="000000"/>
          <w:sz w:val="24"/>
        </w:rPr>
        <w:t xml:space="preserve"> </w:t>
      </w:r>
      <w:r>
        <w:rPr>
          <w:rFonts w:ascii="Arial"/>
          <w:color w:val="000000"/>
          <w:sz w:val="24"/>
        </w:rPr>
        <w:t>ground 3 failed</w:t>
      </w:r>
      <w:r>
        <w:rPr>
          <w:rFonts w:ascii="Arial"/>
          <w:color w:val="000000"/>
          <w:sz w:val="24"/>
        </w:rPr>
        <w:t>. His Honour did so,</w:t>
      </w:r>
      <w:r>
        <w:rPr>
          <w:rFonts w:ascii="Arial"/>
          <w:color w:val="000000"/>
          <w:sz w:val="24"/>
        </w:rPr>
        <w:t xml:space="preserve"> </w:t>
      </w:r>
      <w:r>
        <w:rPr>
          <w:rFonts w:ascii="Arial"/>
          <w:color w:val="000000"/>
          <w:sz w:val="24"/>
        </w:rPr>
        <w:t xml:space="preserve">not </w:t>
      </w:r>
      <w:r>
        <w:rPr>
          <w:rFonts w:ascii="Arial"/>
          <w:color w:val="000000"/>
          <w:sz w:val="24"/>
        </w:rPr>
        <w:t xml:space="preserve">by rejecting the above argument as actually made by Mr </w:t>
      </w:r>
      <w:r>
        <w:rPr>
          <w:rFonts w:ascii="Arial"/>
          <w:color w:val="000000"/>
          <w:sz w:val="24"/>
        </w:rPr>
        <w:t>Lahoud</w:t>
      </w:r>
      <w:r>
        <w:rPr>
          <w:rFonts w:ascii="Arial"/>
          <w:color w:val="000000"/>
          <w:sz w:val="24"/>
        </w:rPr>
        <w:t>,</w:t>
      </w:r>
      <w:r>
        <w:rPr>
          <w:rFonts w:ascii="Arial"/>
          <w:color w:val="000000"/>
          <w:sz w:val="24"/>
        </w:rPr>
        <w:t xml:space="preserve"> </w:t>
      </w:r>
      <w:r>
        <w:rPr>
          <w:rFonts w:ascii="Arial"/>
          <w:color w:val="000000"/>
          <w:sz w:val="24"/>
        </w:rPr>
        <w:t xml:space="preserve">but </w:t>
      </w:r>
      <w:r>
        <w:rPr>
          <w:rFonts w:ascii="Arial"/>
          <w:color w:val="000000"/>
          <w:sz w:val="24"/>
        </w:rPr>
        <w:t>rather</w:t>
      </w:r>
      <w:r>
        <w:rPr>
          <w:rFonts w:ascii="Arial"/>
          <w:color w:val="000000"/>
          <w:sz w:val="24"/>
        </w:rPr>
        <w:t xml:space="preserve"> </w:t>
      </w:r>
      <w:r>
        <w:rPr>
          <w:rFonts w:ascii="Arial"/>
          <w:color w:val="000000"/>
          <w:sz w:val="24"/>
        </w:rPr>
        <w:t xml:space="preserve">by rejecting </w:t>
      </w:r>
      <w:r>
        <w:rPr>
          <w:rFonts w:ascii="Arial"/>
          <w:color w:val="000000"/>
          <w:sz w:val="24"/>
        </w:rPr>
        <w:t>the argument</w:t>
      </w:r>
      <w:r>
        <w:rPr>
          <w:rFonts w:ascii="Arial"/>
          <w:color w:val="000000"/>
          <w:sz w:val="24"/>
        </w:rPr>
        <w:t xml:space="preserve"> </w:t>
      </w:r>
      <w:r>
        <w:rPr>
          <w:rFonts w:ascii="Arial"/>
          <w:color w:val="000000"/>
          <w:sz w:val="24"/>
        </w:rPr>
        <w:t xml:space="preserve">he believed Mr </w:t>
      </w:r>
      <w:r>
        <w:rPr>
          <w:rFonts w:ascii="Arial"/>
          <w:color w:val="000000"/>
          <w:sz w:val="24"/>
        </w:rPr>
        <w:t>Lahoud</w:t>
      </w:r>
      <w:r>
        <w:rPr>
          <w:rFonts w:ascii="Arial"/>
          <w:color w:val="000000"/>
          <w:sz w:val="24"/>
        </w:rPr>
        <w:t xml:space="preserve"> </w:t>
      </w:r>
      <w:r>
        <w:rPr>
          <w:rFonts w:ascii="Arial"/>
          <w:color w:val="000000"/>
          <w:sz w:val="24"/>
        </w:rPr>
        <w:t xml:space="preserve">to have made, namely </w:t>
      </w:r>
      <w:r>
        <w:rPr>
          <w:rFonts w:ascii="Arial"/>
          <w:color w:val="000000"/>
          <w:sz w:val="24"/>
        </w:rPr>
        <w:t>that his</w:t>
      </w:r>
      <w:r>
        <w:rPr>
          <w:rFonts w:ascii="Arial"/>
          <w:color w:val="000000"/>
          <w:sz w:val="24"/>
        </w:rPr>
        <w:t xml:space="preserve"> </w:t>
      </w:r>
      <w:r>
        <w:rPr>
          <w:rFonts w:ascii="Arial"/>
          <w:color w:val="000000"/>
          <w:sz w:val="24"/>
        </w:rPr>
        <w:t>Honour</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 xml:space="preserve">decision in </w:t>
      </w:r>
      <w:r>
        <w:rPr>
          <w:rFonts w:ascii="Arial"/>
          <w:i/>
          <w:color w:val="000000"/>
          <w:sz w:val="24"/>
        </w:rPr>
        <w:t>Arco Iris Trading</w:t>
      </w:r>
      <w:r>
        <w:rPr>
          <w:rFonts w:ascii="Arial"/>
          <w:color w:val="000000"/>
          <w:sz w:val="24"/>
        </w:rPr>
        <w:t xml:space="preserve"> </w:t>
      </w:r>
      <w:r>
        <w:rPr>
          <w:rFonts w:ascii="Arial"/>
          <w:color w:val="000000"/>
          <w:sz w:val="24"/>
        </w:rPr>
        <w:t>“</w:t>
      </w:r>
      <w:r>
        <w:rPr>
          <w:rFonts w:ascii="Arial"/>
          <w:color w:val="000000"/>
          <w:sz w:val="24"/>
        </w:rPr>
        <w:t>was inappropriately expansive and that a direct vertical linear relationship was required for the purposes of establishing that residential accommodation could satisfy the terms of the definition</w:t>
      </w:r>
      <w:r>
        <w:rPr>
          <w:rFonts w:ascii="Arial"/>
          <w:color w:val="000000"/>
          <w:sz w:val="24"/>
        </w:rPr>
        <w:t>”</w:t>
      </w:r>
      <w:r>
        <w:rPr>
          <w:rFonts w:ascii="Arial"/>
          <w:color w:val="000000"/>
          <w:sz w:val="24"/>
        </w:rPr>
        <w:t>: at [213]. The primary judge concluded at [218]:</w:t>
      </w:r>
    </w:p>
    <w:p>
      <w:pPr>
        <w:pStyle w:val="CaselawQuote"/>
        <w:spacing w:before="150" w:after="150"/>
        <w:ind w:left="1350"/>
        <w:jc w:val="left"/>
      </w:pPr>
      <w:r>
        <w:rPr>
          <w:rFonts w:ascii="Arial"/>
          <w:color w:val="000000"/>
          <w:sz w:val="22"/>
        </w:rPr>
        <w:t>“However, having carefully considered Mr Robertson's submissions, I am not persuaded that the view which I had expressed in </w:t>
      </w:r>
      <w:r>
        <w:rPr>
          <w:rFonts w:ascii="Arial"/>
          <w:color w:val="000000"/>
          <w:sz w:val="22"/>
        </w:rPr>
        <w:t>Arco Iris</w:t>
      </w:r>
      <w:r>
        <w:rPr>
          <w:rFonts w:ascii="Arial"/>
          <w:color w:val="000000"/>
          <w:sz w:val="22"/>
        </w:rPr>
        <w:t> is incorrect. I remain satisfied that there is no necessity for any vertical linear relationship between any apartment falling within the concept of shop top housing to be directly above any of the ground floor commercial or business premises that provide the anchoring foundation for the permissibility of such a development. To adopt the approach advanced for the Applicant, I am satisfied, would lead to a perverse and irrational outcome by rendering it impossible to approve any of the apartments above the ground level that were entirely to the north of an imaginary vertical line drawn from the northernmost extent of the commercial premises on the ground floor.”</w:t>
      </w:r>
    </w:p>
    <w:p>
      <w:pPr>
        <w:pStyle w:val="CaselawNumbered10"/>
        <w:numPr>
          <w:ilvl w:val="0"/>
          <w:numId w:val="54"/>
        </w:numPr>
        <w:spacing w:before="150" w:after="0"/>
        <w:ind w:left="600" w:hanging="600"/>
      </w:pPr>
      <w:r>
        <w:rPr>
          <w:rFonts w:ascii="Arial"/>
          <w:color w:val="000000"/>
          <w:sz w:val="24"/>
        </w:rPr>
        <w:t xml:space="preserve">Mr </w:t>
      </w:r>
      <w:r>
        <w:rPr>
          <w:rFonts w:ascii="Arial"/>
          <w:color w:val="000000"/>
          <w:sz w:val="24"/>
        </w:rPr>
        <w:t>Lahoud</w:t>
      </w:r>
      <w:r>
        <w:rPr>
          <w:rFonts w:ascii="Arial"/>
          <w:color w:val="000000"/>
          <w:sz w:val="24"/>
        </w:rPr>
        <w:t xml:space="preserve"> </w:t>
      </w:r>
      <w:r>
        <w:rPr>
          <w:rFonts w:ascii="Arial"/>
          <w:color w:val="000000"/>
          <w:sz w:val="24"/>
        </w:rPr>
        <w:t xml:space="preserve">challenged </w:t>
      </w:r>
      <w:r>
        <w:rPr>
          <w:rFonts w:ascii="Arial"/>
          <w:color w:val="000000"/>
          <w:sz w:val="24"/>
        </w:rPr>
        <w:t>the</w:t>
      </w:r>
      <w:r>
        <w:rPr>
          <w:rFonts w:ascii="Arial"/>
          <w:color w:val="000000"/>
          <w:sz w:val="24"/>
        </w:rPr>
        <w:t xml:space="preserve"> </w:t>
      </w:r>
      <w:r>
        <w:rPr>
          <w:rFonts w:ascii="Arial"/>
          <w:color w:val="000000"/>
          <w:sz w:val="24"/>
        </w:rPr>
        <w:t>primary judge</w:t>
      </w:r>
      <w:r>
        <w:rPr>
          <w:rFonts w:ascii="Arial"/>
          <w:color w:val="000000"/>
          <w:sz w:val="24"/>
        </w:rPr>
        <w:t>’</w:t>
      </w:r>
      <w:r>
        <w:rPr>
          <w:rFonts w:ascii="Arial"/>
          <w:color w:val="000000"/>
          <w:sz w:val="24"/>
        </w:rPr>
        <w:t>s decisions on two related grounds</w:t>
      </w:r>
      <w:r>
        <w:rPr>
          <w:rFonts w:ascii="Arial"/>
          <w:color w:val="000000"/>
          <w:sz w:val="24"/>
        </w:rPr>
        <w:t xml:space="preserve"> </w:t>
      </w:r>
      <w:r>
        <w:rPr>
          <w:rFonts w:ascii="Arial"/>
          <w:color w:val="000000"/>
          <w:sz w:val="24"/>
        </w:rPr>
        <w:t>of appeal</w:t>
      </w:r>
      <w:r>
        <w:rPr>
          <w:rFonts w:ascii="Arial"/>
          <w:color w:val="000000"/>
          <w:sz w:val="24"/>
        </w:rPr>
        <w:t>: first, that the primary judge erred in not finding that the development was prohibited development because it was not for the permissible use of shop top housing (ground 7) and</w:t>
      </w:r>
      <w:r>
        <w:rPr>
          <w:rFonts w:ascii="Arial"/>
          <w:color w:val="000000"/>
          <w:sz w:val="24"/>
        </w:rPr>
        <w:t>,</w:t>
      </w:r>
      <w:r>
        <w:rPr>
          <w:rFonts w:ascii="Arial"/>
          <w:color w:val="000000"/>
          <w:sz w:val="24"/>
        </w:rPr>
        <w:t xml:space="preserve"> </w:t>
      </w:r>
      <w:r>
        <w:rPr>
          <w:rFonts w:ascii="Arial"/>
          <w:color w:val="000000"/>
          <w:sz w:val="24"/>
        </w:rPr>
        <w:t>second</w:t>
      </w:r>
      <w:r>
        <w:rPr>
          <w:rFonts w:ascii="Arial"/>
          <w:color w:val="000000"/>
          <w:sz w:val="24"/>
        </w:rPr>
        <w:t>,</w:t>
      </w:r>
      <w:r>
        <w:rPr>
          <w:rFonts w:ascii="Arial"/>
          <w:color w:val="000000"/>
          <w:sz w:val="24"/>
        </w:rPr>
        <w:t xml:space="preserve"> </w:t>
      </w:r>
      <w:r>
        <w:rPr>
          <w:rFonts w:ascii="Arial"/>
          <w:color w:val="000000"/>
          <w:sz w:val="24"/>
        </w:rPr>
        <w:t xml:space="preserve">that the primary judge erred in not finding that the development was not for shop top housing, because two thirds of the ground floor of the building (predominantly the carpark) was for residential use and </w:t>
      </w:r>
      <w:r>
        <w:rPr>
          <w:rFonts w:ascii="Arial"/>
          <w:color w:val="000000"/>
          <w:sz w:val="24"/>
        </w:rPr>
        <w:t xml:space="preserve">was </w:t>
      </w:r>
      <w:r>
        <w:rPr>
          <w:rFonts w:ascii="Arial"/>
          <w:color w:val="000000"/>
          <w:sz w:val="24"/>
        </w:rPr>
        <w:t>not used for commercial premises (retail premises or business premises) (ground 8).</w:t>
      </w:r>
    </w:p>
    <w:p>
      <w:pPr>
        <w:pStyle w:val="CaselawNumbered10"/>
        <w:numPr>
          <w:ilvl w:val="0"/>
          <w:numId w:val="54"/>
        </w:numPr>
        <w:spacing w:before="150" w:after="0"/>
        <w:ind w:left="600" w:hanging="600"/>
      </w:pPr>
      <w:r>
        <w:rPr>
          <w:rFonts w:ascii="Arial"/>
          <w:color w:val="000000"/>
          <w:sz w:val="24"/>
        </w:rPr>
        <w:t xml:space="preserve">The question of </w:t>
      </w:r>
      <w:r>
        <w:rPr>
          <w:rFonts w:ascii="Arial"/>
          <w:color w:val="000000"/>
          <w:sz w:val="24"/>
        </w:rPr>
        <w:t xml:space="preserve">characterisation of </w:t>
      </w:r>
      <w:r>
        <w:rPr>
          <w:rFonts w:ascii="Arial"/>
          <w:color w:val="000000"/>
          <w:sz w:val="24"/>
        </w:rPr>
        <w:t xml:space="preserve">whether the proposed development is for the permissible use of shop top housing </w:t>
      </w:r>
      <w:r>
        <w:rPr>
          <w:rFonts w:ascii="Arial"/>
          <w:color w:val="000000"/>
          <w:sz w:val="24"/>
        </w:rPr>
        <w:t>raise</w:t>
      </w:r>
      <w:r>
        <w:rPr>
          <w:rFonts w:ascii="Arial"/>
          <w:color w:val="000000"/>
          <w:sz w:val="24"/>
        </w:rPr>
        <w:t>s</w:t>
      </w:r>
      <w:r>
        <w:rPr>
          <w:rFonts w:ascii="Arial"/>
          <w:color w:val="000000"/>
          <w:sz w:val="24"/>
        </w:rPr>
        <w:t xml:space="preserve"> </w:t>
      </w:r>
      <w:r>
        <w:rPr>
          <w:rFonts w:ascii="Arial"/>
          <w:color w:val="000000"/>
          <w:sz w:val="24"/>
        </w:rPr>
        <w:t xml:space="preserve">a jurisdictional fact: </w:t>
      </w:r>
      <w:r>
        <w:rPr>
          <w:rFonts w:ascii="Arial"/>
          <w:i/>
          <w:color w:val="000000"/>
          <w:sz w:val="24"/>
        </w:rPr>
        <w:t>Woolworths Ltd v Pallas Newco Pty Ltd</w:t>
      </w:r>
      <w:r>
        <w:rPr>
          <w:rFonts w:ascii="Arial"/>
          <w:color w:val="000000"/>
          <w:sz w:val="24"/>
        </w:rPr>
        <w:t xml:space="preserve"> </w:t>
      </w:r>
      <w:r>
        <w:rPr>
          <w:rFonts w:ascii="Arial"/>
          <w:color w:val="000000"/>
          <w:sz w:val="24"/>
        </w:rPr>
        <w:t xml:space="preserve">(2004) 61 NSWLR 707; [2004] NSWCA 422 at [86], [88], [136], [140], [181]-[182], [219]. Hence, the primary judge could decide the question on the evidence before the court. The primary judge did so, but in doing so, did not address Mr </w:t>
      </w:r>
      <w:r>
        <w:rPr>
          <w:rFonts w:ascii="Arial"/>
          <w:color w:val="000000"/>
          <w:sz w:val="24"/>
        </w:rPr>
        <w:t>Lahoud</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argument. Nevertheless, the primary judge</w:t>
      </w:r>
      <w:r>
        <w:rPr>
          <w:rFonts w:ascii="Arial"/>
          <w:color w:val="000000"/>
          <w:sz w:val="24"/>
        </w:rPr>
        <w:t>’</w:t>
      </w:r>
      <w:r>
        <w:rPr>
          <w:rFonts w:ascii="Arial"/>
          <w:color w:val="000000"/>
          <w:sz w:val="24"/>
        </w:rPr>
        <w:t xml:space="preserve">s conclusion that the development could be characterised as being for </w:t>
      </w:r>
      <w:r>
        <w:rPr>
          <w:rFonts w:ascii="Arial"/>
          <w:color w:val="000000"/>
          <w:sz w:val="24"/>
        </w:rPr>
        <w:t>“</w:t>
      </w:r>
      <w:r>
        <w:rPr>
          <w:rFonts w:ascii="Arial"/>
          <w:color w:val="000000"/>
          <w:sz w:val="24"/>
        </w:rPr>
        <w:t>shop top housing</w:t>
      </w:r>
      <w:r>
        <w:rPr>
          <w:rFonts w:ascii="Arial"/>
          <w:color w:val="000000"/>
          <w:sz w:val="24"/>
        </w:rPr>
        <w:t xml:space="preserve">” </w:t>
      </w:r>
      <w:r>
        <w:rPr>
          <w:rFonts w:ascii="Arial"/>
          <w:color w:val="000000"/>
          <w:sz w:val="24"/>
        </w:rPr>
        <w:t xml:space="preserve">was correct, as </w:t>
      </w:r>
      <w:r>
        <w:rPr>
          <w:rFonts w:ascii="Arial"/>
          <w:color w:val="000000"/>
          <w:sz w:val="24"/>
        </w:rPr>
        <w:t xml:space="preserve">Mr </w:t>
      </w:r>
      <w:r>
        <w:rPr>
          <w:rFonts w:ascii="Arial"/>
          <w:color w:val="000000"/>
          <w:sz w:val="24"/>
        </w:rPr>
        <w:t>Lahoud</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argument was flawed.</w:t>
      </w:r>
    </w:p>
    <w:p>
      <w:pPr>
        <w:pStyle w:val="CaselawNumbered10"/>
        <w:numPr>
          <w:ilvl w:val="0"/>
          <w:numId w:val="54"/>
        </w:numPr>
        <w:spacing w:before="150" w:after="0"/>
        <w:ind w:left="600" w:hanging="600"/>
      </w:pPr>
      <w:r>
        <w:rPr>
          <w:rFonts w:ascii="Arial"/>
          <w:color w:val="000000"/>
          <w:sz w:val="24"/>
        </w:rPr>
        <w:t xml:space="preserve">Mr </w:t>
      </w:r>
      <w:r>
        <w:rPr>
          <w:rFonts w:ascii="Arial"/>
          <w:color w:val="000000"/>
          <w:sz w:val="24"/>
        </w:rPr>
        <w:t>Lahoud</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 xml:space="preserve">argument was based on two incorrect interpretations of the definition of </w:t>
      </w:r>
      <w:r>
        <w:rPr>
          <w:rFonts w:ascii="Arial"/>
          <w:color w:val="000000"/>
          <w:sz w:val="24"/>
        </w:rPr>
        <w:t>“</w:t>
      </w:r>
      <w:r>
        <w:rPr>
          <w:rFonts w:ascii="Arial"/>
          <w:color w:val="000000"/>
          <w:sz w:val="24"/>
        </w:rPr>
        <w:t>shop top housing.</w:t>
      </w:r>
      <w:r>
        <w:rPr>
          <w:rFonts w:ascii="Arial"/>
          <w:color w:val="000000"/>
          <w:sz w:val="24"/>
        </w:rPr>
        <w:t xml:space="preserve">” </w:t>
      </w:r>
      <w:r>
        <w:rPr>
          <w:rFonts w:ascii="Arial"/>
          <w:color w:val="000000"/>
          <w:sz w:val="24"/>
        </w:rPr>
        <w:t xml:space="preserve">The first was that the phrase </w:t>
      </w:r>
      <w:r>
        <w:rPr>
          <w:rFonts w:ascii="Arial"/>
          <w:color w:val="000000"/>
          <w:sz w:val="24"/>
        </w:rPr>
        <w:t>“</w:t>
      </w:r>
      <w:r>
        <w:rPr>
          <w:rFonts w:ascii="Arial"/>
          <w:color w:val="000000"/>
          <w:sz w:val="24"/>
        </w:rPr>
        <w:t>ground floor retail premises or business premises</w:t>
      </w:r>
      <w:r>
        <w:rPr>
          <w:rFonts w:ascii="Arial"/>
          <w:color w:val="000000"/>
          <w:sz w:val="24"/>
        </w:rPr>
        <w:t xml:space="preserve">” </w:t>
      </w:r>
      <w:r>
        <w:rPr>
          <w:rFonts w:ascii="Arial"/>
          <w:color w:val="000000"/>
          <w:sz w:val="24"/>
        </w:rPr>
        <w:t xml:space="preserve">demands that the whole of </w:t>
      </w:r>
      <w:r>
        <w:rPr>
          <w:rFonts w:ascii="Arial"/>
          <w:color w:val="000000"/>
          <w:sz w:val="24"/>
        </w:rPr>
        <w:t xml:space="preserve">the ground floor of </w:t>
      </w:r>
      <w:r>
        <w:rPr>
          <w:rFonts w:ascii="Arial"/>
          <w:color w:val="000000"/>
          <w:sz w:val="24"/>
        </w:rPr>
        <w:t>the building be used for retail premises or business premises. This first interpretation under</w:t>
      </w:r>
      <w:r>
        <w:rPr>
          <w:rFonts w:ascii="Arial"/>
          <w:color w:val="000000"/>
          <w:sz w:val="24"/>
        </w:rPr>
        <w:t>lay</w:t>
      </w:r>
      <w:r>
        <w:rPr>
          <w:rFonts w:ascii="Arial"/>
          <w:color w:val="000000"/>
          <w:sz w:val="24"/>
        </w:rPr>
        <w:t xml:space="preserve"> </w:t>
      </w:r>
      <w:r>
        <w:rPr>
          <w:rFonts w:ascii="Arial"/>
          <w:color w:val="000000"/>
          <w:sz w:val="24"/>
        </w:rPr>
        <w:t xml:space="preserve">the argument that because the carpark on the ground floor of the building could not be characterised as being for retail premises or business premises (two types of commercial premises), then the dwellings above the ground floor could not answer the description in the definition of being </w:t>
      </w:r>
      <w:r>
        <w:rPr>
          <w:rFonts w:ascii="Arial"/>
          <w:color w:val="000000"/>
          <w:sz w:val="24"/>
        </w:rPr>
        <w:t>“</w:t>
      </w:r>
      <w:r>
        <w:rPr>
          <w:rFonts w:ascii="Arial"/>
          <w:color w:val="000000"/>
          <w:sz w:val="24"/>
        </w:rPr>
        <w:t>above ground floor retail or business premises.</w:t>
      </w:r>
      <w:r>
        <w:rPr>
          <w:rFonts w:ascii="Arial"/>
          <w:color w:val="000000"/>
          <w:sz w:val="24"/>
        </w:rPr>
        <w:t xml:space="preserve">” </w:t>
      </w:r>
      <w:r>
        <w:rPr>
          <w:rFonts w:ascii="Arial"/>
          <w:color w:val="000000"/>
          <w:sz w:val="24"/>
        </w:rPr>
        <w:t xml:space="preserve">This interpretation is incorrect. The phrase in the definition does not demand that the whole </w:t>
      </w:r>
      <w:r>
        <w:rPr>
          <w:rFonts w:ascii="Arial"/>
          <w:color w:val="000000"/>
          <w:sz w:val="24"/>
        </w:rPr>
        <w:t xml:space="preserve">or even </w:t>
      </w:r>
      <w:r>
        <w:rPr>
          <w:rFonts w:ascii="Arial"/>
          <w:color w:val="000000"/>
          <w:sz w:val="24"/>
        </w:rPr>
        <w:t xml:space="preserve">the majority </w:t>
      </w:r>
      <w:r>
        <w:rPr>
          <w:rFonts w:ascii="Arial"/>
          <w:color w:val="000000"/>
          <w:sz w:val="24"/>
        </w:rPr>
        <w:t>of</w:t>
      </w:r>
      <w:r>
        <w:rPr>
          <w:rFonts w:ascii="Arial"/>
          <w:color w:val="000000"/>
          <w:sz w:val="24"/>
        </w:rPr>
        <w:t xml:space="preserve"> </w:t>
      </w:r>
      <w:r>
        <w:rPr>
          <w:rFonts w:ascii="Arial"/>
          <w:color w:val="000000"/>
          <w:sz w:val="24"/>
        </w:rPr>
        <w:t>the ground floor of a building be used for retail premises or business premises</w:t>
      </w:r>
      <w:r>
        <w:rPr>
          <w:rFonts w:ascii="Arial"/>
          <w:color w:val="000000"/>
          <w:sz w:val="24"/>
        </w:rPr>
        <w:t>.</w:t>
      </w:r>
      <w:r>
        <w:rPr>
          <w:rFonts w:ascii="Arial"/>
          <w:color w:val="000000"/>
          <w:sz w:val="24"/>
        </w:rPr>
        <w:t xml:space="preserve"> </w:t>
      </w:r>
      <w:r>
        <w:rPr>
          <w:rFonts w:ascii="Arial"/>
          <w:color w:val="000000"/>
          <w:sz w:val="24"/>
        </w:rPr>
        <w:t xml:space="preserve">Rather, it requires </w:t>
      </w:r>
      <w:r>
        <w:rPr>
          <w:rFonts w:ascii="Arial"/>
          <w:color w:val="000000"/>
          <w:sz w:val="24"/>
        </w:rPr>
        <w:t xml:space="preserve">only that there be retail premises or business premises on the ground floor </w:t>
      </w:r>
      <w:r>
        <w:rPr>
          <w:rFonts w:ascii="Arial"/>
          <w:color w:val="000000"/>
          <w:sz w:val="24"/>
        </w:rPr>
        <w:t>of the building. The proposed development did propose two business premises on the ground floor, a larger one with access from Sailors Bay Road and a smaller on</w:t>
      </w:r>
      <w:r>
        <w:rPr>
          <w:rFonts w:ascii="Arial"/>
          <w:color w:val="000000"/>
          <w:sz w:val="24"/>
        </w:rPr>
        <w:t>e</w:t>
      </w:r>
      <w:r>
        <w:rPr>
          <w:rFonts w:ascii="Arial"/>
          <w:color w:val="000000"/>
          <w:sz w:val="24"/>
        </w:rPr>
        <w:t xml:space="preserve"> </w:t>
      </w:r>
      <w:r>
        <w:rPr>
          <w:rFonts w:ascii="Arial"/>
          <w:color w:val="000000"/>
          <w:sz w:val="24"/>
        </w:rPr>
        <w:t xml:space="preserve">with access from Harden Avenue. Those business premises accounted for around 40% of the length of the building fronting Harden Avenue, according to the Council </w:t>
      </w:r>
      <w:r>
        <w:rPr>
          <w:rFonts w:ascii="Arial"/>
          <w:color w:val="000000"/>
          <w:sz w:val="24"/>
        </w:rPr>
        <w:t>assessment</w:t>
      </w:r>
      <w:r>
        <w:rPr>
          <w:rFonts w:ascii="Arial"/>
          <w:color w:val="000000"/>
          <w:sz w:val="24"/>
        </w:rPr>
        <w:t xml:space="preserve"> </w:t>
      </w:r>
      <w:r>
        <w:rPr>
          <w:rFonts w:ascii="Arial"/>
          <w:color w:val="000000"/>
          <w:sz w:val="24"/>
        </w:rPr>
        <w:t xml:space="preserve">report. That proportion of the ground floor of the building being used for business premises cannot be viewed </w:t>
      </w:r>
      <w:r>
        <w:rPr>
          <w:rFonts w:ascii="Arial"/>
          <w:color w:val="000000"/>
          <w:sz w:val="24"/>
        </w:rPr>
        <w:t>as being</w:t>
      </w:r>
      <w:r>
        <w:rPr>
          <w:rFonts w:ascii="Arial"/>
          <w:color w:val="000000"/>
          <w:sz w:val="24"/>
        </w:rPr>
        <w:t xml:space="preserve"> </w:t>
      </w:r>
      <w:r>
        <w:rPr>
          <w:rFonts w:ascii="Arial"/>
          <w:color w:val="000000"/>
          <w:sz w:val="24"/>
        </w:rPr>
        <w:t xml:space="preserve">de </w:t>
      </w:r>
      <w:r>
        <w:rPr>
          <w:rFonts w:ascii="Arial"/>
          <w:color w:val="000000"/>
          <w:sz w:val="24"/>
        </w:rPr>
        <w:t>minimis</w:t>
      </w:r>
      <w:r>
        <w:rPr>
          <w:rFonts w:ascii="Arial"/>
          <w:color w:val="000000"/>
          <w:sz w:val="24"/>
        </w:rPr>
        <w:t>;</w:t>
      </w:r>
      <w:r>
        <w:rPr>
          <w:rFonts w:ascii="Arial"/>
          <w:color w:val="000000"/>
          <w:sz w:val="24"/>
        </w:rPr>
        <w:t xml:space="preserve"> </w:t>
      </w:r>
      <w:r>
        <w:rPr>
          <w:rFonts w:ascii="Arial"/>
          <w:color w:val="000000"/>
          <w:sz w:val="24"/>
        </w:rPr>
        <w:t>i</w:t>
      </w:r>
      <w:r>
        <w:rPr>
          <w:rFonts w:ascii="Arial"/>
          <w:color w:val="000000"/>
          <w:sz w:val="24"/>
        </w:rPr>
        <w:t>t</w:t>
      </w:r>
      <w:r>
        <w:rPr>
          <w:rFonts w:ascii="Arial"/>
          <w:color w:val="000000"/>
          <w:sz w:val="24"/>
        </w:rPr>
        <w:t xml:space="preserve"> </w:t>
      </w:r>
      <w:r>
        <w:rPr>
          <w:rFonts w:ascii="Arial"/>
          <w:color w:val="000000"/>
          <w:sz w:val="24"/>
        </w:rPr>
        <w:t xml:space="preserve">satisfied the phrase in the definition that there would be </w:t>
      </w:r>
      <w:r>
        <w:rPr>
          <w:rFonts w:ascii="Arial"/>
          <w:color w:val="000000"/>
          <w:sz w:val="24"/>
        </w:rPr>
        <w:t>“</w:t>
      </w:r>
      <w:r>
        <w:rPr>
          <w:rFonts w:ascii="Arial"/>
          <w:color w:val="000000"/>
          <w:sz w:val="24"/>
        </w:rPr>
        <w:t>ground floor retail premises or business premises.</w:t>
      </w:r>
      <w:r>
        <w:rPr>
          <w:rFonts w:ascii="Arial"/>
          <w:color w:val="000000"/>
          <w:sz w:val="24"/>
        </w:rPr>
        <w:t>”</w:t>
      </w:r>
    </w:p>
    <w:p>
      <w:pPr>
        <w:pStyle w:val="CaselawNumbered10"/>
        <w:numPr>
          <w:ilvl w:val="0"/>
          <w:numId w:val="54"/>
        </w:numPr>
        <w:spacing w:before="150" w:after="0"/>
        <w:ind w:left="600" w:hanging="600"/>
      </w:pPr>
      <w:r>
        <w:rPr>
          <w:rFonts w:ascii="Arial"/>
          <w:color w:val="000000"/>
          <w:sz w:val="24"/>
        </w:rPr>
        <w:t>The second incorrect interpretation was to conflate the definition</w:t>
      </w:r>
      <w:r>
        <w:rPr>
          <w:rFonts w:ascii="Arial"/>
          <w:color w:val="000000"/>
          <w:sz w:val="24"/>
        </w:rPr>
        <w:t>’</w:t>
      </w:r>
      <w:r>
        <w:rPr>
          <w:rFonts w:ascii="Arial"/>
          <w:color w:val="000000"/>
          <w:sz w:val="24"/>
        </w:rPr>
        <w:t xml:space="preserve">s use of the word </w:t>
      </w:r>
      <w:r>
        <w:rPr>
          <w:rFonts w:ascii="Arial"/>
          <w:color w:val="000000"/>
          <w:sz w:val="24"/>
        </w:rPr>
        <w:t>“</w:t>
      </w:r>
      <w:r>
        <w:rPr>
          <w:rFonts w:ascii="Arial"/>
          <w:color w:val="000000"/>
          <w:sz w:val="24"/>
        </w:rPr>
        <w:t>dwellings</w:t>
      </w:r>
      <w:r>
        <w:rPr>
          <w:rFonts w:ascii="Arial"/>
          <w:color w:val="000000"/>
          <w:sz w:val="24"/>
        </w:rPr>
        <w:t xml:space="preserve">” </w:t>
      </w:r>
      <w:r>
        <w:rPr>
          <w:rFonts w:ascii="Arial"/>
          <w:color w:val="000000"/>
          <w:sz w:val="24"/>
        </w:rPr>
        <w:t xml:space="preserve">with </w:t>
      </w:r>
      <w:r>
        <w:rPr>
          <w:rFonts w:ascii="Arial"/>
          <w:color w:val="000000"/>
          <w:sz w:val="24"/>
        </w:rPr>
        <w:t>“</w:t>
      </w:r>
      <w:r>
        <w:rPr>
          <w:rFonts w:ascii="Arial"/>
          <w:color w:val="000000"/>
          <w:sz w:val="24"/>
        </w:rPr>
        <w:t>residential use</w:t>
      </w:r>
      <w:r>
        <w:rPr>
          <w:rFonts w:ascii="Arial"/>
          <w:color w:val="000000"/>
          <w:sz w:val="24"/>
        </w:rPr>
        <w:t>”</w:t>
      </w:r>
      <w:r>
        <w:rPr>
          <w:rFonts w:ascii="Arial"/>
          <w:color w:val="000000"/>
          <w:sz w:val="24"/>
        </w:rPr>
        <w:t xml:space="preserve">. Mr </w:t>
      </w:r>
      <w:r>
        <w:rPr>
          <w:rFonts w:ascii="Arial"/>
          <w:color w:val="000000"/>
          <w:sz w:val="24"/>
        </w:rPr>
        <w:t>Lahoud</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 xml:space="preserve">argument was that because the carpark was to be used overwhelmingly by the occupants of the new apartments, the carpark should be characterised as being used for the purpose of residential use. This argument invoked </w:t>
      </w:r>
      <w:r>
        <w:rPr>
          <w:rFonts w:ascii="Arial"/>
          <w:color w:val="000000"/>
          <w:sz w:val="24"/>
        </w:rPr>
        <w:t xml:space="preserve">my </w:t>
      </w:r>
      <w:r>
        <w:rPr>
          <w:rFonts w:ascii="Arial"/>
          <w:color w:val="000000"/>
          <w:sz w:val="24"/>
        </w:rPr>
        <w:t>statement in</w:t>
      </w:r>
      <w:r>
        <w:rPr>
          <w:rFonts w:ascii="Arial"/>
          <w:i/>
          <w:color w:val="000000"/>
          <w:sz w:val="24"/>
        </w:rPr>
        <w:t xml:space="preserve"> </w:t>
      </w:r>
      <w:r>
        <w:rPr>
          <w:rFonts w:ascii="Arial"/>
          <w:i/>
          <w:color w:val="000000"/>
          <w:sz w:val="24"/>
        </w:rPr>
        <w:t>Chamwell</w:t>
      </w:r>
      <w:r>
        <w:rPr>
          <w:rFonts w:ascii="Arial"/>
          <w:i/>
          <w:color w:val="000000"/>
          <w:sz w:val="24"/>
        </w:rPr>
        <w:t xml:space="preserve"> Pty Ltd v Strathfield Council </w:t>
      </w:r>
      <w:r>
        <w:rPr>
          <w:rFonts w:ascii="Arial"/>
          <w:color w:val="000000"/>
          <w:sz w:val="24"/>
        </w:rPr>
        <w:t>(200</w:t>
      </w:r>
      <w:r>
        <w:rPr>
          <w:rFonts w:ascii="Arial"/>
          <w:color w:val="000000"/>
          <w:sz w:val="24"/>
        </w:rPr>
        <w:t>7</w:t>
      </w:r>
      <w:r>
        <w:rPr>
          <w:rFonts w:ascii="Arial"/>
          <w:color w:val="000000"/>
          <w:sz w:val="24"/>
        </w:rPr>
        <w:t xml:space="preserve">) 151 LGERA 400; [2007] NSWLEC 114 at </w:t>
      </w:r>
      <w:r>
        <w:rPr>
          <w:rFonts w:ascii="Arial"/>
          <w:color w:val="000000"/>
          <w:sz w:val="24"/>
        </w:rPr>
        <w:t>[</w:t>
      </w:r>
      <w:r>
        <w:rPr>
          <w:rFonts w:ascii="Arial"/>
          <w:color w:val="000000"/>
          <w:sz w:val="24"/>
        </w:rPr>
        <w:t>4</w:t>
      </w:r>
      <w:r>
        <w:rPr>
          <w:rFonts w:ascii="Arial"/>
          <w:color w:val="000000"/>
          <w:sz w:val="24"/>
        </w:rPr>
        <w:t>3</w:t>
      </w:r>
      <w:r>
        <w:rPr>
          <w:rFonts w:ascii="Arial"/>
          <w:color w:val="000000"/>
          <w:sz w:val="24"/>
        </w:rPr>
        <w:t>]</w:t>
      </w:r>
      <w:r>
        <w:rPr>
          <w:rFonts w:ascii="Arial"/>
          <w:color w:val="000000"/>
          <w:sz w:val="24"/>
        </w:rPr>
        <w:t xml:space="preserve">, quoting Glass JA in </w:t>
      </w:r>
      <w:r>
        <w:rPr>
          <w:rFonts w:ascii="Arial"/>
          <w:i/>
          <w:color w:val="000000"/>
          <w:sz w:val="24"/>
        </w:rPr>
        <w:t>Foodbarn</w:t>
      </w:r>
      <w:r>
        <w:rPr>
          <w:rFonts w:ascii="Arial"/>
          <w:i/>
          <w:color w:val="000000"/>
          <w:sz w:val="24"/>
        </w:rPr>
        <w:t xml:space="preserve"> Pty Limited v Solicitor-General </w:t>
      </w:r>
      <w:r>
        <w:rPr>
          <w:rFonts w:ascii="Arial"/>
          <w:color w:val="000000"/>
          <w:sz w:val="24"/>
        </w:rPr>
        <w:t>(1975) 32 LGRA 157 at 161,</w:t>
      </w:r>
      <w:r>
        <w:rPr>
          <w:rFonts w:ascii="Arial"/>
          <w:color w:val="000000"/>
          <w:sz w:val="24"/>
        </w:rPr>
        <w:t xml:space="preserve"> </w:t>
      </w:r>
      <w:r>
        <w:rPr>
          <w:rFonts w:ascii="Arial"/>
          <w:color w:val="000000"/>
          <w:sz w:val="24"/>
        </w:rPr>
        <w:t xml:space="preserve">that </w:t>
      </w:r>
      <w:r>
        <w:rPr>
          <w:rFonts w:ascii="Arial"/>
          <w:color w:val="000000"/>
          <w:sz w:val="24"/>
        </w:rPr>
        <w:t>“</w:t>
      </w:r>
      <w:r>
        <w:rPr>
          <w:rFonts w:ascii="Arial"/>
          <w:color w:val="000000"/>
          <w:sz w:val="24"/>
        </w:rPr>
        <w:t>where a part of the premises is used for a purpose which i</w:t>
      </w:r>
      <w:r>
        <w:rPr>
          <w:rFonts w:ascii="Arial"/>
          <w:color w:val="000000"/>
          <w:sz w:val="24"/>
        </w:rPr>
        <w:t>s</w:t>
      </w:r>
      <w:r>
        <w:rPr>
          <w:rFonts w:ascii="Arial"/>
          <w:color w:val="000000"/>
          <w:sz w:val="24"/>
        </w:rPr>
        <w:t xml:space="preserve"> </w:t>
      </w:r>
      <w:r>
        <w:rPr>
          <w:rFonts w:ascii="Arial"/>
          <w:color w:val="000000"/>
          <w:sz w:val="24"/>
        </w:rPr>
        <w:t>subordinate to the purpose which inspires the use of another part, it is legitimate to disregard the former and to treat the dominant purpose as that for which the whole is being used.</w:t>
      </w:r>
      <w:r>
        <w:rPr>
          <w:rFonts w:ascii="Arial"/>
          <w:color w:val="000000"/>
          <w:sz w:val="24"/>
        </w:rPr>
        <w:t xml:space="preserve">” </w:t>
      </w:r>
      <w:r>
        <w:rPr>
          <w:rFonts w:ascii="Arial"/>
          <w:color w:val="000000"/>
          <w:sz w:val="24"/>
        </w:rPr>
        <w:t xml:space="preserve">Mr </w:t>
      </w:r>
      <w:r>
        <w:rPr>
          <w:rFonts w:ascii="Arial"/>
          <w:color w:val="000000"/>
          <w:sz w:val="24"/>
        </w:rPr>
        <w:t>Lahoud</w:t>
      </w:r>
      <w:r>
        <w:rPr>
          <w:rFonts w:ascii="Arial"/>
          <w:color w:val="000000"/>
          <w:sz w:val="24"/>
        </w:rPr>
        <w:t xml:space="preserve"> </w:t>
      </w:r>
      <w:r>
        <w:rPr>
          <w:rFonts w:ascii="Arial"/>
          <w:color w:val="000000"/>
          <w:sz w:val="24"/>
        </w:rPr>
        <w:t xml:space="preserve">argued that in </w:t>
      </w:r>
      <w:r>
        <w:rPr>
          <w:rFonts w:ascii="Arial"/>
          <w:color w:val="000000"/>
          <w:sz w:val="24"/>
        </w:rPr>
        <w:t>t</w:t>
      </w:r>
      <w:r>
        <w:rPr>
          <w:rFonts w:ascii="Arial"/>
          <w:color w:val="000000"/>
          <w:sz w:val="24"/>
        </w:rPr>
        <w:t xml:space="preserve">his case, the carparking spaces on the ground floor which are allocated to </w:t>
      </w:r>
      <w:r>
        <w:rPr>
          <w:rFonts w:ascii="Arial"/>
          <w:color w:val="000000"/>
          <w:sz w:val="24"/>
        </w:rPr>
        <w:t>particular residential</w:t>
      </w:r>
      <w:r>
        <w:rPr>
          <w:rFonts w:ascii="Arial"/>
          <w:color w:val="000000"/>
          <w:sz w:val="24"/>
        </w:rPr>
        <w:t xml:space="preserve"> </w:t>
      </w:r>
      <w:r>
        <w:rPr>
          <w:rFonts w:ascii="Arial"/>
          <w:color w:val="000000"/>
          <w:sz w:val="24"/>
        </w:rPr>
        <w:t>premises have the character of being for residential uses (not business or retail uses).</w:t>
      </w:r>
    </w:p>
    <w:p>
      <w:pPr>
        <w:pStyle w:val="CaselawNumbered10"/>
        <w:numPr>
          <w:ilvl w:val="0"/>
          <w:numId w:val="54"/>
        </w:numPr>
        <w:spacing w:before="150" w:after="0"/>
        <w:ind w:left="600" w:hanging="600"/>
      </w:pPr>
      <w:r>
        <w:rPr>
          <w:rFonts w:ascii="Arial"/>
          <w:color w:val="000000"/>
          <w:sz w:val="24"/>
        </w:rPr>
        <w:t xml:space="preserve">That characterisation of the use of the carpark was not a relevant inquiry. Regardless of whether the carparking spaces were allocated for use by the owners and occupiers of the apartments in the building, the carpark could not become a </w:t>
      </w:r>
      <w:r>
        <w:rPr>
          <w:rFonts w:ascii="Arial"/>
          <w:color w:val="000000"/>
          <w:sz w:val="24"/>
        </w:rPr>
        <w:t>“</w:t>
      </w:r>
      <w:r>
        <w:rPr>
          <w:rFonts w:ascii="Arial"/>
          <w:color w:val="000000"/>
          <w:sz w:val="24"/>
        </w:rPr>
        <w:t>dwelling</w:t>
      </w:r>
      <w:r>
        <w:rPr>
          <w:rFonts w:ascii="Arial"/>
          <w:color w:val="000000"/>
          <w:sz w:val="24"/>
        </w:rPr>
        <w:t xml:space="preserve">” </w:t>
      </w:r>
      <w:r>
        <w:rPr>
          <w:rFonts w:ascii="Arial"/>
          <w:color w:val="000000"/>
          <w:sz w:val="24"/>
        </w:rPr>
        <w:t xml:space="preserve">within the meaning of that </w:t>
      </w:r>
      <w:r>
        <w:rPr>
          <w:rFonts w:ascii="Arial"/>
          <w:color w:val="000000"/>
          <w:sz w:val="24"/>
        </w:rPr>
        <w:t xml:space="preserve">term in the Dictionary of WLEP. </w:t>
      </w:r>
      <w:r>
        <w:rPr>
          <w:rFonts w:ascii="Arial"/>
          <w:color w:val="000000"/>
          <w:sz w:val="24"/>
        </w:rPr>
        <w:t xml:space="preserve">The carpark was not a room or suite of rooms occupied or used or so constructed or adapted as to be capable of being occupied or used as a separate domicile. </w:t>
      </w:r>
      <w:r>
        <w:rPr>
          <w:rFonts w:ascii="Arial"/>
          <w:color w:val="000000"/>
          <w:sz w:val="24"/>
        </w:rPr>
        <w:t xml:space="preserve">Hence, even if the carpark could be said to be used for the purposes of </w:t>
      </w:r>
      <w:r>
        <w:rPr>
          <w:rFonts w:ascii="Arial"/>
          <w:color w:val="000000"/>
          <w:sz w:val="24"/>
        </w:rPr>
        <w:t>“</w:t>
      </w:r>
      <w:r>
        <w:rPr>
          <w:rFonts w:ascii="Arial"/>
          <w:color w:val="000000"/>
          <w:sz w:val="24"/>
        </w:rPr>
        <w:t>residential uses</w:t>
      </w:r>
      <w:r>
        <w:rPr>
          <w:rFonts w:ascii="Arial"/>
          <w:color w:val="000000"/>
          <w:sz w:val="24"/>
        </w:rPr>
        <w:t xml:space="preserve">” </w:t>
      </w:r>
      <w:r>
        <w:rPr>
          <w:rFonts w:ascii="Arial"/>
          <w:color w:val="000000"/>
          <w:sz w:val="24"/>
        </w:rPr>
        <w:t xml:space="preserve">(Mr </w:t>
      </w:r>
      <w:r>
        <w:rPr>
          <w:rFonts w:ascii="Arial"/>
          <w:color w:val="000000"/>
          <w:sz w:val="24"/>
        </w:rPr>
        <w:t>Lahoud</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 xml:space="preserve">term), it did not comprise one or more dwellings. There was, on this basis, no disabling of the operation of the definition of </w:t>
      </w:r>
      <w:r>
        <w:rPr>
          <w:rFonts w:ascii="Arial"/>
          <w:color w:val="000000"/>
          <w:sz w:val="24"/>
        </w:rPr>
        <w:t>“</w:t>
      </w:r>
      <w:r>
        <w:rPr>
          <w:rFonts w:ascii="Arial"/>
          <w:color w:val="000000"/>
          <w:sz w:val="24"/>
        </w:rPr>
        <w:t>shop top housing</w:t>
      </w:r>
      <w:r>
        <w:rPr>
          <w:rFonts w:ascii="Arial"/>
          <w:color w:val="000000"/>
          <w:sz w:val="24"/>
        </w:rPr>
        <w:t xml:space="preserve">” </w:t>
      </w:r>
      <w:r>
        <w:rPr>
          <w:rFonts w:ascii="Arial"/>
          <w:color w:val="000000"/>
          <w:sz w:val="24"/>
        </w:rPr>
        <w:t>because one or more dwellings were not located above ground floor retail premises or business premises.</w:t>
      </w:r>
    </w:p>
    <w:p>
      <w:pPr>
        <w:pStyle w:val="CaselawNumbered10"/>
        <w:numPr>
          <w:ilvl w:val="0"/>
          <w:numId w:val="54"/>
        </w:numPr>
        <w:spacing w:before="150" w:after="0"/>
        <w:ind w:left="600" w:hanging="600"/>
      </w:pPr>
      <w:r>
        <w:rPr>
          <w:rFonts w:ascii="Arial"/>
          <w:color w:val="000000"/>
          <w:sz w:val="24"/>
        </w:rPr>
        <w:t xml:space="preserve">Once the definition of </w:t>
      </w:r>
      <w:r>
        <w:rPr>
          <w:rFonts w:ascii="Arial"/>
          <w:color w:val="000000"/>
          <w:sz w:val="24"/>
        </w:rPr>
        <w:t>“</w:t>
      </w:r>
      <w:r>
        <w:rPr>
          <w:rFonts w:ascii="Arial"/>
          <w:color w:val="000000"/>
          <w:sz w:val="24"/>
        </w:rPr>
        <w:t>shop top housing</w:t>
      </w:r>
      <w:r>
        <w:rPr>
          <w:rFonts w:ascii="Arial"/>
          <w:color w:val="000000"/>
          <w:sz w:val="24"/>
        </w:rPr>
        <w:t>”</w:t>
      </w:r>
      <w:r>
        <w:rPr>
          <w:rFonts w:ascii="Arial"/>
          <w:color w:val="000000"/>
          <w:sz w:val="24"/>
        </w:rPr>
        <w:t xml:space="preserve"> </w:t>
      </w:r>
      <w:r>
        <w:rPr>
          <w:rFonts w:ascii="Arial"/>
          <w:color w:val="000000"/>
          <w:sz w:val="24"/>
        </w:rPr>
        <w:t>is properly construed, the proposed development can be characterised as being for shop top housing. On all floors above the ground floor of the building, there were proposed to be dwellings. On the ground floor of the building, there were two business premises. The dwellings on floors 1 to 4 would be located above the business premises on the ground floor. This arrangement satisfied the definition of shop top housing. The Panel and the primary judge did not err in so finding.</w:t>
      </w:r>
      <w:r>
        <w:rPr>
          <w:rFonts w:ascii="Arial"/>
          <w:color w:val="000000"/>
          <w:sz w:val="24"/>
        </w:rPr>
        <w:t xml:space="preserve"> </w:t>
      </w:r>
      <w:r>
        <w:rPr>
          <w:rFonts w:ascii="Arial"/>
          <w:color w:val="000000"/>
          <w:sz w:val="24"/>
        </w:rPr>
        <w:t>Grounds of appeal 7 and 8 are rejected.</w:t>
      </w:r>
    </w:p>
    <w:p>
      <w:pPr>
        <w:pStyle w:val="CaselawHeading2"/>
        <w:keepNext/>
        <w:spacing w:before="150" w:after="150" w:line="264"/>
        <w:ind w:left="0"/>
        <w:jc w:val="left"/>
      </w:pPr>
      <w:r>
        <w:rPr>
          <w:rFonts w:ascii="Arial"/>
        </w:rPr>
        <w:t xml:space="preserve">The contamination </w:t>
      </w:r>
      <w:r>
        <w:rPr>
          <w:rFonts w:ascii="Arial"/>
        </w:rPr>
        <w:t>grounds</w:t>
      </w:r>
    </w:p>
    <w:p>
      <w:pPr>
        <w:pStyle w:val="CaselawNumbered10"/>
        <w:numPr>
          <w:ilvl w:val="0"/>
          <w:numId w:val="55"/>
        </w:numPr>
        <w:spacing w:before="150" w:after="0"/>
        <w:ind w:left="600" w:hanging="600"/>
      </w:pPr>
      <w:r>
        <w:rPr>
          <w:rFonts w:ascii="Arial"/>
          <w:color w:val="000000"/>
          <w:sz w:val="24"/>
        </w:rPr>
        <w:t xml:space="preserve">By grounds 5 and 6 of the </w:t>
      </w:r>
      <w:r>
        <w:rPr>
          <w:rFonts w:ascii="Arial"/>
          <w:color w:val="000000"/>
          <w:sz w:val="24"/>
        </w:rPr>
        <w:t xml:space="preserve">judicial review summons, Mr </w:t>
      </w:r>
      <w:r>
        <w:rPr>
          <w:rFonts w:ascii="Arial"/>
          <w:color w:val="000000"/>
          <w:sz w:val="24"/>
        </w:rPr>
        <w:t>Lahoud</w:t>
      </w:r>
      <w:r>
        <w:rPr>
          <w:rFonts w:ascii="Arial"/>
          <w:color w:val="000000"/>
          <w:sz w:val="24"/>
        </w:rPr>
        <w:t xml:space="preserve"> </w:t>
      </w:r>
      <w:r>
        <w:rPr>
          <w:rFonts w:ascii="Arial"/>
          <w:color w:val="000000"/>
          <w:sz w:val="24"/>
        </w:rPr>
        <w:t>challenged the Panel</w:t>
      </w:r>
      <w:r>
        <w:rPr>
          <w:rFonts w:ascii="Arial"/>
          <w:color w:val="000000"/>
          <w:sz w:val="24"/>
        </w:rPr>
        <w:t>’</w:t>
      </w:r>
      <w:r>
        <w:rPr>
          <w:rFonts w:ascii="Arial"/>
          <w:color w:val="000000"/>
          <w:sz w:val="24"/>
        </w:rPr>
        <w:t xml:space="preserve">s decision </w:t>
      </w:r>
      <w:r>
        <w:rPr>
          <w:rFonts w:ascii="Arial"/>
          <w:color w:val="000000"/>
          <w:sz w:val="24"/>
        </w:rPr>
        <w:t>on the basis that the Panel had failed</w:t>
      </w:r>
      <w:r>
        <w:rPr>
          <w:rFonts w:ascii="Arial"/>
          <w:color w:val="000000"/>
          <w:sz w:val="24"/>
        </w:rPr>
        <w:t xml:space="preserve"> </w:t>
      </w:r>
      <w:r>
        <w:rPr>
          <w:rFonts w:ascii="Arial"/>
          <w:color w:val="000000"/>
          <w:sz w:val="24"/>
        </w:rPr>
        <w:t>to consider the matters required to be considered by</w:t>
      </w:r>
      <w:r>
        <w:rPr>
          <w:rFonts w:ascii="Arial"/>
          <w:color w:val="000000"/>
          <w:sz w:val="24"/>
        </w:rPr>
        <w:t xml:space="preserve"> </w:t>
      </w:r>
      <w:r>
        <w:rPr>
          <w:rFonts w:ascii="Arial"/>
          <w:color w:val="000000"/>
          <w:sz w:val="24"/>
        </w:rPr>
        <w:t>cl 7(1) of SEPP 55 (ground 5) and cl 7(2) of SEPP 55 (ground 6).</w:t>
      </w:r>
    </w:p>
    <w:p>
      <w:pPr>
        <w:pStyle w:val="CaselawNumbered10"/>
        <w:numPr>
          <w:ilvl w:val="0"/>
          <w:numId w:val="55"/>
        </w:numPr>
        <w:spacing w:before="150" w:after="0"/>
        <w:ind w:left="600" w:hanging="600"/>
      </w:pPr>
      <w:r>
        <w:rPr>
          <w:rFonts w:ascii="Arial"/>
          <w:color w:val="000000"/>
          <w:sz w:val="24"/>
        </w:rPr>
        <w:t>Clause 7(1) of SEPP 55 provides:</w:t>
      </w:r>
    </w:p>
    <w:p>
      <w:pPr>
        <w:pStyle w:val="CaselawQuote"/>
        <w:spacing w:before="150" w:after="150"/>
        <w:ind w:left="1350"/>
        <w:jc w:val="left"/>
      </w:pPr>
      <w:r>
        <w:rPr>
          <w:rFonts w:ascii="Arial"/>
          <w:color w:val="000000"/>
          <w:sz w:val="22"/>
        </w:rPr>
        <w:t>“(1) A</w:t>
      </w:r>
      <w:r>
        <w:rPr>
          <w:rFonts w:ascii="Arial"/>
          <w:color w:val="000000"/>
          <w:sz w:val="22"/>
        </w:rPr>
        <w:t xml:space="preserve"> consent authority must not consent to the carrying out of any development on land unless:</w:t>
      </w:r>
    </w:p>
    <w:p>
      <w:pPr>
        <w:pStyle w:val="CaselawQuote0"/>
        <w:spacing w:before="150" w:after="150"/>
        <w:ind w:left="2100"/>
        <w:jc w:val="left"/>
      </w:pPr>
      <w:r>
        <w:rPr>
          <w:rFonts w:ascii="Arial"/>
          <w:color w:val="000000"/>
          <w:sz w:val="22"/>
        </w:rPr>
        <w:t>(a) it has considered whether the land is contaminated, and</w:t>
      </w:r>
    </w:p>
    <w:p>
      <w:pPr>
        <w:pStyle w:val="CaselawQuote0"/>
        <w:spacing w:before="150" w:after="150"/>
        <w:ind w:left="2100"/>
        <w:jc w:val="left"/>
      </w:pPr>
      <w:r>
        <w:rPr>
          <w:rFonts w:ascii="Arial"/>
          <w:color w:val="000000"/>
          <w:sz w:val="22"/>
        </w:rPr>
        <w:t>(b) if the land is contaminated, it is satisfied that the land is suitable in its contaminated state (or will be suitable, after remediation) for the purpose for which the development is proposed to be carried out, and</w:t>
      </w:r>
    </w:p>
    <w:p>
      <w:pPr>
        <w:pStyle w:val="CaselawQuote0"/>
        <w:spacing w:before="150" w:after="150"/>
        <w:ind w:left="2100"/>
        <w:jc w:val="left"/>
      </w:pPr>
      <w:r>
        <w:rPr>
          <w:rFonts w:ascii="Arial"/>
          <w:color w:val="000000"/>
          <w:sz w:val="22"/>
        </w:rPr>
        <w:t>(c) if the land requires remediation to be made suitable for the purpose for which the development is proposed to be carried out, it is satisfied that the land will be remediated before the land is used for that purpose.”</w:t>
      </w:r>
    </w:p>
    <w:p>
      <w:pPr>
        <w:pStyle w:val="CaselawNumbered10"/>
        <w:numPr>
          <w:ilvl w:val="0"/>
          <w:numId w:val="56"/>
        </w:numPr>
        <w:spacing w:before="150" w:after="0"/>
        <w:ind w:left="600" w:hanging="600"/>
      </w:pPr>
      <w:r>
        <w:rPr>
          <w:rFonts w:ascii="Arial"/>
          <w:color w:val="000000"/>
          <w:sz w:val="24"/>
        </w:rPr>
        <w:t xml:space="preserve">Mr </w:t>
      </w:r>
      <w:r>
        <w:rPr>
          <w:rFonts w:ascii="Arial"/>
          <w:color w:val="000000"/>
          <w:sz w:val="24"/>
        </w:rPr>
        <w:t>Lahoud</w:t>
      </w:r>
      <w:r>
        <w:rPr>
          <w:rFonts w:ascii="Arial"/>
          <w:color w:val="000000"/>
          <w:sz w:val="24"/>
        </w:rPr>
        <w:t xml:space="preserve"> </w:t>
      </w:r>
      <w:r>
        <w:rPr>
          <w:rFonts w:ascii="Arial"/>
          <w:color w:val="000000"/>
          <w:sz w:val="24"/>
        </w:rPr>
        <w:t>argued that the Panel failed to consider whether the land on which the proposed development was to be carried out was contaminated.</w:t>
      </w:r>
    </w:p>
    <w:p>
      <w:pPr>
        <w:pStyle w:val="CaselawNumbered10"/>
        <w:numPr>
          <w:ilvl w:val="0"/>
          <w:numId w:val="56"/>
        </w:numPr>
        <w:spacing w:before="150" w:after="0"/>
        <w:ind w:left="600" w:hanging="600"/>
      </w:pPr>
      <w:r>
        <w:rPr>
          <w:rFonts w:ascii="Arial"/>
          <w:color w:val="000000"/>
          <w:sz w:val="24"/>
        </w:rPr>
        <w:t>Clause 7(2) of SEPP 55 provides:</w:t>
      </w:r>
    </w:p>
    <w:p>
      <w:pPr>
        <w:pStyle w:val="CaselawQuote"/>
        <w:spacing w:before="150" w:after="150"/>
        <w:ind w:left="1350"/>
        <w:jc w:val="left"/>
      </w:pPr>
      <w:r>
        <w:rPr>
          <w:rFonts w:ascii="Arial"/>
          <w:color w:val="000000"/>
          <w:sz w:val="22"/>
        </w:rPr>
        <w:t>“Before determining an application for consent to carry out development that would involve a change of use on any of the land specified in subclause (4), the consent authority must consider a report specifying the findings of a preliminary investigation of the land concerned carried out in accordance with the contaminated land planning guidelines.”</w:t>
      </w:r>
    </w:p>
    <w:p>
      <w:pPr>
        <w:pStyle w:val="CaselawNumbered10"/>
        <w:numPr>
          <w:ilvl w:val="0"/>
          <w:numId w:val="57"/>
        </w:numPr>
        <w:spacing w:before="150" w:after="0"/>
        <w:ind w:left="600" w:hanging="600"/>
      </w:pPr>
      <w:r>
        <w:rPr>
          <w:rFonts w:ascii="Arial"/>
          <w:color w:val="000000"/>
          <w:sz w:val="24"/>
        </w:rPr>
        <w:t>The land specified in cl 7(4) of SEPP 55 is:</w:t>
      </w:r>
    </w:p>
    <w:p>
      <w:pPr>
        <w:pStyle w:val="CaselawQuote"/>
        <w:spacing w:before="150" w:after="150"/>
        <w:ind w:left="1350"/>
        <w:jc w:val="left"/>
      </w:pPr>
      <w:r>
        <w:rPr>
          <w:rFonts w:ascii="Arial"/>
          <w:color w:val="000000"/>
          <w:sz w:val="22"/>
        </w:rPr>
        <w:t>“</w:t>
      </w:r>
      <w:r>
        <w:rPr>
          <w:rFonts w:ascii="Arial"/>
          <w:color w:val="000000"/>
          <w:sz w:val="22"/>
        </w:rPr>
        <w:t xml:space="preserve">(a) land that is within an investigation area, </w:t>
      </w:r>
    </w:p>
    <w:p>
      <w:pPr>
        <w:pStyle w:val="CaselawQuote"/>
        <w:spacing w:before="150" w:after="150"/>
        <w:ind w:left="1350"/>
        <w:jc w:val="left"/>
      </w:pPr>
      <w:r>
        <w:rPr>
          <w:rFonts w:ascii="Arial"/>
          <w:color w:val="000000"/>
          <w:sz w:val="22"/>
        </w:rPr>
        <w:t>(b) land on which development for a purpose referred to in Table 1 to the contaminated land planning guidelines is being, or is known to have been,</w:t>
      </w:r>
      <w:r>
        <w:rPr>
          <w:rFonts w:ascii="Arial"/>
          <w:color w:val="000000"/>
          <w:sz w:val="22"/>
        </w:rPr>
        <w:t xml:space="preserve"> carried out,</w:t>
      </w:r>
    </w:p>
    <w:p>
      <w:pPr>
        <w:pStyle w:val="CaselawQuote"/>
        <w:spacing w:before="150" w:after="150"/>
        <w:ind w:left="1350"/>
        <w:jc w:val="left"/>
      </w:pPr>
      <w:r>
        <w:rPr>
          <w:rFonts w:ascii="Arial"/>
          <w:color w:val="000000"/>
          <w:sz w:val="22"/>
        </w:rPr>
        <w:t>(c) to the extent to which it is proposed to carry out development on it for residential, educational,</w:t>
      </w:r>
      <w:r>
        <w:rPr>
          <w:rFonts w:ascii="Arial"/>
          <w:color w:val="000000"/>
          <w:sz w:val="22"/>
        </w:rPr>
        <w:t xml:space="preserve"> recreational or </w:t>
      </w:r>
      <w:r>
        <w:rPr>
          <w:rFonts w:ascii="Arial"/>
          <w:color w:val="000000"/>
          <w:sz w:val="22"/>
        </w:rPr>
        <w:t>child care</w:t>
      </w:r>
      <w:r>
        <w:rPr>
          <w:rFonts w:ascii="Arial"/>
          <w:color w:val="000000"/>
          <w:sz w:val="22"/>
        </w:rPr>
        <w:t xml:space="preserve"> purposes, or for the purposes of a hospital</w:t>
      </w:r>
      <w:r>
        <w:rPr>
          <w:rFonts w:ascii="Arial"/>
          <w:color w:val="000000"/>
          <w:sz w:val="22"/>
        </w:rPr>
        <w:t>–</w:t>
      </w:r>
      <w:r>
        <w:rPr>
          <w:rFonts w:ascii="Arial"/>
          <w:color w:val="000000"/>
          <w:sz w:val="22"/>
        </w:rPr>
        <w:t xml:space="preserve"> land</w:t>
      </w:r>
      <w:r>
        <w:rPr>
          <w:rFonts w:ascii="Arial"/>
          <w:color w:val="000000"/>
          <w:sz w:val="22"/>
        </w:rPr>
        <w:t>–</w:t>
      </w:r>
    </w:p>
    <w:p>
      <w:pPr>
        <w:pStyle w:val="CaselawQuote0"/>
        <w:spacing w:before="150" w:after="150"/>
        <w:ind w:left="2100"/>
        <w:jc w:val="left"/>
      </w:pPr>
      <w:r>
        <w:rPr>
          <w:rFonts w:ascii="Arial"/>
          <w:color w:val="000000"/>
          <w:sz w:val="22"/>
        </w:rPr>
        <w:t>(i) in relation to which there is no knowledge (or incomplete knowledge) as to whether development for a purpose referred to in Table 1 to the contaminated land planning guidelines has been carried out, and</w:t>
      </w:r>
    </w:p>
    <w:p>
      <w:pPr>
        <w:pStyle w:val="CaselawQuote0"/>
        <w:spacing w:before="150" w:after="150"/>
        <w:ind w:left="2100"/>
        <w:jc w:val="left"/>
      </w:pPr>
      <w:r>
        <w:rPr>
          <w:rFonts w:ascii="Arial"/>
          <w:color w:val="000000"/>
          <w:sz w:val="22"/>
        </w:rPr>
        <w:t>(ii) on which it would have been lawful to carry out such development during any period in respect of which there is no knowledge (or incomplete knowledge).”</w:t>
      </w:r>
    </w:p>
    <w:p>
      <w:pPr>
        <w:pStyle w:val="CaselawNumbered10"/>
        <w:numPr>
          <w:ilvl w:val="0"/>
          <w:numId w:val="58"/>
        </w:numPr>
        <w:spacing w:before="150" w:after="0"/>
        <w:ind w:left="600" w:hanging="600"/>
      </w:pPr>
      <w:r>
        <w:rPr>
          <w:rFonts w:ascii="Arial"/>
          <w:color w:val="000000"/>
          <w:sz w:val="24"/>
        </w:rPr>
        <w:t xml:space="preserve">Mr </w:t>
      </w:r>
      <w:r>
        <w:rPr>
          <w:rFonts w:ascii="Arial"/>
          <w:color w:val="000000"/>
          <w:sz w:val="24"/>
        </w:rPr>
        <w:t>Lahoud</w:t>
      </w:r>
      <w:r>
        <w:rPr>
          <w:rFonts w:ascii="Arial"/>
          <w:color w:val="000000"/>
          <w:sz w:val="24"/>
        </w:rPr>
        <w:t xml:space="preserve"> </w:t>
      </w:r>
      <w:r>
        <w:rPr>
          <w:rFonts w:ascii="Arial"/>
          <w:color w:val="000000"/>
          <w:sz w:val="24"/>
        </w:rPr>
        <w:t>argued that, as the proposed development involved a change of use,</w:t>
      </w:r>
      <w:r>
        <w:rPr>
          <w:rFonts w:ascii="Arial"/>
          <w:color w:val="000000"/>
          <w:sz w:val="24"/>
        </w:rPr>
        <w:t xml:space="preserve"> </w:t>
      </w:r>
      <w:r>
        <w:rPr>
          <w:rFonts w:ascii="Arial"/>
          <w:color w:val="000000"/>
          <w:sz w:val="24"/>
        </w:rPr>
        <w:t>and the land was land specified in cl 7(4), the Panel was required</w:t>
      </w:r>
      <w:r>
        <w:rPr>
          <w:rFonts w:ascii="Arial"/>
          <w:color w:val="000000"/>
          <w:sz w:val="24"/>
        </w:rPr>
        <w:t>,</w:t>
      </w:r>
      <w:r>
        <w:rPr>
          <w:rFonts w:ascii="Arial"/>
          <w:color w:val="000000"/>
          <w:sz w:val="24"/>
        </w:rPr>
        <w:t xml:space="preserve"> </w:t>
      </w:r>
      <w:r>
        <w:rPr>
          <w:rFonts w:ascii="Arial"/>
          <w:color w:val="000000"/>
          <w:sz w:val="24"/>
        </w:rPr>
        <w:t>but</w:t>
      </w:r>
      <w:r>
        <w:rPr>
          <w:rFonts w:ascii="Arial"/>
          <w:color w:val="000000"/>
          <w:sz w:val="24"/>
        </w:rPr>
        <w:t xml:space="preserve"> </w:t>
      </w:r>
      <w:r>
        <w:rPr>
          <w:rFonts w:ascii="Arial"/>
          <w:color w:val="000000"/>
          <w:sz w:val="24"/>
        </w:rPr>
        <w:t>failed</w:t>
      </w:r>
      <w:r>
        <w:rPr>
          <w:rFonts w:ascii="Arial"/>
          <w:color w:val="000000"/>
          <w:sz w:val="24"/>
        </w:rPr>
        <w:t>,</w:t>
      </w:r>
      <w:r>
        <w:rPr>
          <w:rFonts w:ascii="Arial"/>
          <w:color w:val="000000"/>
          <w:sz w:val="24"/>
        </w:rPr>
        <w:t xml:space="preserve"> </w:t>
      </w:r>
      <w:r>
        <w:rPr>
          <w:rFonts w:ascii="Arial"/>
          <w:color w:val="000000"/>
          <w:sz w:val="24"/>
        </w:rPr>
        <w:t xml:space="preserve">to consider a report specifying the findings of a preliminary investigation of the </w:t>
      </w:r>
      <w:r>
        <w:rPr>
          <w:rFonts w:ascii="Arial"/>
          <w:color w:val="000000"/>
          <w:sz w:val="24"/>
        </w:rPr>
        <w:t xml:space="preserve">relevant </w:t>
      </w:r>
      <w:r>
        <w:rPr>
          <w:rFonts w:ascii="Arial"/>
          <w:color w:val="000000"/>
          <w:sz w:val="24"/>
        </w:rPr>
        <w:t>land carried out in accordance with the contaminated land planning guidelines.</w:t>
      </w:r>
    </w:p>
    <w:p>
      <w:pPr>
        <w:pStyle w:val="CaselawNumbered10"/>
        <w:numPr>
          <w:ilvl w:val="0"/>
          <w:numId w:val="58"/>
        </w:numPr>
        <w:spacing w:before="150" w:after="0"/>
        <w:ind w:left="600" w:hanging="600"/>
      </w:pPr>
      <w:r>
        <w:rPr>
          <w:rFonts w:ascii="Arial"/>
          <w:color w:val="000000"/>
          <w:sz w:val="24"/>
        </w:rPr>
        <w:t xml:space="preserve">Mr </w:t>
      </w:r>
      <w:r>
        <w:rPr>
          <w:rFonts w:ascii="Arial"/>
          <w:color w:val="000000"/>
          <w:sz w:val="24"/>
        </w:rPr>
        <w:t>Lahoud</w:t>
      </w:r>
      <w:r>
        <w:rPr>
          <w:rFonts w:ascii="Arial"/>
          <w:color w:val="000000"/>
          <w:sz w:val="24"/>
        </w:rPr>
        <w:t xml:space="preserve"> </w:t>
      </w:r>
      <w:r>
        <w:rPr>
          <w:rFonts w:ascii="Arial"/>
          <w:color w:val="000000"/>
          <w:sz w:val="24"/>
        </w:rPr>
        <w:t>argued that the reason why the Panel failed to consider whether the land was contaminated was the assessment by the Council</w:t>
      </w:r>
      <w:r>
        <w:rPr>
          <w:rFonts w:ascii="Arial"/>
          <w:color w:val="000000"/>
          <w:sz w:val="24"/>
        </w:rPr>
        <w:t>’</w:t>
      </w:r>
      <w:r>
        <w:rPr>
          <w:rFonts w:ascii="Arial"/>
          <w:color w:val="000000"/>
          <w:sz w:val="24"/>
        </w:rPr>
        <w:t xml:space="preserve">s Environmental Health Officer that </w:t>
      </w:r>
      <w:r>
        <w:rPr>
          <w:rFonts w:ascii="Arial"/>
          <w:color w:val="000000"/>
          <w:sz w:val="24"/>
        </w:rPr>
        <w:t>“</w:t>
      </w:r>
      <w:r>
        <w:rPr>
          <w:rFonts w:ascii="Arial"/>
          <w:color w:val="000000"/>
          <w:sz w:val="24"/>
        </w:rPr>
        <w:t>no excavation works are being undertaken.</w:t>
      </w:r>
      <w:r>
        <w:rPr>
          <w:rFonts w:ascii="Arial"/>
          <w:color w:val="000000"/>
          <w:sz w:val="24"/>
        </w:rPr>
        <w:t xml:space="preserve">” </w:t>
      </w:r>
      <w:r>
        <w:rPr>
          <w:rFonts w:ascii="Arial"/>
          <w:color w:val="000000"/>
          <w:sz w:val="24"/>
        </w:rPr>
        <w:t xml:space="preserve">If no excavation of the land was to be undertaken, there would be no disturbance of any contamination of the land. Mr </w:t>
      </w:r>
      <w:r>
        <w:rPr>
          <w:rFonts w:ascii="Arial"/>
          <w:color w:val="000000"/>
          <w:sz w:val="24"/>
        </w:rPr>
        <w:t>Lahoud</w:t>
      </w:r>
      <w:r>
        <w:rPr>
          <w:rFonts w:ascii="Arial"/>
          <w:color w:val="000000"/>
          <w:sz w:val="24"/>
        </w:rPr>
        <w:t xml:space="preserve"> </w:t>
      </w:r>
      <w:r>
        <w:rPr>
          <w:rFonts w:ascii="Arial"/>
          <w:color w:val="000000"/>
          <w:sz w:val="24"/>
        </w:rPr>
        <w:t>argued that the officer</w:t>
      </w:r>
      <w:r>
        <w:rPr>
          <w:rFonts w:ascii="Arial"/>
          <w:color w:val="000000"/>
          <w:sz w:val="24"/>
        </w:rPr>
        <w:t>’</w:t>
      </w:r>
      <w:r>
        <w:rPr>
          <w:rFonts w:ascii="Arial"/>
          <w:color w:val="000000"/>
          <w:sz w:val="24"/>
        </w:rPr>
        <w:t xml:space="preserve">s statement was factually incorrect. Mr </w:t>
      </w:r>
      <w:r>
        <w:rPr>
          <w:rFonts w:ascii="Arial"/>
          <w:color w:val="000000"/>
          <w:sz w:val="24"/>
        </w:rPr>
        <w:t>Lahoud</w:t>
      </w:r>
      <w:r>
        <w:rPr>
          <w:rFonts w:ascii="Arial"/>
          <w:color w:val="000000"/>
          <w:sz w:val="24"/>
        </w:rPr>
        <w:t xml:space="preserve"> </w:t>
      </w:r>
      <w:r>
        <w:rPr>
          <w:rFonts w:ascii="Arial"/>
          <w:color w:val="000000"/>
          <w:sz w:val="24"/>
        </w:rPr>
        <w:t xml:space="preserve">adduced evidence in the court below seeking to establish that there had been a fuel </w:t>
      </w:r>
      <w:r>
        <w:rPr>
          <w:rFonts w:ascii="Arial"/>
          <w:color w:val="000000"/>
          <w:sz w:val="24"/>
        </w:rPr>
        <w:t xml:space="preserve">bowser and </w:t>
      </w:r>
      <w:r>
        <w:rPr>
          <w:rFonts w:ascii="Arial"/>
          <w:color w:val="000000"/>
          <w:sz w:val="24"/>
        </w:rPr>
        <w:t xml:space="preserve">an </w:t>
      </w:r>
      <w:r>
        <w:rPr>
          <w:rFonts w:ascii="Arial"/>
          <w:color w:val="000000"/>
          <w:sz w:val="24"/>
        </w:rPr>
        <w:t>underground fuel tank</w:t>
      </w:r>
      <w:r>
        <w:rPr>
          <w:rFonts w:ascii="Arial"/>
          <w:color w:val="000000"/>
          <w:sz w:val="24"/>
        </w:rPr>
        <w:t xml:space="preserve"> </w:t>
      </w:r>
      <w:r>
        <w:rPr>
          <w:rFonts w:ascii="Arial"/>
          <w:color w:val="000000"/>
          <w:sz w:val="24"/>
        </w:rPr>
        <w:t xml:space="preserve">on the land, which might have contaminated the land around the fuel </w:t>
      </w:r>
      <w:r>
        <w:rPr>
          <w:rFonts w:ascii="Arial"/>
          <w:color w:val="000000"/>
          <w:sz w:val="24"/>
        </w:rPr>
        <w:t>bowser.</w:t>
      </w:r>
    </w:p>
    <w:p>
      <w:pPr>
        <w:pStyle w:val="CaselawNumbered10"/>
        <w:numPr>
          <w:ilvl w:val="0"/>
          <w:numId w:val="58"/>
        </w:numPr>
        <w:spacing w:before="150" w:after="0"/>
        <w:ind w:left="600" w:hanging="600"/>
      </w:pPr>
      <w:r>
        <w:rPr>
          <w:rFonts w:ascii="Arial"/>
          <w:color w:val="000000"/>
          <w:sz w:val="24"/>
        </w:rPr>
        <w:t xml:space="preserve">Notwithstanding setting out at length the arguments and evidence of the parties on these grounds, the primary judge did not decide the grounds. At most, the primary judge found there to be </w:t>
      </w:r>
      <w:r>
        <w:rPr>
          <w:rFonts w:ascii="Arial"/>
          <w:color w:val="000000"/>
          <w:sz w:val="24"/>
        </w:rPr>
        <w:t>“</w:t>
      </w:r>
      <w:r>
        <w:rPr>
          <w:rFonts w:ascii="Arial"/>
          <w:color w:val="000000"/>
          <w:sz w:val="24"/>
        </w:rPr>
        <w:t xml:space="preserve">the real possibility that </w:t>
      </w:r>
      <w:r>
        <w:rPr>
          <w:rFonts w:ascii="Arial"/>
          <w:color w:val="000000"/>
          <w:sz w:val="24"/>
        </w:rPr>
        <w:t>G</w:t>
      </w:r>
      <w:r>
        <w:rPr>
          <w:rFonts w:ascii="Arial"/>
          <w:color w:val="000000"/>
          <w:sz w:val="24"/>
        </w:rPr>
        <w:t>rounds 5 and 6 are made out</w:t>
      </w:r>
      <w:r>
        <w:rPr>
          <w:rFonts w:ascii="Arial"/>
          <w:color w:val="000000"/>
          <w:sz w:val="24"/>
        </w:rPr>
        <w:t xml:space="preserve">” </w:t>
      </w:r>
      <w:r>
        <w:rPr>
          <w:rFonts w:ascii="Arial"/>
          <w:color w:val="000000"/>
          <w:sz w:val="24"/>
        </w:rPr>
        <w:t xml:space="preserve">(at [290]). But elsewhere, the primary judge was content to proceed </w:t>
      </w:r>
      <w:r>
        <w:rPr>
          <w:rFonts w:ascii="Arial"/>
          <w:color w:val="000000"/>
          <w:sz w:val="24"/>
        </w:rPr>
        <w:t>“</w:t>
      </w:r>
      <w:r>
        <w:rPr>
          <w:rFonts w:ascii="Arial"/>
          <w:color w:val="000000"/>
          <w:sz w:val="24"/>
        </w:rPr>
        <w:t>on the assumption these grounds are made out</w:t>
      </w:r>
      <w:r>
        <w:rPr>
          <w:rFonts w:ascii="Arial"/>
          <w:color w:val="000000"/>
          <w:sz w:val="24"/>
        </w:rPr>
        <w:t>”</w:t>
      </w:r>
      <w:r>
        <w:rPr>
          <w:rFonts w:ascii="Arial"/>
          <w:color w:val="000000"/>
          <w:sz w:val="24"/>
        </w:rPr>
        <w:t>: at</w:t>
      </w:r>
      <w:r>
        <w:rPr>
          <w:rFonts w:ascii="Arial"/>
          <w:color w:val="000000"/>
          <w:sz w:val="24"/>
        </w:rPr>
        <w:t xml:space="preserve"> </w:t>
      </w:r>
      <w:r>
        <w:rPr>
          <w:rFonts w:ascii="Arial"/>
          <w:color w:val="000000"/>
          <w:sz w:val="24"/>
        </w:rPr>
        <w:t xml:space="preserve">[294], </w:t>
      </w:r>
      <w:r>
        <w:rPr>
          <w:rFonts w:ascii="Arial"/>
          <w:color w:val="000000"/>
          <w:sz w:val="24"/>
        </w:rPr>
        <w:t xml:space="preserve">and see also </w:t>
      </w:r>
      <w:r>
        <w:rPr>
          <w:rFonts w:ascii="Arial"/>
          <w:color w:val="000000"/>
          <w:sz w:val="24"/>
        </w:rPr>
        <w:t>[295], [296], [309], [310] and [313].</w:t>
      </w:r>
    </w:p>
    <w:p>
      <w:pPr>
        <w:pStyle w:val="CaselawNumbered10"/>
        <w:numPr>
          <w:ilvl w:val="0"/>
          <w:numId w:val="58"/>
        </w:numPr>
        <w:spacing w:before="150" w:after="0"/>
        <w:ind w:left="600" w:hanging="600"/>
      </w:pPr>
      <w:r>
        <w:rPr>
          <w:rFonts w:ascii="Arial"/>
          <w:color w:val="000000"/>
          <w:sz w:val="24"/>
        </w:rPr>
        <w:t xml:space="preserve">The primary judge proceeded to consider whether, on the assumption that grounds 5 and 6 were made out, he would, in the exercise of the discretion under s </w:t>
      </w:r>
      <w:r>
        <w:rPr>
          <w:rFonts w:ascii="Arial"/>
          <w:color w:val="000000"/>
          <w:sz w:val="24"/>
        </w:rPr>
        <w:t xml:space="preserve">9.46(1) of the EPA Act, </w:t>
      </w:r>
      <w:r>
        <w:rPr>
          <w:rFonts w:ascii="Arial"/>
          <w:color w:val="000000"/>
          <w:sz w:val="24"/>
        </w:rPr>
        <w:t>“</w:t>
      </w:r>
      <w:r>
        <w:rPr>
          <w:rFonts w:ascii="Arial"/>
          <w:color w:val="000000"/>
          <w:sz w:val="24"/>
        </w:rPr>
        <w:t>make any orders intervening with the Company</w:t>
      </w:r>
      <w:r>
        <w:rPr>
          <w:rFonts w:ascii="Arial"/>
          <w:color w:val="000000"/>
          <w:sz w:val="24"/>
        </w:rPr>
        <w:t>’</w:t>
      </w:r>
      <w:r>
        <w:rPr>
          <w:rFonts w:ascii="Arial"/>
          <w:color w:val="000000"/>
          <w:sz w:val="24"/>
        </w:rPr>
        <w:t>s development consent</w:t>
      </w:r>
      <w:r>
        <w:rPr>
          <w:rFonts w:ascii="Arial"/>
          <w:color w:val="000000"/>
          <w:sz w:val="24"/>
        </w:rPr>
        <w:t>”</w:t>
      </w:r>
      <w:r>
        <w:rPr>
          <w:rFonts w:ascii="Arial"/>
          <w:color w:val="000000"/>
          <w:sz w:val="24"/>
        </w:rPr>
        <w:t xml:space="preserve">: at [294]. The primary judge canvassed </w:t>
      </w:r>
      <w:r>
        <w:rPr>
          <w:rFonts w:ascii="Arial"/>
          <w:color w:val="000000"/>
          <w:sz w:val="24"/>
        </w:rPr>
        <w:t>a number of</w:t>
      </w:r>
      <w:r>
        <w:rPr>
          <w:rFonts w:ascii="Arial"/>
          <w:color w:val="000000"/>
          <w:sz w:val="24"/>
        </w:rPr>
        <w:t xml:space="preserve"> </w:t>
      </w:r>
      <w:r>
        <w:rPr>
          <w:rFonts w:ascii="Arial"/>
          <w:color w:val="000000"/>
          <w:sz w:val="24"/>
        </w:rPr>
        <w:t xml:space="preserve">matters (in [297]-[310]) but found that they did not </w:t>
      </w:r>
      <w:r>
        <w:rPr>
          <w:rFonts w:ascii="Arial"/>
          <w:color w:val="000000"/>
          <w:sz w:val="24"/>
        </w:rPr>
        <w:t>“</w:t>
      </w:r>
      <w:r>
        <w:rPr>
          <w:rFonts w:ascii="Arial"/>
          <w:color w:val="000000"/>
          <w:sz w:val="24"/>
        </w:rPr>
        <w:t>warrant any intervention in these proceedings</w:t>
      </w:r>
      <w:r>
        <w:rPr>
          <w:rFonts w:ascii="Arial"/>
          <w:color w:val="000000"/>
          <w:sz w:val="24"/>
        </w:rPr>
        <w:t xml:space="preserve">” </w:t>
      </w:r>
      <w:r>
        <w:rPr>
          <w:rFonts w:ascii="Arial"/>
          <w:color w:val="000000"/>
          <w:sz w:val="24"/>
        </w:rPr>
        <w:t xml:space="preserve">(at [310]). One of those matters was the reliability and credibility of Mr </w:t>
      </w:r>
      <w:r>
        <w:rPr>
          <w:rFonts w:ascii="Arial"/>
          <w:color w:val="000000"/>
          <w:sz w:val="24"/>
        </w:rPr>
        <w:t>Lahoud</w:t>
      </w:r>
      <w:r>
        <w:rPr>
          <w:rFonts w:ascii="Arial"/>
          <w:color w:val="000000"/>
          <w:sz w:val="24"/>
        </w:rPr>
        <w:t xml:space="preserve"> </w:t>
      </w:r>
      <w:r>
        <w:rPr>
          <w:rFonts w:ascii="Arial"/>
          <w:color w:val="000000"/>
          <w:sz w:val="24"/>
        </w:rPr>
        <w:t>as a witness and another was his failure to raise the issue of the potential contamination of the site in his objection to Helm</w:t>
      </w:r>
      <w:r>
        <w:rPr>
          <w:rFonts w:ascii="Arial"/>
          <w:color w:val="000000"/>
          <w:sz w:val="24"/>
        </w:rPr>
        <w:t>’</w:t>
      </w:r>
      <w:r>
        <w:rPr>
          <w:rFonts w:ascii="Arial"/>
          <w:color w:val="000000"/>
          <w:sz w:val="24"/>
        </w:rPr>
        <w:t>s development application (at [304]-[308]).</w:t>
      </w:r>
    </w:p>
    <w:p>
      <w:pPr>
        <w:pStyle w:val="CaselawNumbered10"/>
        <w:numPr>
          <w:ilvl w:val="0"/>
          <w:numId w:val="58"/>
        </w:numPr>
        <w:spacing w:before="150" w:after="0"/>
        <w:ind w:left="600" w:hanging="600"/>
      </w:pPr>
      <w:r>
        <w:rPr>
          <w:rFonts w:ascii="Arial"/>
          <w:color w:val="000000"/>
          <w:sz w:val="24"/>
        </w:rPr>
        <w:t>The primary judge found that</w:t>
      </w:r>
      <w:r>
        <w:rPr>
          <w:rFonts w:ascii="Arial"/>
          <w:color w:val="000000"/>
          <w:sz w:val="24"/>
        </w:rPr>
        <w:t>:</w:t>
      </w:r>
      <w:r>
        <w:rPr>
          <w:rFonts w:ascii="Arial"/>
          <w:color w:val="000000"/>
          <w:sz w:val="24"/>
        </w:rPr>
        <w:t xml:space="preserve"> </w:t>
      </w:r>
    </w:p>
    <w:p>
      <w:pPr>
        <w:pStyle w:val="CaselawQuote"/>
        <w:spacing w:before="150" w:after="150"/>
        <w:ind w:left="1350"/>
        <w:jc w:val="left"/>
      </w:pPr>
      <w:r>
        <w:rPr>
          <w:rFonts w:ascii="Arial"/>
          <w:color w:val="000000"/>
          <w:sz w:val="22"/>
        </w:rPr>
        <w:t xml:space="preserve">“The failure of the Council's assessing officer in the submission in the Council's report to the Planning Panel that there was to be no excavation as part of the Company's development (and, by necessary implication, no triggering need for consideration of matters arising under the SEPP) does not, in light of the other matters outlined above, constitute a reason to intervene with the Company’s development consent on the basis of Grounds 5 and 6.”: at [312]. </w:t>
      </w:r>
    </w:p>
    <w:p>
      <w:pPr>
        <w:pStyle w:val="CaselawNumbered10"/>
        <w:numPr>
          <w:ilvl w:val="0"/>
          <w:numId w:val="59"/>
        </w:numPr>
        <w:spacing w:before="150" w:after="0"/>
        <w:ind w:left="600" w:hanging="600"/>
      </w:pPr>
      <w:r>
        <w:rPr>
          <w:rFonts w:ascii="Arial"/>
          <w:color w:val="000000"/>
          <w:sz w:val="24"/>
        </w:rPr>
        <w:t xml:space="preserve">Hence, the primary judge held </w:t>
      </w:r>
      <w:r>
        <w:rPr>
          <w:rFonts w:ascii="Arial"/>
          <w:color w:val="000000"/>
          <w:sz w:val="24"/>
        </w:rPr>
        <w:t>“</w:t>
      </w:r>
      <w:r>
        <w:rPr>
          <w:rFonts w:ascii="Arial"/>
          <w:color w:val="000000"/>
          <w:sz w:val="24"/>
        </w:rPr>
        <w:t>no relief would be appropriate to be ordered.</w:t>
      </w:r>
      <w:r>
        <w:rPr>
          <w:rFonts w:ascii="Arial"/>
          <w:color w:val="000000"/>
          <w:sz w:val="24"/>
        </w:rPr>
        <w:t>”</w:t>
      </w:r>
      <w:r>
        <w:rPr>
          <w:rFonts w:ascii="Arial"/>
          <w:color w:val="000000"/>
          <w:sz w:val="24"/>
        </w:rPr>
        <w:t>: at [313].</w:t>
      </w:r>
    </w:p>
    <w:p>
      <w:pPr>
        <w:pStyle w:val="CaselawNumbered10"/>
        <w:numPr>
          <w:ilvl w:val="0"/>
          <w:numId w:val="59"/>
        </w:numPr>
        <w:spacing w:before="150" w:after="0"/>
        <w:ind w:left="600" w:hanging="600"/>
      </w:pPr>
      <w:r>
        <w:rPr>
          <w:rFonts w:ascii="Arial"/>
          <w:color w:val="000000"/>
          <w:sz w:val="24"/>
        </w:rPr>
        <w:t xml:space="preserve">Both Mr </w:t>
      </w:r>
      <w:r>
        <w:rPr>
          <w:rFonts w:ascii="Arial"/>
          <w:color w:val="000000"/>
          <w:sz w:val="24"/>
        </w:rPr>
        <w:t>Lahoud</w:t>
      </w:r>
      <w:r>
        <w:rPr>
          <w:rFonts w:ascii="Arial"/>
          <w:color w:val="000000"/>
          <w:sz w:val="24"/>
        </w:rPr>
        <w:t xml:space="preserve"> </w:t>
      </w:r>
      <w:r>
        <w:rPr>
          <w:rFonts w:ascii="Arial"/>
          <w:color w:val="000000"/>
          <w:sz w:val="24"/>
        </w:rPr>
        <w:t>and Helm challenged the primary judge</w:t>
      </w:r>
      <w:r>
        <w:rPr>
          <w:rFonts w:ascii="Arial"/>
          <w:color w:val="000000"/>
          <w:sz w:val="24"/>
        </w:rPr>
        <w:t>’</w:t>
      </w:r>
      <w:r>
        <w:rPr>
          <w:rFonts w:ascii="Arial"/>
          <w:color w:val="000000"/>
          <w:sz w:val="24"/>
        </w:rPr>
        <w:t xml:space="preserve">s decision on grounds 5 and 6. Mr </w:t>
      </w:r>
      <w:r>
        <w:rPr>
          <w:rFonts w:ascii="Arial"/>
          <w:color w:val="000000"/>
          <w:sz w:val="24"/>
        </w:rPr>
        <w:t>Lahoud</w:t>
      </w:r>
      <w:r>
        <w:rPr>
          <w:rFonts w:ascii="Arial"/>
          <w:color w:val="000000"/>
          <w:sz w:val="24"/>
        </w:rPr>
        <w:t xml:space="preserve"> </w:t>
      </w:r>
      <w:r>
        <w:rPr>
          <w:rFonts w:ascii="Arial"/>
          <w:color w:val="000000"/>
          <w:sz w:val="24"/>
        </w:rPr>
        <w:t>raised as grounds of appeal that the primary judge erred by:</w:t>
      </w:r>
    </w:p>
    <w:p>
      <w:pPr>
        <w:pStyle w:val="CaselawNumbereda"/>
        <w:numPr>
          <w:ilvl w:val="0"/>
          <w:numId w:val="60"/>
        </w:numPr>
        <w:spacing w:before="150" w:after="0"/>
        <w:ind w:left="2100" w:hanging="750"/>
      </w:pPr>
      <w:r>
        <w:rPr>
          <w:rFonts w:ascii="Arial"/>
          <w:color w:val="000000"/>
          <w:sz w:val="24"/>
        </w:rPr>
        <w:t>not finding that the grounds had been established (ground 9</w:t>
      </w:r>
      <w:r>
        <w:rPr>
          <w:rFonts w:ascii="Arial"/>
          <w:color w:val="000000"/>
          <w:sz w:val="24"/>
        </w:rPr>
        <w:t>);</w:t>
      </w:r>
    </w:p>
    <w:p>
      <w:pPr>
        <w:pStyle w:val="CaselawNumbereda"/>
        <w:numPr>
          <w:ilvl w:val="0"/>
          <w:numId w:val="60"/>
        </w:numPr>
        <w:spacing w:before="150" w:after="0"/>
        <w:ind w:left="2100" w:hanging="750"/>
      </w:pPr>
      <w:r>
        <w:rPr>
          <w:rFonts w:ascii="Arial"/>
          <w:color w:val="000000"/>
          <w:sz w:val="24"/>
        </w:rPr>
        <w:t>exercising his discretion to withhold relief (ground 10</w:t>
      </w:r>
      <w:r>
        <w:rPr>
          <w:rFonts w:ascii="Arial"/>
          <w:color w:val="000000"/>
          <w:sz w:val="24"/>
        </w:rPr>
        <w:t>);</w:t>
      </w:r>
    </w:p>
    <w:p>
      <w:pPr>
        <w:pStyle w:val="CaselawNumbereda"/>
        <w:numPr>
          <w:ilvl w:val="0"/>
          <w:numId w:val="60"/>
        </w:numPr>
        <w:spacing w:before="150" w:after="0"/>
        <w:ind w:left="2100" w:hanging="750"/>
      </w:pPr>
      <w:r>
        <w:rPr>
          <w:rFonts w:ascii="Arial"/>
          <w:color w:val="000000"/>
          <w:sz w:val="24"/>
        </w:rPr>
        <w:t>taking into account</w:t>
      </w:r>
      <w:r>
        <w:rPr>
          <w:rFonts w:ascii="Arial"/>
          <w:color w:val="000000"/>
          <w:sz w:val="24"/>
        </w:rPr>
        <w:t xml:space="preserve"> </w:t>
      </w:r>
      <w:r>
        <w:rPr>
          <w:rFonts w:ascii="Arial"/>
          <w:color w:val="000000"/>
          <w:sz w:val="24"/>
        </w:rPr>
        <w:t xml:space="preserve">in the exercise of his discretion the extraneous consideration of punishing Mr </w:t>
      </w:r>
      <w:r>
        <w:rPr>
          <w:rFonts w:ascii="Arial"/>
          <w:color w:val="000000"/>
          <w:sz w:val="24"/>
        </w:rPr>
        <w:t>Lahoud</w:t>
      </w:r>
      <w:r>
        <w:rPr>
          <w:rFonts w:ascii="Arial"/>
          <w:color w:val="000000"/>
          <w:sz w:val="24"/>
        </w:rPr>
        <w:t xml:space="preserve"> </w:t>
      </w:r>
      <w:r>
        <w:rPr>
          <w:rFonts w:ascii="Arial"/>
          <w:color w:val="000000"/>
          <w:sz w:val="24"/>
        </w:rPr>
        <w:t>for giving evasive evidence (ground 11);</w:t>
      </w:r>
      <w:r>
        <w:rPr>
          <w:rFonts w:ascii="Arial"/>
          <w:color w:val="000000"/>
          <w:sz w:val="24"/>
        </w:rPr>
        <w:t xml:space="preserve"> </w:t>
      </w:r>
      <w:r>
        <w:rPr>
          <w:rFonts w:ascii="Arial"/>
          <w:color w:val="000000"/>
          <w:sz w:val="24"/>
        </w:rPr>
        <w:t>and</w:t>
      </w:r>
    </w:p>
    <w:p>
      <w:pPr>
        <w:pStyle w:val="CaselawNumbereda"/>
        <w:numPr>
          <w:ilvl w:val="0"/>
          <w:numId w:val="60"/>
        </w:numPr>
        <w:spacing w:before="150" w:after="0"/>
        <w:ind w:left="2100" w:hanging="750"/>
      </w:pPr>
      <w:r>
        <w:rPr>
          <w:rFonts w:ascii="Arial"/>
          <w:color w:val="000000"/>
          <w:sz w:val="24"/>
        </w:rPr>
        <w:t xml:space="preserve">making </w:t>
      </w:r>
      <w:r>
        <w:rPr>
          <w:rFonts w:ascii="Arial"/>
          <w:color w:val="000000"/>
          <w:sz w:val="24"/>
        </w:rPr>
        <w:t xml:space="preserve">adverse </w:t>
      </w:r>
      <w:r>
        <w:rPr>
          <w:rFonts w:ascii="Arial"/>
          <w:color w:val="000000"/>
          <w:sz w:val="24"/>
        </w:rPr>
        <w:t xml:space="preserve">credit findings against Mr </w:t>
      </w:r>
      <w:r>
        <w:rPr>
          <w:rFonts w:ascii="Arial"/>
          <w:color w:val="000000"/>
          <w:sz w:val="24"/>
        </w:rPr>
        <w:t>Lahoud</w:t>
      </w:r>
      <w:r>
        <w:rPr>
          <w:rFonts w:ascii="Arial"/>
          <w:color w:val="000000"/>
          <w:sz w:val="24"/>
        </w:rPr>
        <w:t xml:space="preserve"> </w:t>
      </w:r>
      <w:r>
        <w:rPr>
          <w:rFonts w:ascii="Arial"/>
          <w:color w:val="000000"/>
          <w:sz w:val="24"/>
        </w:rPr>
        <w:t>(ground 12).</w:t>
      </w:r>
    </w:p>
    <w:p>
      <w:pPr>
        <w:pStyle w:val="CaselawNumbered10"/>
        <w:numPr>
          <w:ilvl w:val="0"/>
          <w:numId w:val="61"/>
        </w:numPr>
        <w:spacing w:before="150" w:after="0"/>
        <w:ind w:left="600" w:hanging="600"/>
      </w:pPr>
      <w:r>
        <w:rPr>
          <w:rFonts w:ascii="Arial"/>
          <w:color w:val="000000"/>
          <w:sz w:val="24"/>
        </w:rPr>
        <w:t xml:space="preserve">Helm </w:t>
      </w:r>
      <w:r>
        <w:rPr>
          <w:rFonts w:ascii="Arial"/>
          <w:color w:val="000000"/>
          <w:sz w:val="24"/>
        </w:rPr>
        <w:t>raised</w:t>
      </w:r>
      <w:r>
        <w:rPr>
          <w:rFonts w:ascii="Arial"/>
          <w:color w:val="000000"/>
          <w:sz w:val="24"/>
        </w:rPr>
        <w:t xml:space="preserve"> </w:t>
      </w:r>
      <w:r>
        <w:rPr>
          <w:rFonts w:ascii="Arial"/>
          <w:color w:val="000000"/>
          <w:sz w:val="24"/>
        </w:rPr>
        <w:t xml:space="preserve">in its notice of contention that the primary judge should have dismissed grounds 5 and 6 on the basis that Mr </w:t>
      </w:r>
      <w:r>
        <w:rPr>
          <w:rFonts w:ascii="Arial"/>
          <w:color w:val="000000"/>
          <w:sz w:val="24"/>
        </w:rPr>
        <w:t>Lahoud</w:t>
      </w:r>
      <w:r>
        <w:rPr>
          <w:rFonts w:ascii="Arial"/>
          <w:color w:val="000000"/>
          <w:sz w:val="24"/>
        </w:rPr>
        <w:t xml:space="preserve"> </w:t>
      </w:r>
      <w:r>
        <w:rPr>
          <w:rFonts w:ascii="Arial"/>
          <w:color w:val="000000"/>
          <w:sz w:val="24"/>
        </w:rPr>
        <w:t xml:space="preserve">failed </w:t>
      </w:r>
      <w:r>
        <w:rPr>
          <w:rFonts w:ascii="Arial"/>
          <w:color w:val="000000"/>
          <w:sz w:val="24"/>
        </w:rPr>
        <w:t xml:space="preserve">to </w:t>
      </w:r>
      <w:r>
        <w:rPr>
          <w:rFonts w:ascii="Arial"/>
          <w:color w:val="000000"/>
          <w:sz w:val="24"/>
        </w:rPr>
        <w:t>establish that the Panel</w:t>
      </w:r>
      <w:r>
        <w:rPr>
          <w:rFonts w:ascii="Arial"/>
          <w:color w:val="000000"/>
          <w:sz w:val="24"/>
        </w:rPr>
        <w:t>’</w:t>
      </w:r>
      <w:r>
        <w:rPr>
          <w:rFonts w:ascii="Arial"/>
          <w:color w:val="000000"/>
          <w:sz w:val="24"/>
        </w:rPr>
        <w:t xml:space="preserve">s decision was affected by the jurisdictional errors alleged by Mr </w:t>
      </w:r>
      <w:r>
        <w:rPr>
          <w:rFonts w:ascii="Arial"/>
          <w:color w:val="000000"/>
          <w:sz w:val="24"/>
        </w:rPr>
        <w:t>Lahoud</w:t>
      </w:r>
      <w:r>
        <w:rPr>
          <w:rFonts w:ascii="Arial"/>
          <w:color w:val="000000"/>
          <w:sz w:val="24"/>
        </w:rPr>
        <w:t xml:space="preserve"> </w:t>
      </w:r>
      <w:r>
        <w:rPr>
          <w:rFonts w:ascii="Arial"/>
          <w:color w:val="000000"/>
          <w:sz w:val="24"/>
        </w:rPr>
        <w:t>(contention 4).</w:t>
      </w:r>
    </w:p>
    <w:p>
      <w:pPr>
        <w:pStyle w:val="CaselawNumbered10"/>
        <w:numPr>
          <w:ilvl w:val="0"/>
          <w:numId w:val="61"/>
        </w:numPr>
        <w:spacing w:before="150" w:after="0"/>
        <w:ind w:left="600" w:hanging="600"/>
      </w:pPr>
      <w:r>
        <w:rPr>
          <w:rFonts w:ascii="Arial"/>
          <w:color w:val="000000"/>
          <w:sz w:val="24"/>
        </w:rPr>
        <w:t xml:space="preserve">It is appropriate to deal first with ground of appeal 9 and contention 4, as if Mr </w:t>
      </w:r>
      <w:r>
        <w:rPr>
          <w:rFonts w:ascii="Arial"/>
          <w:color w:val="000000"/>
          <w:sz w:val="24"/>
        </w:rPr>
        <w:t>Lahoud</w:t>
      </w:r>
      <w:r>
        <w:rPr>
          <w:rFonts w:ascii="Arial"/>
          <w:color w:val="000000"/>
          <w:sz w:val="24"/>
        </w:rPr>
        <w:t xml:space="preserve"> </w:t>
      </w:r>
      <w:r>
        <w:rPr>
          <w:rFonts w:ascii="Arial"/>
          <w:color w:val="000000"/>
          <w:sz w:val="24"/>
        </w:rPr>
        <w:t>fails to establish that the Panel breached cl 7(1) and (</w:t>
      </w:r>
      <w:r>
        <w:rPr>
          <w:rFonts w:ascii="Arial"/>
          <w:color w:val="000000"/>
          <w:sz w:val="24"/>
        </w:rPr>
        <w:t>2</w:t>
      </w:r>
      <w:r>
        <w:rPr>
          <w:rFonts w:ascii="Arial"/>
          <w:color w:val="000000"/>
          <w:sz w:val="24"/>
        </w:rPr>
        <w:t>) of SEPP 55, there is no need to address grounds of appeal 10-12 which concern the primary judge</w:t>
      </w:r>
      <w:r>
        <w:rPr>
          <w:rFonts w:ascii="Arial"/>
          <w:color w:val="000000"/>
          <w:sz w:val="24"/>
        </w:rPr>
        <w:t>’</w:t>
      </w:r>
      <w:r>
        <w:rPr>
          <w:rFonts w:ascii="Arial"/>
          <w:color w:val="000000"/>
          <w:sz w:val="24"/>
        </w:rPr>
        <w:t>s decision to withhold relief for any assumed breach of cl 7(1) and (</w:t>
      </w:r>
      <w:r>
        <w:rPr>
          <w:rFonts w:ascii="Arial"/>
          <w:color w:val="000000"/>
          <w:sz w:val="24"/>
        </w:rPr>
        <w:t>2</w:t>
      </w:r>
      <w:r>
        <w:rPr>
          <w:rFonts w:ascii="Arial"/>
          <w:color w:val="000000"/>
          <w:sz w:val="24"/>
        </w:rPr>
        <w:t>).</w:t>
      </w:r>
    </w:p>
    <w:p>
      <w:pPr>
        <w:pStyle w:val="CaselawNumbered10"/>
        <w:numPr>
          <w:ilvl w:val="0"/>
          <w:numId w:val="61"/>
        </w:numPr>
        <w:spacing w:before="150" w:after="0"/>
        <w:ind w:left="600" w:hanging="600"/>
      </w:pPr>
      <w:r>
        <w:rPr>
          <w:rFonts w:ascii="Arial"/>
          <w:color w:val="000000"/>
          <w:sz w:val="24"/>
        </w:rPr>
        <w:t xml:space="preserve">Grounds 5 and 6 of the judicial review </w:t>
      </w:r>
      <w:r>
        <w:rPr>
          <w:rFonts w:ascii="Arial"/>
          <w:color w:val="000000"/>
          <w:sz w:val="24"/>
        </w:rPr>
        <w:t>summons</w:t>
      </w:r>
      <w:r>
        <w:rPr>
          <w:rFonts w:ascii="Arial"/>
          <w:color w:val="000000"/>
          <w:sz w:val="24"/>
        </w:rPr>
        <w:t xml:space="preserve"> </w:t>
      </w:r>
      <w:r>
        <w:rPr>
          <w:rFonts w:ascii="Arial"/>
          <w:color w:val="000000"/>
          <w:sz w:val="24"/>
        </w:rPr>
        <w:t>claimed the Panel</w:t>
      </w:r>
      <w:r>
        <w:rPr>
          <w:rFonts w:ascii="Arial"/>
          <w:color w:val="000000"/>
          <w:sz w:val="24"/>
        </w:rPr>
        <w:t>’</w:t>
      </w:r>
      <w:r>
        <w:rPr>
          <w:rFonts w:ascii="Arial"/>
          <w:color w:val="000000"/>
          <w:sz w:val="24"/>
        </w:rPr>
        <w:t>s decision involved the jurisdictional error of failing to consider relevant matters. The onus lay on the challenger</w:t>
      </w:r>
      <w:r>
        <w:rPr>
          <w:rFonts w:ascii="Arial"/>
          <w:color w:val="000000"/>
          <w:sz w:val="24"/>
        </w:rPr>
        <w:t>,</w:t>
      </w:r>
      <w:r>
        <w:rPr>
          <w:rFonts w:ascii="Arial"/>
          <w:color w:val="000000"/>
          <w:sz w:val="24"/>
        </w:rPr>
        <w:t xml:space="preserve"> </w:t>
      </w:r>
      <w:r>
        <w:rPr>
          <w:rFonts w:ascii="Arial"/>
          <w:color w:val="000000"/>
          <w:sz w:val="24"/>
        </w:rPr>
        <w:t xml:space="preserve">Mr </w:t>
      </w:r>
      <w:r>
        <w:rPr>
          <w:rFonts w:ascii="Arial"/>
          <w:color w:val="000000"/>
          <w:sz w:val="24"/>
        </w:rPr>
        <w:t>Lahoud</w:t>
      </w:r>
      <w:r>
        <w:rPr>
          <w:rFonts w:ascii="Arial"/>
          <w:color w:val="000000"/>
          <w:sz w:val="24"/>
        </w:rPr>
        <w:t>, to establish that the Panel did fail to consider matters it was obliged to consider.</w:t>
      </w:r>
    </w:p>
    <w:p>
      <w:pPr>
        <w:pStyle w:val="CaselawNumbered10"/>
        <w:numPr>
          <w:ilvl w:val="0"/>
          <w:numId w:val="61"/>
        </w:numPr>
        <w:spacing w:before="150" w:after="0"/>
        <w:ind w:left="600" w:hanging="600"/>
      </w:pPr>
      <w:r>
        <w:rPr>
          <w:rFonts w:ascii="Arial"/>
          <w:color w:val="000000"/>
          <w:sz w:val="24"/>
        </w:rPr>
        <w:t xml:space="preserve">The first matter Mr </w:t>
      </w:r>
      <w:r>
        <w:rPr>
          <w:rFonts w:ascii="Arial"/>
          <w:color w:val="000000"/>
          <w:sz w:val="24"/>
        </w:rPr>
        <w:t>Lahoud</w:t>
      </w:r>
      <w:r>
        <w:rPr>
          <w:rFonts w:ascii="Arial"/>
          <w:color w:val="000000"/>
          <w:sz w:val="24"/>
        </w:rPr>
        <w:t xml:space="preserve"> </w:t>
      </w:r>
      <w:r>
        <w:rPr>
          <w:rFonts w:ascii="Arial"/>
          <w:color w:val="000000"/>
          <w:sz w:val="24"/>
        </w:rPr>
        <w:t>claimed the Panel was obliged to consider, but did not consider, was whether the land was contaminated. The obligation to consider this matter arose f</w:t>
      </w:r>
      <w:r>
        <w:rPr>
          <w:rFonts w:ascii="Arial"/>
          <w:color w:val="000000"/>
          <w:sz w:val="24"/>
        </w:rPr>
        <w:t>rom</w:t>
      </w:r>
      <w:r>
        <w:rPr>
          <w:rFonts w:ascii="Arial"/>
          <w:color w:val="000000"/>
          <w:sz w:val="24"/>
        </w:rPr>
        <w:t xml:space="preserve"> </w:t>
      </w:r>
      <w:r>
        <w:rPr>
          <w:rFonts w:ascii="Arial"/>
          <w:color w:val="000000"/>
          <w:sz w:val="24"/>
        </w:rPr>
        <w:t xml:space="preserve">cl 7(1)(a) of SEPP 55. Mr </w:t>
      </w:r>
      <w:r>
        <w:rPr>
          <w:rFonts w:ascii="Arial"/>
          <w:color w:val="000000"/>
          <w:sz w:val="24"/>
        </w:rPr>
        <w:t>Lahoud</w:t>
      </w:r>
      <w:r>
        <w:rPr>
          <w:rFonts w:ascii="Arial"/>
          <w:color w:val="000000"/>
          <w:sz w:val="24"/>
        </w:rPr>
        <w:t xml:space="preserve"> </w:t>
      </w:r>
      <w:r>
        <w:rPr>
          <w:rFonts w:ascii="Arial"/>
          <w:color w:val="000000"/>
          <w:sz w:val="24"/>
        </w:rPr>
        <w:t xml:space="preserve">argued that the Panel did not consider this matter at all, not that it inadequately considered the matter, what Street CJ in </w:t>
      </w:r>
      <w:r>
        <w:rPr>
          <w:rFonts w:ascii="Arial"/>
          <w:i/>
          <w:color w:val="000000"/>
          <w:sz w:val="24"/>
        </w:rPr>
        <w:t>Parramatta City Council v Hale</w:t>
      </w:r>
      <w:r>
        <w:rPr>
          <w:rFonts w:ascii="Arial"/>
          <w:color w:val="000000"/>
          <w:sz w:val="24"/>
        </w:rPr>
        <w:t xml:space="preserve"> </w:t>
      </w:r>
      <w:r>
        <w:rPr>
          <w:rFonts w:ascii="Arial"/>
          <w:color w:val="000000"/>
          <w:sz w:val="24"/>
        </w:rPr>
        <w:t xml:space="preserve">(1982) 47 LGRA 319 at 335 referred to as </w:t>
      </w:r>
      <w:r>
        <w:rPr>
          <w:rFonts w:ascii="Arial"/>
          <w:color w:val="000000"/>
          <w:sz w:val="24"/>
        </w:rPr>
        <w:t>“</w:t>
      </w:r>
      <w:r>
        <w:rPr>
          <w:rFonts w:ascii="Arial"/>
          <w:color w:val="000000"/>
          <w:sz w:val="24"/>
        </w:rPr>
        <w:t>a failure sub modo</w:t>
      </w:r>
      <w:r>
        <w:rPr>
          <w:rFonts w:ascii="Arial"/>
          <w:color w:val="000000"/>
          <w:sz w:val="24"/>
        </w:rPr>
        <w:t>”</w:t>
      </w:r>
      <w:r>
        <w:rPr>
          <w:rFonts w:ascii="Arial"/>
          <w:color w:val="000000"/>
          <w:sz w:val="24"/>
        </w:rPr>
        <w:t xml:space="preserve"> </w:t>
      </w:r>
      <w:r>
        <w:rPr>
          <w:rFonts w:ascii="Arial"/>
          <w:color w:val="000000"/>
          <w:sz w:val="24"/>
        </w:rPr>
        <w:t>to consider a relevant matter.</w:t>
      </w:r>
      <w:r>
        <w:rPr>
          <w:rFonts w:ascii="Arial"/>
          <w:color w:val="000000"/>
          <w:sz w:val="24"/>
        </w:rPr>
        <w:t xml:space="preserve"> </w:t>
      </w:r>
    </w:p>
    <w:p>
      <w:pPr>
        <w:pStyle w:val="CaselawNumbered10"/>
        <w:numPr>
          <w:ilvl w:val="0"/>
          <w:numId w:val="61"/>
        </w:numPr>
        <w:spacing w:before="150" w:after="0"/>
        <w:ind w:left="600" w:hanging="600"/>
      </w:pPr>
      <w:r>
        <w:rPr>
          <w:rFonts w:ascii="Arial"/>
          <w:color w:val="000000"/>
          <w:sz w:val="24"/>
        </w:rPr>
        <w:t xml:space="preserve">Mr </w:t>
      </w:r>
      <w:r>
        <w:rPr>
          <w:rFonts w:ascii="Arial"/>
          <w:color w:val="000000"/>
          <w:sz w:val="24"/>
        </w:rPr>
        <w:t>Lahoud</w:t>
      </w:r>
      <w:r>
        <w:rPr>
          <w:rFonts w:ascii="Arial"/>
          <w:color w:val="000000"/>
          <w:sz w:val="24"/>
        </w:rPr>
        <w:t xml:space="preserve"> </w:t>
      </w:r>
      <w:r>
        <w:rPr>
          <w:rFonts w:ascii="Arial"/>
          <w:color w:val="000000"/>
          <w:sz w:val="24"/>
        </w:rPr>
        <w:t>argued that the court would draw the inference that the Panel failed to consider whether the land is contaminated from the statement in the Council assessment report that the proposed development did not involve any excavation.</w:t>
      </w:r>
      <w:r>
        <w:rPr>
          <w:rFonts w:ascii="Arial"/>
          <w:color w:val="000000"/>
          <w:sz w:val="24"/>
        </w:rPr>
        <w:t xml:space="preserve"> </w:t>
      </w:r>
      <w:r>
        <w:rPr>
          <w:rFonts w:ascii="Arial"/>
          <w:color w:val="000000"/>
          <w:sz w:val="24"/>
        </w:rPr>
        <w:t xml:space="preserve">The primary judge was attracted to this argument, finding that </w:t>
      </w:r>
      <w:r>
        <w:rPr>
          <w:rFonts w:ascii="Arial"/>
          <w:color w:val="000000"/>
          <w:sz w:val="24"/>
        </w:rPr>
        <w:t>“</w:t>
      </w:r>
      <w:r>
        <w:rPr>
          <w:rFonts w:ascii="Arial"/>
          <w:color w:val="000000"/>
          <w:sz w:val="24"/>
        </w:rPr>
        <w:t>the triggering basis upon which Grounds 5 and 6 are advanced is the material error in the Council officer</w:t>
      </w:r>
      <w:r>
        <w:rPr>
          <w:rFonts w:ascii="Arial"/>
          <w:color w:val="000000"/>
          <w:sz w:val="24"/>
        </w:rPr>
        <w:t>’</w:t>
      </w:r>
      <w:r>
        <w:rPr>
          <w:rFonts w:ascii="Arial"/>
          <w:color w:val="000000"/>
          <w:sz w:val="24"/>
        </w:rPr>
        <w:t>s assessment report asserting that there would be no excavation on the site arising as a consequence of the Company carrying out the approved development.</w:t>
      </w:r>
      <w:r>
        <w:rPr>
          <w:rFonts w:ascii="Arial"/>
          <w:color w:val="000000"/>
          <w:sz w:val="24"/>
        </w:rPr>
        <w:t>”</w:t>
      </w:r>
      <w:r>
        <w:rPr>
          <w:rFonts w:ascii="Arial"/>
          <w:color w:val="000000"/>
          <w:sz w:val="24"/>
        </w:rPr>
        <w:t>: at [289].</w:t>
      </w:r>
    </w:p>
    <w:p>
      <w:pPr>
        <w:pStyle w:val="CaselawNumbered10"/>
        <w:numPr>
          <w:ilvl w:val="0"/>
          <w:numId w:val="61"/>
        </w:numPr>
        <w:spacing w:before="150" w:after="0"/>
        <w:ind w:left="600" w:hanging="600"/>
      </w:pPr>
      <w:r>
        <w:rPr>
          <w:rFonts w:ascii="Arial"/>
          <w:color w:val="000000"/>
          <w:sz w:val="24"/>
        </w:rPr>
        <w:t xml:space="preserve">However, Mr </w:t>
      </w:r>
      <w:r>
        <w:rPr>
          <w:rFonts w:ascii="Arial"/>
          <w:color w:val="000000"/>
          <w:sz w:val="24"/>
        </w:rPr>
        <w:t>Lahoud</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argument and the primary judge</w:t>
      </w:r>
      <w:r>
        <w:rPr>
          <w:rFonts w:ascii="Arial"/>
          <w:color w:val="000000"/>
          <w:sz w:val="24"/>
        </w:rPr>
        <w:t>’</w:t>
      </w:r>
      <w:r>
        <w:rPr>
          <w:rFonts w:ascii="Arial"/>
          <w:color w:val="000000"/>
          <w:sz w:val="24"/>
        </w:rPr>
        <w:t xml:space="preserve">s attraction to the argument lack evidentiary foundation. There was sufficient material before the Panel evidencing consideration of cl 7 of SEPP 55 and the extent of excavation. </w:t>
      </w:r>
    </w:p>
    <w:p>
      <w:pPr>
        <w:pStyle w:val="CaselawNumbered10"/>
        <w:numPr>
          <w:ilvl w:val="0"/>
          <w:numId w:val="61"/>
        </w:numPr>
        <w:spacing w:before="150" w:after="0"/>
        <w:ind w:left="600" w:hanging="600"/>
      </w:pPr>
      <w:r>
        <w:rPr>
          <w:rFonts w:ascii="Arial"/>
          <w:color w:val="000000"/>
          <w:sz w:val="24"/>
        </w:rPr>
        <w:t xml:space="preserve">As previously </w:t>
      </w:r>
      <w:r>
        <w:rPr>
          <w:rFonts w:ascii="Arial"/>
          <w:color w:val="000000"/>
          <w:sz w:val="24"/>
        </w:rPr>
        <w:t>noted</w:t>
      </w:r>
      <w:r>
        <w:rPr>
          <w:rFonts w:ascii="Arial"/>
          <w:color w:val="000000"/>
          <w:sz w:val="24"/>
        </w:rPr>
        <w:t xml:space="preserve">, the Panel gave among its reasons for decision, </w:t>
      </w:r>
      <w:r>
        <w:rPr>
          <w:rFonts w:ascii="Arial"/>
          <w:color w:val="000000"/>
          <w:sz w:val="24"/>
        </w:rPr>
        <w:t>“</w:t>
      </w:r>
      <w:r>
        <w:rPr>
          <w:rFonts w:ascii="Arial"/>
          <w:color w:val="000000"/>
          <w:sz w:val="24"/>
        </w:rPr>
        <w:t>[t]he reasons outlined in the Council assessment report.</w:t>
      </w:r>
      <w:r>
        <w:rPr>
          <w:rFonts w:ascii="Arial"/>
          <w:color w:val="000000"/>
          <w:sz w:val="24"/>
        </w:rPr>
        <w:t xml:space="preserve">” </w:t>
      </w:r>
      <w:r>
        <w:rPr>
          <w:rFonts w:ascii="Arial"/>
          <w:color w:val="000000"/>
          <w:sz w:val="24"/>
        </w:rPr>
        <w:t>The Council assessment report record</w:t>
      </w:r>
      <w:r>
        <w:rPr>
          <w:rFonts w:ascii="Arial"/>
          <w:color w:val="000000"/>
          <w:sz w:val="24"/>
        </w:rPr>
        <w:t>ed</w:t>
      </w:r>
      <w:r>
        <w:rPr>
          <w:rFonts w:ascii="Arial"/>
          <w:color w:val="000000"/>
          <w:sz w:val="24"/>
        </w:rPr>
        <w:t xml:space="preserve"> </w:t>
      </w:r>
      <w:r>
        <w:rPr>
          <w:rFonts w:ascii="Arial"/>
          <w:color w:val="000000"/>
          <w:sz w:val="24"/>
        </w:rPr>
        <w:t>the Council</w:t>
      </w:r>
      <w:r>
        <w:rPr>
          <w:rFonts w:ascii="Arial"/>
          <w:color w:val="000000"/>
          <w:sz w:val="24"/>
        </w:rPr>
        <w:t>’</w:t>
      </w:r>
      <w:r>
        <w:rPr>
          <w:rFonts w:ascii="Arial"/>
          <w:color w:val="000000"/>
          <w:sz w:val="24"/>
        </w:rPr>
        <w:t xml:space="preserve">s Environmental Health Officer as </w:t>
      </w:r>
      <w:r>
        <w:rPr>
          <w:rFonts w:ascii="Arial"/>
          <w:color w:val="000000"/>
          <w:sz w:val="24"/>
        </w:rPr>
        <w:t>stating</w:t>
      </w:r>
      <w:r>
        <w:rPr>
          <w:rFonts w:ascii="Arial"/>
          <w:color w:val="000000"/>
          <w:sz w:val="24"/>
        </w:rPr>
        <w:t xml:space="preserve"> </w:t>
      </w:r>
      <w:r>
        <w:rPr>
          <w:rFonts w:ascii="Arial"/>
          <w:color w:val="000000"/>
          <w:sz w:val="24"/>
        </w:rPr>
        <w:t>“</w:t>
      </w:r>
      <w:r>
        <w:rPr>
          <w:rFonts w:ascii="Arial"/>
          <w:color w:val="000000"/>
          <w:sz w:val="24"/>
        </w:rPr>
        <w:t>No objection subject to conditions</w:t>
      </w:r>
      <w:r>
        <w:rPr>
          <w:rFonts w:ascii="Arial"/>
          <w:color w:val="000000"/>
          <w:sz w:val="24"/>
        </w:rPr>
        <w:t xml:space="preserve">” </w:t>
      </w:r>
      <w:r>
        <w:rPr>
          <w:rFonts w:ascii="Arial"/>
          <w:color w:val="000000"/>
          <w:sz w:val="24"/>
        </w:rPr>
        <w:t>and making the following comments on SEPP 55:</w:t>
      </w:r>
    </w:p>
    <w:p>
      <w:pPr>
        <w:pStyle w:val="CaselawQuote"/>
        <w:spacing w:before="150" w:after="150"/>
        <w:ind w:left="1350"/>
        <w:jc w:val="left"/>
      </w:pPr>
      <w:r>
        <w:rPr>
          <w:rFonts w:ascii="Arial"/>
          <w:color w:val="000000"/>
          <w:sz w:val="22"/>
        </w:rPr>
        <w:t>“SEPP 55 remediation of land</w:t>
      </w:r>
      <w:r>
        <w:rPr>
          <w:rFonts w:ascii="Arial"/>
          <w:color w:val="000000"/>
          <w:sz w:val="22"/>
        </w:rPr>
        <w:t xml:space="preserve"> was considered as part of the proposed change of use for the development. As no excavation works are being undertaken, further contamination investigation is not considered necessary as future occupants will not be exposed to excavated soils and contamination risks are not increased by the proposal.”</w:t>
      </w:r>
    </w:p>
    <w:p>
      <w:pPr>
        <w:pStyle w:val="CaselawNumbered10"/>
        <w:numPr>
          <w:ilvl w:val="0"/>
          <w:numId w:val="62"/>
        </w:numPr>
        <w:spacing w:before="150" w:after="0"/>
        <w:ind w:left="600" w:hanging="600"/>
      </w:pPr>
      <w:r>
        <w:rPr>
          <w:rFonts w:ascii="Arial"/>
          <w:color w:val="000000"/>
          <w:sz w:val="24"/>
        </w:rPr>
        <w:t>Attachment 6 to the report contained an assessment of the matters in s 4.15(1) of the EPA Act that the Panel was required to consider, including the provision</w:t>
      </w:r>
      <w:r>
        <w:rPr>
          <w:rFonts w:ascii="Arial"/>
          <w:color w:val="000000"/>
          <w:sz w:val="24"/>
        </w:rPr>
        <w:t>s</w:t>
      </w:r>
      <w:r>
        <w:rPr>
          <w:rFonts w:ascii="Arial"/>
          <w:color w:val="000000"/>
          <w:sz w:val="24"/>
        </w:rPr>
        <w:t xml:space="preserve"> </w:t>
      </w:r>
      <w:r>
        <w:rPr>
          <w:rFonts w:ascii="Arial"/>
          <w:color w:val="000000"/>
          <w:sz w:val="24"/>
        </w:rPr>
        <w:t xml:space="preserve">of any </w:t>
      </w:r>
      <w:r>
        <w:rPr>
          <w:rFonts w:ascii="Arial"/>
          <w:color w:val="000000"/>
          <w:sz w:val="24"/>
        </w:rPr>
        <w:t>applicable environmental planning instruments. One of these instruments was SEPP 55. The report stated:</w:t>
      </w:r>
    </w:p>
    <w:p>
      <w:pPr>
        <w:pStyle w:val="CaselawQuote"/>
        <w:spacing w:before="150" w:after="150"/>
        <w:ind w:left="1350"/>
        <w:jc w:val="left"/>
      </w:pPr>
      <w:r>
        <w:rPr>
          <w:rFonts w:ascii="Arial"/>
          <w:color w:val="000000"/>
          <w:sz w:val="22"/>
        </w:rPr>
        <w:t>“</w:t>
      </w:r>
      <w:r>
        <w:rPr>
          <w:rFonts w:ascii="Arial"/>
          <w:b/>
          <w:color w:val="000000"/>
          <w:sz w:val="22"/>
        </w:rPr>
        <w:t>SEPP 55 – Remediation of Land</w:t>
      </w:r>
    </w:p>
    <w:p>
      <w:pPr>
        <w:pStyle w:val="CaselawQuote"/>
        <w:spacing w:before="150" w:after="150"/>
        <w:ind w:left="1350"/>
        <w:jc w:val="left"/>
      </w:pPr>
      <w:r>
        <w:rPr>
          <w:rFonts w:ascii="Arial"/>
          <w:color w:val="000000"/>
          <w:sz w:val="22"/>
        </w:rPr>
        <w:t>As the proposal is for adaptive re-use and limited to no excavation is proposed, the development is considered satisfactory by Council’s Environmental Health Officer subject to recommended conditions of consent.”</w:t>
      </w:r>
    </w:p>
    <w:p>
      <w:pPr>
        <w:pStyle w:val="CaselawNumbered10"/>
        <w:numPr>
          <w:ilvl w:val="0"/>
          <w:numId w:val="63"/>
        </w:numPr>
        <w:spacing w:before="150" w:after="0"/>
        <w:ind w:left="600" w:hanging="600"/>
      </w:pPr>
      <w:r>
        <w:rPr>
          <w:rFonts w:ascii="Arial"/>
          <w:color w:val="000000"/>
          <w:sz w:val="24"/>
        </w:rPr>
        <w:t>Of note, the Council</w:t>
      </w:r>
      <w:r>
        <w:rPr>
          <w:rFonts w:ascii="Arial"/>
          <w:color w:val="000000"/>
          <w:sz w:val="24"/>
        </w:rPr>
        <w:t>’</w:t>
      </w:r>
      <w:r>
        <w:rPr>
          <w:rFonts w:ascii="Arial"/>
          <w:color w:val="000000"/>
          <w:sz w:val="24"/>
        </w:rPr>
        <w:t>s assessing officer corrected the Council</w:t>
      </w:r>
      <w:r>
        <w:rPr>
          <w:rFonts w:ascii="Arial"/>
          <w:color w:val="000000"/>
          <w:sz w:val="24"/>
        </w:rPr>
        <w:t>’</w:t>
      </w:r>
      <w:r>
        <w:rPr>
          <w:rFonts w:ascii="Arial"/>
          <w:color w:val="000000"/>
          <w:sz w:val="24"/>
        </w:rPr>
        <w:t>s Environmental Health Officer</w:t>
      </w:r>
      <w:r>
        <w:rPr>
          <w:rFonts w:ascii="Arial"/>
          <w:color w:val="000000"/>
          <w:sz w:val="24"/>
        </w:rPr>
        <w:t>’</w:t>
      </w:r>
      <w:r>
        <w:rPr>
          <w:rFonts w:ascii="Arial"/>
          <w:color w:val="000000"/>
          <w:sz w:val="24"/>
        </w:rPr>
        <w:t xml:space="preserve">s statement that there would be </w:t>
      </w:r>
      <w:r>
        <w:rPr>
          <w:rFonts w:ascii="Arial"/>
          <w:color w:val="000000"/>
          <w:sz w:val="24"/>
        </w:rPr>
        <w:t>“</w:t>
      </w:r>
      <w:r>
        <w:rPr>
          <w:rFonts w:ascii="Arial"/>
          <w:color w:val="000000"/>
          <w:sz w:val="24"/>
        </w:rPr>
        <w:t>no</w:t>
      </w:r>
      <w:r>
        <w:rPr>
          <w:rFonts w:ascii="Arial"/>
          <w:color w:val="000000"/>
          <w:sz w:val="24"/>
        </w:rPr>
        <w:t xml:space="preserve">” </w:t>
      </w:r>
      <w:r>
        <w:rPr>
          <w:rFonts w:ascii="Arial"/>
          <w:color w:val="000000"/>
          <w:sz w:val="24"/>
        </w:rPr>
        <w:t>excavation to</w:t>
      </w:r>
      <w:r>
        <w:rPr>
          <w:rFonts w:ascii="Arial"/>
          <w:color w:val="000000"/>
          <w:sz w:val="24"/>
        </w:rPr>
        <w:t xml:space="preserve"> </w:t>
      </w:r>
      <w:r>
        <w:rPr>
          <w:rFonts w:ascii="Arial"/>
          <w:color w:val="000000"/>
          <w:sz w:val="24"/>
        </w:rPr>
        <w:t>instead</w:t>
      </w:r>
      <w:r>
        <w:rPr>
          <w:rFonts w:ascii="Arial"/>
          <w:color w:val="000000"/>
          <w:sz w:val="24"/>
        </w:rPr>
        <w:t xml:space="preserve"> </w:t>
      </w:r>
      <w:r>
        <w:rPr>
          <w:rFonts w:ascii="Arial"/>
          <w:color w:val="000000"/>
          <w:sz w:val="24"/>
        </w:rPr>
        <w:t xml:space="preserve">be that </w:t>
      </w:r>
      <w:r>
        <w:rPr>
          <w:rFonts w:ascii="Arial"/>
          <w:color w:val="000000"/>
          <w:sz w:val="24"/>
        </w:rPr>
        <w:t>“</w:t>
      </w:r>
      <w:r>
        <w:rPr>
          <w:rFonts w:ascii="Arial"/>
          <w:color w:val="000000"/>
          <w:sz w:val="24"/>
        </w:rPr>
        <w:t>limited to no excavation is proposed</w:t>
      </w:r>
      <w:r>
        <w:rPr>
          <w:rFonts w:ascii="Arial"/>
          <w:color w:val="000000"/>
          <w:sz w:val="24"/>
        </w:rPr>
        <w:t>”</w:t>
      </w:r>
      <w:r>
        <w:rPr>
          <w:rFonts w:ascii="Arial"/>
          <w:color w:val="000000"/>
          <w:sz w:val="24"/>
        </w:rPr>
        <w:t>.</w:t>
      </w:r>
    </w:p>
    <w:p>
      <w:pPr>
        <w:pStyle w:val="CaselawNumbered10"/>
        <w:numPr>
          <w:ilvl w:val="0"/>
          <w:numId w:val="63"/>
        </w:numPr>
        <w:spacing w:before="150" w:after="0"/>
        <w:ind w:left="600" w:hanging="600"/>
      </w:pPr>
      <w:r>
        <w:rPr>
          <w:rFonts w:ascii="Arial"/>
          <w:color w:val="000000"/>
          <w:sz w:val="24"/>
        </w:rPr>
        <w:t>The recommended conditions of consent included one dealing with the identification during site redevelopment of previously unidentified contaminated soils or materials. Condition 53 provided:</w:t>
      </w:r>
    </w:p>
    <w:p>
      <w:pPr>
        <w:pStyle w:val="CaselawQuote"/>
        <w:spacing w:before="150" w:after="150"/>
        <w:ind w:left="1350"/>
        <w:jc w:val="left"/>
      </w:pPr>
      <w:r>
        <w:rPr>
          <w:rFonts w:ascii="Arial"/>
          <w:b/>
          <w:color w:val="000000"/>
          <w:sz w:val="22"/>
        </w:rPr>
        <w:t>“Unexpected Finds Protocol</w:t>
      </w:r>
    </w:p>
    <w:p>
      <w:pPr>
        <w:pStyle w:val="CaselawQuote"/>
        <w:spacing w:before="150" w:after="150"/>
        <w:ind w:left="1350"/>
        <w:jc w:val="left"/>
      </w:pPr>
      <w:r>
        <w:rPr>
          <w:rFonts w:ascii="Arial"/>
          <w:color w:val="000000"/>
          <w:sz w:val="22"/>
        </w:rPr>
        <w:t xml:space="preserve">An unexpected finds contingency plan should be incorporated into site redevelopment works. </w:t>
      </w:r>
      <w:r>
        <w:rPr>
          <w:rFonts w:ascii="Arial"/>
          <w:color w:val="000000"/>
          <w:sz w:val="22"/>
        </w:rPr>
        <w:t>In the event</w:t>
      </w:r>
      <w:r>
        <w:rPr>
          <w:rFonts w:ascii="Arial"/>
          <w:color w:val="000000"/>
          <w:sz w:val="22"/>
        </w:rPr>
        <w:t xml:space="preserve"> that previously unidentified contaminated soils or materials are identified during site redevelopment, works should cease in the immediate vicinity and the affected area isolated to minimise disturbance. A suitably qualified contaminated site consultant should be engaged to assess the degree, type and extent of contamination and establish a remediation plan. The Site </w:t>
      </w:r>
      <w:r>
        <w:rPr>
          <w:rFonts w:ascii="Arial"/>
          <w:color w:val="000000"/>
          <w:sz w:val="22"/>
        </w:rPr>
        <w:t>Manager/landowner shall notify Council in writing when they become aware of any contamination.</w:t>
      </w:r>
    </w:p>
    <w:p>
      <w:pPr>
        <w:pStyle w:val="CaselawQuote"/>
        <w:spacing w:before="150" w:after="150"/>
        <w:ind w:left="1350"/>
        <w:jc w:val="left"/>
      </w:pPr>
      <w:r>
        <w:rPr>
          <w:rFonts w:ascii="Arial"/>
          <w:color w:val="000000"/>
          <w:sz w:val="22"/>
        </w:rPr>
        <w:t>(Reason: Environment &amp; Health Protection)”</w:t>
      </w:r>
    </w:p>
    <w:p>
      <w:pPr>
        <w:pStyle w:val="CaselawNumbered10"/>
        <w:numPr>
          <w:ilvl w:val="0"/>
          <w:numId w:val="64"/>
        </w:numPr>
        <w:spacing w:before="150" w:after="0"/>
        <w:ind w:left="600" w:hanging="600"/>
      </w:pPr>
      <w:r>
        <w:rPr>
          <w:rFonts w:ascii="Arial"/>
          <w:color w:val="000000"/>
          <w:sz w:val="24"/>
        </w:rPr>
        <w:t xml:space="preserve">The Council assessment report assessed the development application and accompanying documents. The development application form asked as question 8, </w:t>
      </w:r>
      <w:r>
        <w:rPr>
          <w:rFonts w:ascii="Arial"/>
          <w:color w:val="000000"/>
          <w:sz w:val="24"/>
        </w:rPr>
        <w:t>“</w:t>
      </w:r>
      <w:r>
        <w:rPr>
          <w:rFonts w:ascii="Arial"/>
          <w:color w:val="000000"/>
          <w:sz w:val="24"/>
        </w:rPr>
        <w:t xml:space="preserve">Does your proposal require any excavation work in a commercial/industrial zone or are </w:t>
      </w:r>
      <w:r>
        <w:rPr>
          <w:rFonts w:ascii="Arial"/>
          <w:color w:val="000000"/>
          <w:sz w:val="24"/>
        </w:rPr>
        <w:t xml:space="preserve">you </w:t>
      </w:r>
      <w:r>
        <w:rPr>
          <w:rFonts w:ascii="Arial"/>
          <w:color w:val="000000"/>
          <w:sz w:val="24"/>
        </w:rPr>
        <w:t xml:space="preserve">aware of any previous potentially contaminating activities on the site? If </w:t>
      </w:r>
      <w:r>
        <w:rPr>
          <w:rFonts w:ascii="Arial"/>
          <w:color w:val="000000"/>
          <w:sz w:val="24"/>
        </w:rPr>
        <w:t>yes</w:t>
      </w:r>
      <w:r>
        <w:rPr>
          <w:rFonts w:ascii="Arial"/>
          <w:color w:val="000000"/>
          <w:sz w:val="24"/>
        </w:rPr>
        <w:t xml:space="preserve"> </w:t>
      </w:r>
      <w:r>
        <w:rPr>
          <w:rFonts w:ascii="Arial"/>
          <w:color w:val="000000"/>
          <w:sz w:val="24"/>
        </w:rPr>
        <w:t xml:space="preserve">you are required to provide </w:t>
      </w:r>
      <w:r>
        <w:rPr>
          <w:rFonts w:ascii="Arial"/>
          <w:color w:val="000000"/>
          <w:sz w:val="24"/>
        </w:rPr>
        <w:t xml:space="preserve">a </w:t>
      </w:r>
      <w:r>
        <w:rPr>
          <w:rFonts w:ascii="Arial"/>
          <w:color w:val="000000"/>
          <w:sz w:val="24"/>
        </w:rPr>
        <w:t>preliminary investigation report.</w:t>
      </w:r>
      <w:r>
        <w:rPr>
          <w:rFonts w:ascii="Arial"/>
          <w:color w:val="000000"/>
          <w:sz w:val="24"/>
        </w:rPr>
        <w:t xml:space="preserve">” </w:t>
      </w:r>
      <w:r>
        <w:rPr>
          <w:rFonts w:ascii="Arial"/>
          <w:color w:val="000000"/>
          <w:sz w:val="24"/>
        </w:rPr>
        <w:t xml:space="preserve">Helm answered this question </w:t>
      </w:r>
      <w:r>
        <w:rPr>
          <w:rFonts w:ascii="Arial"/>
          <w:color w:val="000000"/>
          <w:sz w:val="24"/>
        </w:rPr>
        <w:t>“</w:t>
      </w:r>
      <w:r>
        <w:rPr>
          <w:rFonts w:ascii="Arial"/>
          <w:color w:val="000000"/>
          <w:sz w:val="24"/>
        </w:rPr>
        <w:t>No</w:t>
      </w:r>
      <w:r>
        <w:rPr>
          <w:rFonts w:ascii="Arial"/>
          <w:color w:val="000000"/>
          <w:sz w:val="24"/>
        </w:rPr>
        <w:t>”</w:t>
      </w:r>
      <w:r>
        <w:rPr>
          <w:rFonts w:ascii="Arial"/>
          <w:color w:val="000000"/>
          <w:sz w:val="24"/>
        </w:rPr>
        <w:t>.</w:t>
      </w:r>
    </w:p>
    <w:p>
      <w:pPr>
        <w:pStyle w:val="CaselawNumbered10"/>
        <w:numPr>
          <w:ilvl w:val="0"/>
          <w:numId w:val="64"/>
        </w:numPr>
        <w:spacing w:before="150" w:after="0"/>
        <w:ind w:left="600" w:hanging="600"/>
      </w:pPr>
      <w:r>
        <w:rPr>
          <w:rFonts w:ascii="Arial"/>
          <w:color w:val="000000"/>
          <w:sz w:val="24"/>
        </w:rPr>
        <w:t xml:space="preserve">On this material, the inference cannot readily be drawn that the Panel did not consider SEPP 55 at all or </w:t>
      </w:r>
      <w:r>
        <w:rPr>
          <w:rFonts w:ascii="Arial"/>
          <w:color w:val="000000"/>
          <w:sz w:val="24"/>
        </w:rPr>
        <w:t xml:space="preserve">in particular </w:t>
      </w:r>
      <w:r>
        <w:rPr>
          <w:rFonts w:ascii="Arial"/>
          <w:color w:val="000000"/>
          <w:sz w:val="24"/>
        </w:rPr>
        <w:t>the</w:t>
      </w:r>
      <w:r>
        <w:rPr>
          <w:rFonts w:ascii="Arial"/>
          <w:color w:val="000000"/>
          <w:sz w:val="24"/>
        </w:rPr>
        <w:t xml:space="preserve"> </w:t>
      </w:r>
      <w:r>
        <w:rPr>
          <w:rFonts w:ascii="Arial"/>
          <w:color w:val="000000"/>
          <w:sz w:val="24"/>
        </w:rPr>
        <w:t xml:space="preserve">question raised by cl 7(1) of SEPP 55 of whether the land is contaminated. As I have noted, Mr </w:t>
      </w:r>
      <w:r>
        <w:rPr>
          <w:rFonts w:ascii="Arial"/>
          <w:color w:val="000000"/>
          <w:sz w:val="24"/>
        </w:rPr>
        <w:t>Lahoud</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challenge was not that the Panel inadequately considered cl 7(1) of SEPP 55 but that it did not consider it at all. That challenge was not made out on the material before the Panel.</w:t>
      </w:r>
    </w:p>
    <w:p>
      <w:pPr>
        <w:pStyle w:val="CaselawNumbered10"/>
        <w:numPr>
          <w:ilvl w:val="0"/>
          <w:numId w:val="64"/>
        </w:numPr>
        <w:spacing w:before="150" w:after="0"/>
        <w:ind w:left="600" w:hanging="600"/>
      </w:pPr>
      <w:r>
        <w:rPr>
          <w:rFonts w:ascii="Arial"/>
          <w:color w:val="000000"/>
          <w:sz w:val="24"/>
        </w:rPr>
        <w:t xml:space="preserve">Consideration of evidence not before the Panel, in the form of the report of Mr Barry, an engineer </w:t>
      </w:r>
      <w:r>
        <w:rPr>
          <w:rFonts w:ascii="Arial"/>
          <w:color w:val="000000"/>
          <w:sz w:val="24"/>
        </w:rPr>
        <w:t>called</w:t>
      </w:r>
      <w:r>
        <w:rPr>
          <w:rFonts w:ascii="Arial"/>
          <w:color w:val="000000"/>
          <w:sz w:val="24"/>
        </w:rPr>
        <w:t xml:space="preserve"> </w:t>
      </w:r>
      <w:r>
        <w:rPr>
          <w:rFonts w:ascii="Arial"/>
          <w:color w:val="000000"/>
          <w:sz w:val="24"/>
        </w:rPr>
        <w:t xml:space="preserve">by Mr </w:t>
      </w:r>
      <w:r>
        <w:rPr>
          <w:rFonts w:ascii="Arial"/>
          <w:color w:val="000000"/>
          <w:sz w:val="24"/>
        </w:rPr>
        <w:t>Lahoud</w:t>
      </w:r>
      <w:r>
        <w:rPr>
          <w:rFonts w:ascii="Arial"/>
          <w:color w:val="000000"/>
          <w:sz w:val="24"/>
        </w:rPr>
        <w:t xml:space="preserve"> </w:t>
      </w:r>
      <w:r>
        <w:rPr>
          <w:rFonts w:ascii="Arial"/>
          <w:color w:val="000000"/>
          <w:sz w:val="24"/>
        </w:rPr>
        <w:t xml:space="preserve">at the hearing in the court below, could not assist. The question of whether the Panel considered the relevant matter of cl 7(1) of SEPP 55 could be answered only </w:t>
      </w:r>
      <w:r>
        <w:rPr>
          <w:rFonts w:ascii="Arial"/>
          <w:color w:val="000000"/>
          <w:sz w:val="24"/>
        </w:rPr>
        <w:t>by having regard to</w:t>
      </w:r>
      <w:r>
        <w:rPr>
          <w:rFonts w:ascii="Arial"/>
          <w:color w:val="000000"/>
          <w:sz w:val="24"/>
        </w:rPr>
        <w:t xml:space="preserve"> </w:t>
      </w:r>
      <w:r>
        <w:rPr>
          <w:rFonts w:ascii="Arial"/>
          <w:color w:val="000000"/>
          <w:sz w:val="24"/>
        </w:rPr>
        <w:t xml:space="preserve">the material </w:t>
      </w:r>
      <w:r>
        <w:rPr>
          <w:rFonts w:ascii="Arial"/>
          <w:color w:val="000000"/>
          <w:sz w:val="24"/>
        </w:rPr>
        <w:t xml:space="preserve">that was before the Panel </w:t>
      </w:r>
      <w:r>
        <w:rPr>
          <w:rFonts w:ascii="Arial"/>
          <w:color w:val="000000"/>
          <w:sz w:val="24"/>
        </w:rPr>
        <w:t>at the time of its decision. Mr Barry</w:t>
      </w:r>
      <w:r>
        <w:rPr>
          <w:rFonts w:ascii="Arial"/>
          <w:color w:val="000000"/>
          <w:sz w:val="24"/>
        </w:rPr>
        <w:t>’</w:t>
      </w:r>
      <w:r>
        <w:rPr>
          <w:rFonts w:ascii="Arial"/>
          <w:color w:val="000000"/>
          <w:sz w:val="24"/>
        </w:rPr>
        <w:t xml:space="preserve">s report was not before the Panel and was prepared </w:t>
      </w:r>
      <w:r>
        <w:rPr>
          <w:rFonts w:ascii="Arial"/>
          <w:color w:val="000000"/>
          <w:sz w:val="24"/>
        </w:rPr>
        <w:t xml:space="preserve">8 </w:t>
      </w:r>
      <w:r>
        <w:rPr>
          <w:rFonts w:ascii="Arial"/>
          <w:color w:val="000000"/>
          <w:sz w:val="24"/>
        </w:rPr>
        <w:t xml:space="preserve">months later </w:t>
      </w:r>
      <w:r>
        <w:rPr>
          <w:rFonts w:ascii="Arial"/>
          <w:color w:val="000000"/>
          <w:sz w:val="24"/>
        </w:rPr>
        <w:t>for</w:t>
      </w:r>
      <w:r>
        <w:rPr>
          <w:rFonts w:ascii="Arial"/>
          <w:color w:val="000000"/>
          <w:sz w:val="24"/>
        </w:rPr>
        <w:t xml:space="preserve"> </w:t>
      </w:r>
      <w:r>
        <w:rPr>
          <w:rFonts w:ascii="Arial"/>
          <w:color w:val="000000"/>
          <w:sz w:val="24"/>
        </w:rPr>
        <w:t>the judicial review proceedings. Mr Barry</w:t>
      </w:r>
      <w:r>
        <w:rPr>
          <w:rFonts w:ascii="Arial"/>
          <w:color w:val="000000"/>
          <w:sz w:val="24"/>
        </w:rPr>
        <w:t>’</w:t>
      </w:r>
      <w:r>
        <w:rPr>
          <w:rFonts w:ascii="Arial"/>
          <w:color w:val="000000"/>
          <w:sz w:val="24"/>
        </w:rPr>
        <w:t>s opinion</w:t>
      </w:r>
      <w:r>
        <w:rPr>
          <w:rFonts w:ascii="Arial"/>
          <w:color w:val="000000"/>
          <w:sz w:val="24"/>
        </w:rPr>
        <w:t>,</w:t>
      </w:r>
      <w:r>
        <w:rPr>
          <w:rFonts w:ascii="Arial"/>
          <w:color w:val="000000"/>
          <w:sz w:val="24"/>
        </w:rPr>
        <w:t xml:space="preserve"> </w:t>
      </w:r>
      <w:r>
        <w:rPr>
          <w:rFonts w:ascii="Arial"/>
          <w:color w:val="000000"/>
          <w:sz w:val="24"/>
        </w:rPr>
        <w:t>based on information provided by M</w:t>
      </w:r>
      <w:r>
        <w:rPr>
          <w:rFonts w:ascii="Arial"/>
          <w:color w:val="000000"/>
          <w:sz w:val="24"/>
        </w:rPr>
        <w:t>r</w:t>
      </w:r>
      <w:r>
        <w:rPr>
          <w:rFonts w:ascii="Arial"/>
          <w:color w:val="000000"/>
          <w:sz w:val="24"/>
        </w:rPr>
        <w:t xml:space="preserve"> </w:t>
      </w:r>
      <w:r>
        <w:rPr>
          <w:rFonts w:ascii="Arial"/>
          <w:color w:val="000000"/>
          <w:sz w:val="24"/>
        </w:rPr>
        <w:t>Lahoud</w:t>
      </w:r>
      <w:r>
        <w:rPr>
          <w:rFonts w:ascii="Arial"/>
          <w:color w:val="000000"/>
          <w:sz w:val="24"/>
        </w:rPr>
        <w:t>, that the land was contaminated from a fuel bowser and an underground fuel tank on the land and concerning the need for an</w:t>
      </w:r>
      <w:r>
        <w:rPr>
          <w:rFonts w:ascii="Arial"/>
          <w:color w:val="000000"/>
          <w:sz w:val="24"/>
        </w:rPr>
        <w:t>d</w:t>
      </w:r>
      <w:r>
        <w:rPr>
          <w:rFonts w:ascii="Arial"/>
          <w:color w:val="000000"/>
          <w:sz w:val="24"/>
        </w:rPr>
        <w:t xml:space="preserve"> </w:t>
      </w:r>
      <w:r>
        <w:rPr>
          <w:rFonts w:ascii="Arial"/>
          <w:color w:val="000000"/>
          <w:sz w:val="24"/>
        </w:rPr>
        <w:t>extent of excavation to carry out the approved development</w:t>
      </w:r>
      <w:r>
        <w:rPr>
          <w:rFonts w:ascii="Arial"/>
          <w:color w:val="000000"/>
          <w:sz w:val="24"/>
        </w:rPr>
        <w:t>,</w:t>
      </w:r>
      <w:r>
        <w:rPr>
          <w:rFonts w:ascii="Arial"/>
          <w:color w:val="000000"/>
          <w:sz w:val="24"/>
        </w:rPr>
        <w:t xml:space="preserve"> </w:t>
      </w:r>
      <w:r>
        <w:rPr>
          <w:rFonts w:ascii="Arial"/>
          <w:color w:val="000000"/>
          <w:sz w:val="24"/>
        </w:rPr>
        <w:t>was irrelevant to the question of whether the Panel considered the matter under cl 7(1)(a) of SEPP 55</w:t>
      </w:r>
      <w:r>
        <w:rPr>
          <w:rFonts w:ascii="Arial"/>
          <w:color w:val="000000"/>
          <w:sz w:val="24"/>
        </w:rPr>
        <w:t xml:space="preserve"> </w:t>
      </w:r>
      <w:r>
        <w:rPr>
          <w:rFonts w:ascii="Arial"/>
          <w:color w:val="000000"/>
          <w:sz w:val="24"/>
        </w:rPr>
        <w:t>at the time it made its decision</w:t>
      </w:r>
      <w:r>
        <w:rPr>
          <w:rFonts w:ascii="Arial"/>
          <w:color w:val="000000"/>
          <w:sz w:val="24"/>
        </w:rPr>
        <w:t xml:space="preserve">. The report should not have been admitted by the primary judge but even if it </w:t>
      </w:r>
      <w:r>
        <w:rPr>
          <w:rFonts w:ascii="Arial"/>
          <w:color w:val="000000"/>
          <w:sz w:val="24"/>
        </w:rPr>
        <w:t>had been properly admitted</w:t>
      </w:r>
      <w:r>
        <w:rPr>
          <w:rFonts w:ascii="Arial"/>
          <w:color w:val="000000"/>
          <w:sz w:val="24"/>
        </w:rPr>
        <w:t xml:space="preserve">, it provided no basis for the primary judge to find, even as a </w:t>
      </w:r>
      <w:r>
        <w:rPr>
          <w:rFonts w:ascii="Arial"/>
          <w:color w:val="000000"/>
          <w:sz w:val="24"/>
        </w:rPr>
        <w:t>“</w:t>
      </w:r>
      <w:r>
        <w:rPr>
          <w:rFonts w:ascii="Arial"/>
          <w:color w:val="000000"/>
          <w:sz w:val="24"/>
        </w:rPr>
        <w:t>real possibility</w:t>
      </w:r>
      <w:r>
        <w:rPr>
          <w:rFonts w:ascii="Arial"/>
          <w:color w:val="000000"/>
          <w:sz w:val="24"/>
        </w:rPr>
        <w:t>”</w:t>
      </w:r>
      <w:r>
        <w:rPr>
          <w:rFonts w:ascii="Arial"/>
          <w:color w:val="000000"/>
          <w:sz w:val="24"/>
        </w:rPr>
        <w:t xml:space="preserve">, that the Panel failed to consider the matter in cl 7(1)(a). Mr </w:t>
      </w:r>
      <w:r>
        <w:rPr>
          <w:rFonts w:ascii="Arial"/>
          <w:color w:val="000000"/>
          <w:sz w:val="24"/>
        </w:rPr>
        <w:t>Lahoud</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ground 5 was not established.</w:t>
      </w:r>
    </w:p>
    <w:p>
      <w:pPr>
        <w:pStyle w:val="CaselawNumbered10"/>
        <w:numPr>
          <w:ilvl w:val="0"/>
          <w:numId w:val="64"/>
        </w:numPr>
        <w:spacing w:before="150" w:after="0"/>
        <w:ind w:left="600" w:hanging="600"/>
      </w:pPr>
      <w:r>
        <w:rPr>
          <w:rFonts w:ascii="Arial"/>
          <w:color w:val="000000"/>
          <w:sz w:val="24"/>
        </w:rPr>
        <w:t xml:space="preserve">The second matter Mr </w:t>
      </w:r>
      <w:r>
        <w:rPr>
          <w:rFonts w:ascii="Arial"/>
          <w:color w:val="000000"/>
          <w:sz w:val="24"/>
        </w:rPr>
        <w:t>Lahoud</w:t>
      </w:r>
      <w:r>
        <w:rPr>
          <w:rFonts w:ascii="Arial"/>
          <w:color w:val="000000"/>
          <w:sz w:val="24"/>
        </w:rPr>
        <w:t xml:space="preserve"> </w:t>
      </w:r>
      <w:r>
        <w:rPr>
          <w:rFonts w:ascii="Arial"/>
          <w:color w:val="000000"/>
          <w:sz w:val="24"/>
        </w:rPr>
        <w:t xml:space="preserve">claimed the Panel was obliged to consider, but </w:t>
      </w:r>
      <w:r>
        <w:rPr>
          <w:rFonts w:ascii="Arial"/>
          <w:color w:val="000000"/>
          <w:sz w:val="24"/>
        </w:rPr>
        <w:t xml:space="preserve">did </w:t>
      </w:r>
      <w:r>
        <w:rPr>
          <w:rFonts w:ascii="Arial"/>
          <w:color w:val="000000"/>
          <w:sz w:val="24"/>
        </w:rPr>
        <w:t>not consider, was a preliminary investigation report under cl 7(2) of SEPP 55. The obligation</w:t>
      </w:r>
      <w:r>
        <w:rPr>
          <w:rFonts w:ascii="Arial"/>
          <w:color w:val="000000"/>
          <w:sz w:val="24"/>
        </w:rPr>
        <w:t xml:space="preserve"> </w:t>
      </w:r>
      <w:r>
        <w:rPr>
          <w:rFonts w:ascii="Arial"/>
          <w:color w:val="000000"/>
          <w:sz w:val="24"/>
        </w:rPr>
        <w:t>on the consent authority</w:t>
      </w:r>
      <w:r>
        <w:rPr>
          <w:rFonts w:ascii="Arial"/>
          <w:color w:val="000000"/>
          <w:sz w:val="24"/>
        </w:rPr>
        <w:t xml:space="preserve"> </w:t>
      </w:r>
      <w:r>
        <w:rPr>
          <w:rFonts w:ascii="Arial"/>
          <w:color w:val="000000"/>
          <w:sz w:val="24"/>
        </w:rPr>
        <w:t xml:space="preserve">to consider a preliminary investigation report is triggered by a development application seeking consent </w:t>
      </w:r>
      <w:r>
        <w:rPr>
          <w:rFonts w:ascii="Arial"/>
          <w:color w:val="000000"/>
          <w:sz w:val="24"/>
        </w:rPr>
        <w:t>“</w:t>
      </w:r>
      <w:r>
        <w:rPr>
          <w:rFonts w:ascii="Arial"/>
          <w:color w:val="000000"/>
          <w:sz w:val="24"/>
        </w:rPr>
        <w:t>to carry out development that would involve a change of use of any of the land specified in subclause (4).</w:t>
      </w:r>
      <w:r>
        <w:rPr>
          <w:rFonts w:ascii="Arial"/>
          <w:color w:val="000000"/>
          <w:sz w:val="24"/>
        </w:rPr>
        <w:t xml:space="preserve">” </w:t>
      </w:r>
      <w:r>
        <w:rPr>
          <w:rFonts w:ascii="Arial"/>
          <w:color w:val="000000"/>
          <w:sz w:val="24"/>
        </w:rPr>
        <w:t>To be land specified in cl 7(4), the land must meet one or more of the criteria</w:t>
      </w:r>
      <w:r>
        <w:rPr>
          <w:rFonts w:ascii="Arial"/>
          <w:color w:val="000000"/>
          <w:sz w:val="24"/>
        </w:rPr>
        <w:t xml:space="preserve"> </w:t>
      </w:r>
      <w:r>
        <w:rPr>
          <w:rFonts w:ascii="Arial"/>
          <w:color w:val="000000"/>
          <w:sz w:val="24"/>
        </w:rPr>
        <w:t>in</w:t>
      </w:r>
      <w:r>
        <w:rPr>
          <w:rFonts w:ascii="Arial"/>
          <w:color w:val="000000"/>
          <w:sz w:val="24"/>
        </w:rPr>
        <w:t xml:space="preserve"> </w:t>
      </w:r>
      <w:r>
        <w:rPr>
          <w:rFonts w:ascii="Arial"/>
          <w:color w:val="000000"/>
          <w:sz w:val="24"/>
        </w:rPr>
        <w:t>(a) to (c).</w:t>
      </w:r>
    </w:p>
    <w:p>
      <w:pPr>
        <w:pStyle w:val="CaselawNumbered10"/>
        <w:numPr>
          <w:ilvl w:val="0"/>
          <w:numId w:val="64"/>
        </w:numPr>
        <w:spacing w:before="150" w:after="0"/>
        <w:ind w:left="600" w:hanging="600"/>
      </w:pPr>
      <w:r>
        <w:rPr>
          <w:rFonts w:ascii="Arial"/>
          <w:color w:val="000000"/>
          <w:sz w:val="24"/>
        </w:rPr>
        <w:t xml:space="preserve">Mr </w:t>
      </w:r>
      <w:r>
        <w:rPr>
          <w:rFonts w:ascii="Arial"/>
          <w:color w:val="000000"/>
          <w:sz w:val="24"/>
        </w:rPr>
        <w:t>Lahoud</w:t>
      </w:r>
      <w:r>
        <w:rPr>
          <w:rFonts w:ascii="Arial"/>
          <w:color w:val="000000"/>
          <w:sz w:val="24"/>
        </w:rPr>
        <w:t xml:space="preserve"> </w:t>
      </w:r>
      <w:r>
        <w:rPr>
          <w:rFonts w:ascii="Arial"/>
          <w:color w:val="000000"/>
          <w:sz w:val="24"/>
        </w:rPr>
        <w:t xml:space="preserve">argued that the land met the criteria in (b) and (c) of cl 7(4). One of the purposes of development referred to in Table 1 to the contaminated land planning guidelines is </w:t>
      </w:r>
      <w:r>
        <w:rPr>
          <w:rFonts w:ascii="Arial"/>
          <w:color w:val="000000"/>
          <w:sz w:val="24"/>
        </w:rPr>
        <w:t>“</w:t>
      </w:r>
      <w:r>
        <w:rPr>
          <w:rFonts w:ascii="Arial"/>
          <w:color w:val="000000"/>
          <w:sz w:val="24"/>
        </w:rPr>
        <w:t>service station</w:t>
      </w:r>
      <w:r>
        <w:rPr>
          <w:rFonts w:ascii="Arial"/>
          <w:color w:val="000000"/>
          <w:sz w:val="24"/>
        </w:rPr>
        <w:t>”</w:t>
      </w:r>
      <w:r>
        <w:rPr>
          <w:rFonts w:ascii="Arial"/>
          <w:color w:val="000000"/>
          <w:sz w:val="24"/>
        </w:rPr>
        <w:t xml:space="preserve">. Mr </w:t>
      </w:r>
      <w:r>
        <w:rPr>
          <w:rFonts w:ascii="Arial"/>
          <w:color w:val="000000"/>
          <w:sz w:val="24"/>
        </w:rPr>
        <w:t>Lahoud</w:t>
      </w:r>
      <w:r>
        <w:rPr>
          <w:rFonts w:ascii="Arial"/>
          <w:color w:val="000000"/>
          <w:sz w:val="24"/>
        </w:rPr>
        <w:t xml:space="preserve"> </w:t>
      </w:r>
      <w:r>
        <w:rPr>
          <w:rFonts w:ascii="Arial"/>
          <w:color w:val="000000"/>
          <w:sz w:val="24"/>
        </w:rPr>
        <w:t xml:space="preserve">adduced evidence in the court below that </w:t>
      </w:r>
      <w:r>
        <w:rPr>
          <w:rFonts w:ascii="Arial"/>
          <w:color w:val="000000"/>
          <w:sz w:val="24"/>
        </w:rPr>
        <w:t xml:space="preserve">he had observed, since about the early 1980s, </w:t>
      </w:r>
      <w:r>
        <w:rPr>
          <w:rFonts w:ascii="Arial"/>
          <w:color w:val="000000"/>
          <w:sz w:val="24"/>
        </w:rPr>
        <w:t>a fuel bowser</w:t>
      </w:r>
      <w:r>
        <w:rPr>
          <w:rFonts w:ascii="Arial"/>
          <w:color w:val="000000"/>
          <w:sz w:val="24"/>
        </w:rPr>
        <w:t xml:space="preserve"> </w:t>
      </w:r>
      <w:r>
        <w:rPr>
          <w:rFonts w:ascii="Arial"/>
          <w:color w:val="000000"/>
          <w:sz w:val="24"/>
        </w:rPr>
        <w:t xml:space="preserve">at the north-east corner of the land. Mr </w:t>
      </w:r>
      <w:r>
        <w:rPr>
          <w:rFonts w:ascii="Arial"/>
          <w:color w:val="000000"/>
          <w:sz w:val="24"/>
        </w:rPr>
        <w:t>Lahoud</w:t>
      </w:r>
      <w:r>
        <w:rPr>
          <w:rFonts w:ascii="Arial"/>
          <w:color w:val="000000"/>
          <w:sz w:val="24"/>
        </w:rPr>
        <w:t xml:space="preserve"> </w:t>
      </w:r>
      <w:r>
        <w:rPr>
          <w:rFonts w:ascii="Arial"/>
          <w:color w:val="000000"/>
          <w:sz w:val="24"/>
        </w:rPr>
        <w:t xml:space="preserve">said the bowser was located adjacent to the eastern side of the driveway serving the lower parking level of the building on the land. According to documentary evidence, that building on the land was a </w:t>
      </w:r>
      <w:r>
        <w:rPr>
          <w:rFonts w:ascii="Arial"/>
          <w:color w:val="000000"/>
          <w:sz w:val="24"/>
        </w:rPr>
        <w:t>three storey</w:t>
      </w:r>
      <w:r>
        <w:rPr>
          <w:rFonts w:ascii="Arial"/>
          <w:color w:val="000000"/>
          <w:sz w:val="24"/>
        </w:rPr>
        <w:t xml:space="preserve"> </w:t>
      </w:r>
      <w:r>
        <w:rPr>
          <w:rFonts w:ascii="Arial"/>
          <w:color w:val="000000"/>
          <w:sz w:val="24"/>
        </w:rPr>
        <w:t>office building that had been erected in the early 1970s, replacing a residence on the land</w:t>
      </w:r>
      <w:r>
        <w:rPr>
          <w:rFonts w:ascii="Arial"/>
          <w:color w:val="000000"/>
          <w:sz w:val="24"/>
        </w:rPr>
        <w:t xml:space="preserve">. The fuel bowser supplied fuel for the trucks of a hardware store that </w:t>
      </w:r>
      <w:r>
        <w:rPr>
          <w:rFonts w:ascii="Arial"/>
          <w:color w:val="000000"/>
          <w:sz w:val="24"/>
        </w:rPr>
        <w:t xml:space="preserve">operated </w:t>
      </w:r>
      <w:r>
        <w:rPr>
          <w:rFonts w:ascii="Arial"/>
          <w:color w:val="000000"/>
          <w:sz w:val="24"/>
        </w:rPr>
        <w:t>at the time</w:t>
      </w:r>
      <w:r>
        <w:rPr>
          <w:rFonts w:ascii="Arial"/>
          <w:color w:val="000000"/>
          <w:sz w:val="24"/>
        </w:rPr>
        <w:t xml:space="preserve"> </w:t>
      </w:r>
      <w:r>
        <w:rPr>
          <w:rFonts w:ascii="Arial"/>
          <w:color w:val="000000"/>
          <w:sz w:val="24"/>
        </w:rPr>
        <w:t xml:space="preserve">on the immediately adjoining land to the east, which Mr </w:t>
      </w:r>
      <w:r>
        <w:rPr>
          <w:rFonts w:ascii="Arial"/>
          <w:color w:val="000000"/>
          <w:sz w:val="24"/>
        </w:rPr>
        <w:t>Lahoud</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company redeveloped to erect the current building in the mid-1990s</w:t>
      </w:r>
      <w:r>
        <w:rPr>
          <w:rFonts w:ascii="Arial"/>
          <w:color w:val="000000"/>
          <w:sz w:val="24"/>
        </w:rPr>
        <w:t xml:space="preserve">. </w:t>
      </w:r>
      <w:r>
        <w:rPr>
          <w:rFonts w:ascii="Arial"/>
          <w:color w:val="000000"/>
          <w:sz w:val="24"/>
        </w:rPr>
        <w:t xml:space="preserve">Mr </w:t>
      </w:r>
      <w:r>
        <w:rPr>
          <w:rFonts w:ascii="Arial"/>
          <w:color w:val="000000"/>
          <w:sz w:val="24"/>
        </w:rPr>
        <w:t>Lahoud</w:t>
      </w:r>
      <w:r>
        <w:rPr>
          <w:rFonts w:ascii="Arial"/>
          <w:color w:val="000000"/>
          <w:sz w:val="24"/>
        </w:rPr>
        <w:t xml:space="preserve"> </w:t>
      </w:r>
      <w:r>
        <w:rPr>
          <w:rFonts w:ascii="Arial"/>
          <w:color w:val="000000"/>
          <w:sz w:val="24"/>
        </w:rPr>
        <w:t>recalled that t</w:t>
      </w:r>
      <w:r>
        <w:rPr>
          <w:rFonts w:ascii="Arial"/>
          <w:color w:val="000000"/>
          <w:sz w:val="24"/>
        </w:rPr>
        <w:t>he fuel bowser was removed from the land in about 1999 or 2000, when the existing building was built</w:t>
      </w:r>
      <w:r>
        <w:rPr>
          <w:rFonts w:ascii="Arial"/>
          <w:color w:val="000000"/>
          <w:sz w:val="24"/>
        </w:rPr>
        <w:t>, replacing the earlier office building built in the 1970s.</w:t>
      </w:r>
      <w:r>
        <w:rPr>
          <w:rFonts w:ascii="Arial"/>
          <w:color w:val="000000"/>
          <w:sz w:val="24"/>
        </w:rPr>
        <w:t xml:space="preserve"> </w:t>
      </w:r>
    </w:p>
    <w:p>
      <w:pPr>
        <w:pStyle w:val="CaselawNumbered10"/>
        <w:numPr>
          <w:ilvl w:val="0"/>
          <w:numId w:val="64"/>
        </w:numPr>
        <w:spacing w:before="150" w:after="0"/>
        <w:ind w:left="600" w:hanging="600"/>
      </w:pPr>
      <w:r>
        <w:rPr>
          <w:rFonts w:ascii="Arial"/>
          <w:color w:val="000000"/>
          <w:sz w:val="24"/>
        </w:rPr>
        <w:t xml:space="preserve">Mr </w:t>
      </w:r>
      <w:r>
        <w:rPr>
          <w:rFonts w:ascii="Arial"/>
          <w:color w:val="000000"/>
          <w:sz w:val="24"/>
        </w:rPr>
        <w:t>Lahoud</w:t>
      </w:r>
      <w:r>
        <w:rPr>
          <w:rFonts w:ascii="Arial"/>
          <w:color w:val="000000"/>
          <w:sz w:val="24"/>
        </w:rPr>
        <w:t xml:space="preserve"> </w:t>
      </w:r>
      <w:r>
        <w:rPr>
          <w:rFonts w:ascii="Arial"/>
          <w:color w:val="000000"/>
          <w:sz w:val="24"/>
        </w:rPr>
        <w:t>argued that</w:t>
      </w:r>
      <w:r>
        <w:rPr>
          <w:rFonts w:ascii="Arial"/>
          <w:color w:val="000000"/>
          <w:sz w:val="24"/>
        </w:rPr>
        <w:t>, on these facts,</w:t>
      </w:r>
      <w:r>
        <w:rPr>
          <w:rFonts w:ascii="Arial"/>
          <w:color w:val="000000"/>
          <w:sz w:val="24"/>
        </w:rPr>
        <w:t xml:space="preserve"> </w:t>
      </w:r>
      <w:r>
        <w:rPr>
          <w:rFonts w:ascii="Arial"/>
          <w:color w:val="000000"/>
          <w:sz w:val="24"/>
        </w:rPr>
        <w:t xml:space="preserve">development for the purpose of service station was known to have been carried out on the land, </w:t>
      </w:r>
      <w:r>
        <w:rPr>
          <w:rFonts w:ascii="Arial"/>
          <w:color w:val="000000"/>
          <w:sz w:val="24"/>
        </w:rPr>
        <w:t>so as to</w:t>
      </w:r>
      <w:r>
        <w:rPr>
          <w:rFonts w:ascii="Arial"/>
          <w:color w:val="000000"/>
          <w:sz w:val="24"/>
        </w:rPr>
        <w:t xml:space="preserve"> </w:t>
      </w:r>
      <w:r>
        <w:rPr>
          <w:rFonts w:ascii="Arial"/>
          <w:color w:val="000000"/>
          <w:sz w:val="24"/>
        </w:rPr>
        <w:t xml:space="preserve">engage </w:t>
      </w:r>
      <w:r>
        <w:rPr>
          <w:rFonts w:ascii="Arial"/>
          <w:color w:val="000000"/>
          <w:sz w:val="24"/>
        </w:rPr>
        <w:t>the criterion in</w:t>
      </w:r>
      <w:r>
        <w:rPr>
          <w:rFonts w:ascii="Arial"/>
          <w:color w:val="000000"/>
          <w:sz w:val="24"/>
        </w:rPr>
        <w:t xml:space="preserve"> </w:t>
      </w:r>
      <w:r>
        <w:rPr>
          <w:rFonts w:ascii="Arial"/>
          <w:color w:val="000000"/>
          <w:sz w:val="24"/>
        </w:rPr>
        <w:t xml:space="preserve">(b). Alternatively, Mr </w:t>
      </w:r>
      <w:r>
        <w:rPr>
          <w:rFonts w:ascii="Arial"/>
          <w:color w:val="000000"/>
          <w:sz w:val="24"/>
        </w:rPr>
        <w:t>Lahoud</w:t>
      </w:r>
      <w:r>
        <w:rPr>
          <w:rFonts w:ascii="Arial"/>
          <w:color w:val="000000"/>
          <w:sz w:val="24"/>
        </w:rPr>
        <w:t xml:space="preserve"> </w:t>
      </w:r>
      <w:r>
        <w:rPr>
          <w:rFonts w:ascii="Arial"/>
          <w:color w:val="000000"/>
          <w:sz w:val="24"/>
        </w:rPr>
        <w:t xml:space="preserve">argued that there was </w:t>
      </w:r>
      <w:r>
        <w:rPr>
          <w:rFonts w:ascii="Arial"/>
          <w:color w:val="000000"/>
          <w:sz w:val="24"/>
        </w:rPr>
        <w:t>“</w:t>
      </w:r>
      <w:r>
        <w:rPr>
          <w:rFonts w:ascii="Arial"/>
          <w:color w:val="000000"/>
          <w:sz w:val="24"/>
        </w:rPr>
        <w:t>no knowledge (or incomplete knowledge)</w:t>
      </w:r>
      <w:r>
        <w:rPr>
          <w:rFonts w:ascii="Arial"/>
          <w:color w:val="000000"/>
          <w:sz w:val="24"/>
        </w:rPr>
        <w:t>”</w:t>
      </w:r>
      <w:r>
        <w:rPr>
          <w:rFonts w:ascii="Arial"/>
          <w:color w:val="000000"/>
          <w:sz w:val="24"/>
        </w:rPr>
        <w:t xml:space="preserve"> </w:t>
      </w:r>
      <w:r>
        <w:rPr>
          <w:rFonts w:ascii="Arial"/>
          <w:color w:val="000000"/>
          <w:sz w:val="24"/>
        </w:rPr>
        <w:t xml:space="preserve">as to whether development for the purpose of service station had been carried out on the land. Mr </w:t>
      </w:r>
      <w:r>
        <w:rPr>
          <w:rFonts w:ascii="Arial"/>
          <w:color w:val="000000"/>
          <w:sz w:val="24"/>
        </w:rPr>
        <w:t>Lahoud</w:t>
      </w:r>
      <w:r>
        <w:rPr>
          <w:rFonts w:ascii="Arial"/>
          <w:color w:val="000000"/>
          <w:sz w:val="24"/>
        </w:rPr>
        <w:t xml:space="preserve"> </w:t>
      </w:r>
      <w:r>
        <w:rPr>
          <w:rFonts w:ascii="Arial"/>
          <w:color w:val="000000"/>
          <w:sz w:val="24"/>
        </w:rPr>
        <w:t xml:space="preserve">argued that it </w:t>
      </w:r>
      <w:r>
        <w:rPr>
          <w:rFonts w:ascii="Arial"/>
          <w:color w:val="000000"/>
          <w:sz w:val="24"/>
        </w:rPr>
        <w:t>would</w:t>
      </w:r>
      <w:r>
        <w:rPr>
          <w:rFonts w:ascii="Arial"/>
          <w:color w:val="000000"/>
          <w:sz w:val="24"/>
        </w:rPr>
        <w:t xml:space="preserve"> </w:t>
      </w:r>
      <w:r>
        <w:rPr>
          <w:rFonts w:ascii="Arial"/>
          <w:color w:val="000000"/>
          <w:sz w:val="24"/>
        </w:rPr>
        <w:t>have been lawful to have carried out such development during the period in respect of which there was no knowledge or incomplete knowledge.</w:t>
      </w:r>
      <w:r>
        <w:rPr>
          <w:rFonts w:ascii="Arial"/>
          <w:color w:val="000000"/>
          <w:sz w:val="24"/>
        </w:rPr>
        <w:t xml:space="preserve"> </w:t>
      </w:r>
      <w:r>
        <w:rPr>
          <w:rFonts w:ascii="Arial"/>
          <w:color w:val="000000"/>
          <w:sz w:val="24"/>
        </w:rPr>
        <w:t xml:space="preserve">In these circumstances, </w:t>
      </w:r>
      <w:r>
        <w:rPr>
          <w:rFonts w:ascii="Arial"/>
          <w:color w:val="000000"/>
          <w:sz w:val="24"/>
        </w:rPr>
        <w:t>the criterion in</w:t>
      </w:r>
      <w:r>
        <w:rPr>
          <w:rFonts w:ascii="Arial"/>
          <w:color w:val="000000"/>
          <w:sz w:val="24"/>
        </w:rPr>
        <w:t xml:space="preserve"> </w:t>
      </w:r>
      <w:r>
        <w:rPr>
          <w:rFonts w:ascii="Arial"/>
          <w:color w:val="000000"/>
          <w:sz w:val="24"/>
        </w:rPr>
        <w:t>(c) was engaged.</w:t>
      </w:r>
    </w:p>
    <w:p>
      <w:pPr>
        <w:pStyle w:val="CaselawNumbered10"/>
        <w:numPr>
          <w:ilvl w:val="0"/>
          <w:numId w:val="64"/>
        </w:numPr>
        <w:spacing w:before="150" w:after="0"/>
        <w:ind w:left="600" w:hanging="600"/>
      </w:pPr>
      <w:r>
        <w:rPr>
          <w:rFonts w:ascii="Arial"/>
          <w:color w:val="000000"/>
          <w:sz w:val="24"/>
        </w:rPr>
        <w:t xml:space="preserve">The onus of establishing that the land on which the development was proposed to be carried out was land specified in cl 7(4) rested on Mr </w:t>
      </w:r>
      <w:r>
        <w:rPr>
          <w:rFonts w:ascii="Arial"/>
          <w:color w:val="000000"/>
          <w:sz w:val="24"/>
        </w:rPr>
        <w:t>Lahoud</w:t>
      </w:r>
      <w:r>
        <w:rPr>
          <w:rFonts w:ascii="Arial"/>
          <w:color w:val="000000"/>
          <w:sz w:val="24"/>
        </w:rPr>
        <w:t xml:space="preserve"> </w:t>
      </w:r>
      <w:r>
        <w:rPr>
          <w:rFonts w:ascii="Arial"/>
          <w:color w:val="000000"/>
          <w:sz w:val="24"/>
        </w:rPr>
        <w:t>as the challenger. He did not discharge this onus.</w:t>
      </w:r>
    </w:p>
    <w:p>
      <w:pPr>
        <w:pStyle w:val="CaselawNumbered10"/>
        <w:numPr>
          <w:ilvl w:val="0"/>
          <w:numId w:val="64"/>
        </w:numPr>
        <w:spacing w:before="150" w:after="0"/>
        <w:ind w:left="600" w:hanging="600"/>
      </w:pPr>
      <w:r>
        <w:rPr>
          <w:rFonts w:ascii="Arial"/>
          <w:color w:val="000000"/>
          <w:sz w:val="24"/>
        </w:rPr>
        <w:t xml:space="preserve">First, the only purpose of development referred to </w:t>
      </w:r>
      <w:r>
        <w:rPr>
          <w:rFonts w:ascii="Arial"/>
          <w:color w:val="000000"/>
          <w:sz w:val="24"/>
        </w:rPr>
        <w:t xml:space="preserve">in </w:t>
      </w:r>
      <w:r>
        <w:rPr>
          <w:rFonts w:ascii="Arial"/>
          <w:color w:val="000000"/>
          <w:sz w:val="24"/>
        </w:rPr>
        <w:t xml:space="preserve">Table 1 to </w:t>
      </w:r>
      <w:r>
        <w:rPr>
          <w:rFonts w:ascii="Arial"/>
          <w:color w:val="000000"/>
          <w:sz w:val="24"/>
        </w:rPr>
        <w:t>the</w:t>
      </w:r>
      <w:r>
        <w:rPr>
          <w:rFonts w:ascii="Arial"/>
          <w:color w:val="000000"/>
          <w:sz w:val="24"/>
        </w:rPr>
        <w:t xml:space="preserve"> </w:t>
      </w:r>
      <w:r>
        <w:rPr>
          <w:rFonts w:ascii="Arial"/>
          <w:color w:val="000000"/>
          <w:sz w:val="24"/>
        </w:rPr>
        <w:t xml:space="preserve">contaminated land planning guidelines Mr </w:t>
      </w:r>
      <w:r>
        <w:rPr>
          <w:rFonts w:ascii="Arial"/>
          <w:color w:val="000000"/>
          <w:sz w:val="24"/>
        </w:rPr>
        <w:t>Lahoud</w:t>
      </w:r>
      <w:r>
        <w:rPr>
          <w:rFonts w:ascii="Arial"/>
          <w:color w:val="000000"/>
          <w:sz w:val="24"/>
        </w:rPr>
        <w:t xml:space="preserve"> </w:t>
      </w:r>
      <w:r>
        <w:rPr>
          <w:rFonts w:ascii="Arial"/>
          <w:color w:val="000000"/>
          <w:sz w:val="24"/>
        </w:rPr>
        <w:t xml:space="preserve">relied on was the purpose of service station. </w:t>
      </w:r>
      <w:r>
        <w:rPr>
          <w:rFonts w:ascii="Arial"/>
          <w:color w:val="000000"/>
          <w:sz w:val="24"/>
        </w:rPr>
        <w:t>“</w:t>
      </w:r>
      <w:r>
        <w:rPr>
          <w:rFonts w:ascii="Arial"/>
          <w:color w:val="000000"/>
          <w:sz w:val="24"/>
        </w:rPr>
        <w:t>Service station</w:t>
      </w:r>
      <w:r>
        <w:rPr>
          <w:rFonts w:ascii="Arial"/>
          <w:color w:val="000000"/>
          <w:sz w:val="24"/>
        </w:rPr>
        <w:t>”</w:t>
      </w:r>
      <w:r>
        <w:rPr>
          <w:rFonts w:ascii="Arial"/>
          <w:color w:val="000000"/>
          <w:sz w:val="24"/>
        </w:rPr>
        <w:t xml:space="preserve"> </w:t>
      </w:r>
      <w:r>
        <w:rPr>
          <w:rFonts w:ascii="Arial"/>
          <w:color w:val="000000"/>
          <w:sz w:val="24"/>
        </w:rPr>
        <w:t>is defined in the Dictionary to WLEP as meaning:</w:t>
      </w:r>
    </w:p>
    <w:p>
      <w:pPr>
        <w:pStyle w:val="CaselawQuote"/>
        <w:spacing w:before="150" w:after="150"/>
        <w:ind w:left="1350"/>
        <w:jc w:val="left"/>
      </w:pPr>
      <w:r>
        <w:rPr>
          <w:rFonts w:ascii="Arial"/>
          <w:color w:val="000000"/>
          <w:sz w:val="22"/>
        </w:rPr>
        <w:t xml:space="preserve">“a building or place used for the sale by retail of fuels and lubricants for motor vehicles, </w:t>
      </w:r>
      <w:r>
        <w:rPr>
          <w:rFonts w:ascii="Arial"/>
          <w:color w:val="000000"/>
          <w:sz w:val="22"/>
        </w:rPr>
        <w:t>whether or not</w:t>
      </w:r>
      <w:r>
        <w:rPr>
          <w:rFonts w:ascii="Arial"/>
          <w:color w:val="000000"/>
          <w:sz w:val="22"/>
        </w:rPr>
        <w:t xml:space="preserve"> the building or place is also used for any one or more of the following—</w:t>
      </w:r>
    </w:p>
    <w:p>
      <w:pPr>
        <w:pStyle w:val="CaselawQuote0"/>
        <w:spacing w:before="150" w:after="150"/>
        <w:ind w:left="2100"/>
        <w:jc w:val="left"/>
      </w:pPr>
      <w:r>
        <w:rPr>
          <w:rFonts w:ascii="Arial"/>
          <w:color w:val="000000"/>
          <w:sz w:val="22"/>
        </w:rPr>
        <w:t>(a) the ancillary sale by retail of spare parts and accessories for motor vehicles,</w:t>
      </w:r>
    </w:p>
    <w:p>
      <w:pPr>
        <w:pStyle w:val="CaselawQuote0"/>
        <w:spacing w:before="150" w:after="150"/>
        <w:ind w:left="2100"/>
        <w:jc w:val="left"/>
      </w:pPr>
      <w:r>
        <w:rPr>
          <w:rFonts w:ascii="Arial"/>
          <w:color w:val="000000"/>
          <w:sz w:val="22"/>
        </w:rPr>
        <w:t>(b) the cleaning of motor vehicles,</w:t>
      </w:r>
    </w:p>
    <w:p>
      <w:pPr>
        <w:pStyle w:val="CaselawQuote0"/>
        <w:spacing w:before="150" w:after="150"/>
        <w:ind w:left="2100"/>
        <w:jc w:val="left"/>
      </w:pPr>
      <w:r>
        <w:rPr>
          <w:rFonts w:ascii="Arial"/>
          <w:color w:val="000000"/>
          <w:sz w:val="22"/>
        </w:rPr>
        <w:t>(c) installation of accessories,</w:t>
      </w:r>
    </w:p>
    <w:p>
      <w:pPr>
        <w:pStyle w:val="CaselawQuote0"/>
        <w:spacing w:before="150" w:after="150"/>
        <w:ind w:left="2100"/>
        <w:jc w:val="left"/>
      </w:pPr>
      <w:r>
        <w:rPr>
          <w:rFonts w:ascii="Arial"/>
          <w:color w:val="000000"/>
          <w:sz w:val="22"/>
        </w:rPr>
        <w:t xml:space="preserve">(d) inspecting, </w:t>
      </w:r>
      <w:r>
        <w:rPr>
          <w:rFonts w:ascii="Arial"/>
          <w:color w:val="000000"/>
          <w:sz w:val="22"/>
        </w:rPr>
        <w:t>repairing</w:t>
      </w:r>
      <w:r>
        <w:rPr>
          <w:rFonts w:ascii="Arial"/>
          <w:color w:val="000000"/>
          <w:sz w:val="22"/>
        </w:rPr>
        <w:t xml:space="preserve"> and servicing of motor vehicles (other than body building, panel beating, spray painting, or chassis restoration),</w:t>
      </w:r>
    </w:p>
    <w:p>
      <w:pPr>
        <w:pStyle w:val="CaselawQuote0"/>
        <w:spacing w:before="150" w:after="150"/>
        <w:ind w:left="2100"/>
        <w:jc w:val="left"/>
      </w:pPr>
      <w:r>
        <w:rPr>
          <w:rFonts w:ascii="Arial"/>
          <w:color w:val="000000"/>
          <w:sz w:val="22"/>
        </w:rPr>
        <w:t>(e) the ancillary retail selling or hiring of general merchandise or services or both.”</w:t>
      </w:r>
    </w:p>
    <w:p>
      <w:pPr>
        <w:pStyle w:val="CaselawNumbered10"/>
        <w:numPr>
          <w:ilvl w:val="0"/>
          <w:numId w:val="65"/>
        </w:numPr>
        <w:spacing w:before="150" w:after="0"/>
        <w:ind w:left="600" w:hanging="600"/>
      </w:pPr>
      <w:r>
        <w:rPr>
          <w:rFonts w:ascii="Arial"/>
          <w:color w:val="000000"/>
          <w:sz w:val="24"/>
        </w:rPr>
        <w:t>“</w:t>
      </w:r>
      <w:r>
        <w:rPr>
          <w:rFonts w:ascii="Arial"/>
          <w:color w:val="000000"/>
          <w:sz w:val="24"/>
        </w:rPr>
        <w:t>Service station</w:t>
      </w:r>
      <w:r>
        <w:rPr>
          <w:rFonts w:ascii="Arial"/>
          <w:color w:val="000000"/>
          <w:sz w:val="24"/>
        </w:rPr>
        <w:t xml:space="preserve">” </w:t>
      </w:r>
      <w:r>
        <w:rPr>
          <w:rFonts w:ascii="Arial"/>
          <w:color w:val="000000"/>
          <w:sz w:val="24"/>
        </w:rPr>
        <w:t xml:space="preserve">has been similarly defined in previous environmental planning instruments applying to the land. Even on the evidence adduced by Mr </w:t>
      </w:r>
      <w:r>
        <w:rPr>
          <w:rFonts w:ascii="Arial"/>
          <w:color w:val="000000"/>
          <w:sz w:val="24"/>
        </w:rPr>
        <w:t>Lahoud</w:t>
      </w:r>
      <w:r>
        <w:rPr>
          <w:rFonts w:ascii="Arial"/>
          <w:color w:val="000000"/>
          <w:sz w:val="24"/>
        </w:rPr>
        <w:t xml:space="preserve"> </w:t>
      </w:r>
      <w:r>
        <w:rPr>
          <w:rFonts w:ascii="Arial"/>
          <w:color w:val="000000"/>
          <w:sz w:val="24"/>
        </w:rPr>
        <w:t xml:space="preserve">in the court below that there was a fuel </w:t>
      </w:r>
      <w:r>
        <w:rPr>
          <w:rFonts w:ascii="Arial"/>
          <w:color w:val="000000"/>
          <w:sz w:val="24"/>
        </w:rPr>
        <w:t>bowser</w:t>
      </w:r>
      <w:r>
        <w:rPr>
          <w:rFonts w:ascii="Arial"/>
          <w:color w:val="000000"/>
          <w:sz w:val="24"/>
        </w:rPr>
        <w:t xml:space="preserve"> </w:t>
      </w:r>
      <w:r>
        <w:rPr>
          <w:rFonts w:ascii="Arial"/>
          <w:color w:val="000000"/>
          <w:sz w:val="24"/>
        </w:rPr>
        <w:t>on the land, there was not a use of</w:t>
      </w:r>
      <w:r>
        <w:rPr>
          <w:rFonts w:ascii="Arial"/>
          <w:color w:val="000000"/>
          <w:sz w:val="24"/>
        </w:rPr>
        <w:t xml:space="preserve"> </w:t>
      </w:r>
      <w:r>
        <w:rPr>
          <w:rFonts w:ascii="Arial"/>
          <w:color w:val="000000"/>
          <w:sz w:val="24"/>
        </w:rPr>
        <w:t>the land for</w:t>
      </w:r>
      <w:r>
        <w:rPr>
          <w:rFonts w:ascii="Arial"/>
          <w:color w:val="000000"/>
          <w:sz w:val="24"/>
        </w:rPr>
        <w:t xml:space="preserve"> </w:t>
      </w:r>
      <w:r>
        <w:rPr>
          <w:rFonts w:ascii="Arial"/>
          <w:color w:val="000000"/>
          <w:sz w:val="24"/>
        </w:rPr>
        <w:t xml:space="preserve">the purpose of service station as defined. Mr </w:t>
      </w:r>
      <w:r>
        <w:rPr>
          <w:rFonts w:ascii="Arial"/>
          <w:color w:val="000000"/>
          <w:sz w:val="24"/>
        </w:rPr>
        <w:t>Lahoud</w:t>
      </w:r>
      <w:r>
        <w:rPr>
          <w:rFonts w:ascii="Arial"/>
          <w:color w:val="000000"/>
          <w:sz w:val="24"/>
        </w:rPr>
        <w:t xml:space="preserve"> </w:t>
      </w:r>
      <w:r>
        <w:rPr>
          <w:rFonts w:ascii="Arial"/>
          <w:color w:val="000000"/>
          <w:sz w:val="24"/>
        </w:rPr>
        <w:t>adduced no evidence of</w:t>
      </w:r>
      <w:r>
        <w:rPr>
          <w:rFonts w:ascii="Arial"/>
          <w:color w:val="000000"/>
          <w:sz w:val="24"/>
        </w:rPr>
        <w:t xml:space="preserve"> </w:t>
      </w:r>
      <w:r>
        <w:rPr>
          <w:rFonts w:ascii="Arial"/>
          <w:color w:val="000000"/>
          <w:sz w:val="24"/>
        </w:rPr>
        <w:t>the use of the land for</w:t>
      </w:r>
      <w:r>
        <w:rPr>
          <w:rFonts w:ascii="Arial"/>
          <w:color w:val="000000"/>
          <w:sz w:val="24"/>
        </w:rPr>
        <w:t xml:space="preserve"> </w:t>
      </w:r>
      <w:r>
        <w:rPr>
          <w:rFonts w:ascii="Arial"/>
          <w:color w:val="000000"/>
          <w:sz w:val="24"/>
        </w:rPr>
        <w:t xml:space="preserve">the sale by retail of fuels and lubricants </w:t>
      </w:r>
      <w:r>
        <w:rPr>
          <w:rFonts w:ascii="Arial"/>
          <w:color w:val="000000"/>
          <w:sz w:val="24"/>
        </w:rPr>
        <w:t xml:space="preserve">for motor vehicles, an essential characteristic of use for the purpose of service station. To the contrary, the fuel dispensed by the fuel bowser </w:t>
      </w:r>
      <w:r>
        <w:rPr>
          <w:rFonts w:ascii="Arial"/>
          <w:color w:val="000000"/>
          <w:sz w:val="24"/>
        </w:rPr>
        <w:t xml:space="preserve">was </w:t>
      </w:r>
      <w:r>
        <w:rPr>
          <w:rFonts w:ascii="Arial"/>
          <w:color w:val="000000"/>
          <w:sz w:val="24"/>
        </w:rPr>
        <w:t xml:space="preserve">used for the trucks of the hardware store operating on the </w:t>
      </w:r>
      <w:r>
        <w:rPr>
          <w:rFonts w:ascii="Arial"/>
          <w:color w:val="000000"/>
          <w:sz w:val="24"/>
        </w:rPr>
        <w:t xml:space="preserve">adjoining </w:t>
      </w:r>
      <w:r>
        <w:rPr>
          <w:rFonts w:ascii="Arial"/>
          <w:color w:val="000000"/>
          <w:sz w:val="24"/>
        </w:rPr>
        <w:t>land</w:t>
      </w:r>
      <w:r>
        <w:rPr>
          <w:rFonts w:ascii="Arial"/>
          <w:color w:val="000000"/>
          <w:sz w:val="24"/>
        </w:rPr>
        <w:t xml:space="preserve">, later redeveloped by Mr </w:t>
      </w:r>
      <w:r>
        <w:rPr>
          <w:rFonts w:ascii="Arial"/>
          <w:color w:val="000000"/>
          <w:sz w:val="24"/>
        </w:rPr>
        <w:t>Lahoud</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company</w:t>
      </w:r>
      <w:r>
        <w:rPr>
          <w:rFonts w:ascii="Arial"/>
          <w:color w:val="000000"/>
          <w:sz w:val="24"/>
        </w:rPr>
        <w:t>.</w:t>
      </w:r>
    </w:p>
    <w:p>
      <w:pPr>
        <w:pStyle w:val="CaselawNumbered10"/>
        <w:numPr>
          <w:ilvl w:val="0"/>
          <w:numId w:val="65"/>
        </w:numPr>
        <w:spacing w:before="150" w:after="0"/>
        <w:ind w:left="600" w:hanging="600"/>
      </w:pPr>
      <w:r>
        <w:rPr>
          <w:rFonts w:ascii="Arial"/>
          <w:color w:val="000000"/>
          <w:sz w:val="24"/>
        </w:rPr>
        <w:t xml:space="preserve">Second, Mr </w:t>
      </w:r>
      <w:r>
        <w:rPr>
          <w:rFonts w:ascii="Arial"/>
          <w:color w:val="000000"/>
          <w:sz w:val="24"/>
        </w:rPr>
        <w:t>Lahoud</w:t>
      </w:r>
      <w:r>
        <w:rPr>
          <w:rFonts w:ascii="Arial"/>
          <w:color w:val="000000"/>
          <w:sz w:val="24"/>
        </w:rPr>
        <w:t xml:space="preserve"> </w:t>
      </w:r>
      <w:r>
        <w:rPr>
          <w:rFonts w:ascii="Arial"/>
          <w:color w:val="000000"/>
          <w:sz w:val="24"/>
        </w:rPr>
        <w:t xml:space="preserve">did not establish that development for the purpose of service station </w:t>
      </w:r>
      <w:r>
        <w:rPr>
          <w:rFonts w:ascii="Arial"/>
          <w:color w:val="000000"/>
          <w:sz w:val="24"/>
        </w:rPr>
        <w:t>“</w:t>
      </w:r>
      <w:r>
        <w:rPr>
          <w:rFonts w:ascii="Arial"/>
          <w:color w:val="000000"/>
          <w:sz w:val="24"/>
        </w:rPr>
        <w:t>is known to have been carried out</w:t>
      </w:r>
      <w:r>
        <w:rPr>
          <w:rFonts w:ascii="Arial"/>
          <w:color w:val="000000"/>
          <w:sz w:val="24"/>
        </w:rPr>
        <w:t xml:space="preserve">” </w:t>
      </w:r>
      <w:r>
        <w:rPr>
          <w:rFonts w:ascii="Arial"/>
          <w:color w:val="000000"/>
          <w:sz w:val="24"/>
        </w:rPr>
        <w:t xml:space="preserve">on the land. To establish that </w:t>
      </w:r>
      <w:r>
        <w:rPr>
          <w:rFonts w:ascii="Arial"/>
          <w:color w:val="000000"/>
          <w:sz w:val="24"/>
        </w:rPr>
        <w:t>the Panel breached</w:t>
      </w:r>
      <w:r>
        <w:rPr>
          <w:rFonts w:ascii="Arial"/>
          <w:color w:val="000000"/>
          <w:sz w:val="24"/>
        </w:rPr>
        <w:t xml:space="preserve"> </w:t>
      </w:r>
      <w:r>
        <w:rPr>
          <w:rFonts w:ascii="Arial"/>
          <w:color w:val="000000"/>
          <w:sz w:val="24"/>
        </w:rPr>
        <w:t>cl</w:t>
      </w:r>
      <w:r>
        <w:rPr>
          <w:rFonts w:ascii="Arial"/>
          <w:color w:val="000000"/>
          <w:sz w:val="24"/>
        </w:rPr>
        <w:t xml:space="preserve"> </w:t>
      </w:r>
      <w:r>
        <w:rPr>
          <w:rFonts w:ascii="Arial"/>
          <w:color w:val="000000"/>
          <w:sz w:val="24"/>
        </w:rPr>
        <w:t xml:space="preserve">7(2) at the time of making its decision to grant development consent, Mr </w:t>
      </w:r>
      <w:r>
        <w:rPr>
          <w:rFonts w:ascii="Arial"/>
          <w:color w:val="000000"/>
          <w:sz w:val="24"/>
        </w:rPr>
        <w:t>Lahoud</w:t>
      </w:r>
      <w:r>
        <w:rPr>
          <w:rFonts w:ascii="Arial"/>
          <w:color w:val="000000"/>
          <w:sz w:val="24"/>
        </w:rPr>
        <w:t xml:space="preserve"> </w:t>
      </w:r>
      <w:r>
        <w:rPr>
          <w:rFonts w:ascii="Arial"/>
          <w:color w:val="000000"/>
          <w:sz w:val="24"/>
        </w:rPr>
        <w:t>needed to establish that development for the purpose of service station was known at that time to have been carried out on the land. No such evidence was adduced. There was no material before the Panel establishing that a service station or any other development for a purpose referred to in Table 1 to the contaminated land planning guidelines had ever operated on the land. To the contrary, the development application form answered in the negative the question of whether the applicant was aware of any previous potentially contaminating activities on the site.</w:t>
      </w:r>
    </w:p>
    <w:p>
      <w:pPr>
        <w:pStyle w:val="CaselawNumbered10"/>
        <w:numPr>
          <w:ilvl w:val="0"/>
          <w:numId w:val="65"/>
        </w:numPr>
        <w:spacing w:before="150" w:after="0"/>
        <w:ind w:left="600" w:hanging="600"/>
      </w:pPr>
      <w:r>
        <w:rPr>
          <w:rFonts w:ascii="Arial"/>
          <w:color w:val="000000"/>
          <w:sz w:val="24"/>
        </w:rPr>
        <w:t xml:space="preserve">Third, Mr </w:t>
      </w:r>
      <w:r>
        <w:rPr>
          <w:rFonts w:ascii="Arial"/>
          <w:color w:val="000000"/>
          <w:sz w:val="24"/>
        </w:rPr>
        <w:t>Lahoud</w:t>
      </w:r>
      <w:r>
        <w:rPr>
          <w:rFonts w:ascii="Arial"/>
          <w:color w:val="000000"/>
          <w:sz w:val="24"/>
        </w:rPr>
        <w:t xml:space="preserve"> </w:t>
      </w:r>
      <w:r>
        <w:rPr>
          <w:rFonts w:ascii="Arial"/>
          <w:color w:val="000000"/>
          <w:sz w:val="24"/>
        </w:rPr>
        <w:t xml:space="preserve">did not establish that, at the time the Panel made its decision to grant development consent, </w:t>
      </w:r>
      <w:r>
        <w:rPr>
          <w:rFonts w:ascii="Arial"/>
          <w:color w:val="000000"/>
          <w:sz w:val="24"/>
        </w:rPr>
        <w:t>“</w:t>
      </w:r>
      <w:r>
        <w:rPr>
          <w:rFonts w:ascii="Arial"/>
          <w:color w:val="000000"/>
          <w:sz w:val="24"/>
        </w:rPr>
        <w:t>there is no knowledge (or incomplete knowledge)</w:t>
      </w:r>
      <w:r>
        <w:rPr>
          <w:rFonts w:ascii="Arial"/>
          <w:color w:val="000000"/>
          <w:sz w:val="24"/>
        </w:rPr>
        <w:t xml:space="preserve">” </w:t>
      </w:r>
      <w:r>
        <w:rPr>
          <w:rFonts w:ascii="Arial"/>
          <w:color w:val="000000"/>
          <w:sz w:val="24"/>
        </w:rPr>
        <w:t xml:space="preserve">as to whether development for the purpose of </w:t>
      </w:r>
      <w:r>
        <w:rPr>
          <w:rFonts w:ascii="Arial"/>
          <w:color w:val="000000"/>
          <w:sz w:val="24"/>
        </w:rPr>
        <w:t>service</w:t>
      </w:r>
      <w:r>
        <w:rPr>
          <w:rFonts w:ascii="Arial"/>
          <w:color w:val="000000"/>
          <w:sz w:val="24"/>
        </w:rPr>
        <w:t xml:space="preserve"> </w:t>
      </w:r>
      <w:r>
        <w:rPr>
          <w:rFonts w:ascii="Arial"/>
          <w:color w:val="000000"/>
          <w:sz w:val="24"/>
        </w:rPr>
        <w:t>station had been carried out on the land. Establishing this matter requires, first, establishing the fact that development for the purpose of service station ha</w:t>
      </w:r>
      <w:r>
        <w:rPr>
          <w:rFonts w:ascii="Arial"/>
          <w:color w:val="000000"/>
          <w:sz w:val="24"/>
        </w:rPr>
        <w:t>d</w:t>
      </w:r>
      <w:r>
        <w:rPr>
          <w:rFonts w:ascii="Arial"/>
          <w:color w:val="000000"/>
          <w:sz w:val="24"/>
        </w:rPr>
        <w:t xml:space="preserve"> </w:t>
      </w:r>
      <w:r>
        <w:rPr>
          <w:rFonts w:ascii="Arial"/>
          <w:color w:val="000000"/>
          <w:sz w:val="24"/>
        </w:rPr>
        <w:t xml:space="preserve">been carried out on the land and, second, that there was no knowledge or incomplete knowledge as to that fact. It is not sufficient to establish a lack of knowledge or incomplete knowledge about what developments have been carried out on the land. Mr </w:t>
      </w:r>
      <w:r>
        <w:rPr>
          <w:rFonts w:ascii="Arial"/>
          <w:color w:val="000000"/>
          <w:sz w:val="24"/>
        </w:rPr>
        <w:t>Lahoud</w:t>
      </w:r>
      <w:r>
        <w:rPr>
          <w:rFonts w:ascii="Arial"/>
          <w:color w:val="000000"/>
          <w:sz w:val="24"/>
        </w:rPr>
        <w:t xml:space="preserve"> </w:t>
      </w:r>
      <w:r>
        <w:rPr>
          <w:rFonts w:ascii="Arial"/>
          <w:color w:val="000000"/>
          <w:sz w:val="24"/>
        </w:rPr>
        <w:t>did not establish that the land ha</w:t>
      </w:r>
      <w:r>
        <w:rPr>
          <w:rFonts w:ascii="Arial"/>
          <w:color w:val="000000"/>
          <w:sz w:val="24"/>
        </w:rPr>
        <w:t>d</w:t>
      </w:r>
      <w:r>
        <w:rPr>
          <w:rFonts w:ascii="Arial"/>
          <w:color w:val="000000"/>
          <w:sz w:val="24"/>
        </w:rPr>
        <w:t xml:space="preserve"> </w:t>
      </w:r>
      <w:r>
        <w:rPr>
          <w:rFonts w:ascii="Arial"/>
          <w:color w:val="000000"/>
          <w:sz w:val="24"/>
        </w:rPr>
        <w:t>been used for the purpose of a service station and hence could not establish that there was a lack of knowledge or incomplete knowledge about that use.</w:t>
      </w:r>
    </w:p>
    <w:p>
      <w:pPr>
        <w:pStyle w:val="CaselawNumbered10"/>
        <w:numPr>
          <w:ilvl w:val="0"/>
          <w:numId w:val="65"/>
        </w:numPr>
        <w:spacing w:before="150" w:after="0"/>
        <w:ind w:left="600" w:hanging="600"/>
      </w:pPr>
      <w:r>
        <w:rPr>
          <w:rFonts w:ascii="Arial"/>
          <w:color w:val="000000"/>
          <w:sz w:val="24"/>
        </w:rPr>
        <w:t xml:space="preserve">Having failed to establish that the land proposed to be developed was land specified in cl 7(4), Mr </w:t>
      </w:r>
      <w:r>
        <w:rPr>
          <w:rFonts w:ascii="Arial"/>
          <w:color w:val="000000"/>
          <w:sz w:val="24"/>
        </w:rPr>
        <w:t>Lahoud</w:t>
      </w:r>
      <w:r>
        <w:rPr>
          <w:rFonts w:ascii="Arial"/>
          <w:color w:val="000000"/>
          <w:sz w:val="24"/>
        </w:rPr>
        <w:t xml:space="preserve"> </w:t>
      </w:r>
      <w:r>
        <w:rPr>
          <w:rFonts w:ascii="Arial"/>
          <w:color w:val="000000"/>
          <w:sz w:val="24"/>
        </w:rPr>
        <w:t xml:space="preserve">could not establish that the Panel breached cl 7(2). The obligation to consider a preliminary investigation report is only triggered by development that would involve a change of use on land specified in cl 7(4). For these reasons, ground </w:t>
      </w:r>
      <w:r>
        <w:rPr>
          <w:rFonts w:ascii="Arial"/>
          <w:color w:val="000000"/>
          <w:sz w:val="24"/>
        </w:rPr>
        <w:t>6</w:t>
      </w:r>
      <w:r>
        <w:rPr>
          <w:rFonts w:ascii="Arial"/>
          <w:color w:val="000000"/>
          <w:sz w:val="24"/>
        </w:rPr>
        <w:t xml:space="preserve"> </w:t>
      </w:r>
      <w:r>
        <w:rPr>
          <w:rFonts w:ascii="Arial"/>
          <w:color w:val="000000"/>
          <w:sz w:val="24"/>
        </w:rPr>
        <w:t>is not established.</w:t>
      </w:r>
    </w:p>
    <w:p>
      <w:pPr>
        <w:pStyle w:val="CaselawNumbered10"/>
        <w:numPr>
          <w:ilvl w:val="0"/>
          <w:numId w:val="65"/>
        </w:numPr>
        <w:spacing w:before="150" w:after="0"/>
        <w:ind w:left="600" w:hanging="600"/>
      </w:pPr>
      <w:r>
        <w:rPr>
          <w:rFonts w:ascii="Arial"/>
          <w:color w:val="000000"/>
          <w:sz w:val="24"/>
        </w:rPr>
        <w:t xml:space="preserve">The conclusion that grounds 5 and 6 of the judicial review </w:t>
      </w:r>
      <w:r>
        <w:rPr>
          <w:rFonts w:ascii="Arial"/>
          <w:color w:val="000000"/>
          <w:sz w:val="24"/>
        </w:rPr>
        <w:t>summons</w:t>
      </w:r>
      <w:r>
        <w:rPr>
          <w:rFonts w:ascii="Arial"/>
          <w:color w:val="000000"/>
          <w:sz w:val="24"/>
        </w:rPr>
        <w:t xml:space="preserve"> </w:t>
      </w:r>
      <w:r>
        <w:rPr>
          <w:rFonts w:ascii="Arial"/>
          <w:color w:val="000000"/>
          <w:sz w:val="24"/>
        </w:rPr>
        <w:t>are not established resolves Helm</w:t>
      </w:r>
      <w:r>
        <w:rPr>
          <w:rFonts w:ascii="Arial"/>
          <w:color w:val="000000"/>
          <w:sz w:val="24"/>
        </w:rPr>
        <w:t>’</w:t>
      </w:r>
      <w:r>
        <w:rPr>
          <w:rFonts w:ascii="Arial"/>
          <w:color w:val="000000"/>
          <w:sz w:val="24"/>
        </w:rPr>
        <w:t xml:space="preserve">s contention 4 and Mr </w:t>
      </w:r>
      <w:r>
        <w:rPr>
          <w:rFonts w:ascii="Arial"/>
          <w:color w:val="000000"/>
          <w:sz w:val="24"/>
        </w:rPr>
        <w:t>Lahoud</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 xml:space="preserve">ground of </w:t>
      </w:r>
      <w:r>
        <w:rPr>
          <w:rFonts w:ascii="Arial"/>
          <w:color w:val="000000"/>
          <w:sz w:val="24"/>
        </w:rPr>
        <w:t>appeal 9: contention 4 should be uph</w:t>
      </w:r>
      <w:r>
        <w:rPr>
          <w:rFonts w:ascii="Arial"/>
          <w:color w:val="000000"/>
          <w:sz w:val="24"/>
        </w:rPr>
        <w:t>e</w:t>
      </w:r>
      <w:r>
        <w:rPr>
          <w:rFonts w:ascii="Arial"/>
          <w:color w:val="000000"/>
          <w:sz w:val="24"/>
        </w:rPr>
        <w:t>ld and ground 9 rejected.</w:t>
      </w:r>
    </w:p>
    <w:p>
      <w:pPr>
        <w:pStyle w:val="CaselawNumbered10"/>
        <w:numPr>
          <w:ilvl w:val="0"/>
          <w:numId w:val="65"/>
        </w:numPr>
        <w:spacing w:before="150" w:after="0"/>
        <w:ind w:left="600" w:hanging="600"/>
      </w:pPr>
      <w:r>
        <w:rPr>
          <w:rFonts w:ascii="Arial"/>
          <w:color w:val="000000"/>
          <w:sz w:val="24"/>
        </w:rPr>
        <w:t xml:space="preserve">This conclusion also makes it unnecessary to decide Mr </w:t>
      </w:r>
      <w:r>
        <w:rPr>
          <w:rFonts w:ascii="Arial"/>
          <w:color w:val="000000"/>
          <w:sz w:val="24"/>
        </w:rPr>
        <w:t>Lahoud</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grounds of appeal 10, 11 and 12. Nevertheless, it is appropriate to record that the primary judge</w:t>
      </w:r>
      <w:r>
        <w:rPr>
          <w:rFonts w:ascii="Arial"/>
          <w:color w:val="000000"/>
          <w:sz w:val="24"/>
        </w:rPr>
        <w:t>’</w:t>
      </w:r>
      <w:r>
        <w:rPr>
          <w:rFonts w:ascii="Arial"/>
          <w:color w:val="000000"/>
          <w:sz w:val="24"/>
        </w:rPr>
        <w:t xml:space="preserve">s adverse credit findings about Mr </w:t>
      </w:r>
      <w:r>
        <w:rPr>
          <w:rFonts w:ascii="Arial"/>
          <w:color w:val="000000"/>
          <w:sz w:val="24"/>
        </w:rPr>
        <w:t>Lahoud</w:t>
      </w:r>
      <w:r>
        <w:rPr>
          <w:rFonts w:ascii="Arial"/>
          <w:color w:val="000000"/>
          <w:sz w:val="24"/>
        </w:rPr>
        <w:t>, which are the subject of grounds 11 and 12, were unnecessary for two reasons.</w:t>
      </w:r>
    </w:p>
    <w:p>
      <w:pPr>
        <w:pStyle w:val="CaselawNumbered10"/>
        <w:numPr>
          <w:ilvl w:val="0"/>
          <w:numId w:val="65"/>
        </w:numPr>
        <w:spacing w:before="150" w:after="0"/>
        <w:ind w:left="600" w:hanging="600"/>
      </w:pPr>
      <w:r>
        <w:rPr>
          <w:rFonts w:ascii="Arial"/>
          <w:color w:val="000000"/>
          <w:sz w:val="24"/>
        </w:rPr>
        <w:t>First, unless and until the primary judge found that the Pane</w:t>
      </w:r>
      <w:r>
        <w:rPr>
          <w:rFonts w:ascii="Arial"/>
          <w:color w:val="000000"/>
          <w:sz w:val="24"/>
        </w:rPr>
        <w:t>l</w:t>
      </w:r>
      <w:r>
        <w:rPr>
          <w:rFonts w:ascii="Arial"/>
          <w:color w:val="000000"/>
          <w:sz w:val="24"/>
        </w:rPr>
        <w:t>’</w:t>
      </w:r>
      <w:r>
        <w:rPr>
          <w:rFonts w:ascii="Arial"/>
          <w:color w:val="000000"/>
          <w:sz w:val="24"/>
        </w:rPr>
        <w:t>s decision was made in breach of cl 7(1) and 7(2) of SEPP 55, no occasion arose for deciding whether and what relief should be granted to remedy a</w:t>
      </w:r>
      <w:r>
        <w:rPr>
          <w:rFonts w:ascii="Arial"/>
          <w:color w:val="000000"/>
          <w:sz w:val="24"/>
        </w:rPr>
        <w:t>ny</w:t>
      </w:r>
      <w:r>
        <w:rPr>
          <w:rFonts w:ascii="Arial"/>
          <w:color w:val="000000"/>
          <w:sz w:val="24"/>
        </w:rPr>
        <w:t xml:space="preserve"> </w:t>
      </w:r>
      <w:r>
        <w:rPr>
          <w:rFonts w:ascii="Arial"/>
          <w:color w:val="000000"/>
          <w:sz w:val="24"/>
        </w:rPr>
        <w:t>breach. The primary judge deliberately refrained from decid</w:t>
      </w:r>
      <w:r>
        <w:rPr>
          <w:rFonts w:ascii="Arial"/>
          <w:color w:val="000000"/>
          <w:sz w:val="24"/>
        </w:rPr>
        <w:t>ing</w:t>
      </w:r>
      <w:r>
        <w:rPr>
          <w:rFonts w:ascii="Arial"/>
          <w:color w:val="000000"/>
          <w:sz w:val="24"/>
        </w:rPr>
        <w:t xml:space="preserve"> </w:t>
      </w:r>
      <w:r>
        <w:rPr>
          <w:rFonts w:ascii="Arial"/>
          <w:color w:val="000000"/>
          <w:sz w:val="24"/>
        </w:rPr>
        <w:t xml:space="preserve">that the Panel breached cl 7(1) or cl 7(2), instead proceeding on the assumption that grounds 5 and 6 were made out. The occasion therefore never arose for the primary judge to consider how he ought </w:t>
      </w:r>
      <w:r>
        <w:rPr>
          <w:rFonts w:ascii="Arial"/>
          <w:color w:val="000000"/>
          <w:sz w:val="24"/>
        </w:rPr>
        <w:t>to exercise</w:t>
      </w:r>
      <w:r>
        <w:rPr>
          <w:rFonts w:ascii="Arial"/>
          <w:color w:val="000000"/>
          <w:sz w:val="24"/>
        </w:rPr>
        <w:t xml:space="preserve"> </w:t>
      </w:r>
      <w:r>
        <w:rPr>
          <w:rFonts w:ascii="Arial"/>
          <w:color w:val="000000"/>
          <w:sz w:val="24"/>
        </w:rPr>
        <w:t xml:space="preserve">a discretion to grant or withhold </w:t>
      </w:r>
      <w:r>
        <w:rPr>
          <w:rFonts w:ascii="Arial"/>
          <w:color w:val="000000"/>
          <w:sz w:val="24"/>
        </w:rPr>
        <w:t>relief for a breach that had not been established.</w:t>
      </w:r>
    </w:p>
    <w:p>
      <w:pPr>
        <w:pStyle w:val="CaselawNumbered10"/>
        <w:numPr>
          <w:ilvl w:val="0"/>
          <w:numId w:val="65"/>
        </w:numPr>
        <w:spacing w:before="150" w:after="0"/>
        <w:ind w:left="600" w:hanging="600"/>
      </w:pPr>
      <w:r>
        <w:rPr>
          <w:rFonts w:ascii="Arial"/>
          <w:color w:val="000000"/>
          <w:sz w:val="24"/>
        </w:rPr>
        <w:t xml:space="preserve">Second, the relief Mr </w:t>
      </w:r>
      <w:r>
        <w:rPr>
          <w:rFonts w:ascii="Arial"/>
          <w:color w:val="000000"/>
          <w:sz w:val="24"/>
        </w:rPr>
        <w:t>Lahoud</w:t>
      </w:r>
      <w:r>
        <w:rPr>
          <w:rFonts w:ascii="Arial"/>
          <w:color w:val="000000"/>
          <w:sz w:val="24"/>
        </w:rPr>
        <w:t xml:space="preserve"> </w:t>
      </w:r>
      <w:r>
        <w:rPr>
          <w:rFonts w:ascii="Arial"/>
          <w:color w:val="000000"/>
          <w:sz w:val="24"/>
        </w:rPr>
        <w:t xml:space="preserve">sought was </w:t>
      </w:r>
      <w:r>
        <w:rPr>
          <w:rFonts w:ascii="Arial"/>
          <w:color w:val="000000"/>
          <w:sz w:val="24"/>
        </w:rPr>
        <w:t xml:space="preserve">a </w:t>
      </w:r>
      <w:r>
        <w:rPr>
          <w:rFonts w:ascii="Arial"/>
          <w:color w:val="000000"/>
          <w:sz w:val="24"/>
        </w:rPr>
        <w:t xml:space="preserve">declaration that the development consent was invalid by reason of </w:t>
      </w:r>
      <w:r>
        <w:rPr>
          <w:rFonts w:ascii="Arial"/>
          <w:color w:val="000000"/>
          <w:sz w:val="24"/>
        </w:rPr>
        <w:t>a</w:t>
      </w:r>
      <w:r>
        <w:rPr>
          <w:rFonts w:ascii="Arial"/>
          <w:color w:val="000000"/>
          <w:sz w:val="24"/>
        </w:rPr>
        <w:t xml:space="preserve"> </w:t>
      </w:r>
      <w:r>
        <w:rPr>
          <w:rFonts w:ascii="Arial"/>
          <w:color w:val="000000"/>
          <w:sz w:val="24"/>
        </w:rPr>
        <w:t>breach of the EPA Act, which includes a breach of cl 7 of SEPP 55</w:t>
      </w:r>
      <w:r>
        <w:rPr>
          <w:rFonts w:ascii="Arial"/>
          <w:color w:val="000000"/>
          <w:sz w:val="24"/>
        </w:rPr>
        <w:t>,</w:t>
      </w:r>
      <w:r>
        <w:rPr>
          <w:rFonts w:ascii="Arial"/>
          <w:color w:val="000000"/>
          <w:sz w:val="24"/>
        </w:rPr>
        <w:t xml:space="preserve"> </w:t>
      </w:r>
      <w:r>
        <w:rPr>
          <w:rFonts w:ascii="Arial"/>
          <w:color w:val="000000"/>
          <w:sz w:val="24"/>
        </w:rPr>
        <w:t xml:space="preserve">being an environmental planning instrument made under the EPA Act. The conduct of the person bringing the proceedings seeking to remedy a breach of the EPA Act, and the credit of that person as a witness, will ordinarily be </w:t>
      </w:r>
      <w:r>
        <w:rPr>
          <w:rFonts w:ascii="Arial"/>
          <w:color w:val="000000"/>
          <w:sz w:val="24"/>
        </w:rPr>
        <w:t>ir</w:t>
      </w:r>
      <w:r>
        <w:rPr>
          <w:rFonts w:ascii="Arial"/>
          <w:color w:val="000000"/>
          <w:sz w:val="24"/>
        </w:rPr>
        <w:t>relevant to the exercise of a discretion as to whether to grant a declaration of invalidity. The</w:t>
      </w:r>
      <w:r>
        <w:rPr>
          <w:rFonts w:ascii="Arial"/>
          <w:color w:val="000000"/>
          <w:sz w:val="24"/>
        </w:rPr>
        <w:t>s</w:t>
      </w:r>
      <w:r>
        <w:rPr>
          <w:rFonts w:ascii="Arial"/>
          <w:color w:val="000000"/>
          <w:sz w:val="24"/>
        </w:rPr>
        <w:t xml:space="preserve">e were not </w:t>
      </w:r>
      <w:r>
        <w:rPr>
          <w:rFonts w:ascii="Arial"/>
          <w:color w:val="000000"/>
          <w:sz w:val="24"/>
        </w:rPr>
        <w:t>matters</w:t>
      </w:r>
      <w:r>
        <w:rPr>
          <w:rFonts w:ascii="Arial"/>
          <w:color w:val="000000"/>
          <w:sz w:val="24"/>
        </w:rPr>
        <w:t xml:space="preserve"> </w:t>
      </w:r>
      <w:r>
        <w:rPr>
          <w:rFonts w:ascii="Arial"/>
          <w:color w:val="000000"/>
          <w:sz w:val="24"/>
        </w:rPr>
        <w:t>the primary judge ought to have considered in deciding whether</w:t>
      </w:r>
      <w:r>
        <w:rPr>
          <w:rFonts w:ascii="Arial"/>
          <w:color w:val="000000"/>
          <w:sz w:val="24"/>
        </w:rPr>
        <w:t xml:space="preserve"> </w:t>
      </w:r>
      <w:r>
        <w:rPr>
          <w:rFonts w:ascii="Arial"/>
          <w:color w:val="000000"/>
          <w:sz w:val="24"/>
        </w:rPr>
        <w:t>or not</w:t>
      </w:r>
      <w:r>
        <w:rPr>
          <w:rFonts w:ascii="Arial"/>
          <w:color w:val="000000"/>
          <w:sz w:val="24"/>
        </w:rPr>
        <w:t xml:space="preserve"> </w:t>
      </w:r>
      <w:r>
        <w:rPr>
          <w:rFonts w:ascii="Arial"/>
          <w:color w:val="000000"/>
          <w:sz w:val="24"/>
        </w:rPr>
        <w:t>to declare invalid the development consent for the Panel</w:t>
      </w:r>
      <w:r>
        <w:rPr>
          <w:rFonts w:ascii="Arial"/>
          <w:color w:val="000000"/>
          <w:sz w:val="24"/>
        </w:rPr>
        <w:t>’</w:t>
      </w:r>
      <w:r>
        <w:rPr>
          <w:rFonts w:ascii="Arial"/>
          <w:color w:val="000000"/>
          <w:sz w:val="24"/>
        </w:rPr>
        <w:t xml:space="preserve">s assumed breach of cl 7(1) and cl 7(2) of SEPP 55. In these circumstances, the primary judge ought not to have made the adverse credit findings concerning Mr </w:t>
      </w:r>
      <w:r>
        <w:rPr>
          <w:rFonts w:ascii="Arial"/>
          <w:color w:val="000000"/>
          <w:sz w:val="24"/>
        </w:rPr>
        <w:t>Lahoud</w:t>
      </w:r>
      <w:r>
        <w:rPr>
          <w:rFonts w:ascii="Arial"/>
          <w:color w:val="000000"/>
          <w:sz w:val="24"/>
        </w:rPr>
        <w:t>.</w:t>
      </w:r>
    </w:p>
    <w:p>
      <w:pPr>
        <w:pStyle w:val="CaselawHeading2"/>
        <w:keepNext/>
        <w:spacing w:before="150" w:after="150" w:line="264"/>
        <w:ind w:left="0"/>
        <w:jc w:val="left"/>
      </w:pPr>
      <w:r>
        <w:rPr>
          <w:rFonts w:ascii="Arial"/>
        </w:rPr>
        <w:t>Contention that proceedings time-barred</w:t>
      </w:r>
    </w:p>
    <w:p>
      <w:pPr>
        <w:pStyle w:val="CaselawNumbered10"/>
        <w:numPr>
          <w:ilvl w:val="0"/>
          <w:numId w:val="66"/>
        </w:numPr>
        <w:spacing w:before="150" w:after="0"/>
        <w:ind w:left="600" w:hanging="600"/>
      </w:pPr>
      <w:r>
        <w:rPr>
          <w:rFonts w:ascii="Arial"/>
          <w:color w:val="000000"/>
          <w:sz w:val="24"/>
        </w:rPr>
        <w:t xml:space="preserve">Helm raised as a contention in the court below and again in its notice of contention in this court that Mr </w:t>
      </w:r>
      <w:r>
        <w:rPr>
          <w:rFonts w:ascii="Arial"/>
          <w:color w:val="000000"/>
          <w:sz w:val="24"/>
        </w:rPr>
        <w:t>Lahoud</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proceedings were commenced out of time. Under</w:t>
      </w:r>
      <w:r>
        <w:rPr>
          <w:rFonts w:ascii="Arial"/>
          <w:color w:val="000000"/>
          <w:sz w:val="24"/>
        </w:rPr>
        <w:t xml:space="preserve"> </w:t>
      </w:r>
      <w:r>
        <w:rPr>
          <w:rFonts w:ascii="Arial"/>
          <w:color w:val="000000"/>
          <w:sz w:val="24"/>
        </w:rPr>
        <w:t>s</w:t>
      </w:r>
      <w:r>
        <w:rPr>
          <w:rFonts w:ascii="Arial"/>
          <w:color w:val="000000"/>
          <w:sz w:val="24"/>
        </w:rPr>
        <w:t xml:space="preserve"> </w:t>
      </w:r>
      <w:r>
        <w:rPr>
          <w:rFonts w:ascii="Arial"/>
          <w:color w:val="000000"/>
          <w:sz w:val="24"/>
        </w:rPr>
        <w:t xml:space="preserve">4.59 of the EPA Act and </w:t>
      </w:r>
      <w:r>
        <w:rPr>
          <w:rFonts w:ascii="Arial"/>
          <w:color w:val="000000"/>
          <w:sz w:val="24"/>
        </w:rPr>
        <w:t>c</w:t>
      </w:r>
      <w:r>
        <w:rPr>
          <w:rFonts w:ascii="Arial"/>
          <w:color w:val="000000"/>
          <w:sz w:val="24"/>
        </w:rPr>
        <w:t xml:space="preserve">l 124 of the Environmental Planning </w:t>
      </w:r>
      <w:r>
        <w:rPr>
          <w:rFonts w:ascii="Arial"/>
          <w:color w:val="000000"/>
          <w:sz w:val="24"/>
        </w:rPr>
        <w:t>and Assessment Regulation 2000</w:t>
      </w:r>
      <w:r>
        <w:rPr>
          <w:rFonts w:ascii="Arial"/>
          <w:color w:val="000000"/>
          <w:sz w:val="24"/>
        </w:rPr>
        <w:t xml:space="preserve"> </w:t>
      </w:r>
      <w:r>
        <w:rPr>
          <w:rFonts w:ascii="Arial"/>
          <w:color w:val="000000"/>
          <w:sz w:val="24"/>
        </w:rPr>
        <w:t>(NSW)</w:t>
      </w:r>
      <w:r>
        <w:rPr>
          <w:rFonts w:ascii="Arial"/>
          <w:color w:val="000000"/>
          <w:sz w:val="24"/>
        </w:rPr>
        <w:t xml:space="preserve"> </w:t>
      </w:r>
      <w:r>
        <w:rPr>
          <w:rFonts w:ascii="Arial"/>
          <w:color w:val="000000"/>
          <w:sz w:val="24"/>
        </w:rPr>
        <w:t xml:space="preserve">(EPA Regulation), the proceedings challenging the validity of the development consent needed to have been commenced not more than </w:t>
      </w:r>
      <w:r>
        <w:rPr>
          <w:rFonts w:ascii="Arial"/>
          <w:color w:val="000000"/>
          <w:sz w:val="24"/>
        </w:rPr>
        <w:t>three</w:t>
      </w:r>
      <w:r>
        <w:rPr>
          <w:rFonts w:ascii="Arial"/>
          <w:color w:val="000000"/>
          <w:sz w:val="24"/>
        </w:rPr>
        <w:t xml:space="preserve"> </w:t>
      </w:r>
      <w:r>
        <w:rPr>
          <w:rFonts w:ascii="Arial"/>
          <w:color w:val="000000"/>
          <w:sz w:val="24"/>
        </w:rPr>
        <w:t>months after public notice of the granting of the consent</w:t>
      </w:r>
      <w:r>
        <w:rPr>
          <w:rFonts w:ascii="Arial"/>
          <w:color w:val="000000"/>
          <w:sz w:val="24"/>
        </w:rPr>
        <w:t xml:space="preserve"> </w:t>
      </w:r>
      <w:r>
        <w:rPr>
          <w:rFonts w:ascii="Arial"/>
          <w:color w:val="000000"/>
          <w:sz w:val="24"/>
        </w:rPr>
        <w:t>was given</w:t>
      </w:r>
      <w:r>
        <w:rPr>
          <w:rFonts w:ascii="Arial"/>
          <w:color w:val="000000"/>
          <w:sz w:val="24"/>
        </w:rPr>
        <w:t xml:space="preserve">. Public notice of the granting of the consent was given, in accordance with s 4.59 of the EPA Act and cl 124 of the EPA Regulation, on 15 July 2021. Mr </w:t>
      </w:r>
      <w:r>
        <w:rPr>
          <w:rFonts w:ascii="Arial"/>
          <w:color w:val="000000"/>
          <w:sz w:val="24"/>
        </w:rPr>
        <w:t>Lahoud</w:t>
      </w:r>
      <w:r>
        <w:rPr>
          <w:rFonts w:ascii="Arial"/>
          <w:color w:val="000000"/>
          <w:sz w:val="24"/>
        </w:rPr>
        <w:t xml:space="preserve"> </w:t>
      </w:r>
      <w:r>
        <w:rPr>
          <w:rFonts w:ascii="Arial"/>
          <w:color w:val="000000"/>
          <w:sz w:val="24"/>
        </w:rPr>
        <w:t xml:space="preserve">commenced the judicial review proceedings challenging the consent on 14 October 2021, just within the </w:t>
      </w:r>
      <w:r>
        <w:rPr>
          <w:rFonts w:ascii="Arial"/>
          <w:color w:val="000000"/>
          <w:sz w:val="24"/>
        </w:rPr>
        <w:t>three month</w:t>
      </w:r>
      <w:r>
        <w:rPr>
          <w:rFonts w:ascii="Arial"/>
          <w:color w:val="000000"/>
          <w:sz w:val="24"/>
        </w:rPr>
        <w:t xml:space="preserve"> </w:t>
      </w:r>
      <w:r>
        <w:rPr>
          <w:rFonts w:ascii="Arial"/>
          <w:color w:val="000000"/>
          <w:sz w:val="24"/>
        </w:rPr>
        <w:t>period.</w:t>
      </w:r>
    </w:p>
    <w:p>
      <w:pPr>
        <w:pStyle w:val="CaselawNumbered10"/>
        <w:numPr>
          <w:ilvl w:val="0"/>
          <w:numId w:val="66"/>
        </w:numPr>
        <w:spacing w:before="150" w:after="0"/>
        <w:ind w:left="600" w:hanging="600"/>
      </w:pPr>
      <w:r>
        <w:rPr>
          <w:rFonts w:ascii="Arial"/>
          <w:color w:val="000000"/>
          <w:sz w:val="24"/>
        </w:rPr>
        <w:t xml:space="preserve">Nevertheless, Helm argued that two earlier </w:t>
      </w:r>
      <w:r>
        <w:rPr>
          <w:rFonts w:ascii="Arial"/>
          <w:color w:val="000000"/>
          <w:sz w:val="24"/>
        </w:rPr>
        <w:t>notifications</w:t>
      </w:r>
      <w:r>
        <w:rPr>
          <w:rFonts w:ascii="Arial"/>
          <w:color w:val="000000"/>
          <w:sz w:val="24"/>
        </w:rPr>
        <w:t xml:space="preserve"> </w:t>
      </w:r>
      <w:r>
        <w:rPr>
          <w:rFonts w:ascii="Arial"/>
          <w:color w:val="000000"/>
          <w:sz w:val="24"/>
        </w:rPr>
        <w:t>published</w:t>
      </w:r>
      <w:r>
        <w:rPr>
          <w:rFonts w:ascii="Arial"/>
          <w:color w:val="000000"/>
          <w:sz w:val="24"/>
        </w:rPr>
        <w:t xml:space="preserve"> </w:t>
      </w:r>
      <w:r>
        <w:rPr>
          <w:rFonts w:ascii="Arial"/>
          <w:color w:val="000000"/>
          <w:sz w:val="24"/>
        </w:rPr>
        <w:t>on 30 June and 1 July 2021 also constituted notices under s 4.59 of the EPA Act and cl 124</w:t>
      </w:r>
      <w:r>
        <w:rPr>
          <w:rFonts w:ascii="Arial"/>
          <w:color w:val="000000"/>
          <w:sz w:val="24"/>
        </w:rPr>
        <w:t xml:space="preserve"> </w:t>
      </w:r>
      <w:r>
        <w:rPr>
          <w:rFonts w:ascii="Arial"/>
          <w:color w:val="000000"/>
          <w:sz w:val="24"/>
        </w:rPr>
        <w:t xml:space="preserve">of the EPA Regulation, so that the </w:t>
      </w:r>
      <w:r>
        <w:rPr>
          <w:rFonts w:ascii="Arial"/>
          <w:color w:val="000000"/>
          <w:sz w:val="24"/>
        </w:rPr>
        <w:t>three</w:t>
      </w:r>
      <w:r>
        <w:rPr>
          <w:rFonts w:ascii="Arial"/>
          <w:color w:val="000000"/>
          <w:sz w:val="24"/>
        </w:rPr>
        <w:t xml:space="preserve"> </w:t>
      </w:r>
      <w:r>
        <w:rPr>
          <w:rFonts w:ascii="Arial"/>
          <w:color w:val="000000"/>
          <w:sz w:val="24"/>
        </w:rPr>
        <w:t>month</w:t>
      </w:r>
      <w:r>
        <w:rPr>
          <w:rFonts w:ascii="Arial"/>
          <w:color w:val="000000"/>
          <w:sz w:val="24"/>
        </w:rPr>
        <w:t xml:space="preserve"> </w:t>
      </w:r>
      <w:r>
        <w:rPr>
          <w:rFonts w:ascii="Arial"/>
          <w:color w:val="000000"/>
          <w:sz w:val="24"/>
        </w:rPr>
        <w:t xml:space="preserve">limitation period for bringing proceedings challenging the development consent ran from those dates. In that event, the proceedings brought by Mr </w:t>
      </w:r>
      <w:r>
        <w:rPr>
          <w:rFonts w:ascii="Arial"/>
          <w:color w:val="000000"/>
          <w:sz w:val="24"/>
        </w:rPr>
        <w:t>Lahoud</w:t>
      </w:r>
      <w:r>
        <w:rPr>
          <w:rFonts w:ascii="Arial"/>
          <w:color w:val="000000"/>
          <w:sz w:val="24"/>
        </w:rPr>
        <w:t xml:space="preserve"> </w:t>
      </w:r>
      <w:r>
        <w:rPr>
          <w:rFonts w:ascii="Arial"/>
          <w:color w:val="000000"/>
          <w:sz w:val="24"/>
        </w:rPr>
        <w:t xml:space="preserve">were outside the </w:t>
      </w:r>
      <w:r>
        <w:rPr>
          <w:rFonts w:ascii="Arial"/>
          <w:color w:val="000000"/>
          <w:sz w:val="24"/>
        </w:rPr>
        <w:t>three</w:t>
      </w:r>
      <w:r>
        <w:rPr>
          <w:rFonts w:ascii="Arial"/>
          <w:color w:val="000000"/>
          <w:sz w:val="24"/>
        </w:rPr>
        <w:t xml:space="preserve"> </w:t>
      </w:r>
      <w:r>
        <w:rPr>
          <w:rFonts w:ascii="Arial"/>
          <w:color w:val="000000"/>
          <w:sz w:val="24"/>
        </w:rPr>
        <w:t>month</w:t>
      </w:r>
      <w:r>
        <w:rPr>
          <w:rFonts w:ascii="Arial"/>
          <w:color w:val="000000"/>
          <w:sz w:val="24"/>
        </w:rPr>
        <w:t xml:space="preserve"> </w:t>
      </w:r>
      <w:r>
        <w:rPr>
          <w:rFonts w:ascii="Arial"/>
          <w:color w:val="000000"/>
          <w:sz w:val="24"/>
        </w:rPr>
        <w:t>limitation period.</w:t>
      </w:r>
    </w:p>
    <w:p>
      <w:pPr>
        <w:pStyle w:val="CaselawNumbered10"/>
        <w:numPr>
          <w:ilvl w:val="0"/>
          <w:numId w:val="66"/>
        </w:numPr>
        <w:spacing w:before="150" w:after="0"/>
        <w:ind w:left="600" w:hanging="600"/>
      </w:pPr>
      <w:r>
        <w:rPr>
          <w:rFonts w:ascii="Arial"/>
          <w:color w:val="000000"/>
          <w:sz w:val="24"/>
        </w:rPr>
        <w:t>The primary judge rejected Helm</w:t>
      </w:r>
      <w:r>
        <w:rPr>
          <w:rFonts w:ascii="Arial"/>
          <w:color w:val="000000"/>
          <w:sz w:val="24"/>
        </w:rPr>
        <w:t>’</w:t>
      </w:r>
      <w:r>
        <w:rPr>
          <w:rFonts w:ascii="Arial"/>
          <w:color w:val="000000"/>
          <w:sz w:val="24"/>
        </w:rPr>
        <w:t xml:space="preserve">s contention. The primary judge found that the notifications </w:t>
      </w:r>
      <w:r>
        <w:rPr>
          <w:rFonts w:ascii="Arial"/>
          <w:color w:val="000000"/>
          <w:sz w:val="24"/>
        </w:rPr>
        <w:t>published</w:t>
      </w:r>
      <w:r>
        <w:rPr>
          <w:rFonts w:ascii="Arial"/>
          <w:color w:val="000000"/>
          <w:sz w:val="24"/>
        </w:rPr>
        <w:t xml:space="preserve"> </w:t>
      </w:r>
      <w:r>
        <w:rPr>
          <w:rFonts w:ascii="Arial"/>
          <w:color w:val="000000"/>
          <w:sz w:val="24"/>
        </w:rPr>
        <w:t xml:space="preserve">on 30 June and 1 July 2021 </w:t>
      </w:r>
      <w:r>
        <w:rPr>
          <w:rFonts w:ascii="Arial"/>
          <w:color w:val="000000"/>
          <w:sz w:val="24"/>
        </w:rPr>
        <w:t>“</w:t>
      </w:r>
      <w:r>
        <w:rPr>
          <w:rFonts w:ascii="Arial"/>
          <w:color w:val="000000"/>
          <w:sz w:val="24"/>
        </w:rPr>
        <w:t>were not in the express and confined terms of the details specified by s 4.59 itself</w:t>
      </w:r>
      <w:r>
        <w:rPr>
          <w:rFonts w:ascii="Arial"/>
          <w:color w:val="000000"/>
          <w:sz w:val="24"/>
        </w:rPr>
        <w:t>”</w:t>
      </w:r>
      <w:r>
        <w:rPr>
          <w:rFonts w:ascii="Arial"/>
          <w:color w:val="000000"/>
          <w:sz w:val="24"/>
        </w:rPr>
        <w:t xml:space="preserve">: at [49]. The notice published on 15 July </w:t>
      </w:r>
      <w:r>
        <w:rPr>
          <w:rFonts w:ascii="Arial"/>
          <w:color w:val="000000"/>
          <w:sz w:val="24"/>
        </w:rPr>
        <w:t>2021</w:t>
      </w:r>
      <w:r>
        <w:rPr>
          <w:rFonts w:ascii="Arial"/>
          <w:color w:val="000000"/>
          <w:sz w:val="24"/>
        </w:rPr>
        <w:t xml:space="preserve">, however, </w:t>
      </w:r>
      <w:r>
        <w:rPr>
          <w:rFonts w:ascii="Arial"/>
          <w:color w:val="000000"/>
          <w:sz w:val="24"/>
        </w:rPr>
        <w:t>“</w:t>
      </w:r>
      <w:r>
        <w:rPr>
          <w:rFonts w:ascii="Arial"/>
          <w:color w:val="000000"/>
          <w:sz w:val="24"/>
        </w:rPr>
        <w:t xml:space="preserve">did comply strictly with the requirements </w:t>
      </w:r>
      <w:r>
        <w:rPr>
          <w:rFonts w:ascii="Arial"/>
          <w:color w:val="000000"/>
          <w:sz w:val="24"/>
        </w:rPr>
        <w:t>f</w:t>
      </w:r>
      <w:r>
        <w:rPr>
          <w:rFonts w:ascii="Arial"/>
          <w:color w:val="000000"/>
          <w:sz w:val="24"/>
        </w:rPr>
        <w:t>or a notice set by s 4.59 in terms and was published in compliance with cl 124 of the 2000 Regulation</w:t>
      </w:r>
      <w:r>
        <w:rPr>
          <w:rFonts w:ascii="Arial"/>
          <w:color w:val="000000"/>
          <w:sz w:val="24"/>
        </w:rPr>
        <w:t>”</w:t>
      </w:r>
      <w:r>
        <w:rPr>
          <w:rFonts w:ascii="Arial"/>
          <w:color w:val="000000"/>
          <w:sz w:val="24"/>
        </w:rPr>
        <w:t xml:space="preserve">: at [49]. </w:t>
      </w:r>
      <w:r>
        <w:rPr>
          <w:rFonts w:ascii="Arial"/>
          <w:color w:val="000000"/>
          <w:sz w:val="24"/>
        </w:rPr>
        <w:t>As a consequence</w:t>
      </w:r>
      <w:r>
        <w:rPr>
          <w:rFonts w:ascii="Arial"/>
          <w:color w:val="000000"/>
          <w:sz w:val="24"/>
        </w:rPr>
        <w:t xml:space="preserve">, the primary judge was </w:t>
      </w:r>
      <w:r>
        <w:rPr>
          <w:rFonts w:ascii="Arial"/>
          <w:color w:val="000000"/>
          <w:sz w:val="24"/>
        </w:rPr>
        <w:t>“</w:t>
      </w:r>
      <w:r>
        <w:rPr>
          <w:rFonts w:ascii="Arial"/>
          <w:color w:val="000000"/>
          <w:sz w:val="24"/>
        </w:rPr>
        <w:t>satisfied that the three</w:t>
      </w:r>
      <w:r>
        <w:rPr>
          <w:rFonts w:ascii="Arial"/>
          <w:color w:val="000000"/>
          <w:sz w:val="24"/>
        </w:rPr>
        <w:t>-</w:t>
      </w:r>
      <w:r>
        <w:rPr>
          <w:rFonts w:ascii="Arial"/>
          <w:color w:val="000000"/>
          <w:sz w:val="24"/>
        </w:rPr>
        <w:t>month time period specified by s 4.59 did not commence to run until 15 July 2021, thus rendering those proceedings commenced on 14 October 2021 as being within time</w:t>
      </w:r>
      <w:r>
        <w:rPr>
          <w:rFonts w:ascii="Arial"/>
          <w:color w:val="000000"/>
          <w:sz w:val="24"/>
        </w:rPr>
        <w:t>”</w:t>
      </w:r>
      <w:r>
        <w:rPr>
          <w:rFonts w:ascii="Arial"/>
          <w:color w:val="000000"/>
          <w:sz w:val="24"/>
        </w:rPr>
        <w:t>: at [50].</w:t>
      </w:r>
    </w:p>
    <w:p>
      <w:pPr>
        <w:pStyle w:val="CaselawNumbered10"/>
        <w:numPr>
          <w:ilvl w:val="0"/>
          <w:numId w:val="66"/>
        </w:numPr>
        <w:spacing w:before="150" w:after="0"/>
        <w:ind w:left="600" w:hanging="600"/>
      </w:pPr>
      <w:r>
        <w:rPr>
          <w:rFonts w:ascii="Arial"/>
          <w:color w:val="000000"/>
          <w:sz w:val="24"/>
        </w:rPr>
        <w:t xml:space="preserve">Helm contended that the primary judge erred in finding that the notifications published on 30 June and 1 July 2021 did not comply with s 4.59 of the EPA Act and cl 124 of the EPA Regulation. The notifications were of the same document, entitled </w:t>
      </w:r>
      <w:r>
        <w:rPr>
          <w:rFonts w:ascii="Arial"/>
          <w:color w:val="000000"/>
          <w:sz w:val="24"/>
        </w:rPr>
        <w:t>“</w:t>
      </w:r>
      <w:r>
        <w:rPr>
          <w:rFonts w:ascii="Arial"/>
          <w:color w:val="000000"/>
          <w:sz w:val="24"/>
        </w:rPr>
        <w:t>Determination and Statement of Reasons</w:t>
      </w:r>
      <w:r>
        <w:rPr>
          <w:rFonts w:ascii="Arial"/>
          <w:color w:val="000000"/>
          <w:sz w:val="24"/>
        </w:rPr>
        <w:t xml:space="preserve">” </w:t>
      </w:r>
      <w:r>
        <w:rPr>
          <w:rFonts w:ascii="Arial"/>
          <w:color w:val="000000"/>
          <w:sz w:val="24"/>
        </w:rPr>
        <w:t>of the Willoughby Local Planning Panel. The document recorded that the Panel h</w:t>
      </w:r>
      <w:r>
        <w:rPr>
          <w:rFonts w:ascii="Arial"/>
          <w:color w:val="000000"/>
          <w:sz w:val="24"/>
        </w:rPr>
        <w:t>e</w:t>
      </w:r>
      <w:r>
        <w:rPr>
          <w:rFonts w:ascii="Arial"/>
          <w:color w:val="000000"/>
          <w:sz w:val="24"/>
        </w:rPr>
        <w:t>ld a public meeting on 29 June 2021 by teleconference and dealt with Helm</w:t>
      </w:r>
      <w:r>
        <w:rPr>
          <w:rFonts w:ascii="Arial"/>
          <w:color w:val="000000"/>
          <w:sz w:val="24"/>
        </w:rPr>
        <w:t>’</w:t>
      </w:r>
      <w:r>
        <w:rPr>
          <w:rFonts w:ascii="Arial"/>
          <w:color w:val="000000"/>
          <w:sz w:val="24"/>
        </w:rPr>
        <w:t xml:space="preserve">s development application between 2.14pm and 2.59pm. </w:t>
      </w:r>
      <w:r>
        <w:rPr>
          <w:rFonts w:ascii="Arial"/>
          <w:color w:val="000000"/>
          <w:sz w:val="24"/>
        </w:rPr>
        <w:t>T</w:t>
      </w:r>
      <w:r>
        <w:rPr>
          <w:rFonts w:ascii="Arial"/>
          <w:color w:val="000000"/>
          <w:sz w:val="24"/>
        </w:rPr>
        <w:t xml:space="preserve">he document recorded: (a) as the </w:t>
      </w:r>
      <w:r>
        <w:rPr>
          <w:rFonts w:ascii="Arial"/>
          <w:color w:val="000000"/>
          <w:sz w:val="24"/>
        </w:rPr>
        <w:t>“</w:t>
      </w:r>
      <w:r>
        <w:rPr>
          <w:rFonts w:ascii="Arial"/>
          <w:color w:val="000000"/>
          <w:sz w:val="24"/>
        </w:rPr>
        <w:t>matter deter</w:t>
      </w:r>
      <w:r>
        <w:rPr>
          <w:rFonts w:ascii="Arial"/>
          <w:color w:val="000000"/>
          <w:sz w:val="24"/>
        </w:rPr>
        <w:t>mined</w:t>
      </w:r>
      <w:r>
        <w:rPr>
          <w:rFonts w:ascii="Arial"/>
          <w:color w:val="000000"/>
          <w:sz w:val="24"/>
        </w:rPr>
        <w:t>”</w:t>
      </w:r>
      <w:r>
        <w:rPr>
          <w:rFonts w:ascii="Arial"/>
          <w:color w:val="000000"/>
          <w:sz w:val="24"/>
        </w:rPr>
        <w:t>, the development for which consent was sought and</w:t>
      </w:r>
      <w:r>
        <w:rPr>
          <w:rFonts w:ascii="Arial"/>
          <w:color w:val="000000"/>
          <w:sz w:val="24"/>
        </w:rPr>
        <w:t xml:space="preserve"> </w:t>
      </w:r>
      <w:r>
        <w:rPr>
          <w:rFonts w:ascii="Arial"/>
          <w:color w:val="000000"/>
          <w:sz w:val="24"/>
        </w:rPr>
        <w:t>which</w:t>
      </w:r>
      <w:r>
        <w:rPr>
          <w:rFonts w:ascii="Arial"/>
          <w:color w:val="000000"/>
          <w:sz w:val="24"/>
        </w:rPr>
        <w:t xml:space="preserve"> </w:t>
      </w:r>
      <w:r>
        <w:rPr>
          <w:rFonts w:ascii="Arial"/>
          <w:color w:val="000000"/>
          <w:sz w:val="24"/>
        </w:rPr>
        <w:t xml:space="preserve">was to be carried out as </w:t>
      </w:r>
      <w:r>
        <w:rPr>
          <w:rFonts w:ascii="Arial"/>
          <w:color w:val="000000"/>
          <w:sz w:val="24"/>
        </w:rPr>
        <w:t>“</w:t>
      </w:r>
      <w:r>
        <w:rPr>
          <w:rFonts w:ascii="Arial"/>
          <w:color w:val="000000"/>
          <w:sz w:val="24"/>
        </w:rPr>
        <w:t xml:space="preserve">DA-2020/238 at 131 Sailors </w:t>
      </w:r>
      <w:r>
        <w:rPr>
          <w:rFonts w:ascii="Arial"/>
          <w:color w:val="000000"/>
          <w:sz w:val="24"/>
        </w:rPr>
        <w:t xml:space="preserve">Bay Road, Northbridge NSW 2063. Adaptive conversion of </w:t>
      </w:r>
      <w:r>
        <w:rPr>
          <w:rFonts w:ascii="Arial"/>
          <w:color w:val="000000"/>
          <w:sz w:val="24"/>
        </w:rPr>
        <w:t>t</w:t>
      </w:r>
      <w:r>
        <w:rPr>
          <w:rFonts w:ascii="Arial"/>
          <w:color w:val="000000"/>
          <w:sz w:val="24"/>
        </w:rPr>
        <w:t>he existing building into shop top housing including additional level</w:t>
      </w:r>
      <w:r>
        <w:rPr>
          <w:rFonts w:ascii="Arial"/>
          <w:color w:val="000000"/>
          <w:sz w:val="24"/>
        </w:rPr>
        <w:t>”</w:t>
      </w:r>
      <w:r>
        <w:rPr>
          <w:rFonts w:ascii="Arial"/>
          <w:color w:val="000000"/>
          <w:sz w:val="24"/>
        </w:rPr>
        <w:t xml:space="preserve">; </w:t>
      </w:r>
      <w:r>
        <w:rPr>
          <w:rFonts w:ascii="Arial"/>
          <w:color w:val="000000"/>
          <w:sz w:val="24"/>
        </w:rPr>
        <w:t xml:space="preserve">(b) </w:t>
      </w:r>
      <w:r>
        <w:rPr>
          <w:rFonts w:ascii="Arial"/>
          <w:color w:val="000000"/>
          <w:sz w:val="24"/>
        </w:rPr>
        <w:t xml:space="preserve">under </w:t>
      </w:r>
      <w:r>
        <w:rPr>
          <w:rFonts w:ascii="Arial"/>
          <w:color w:val="000000"/>
          <w:sz w:val="24"/>
        </w:rPr>
        <w:t>“</w:t>
      </w:r>
      <w:r>
        <w:rPr>
          <w:rFonts w:ascii="Arial"/>
          <w:color w:val="000000"/>
          <w:sz w:val="24"/>
        </w:rPr>
        <w:t>Panel consideration and decision</w:t>
      </w:r>
      <w:r>
        <w:rPr>
          <w:rFonts w:ascii="Arial"/>
          <w:color w:val="000000"/>
          <w:sz w:val="24"/>
        </w:rPr>
        <w:t>”</w:t>
      </w:r>
      <w:r>
        <w:rPr>
          <w:rFonts w:ascii="Arial"/>
          <w:color w:val="000000"/>
          <w:sz w:val="24"/>
        </w:rPr>
        <w:t>, the matters the Panel considered, the Panel</w:t>
      </w:r>
      <w:r>
        <w:rPr>
          <w:rFonts w:ascii="Arial"/>
          <w:color w:val="000000"/>
          <w:sz w:val="24"/>
        </w:rPr>
        <w:t>’</w:t>
      </w:r>
      <w:r>
        <w:rPr>
          <w:rFonts w:ascii="Arial"/>
          <w:color w:val="000000"/>
          <w:sz w:val="24"/>
        </w:rPr>
        <w:t>s satisfaction of the cl 4.6 request, and the Panel</w:t>
      </w:r>
      <w:r>
        <w:rPr>
          <w:rFonts w:ascii="Arial"/>
          <w:color w:val="000000"/>
          <w:sz w:val="24"/>
        </w:rPr>
        <w:t>’</w:t>
      </w:r>
      <w:r>
        <w:rPr>
          <w:rFonts w:ascii="Arial"/>
          <w:color w:val="000000"/>
          <w:sz w:val="24"/>
        </w:rPr>
        <w:t>s determination to approve the development application; (c) the Panel</w:t>
      </w:r>
      <w:r>
        <w:rPr>
          <w:rFonts w:ascii="Arial"/>
          <w:color w:val="000000"/>
          <w:sz w:val="24"/>
        </w:rPr>
        <w:t>’</w:t>
      </w:r>
      <w:r>
        <w:rPr>
          <w:rFonts w:ascii="Arial"/>
          <w:color w:val="000000"/>
          <w:sz w:val="24"/>
        </w:rPr>
        <w:t xml:space="preserve">s </w:t>
      </w:r>
      <w:r>
        <w:rPr>
          <w:rFonts w:ascii="Arial"/>
          <w:color w:val="000000"/>
          <w:sz w:val="24"/>
        </w:rPr>
        <w:t>“</w:t>
      </w:r>
      <w:r>
        <w:rPr>
          <w:rFonts w:ascii="Arial"/>
          <w:color w:val="000000"/>
          <w:sz w:val="24"/>
        </w:rPr>
        <w:t>reasons for the decision</w:t>
      </w:r>
      <w:r>
        <w:rPr>
          <w:rFonts w:ascii="Arial"/>
          <w:color w:val="000000"/>
          <w:sz w:val="24"/>
        </w:rPr>
        <w:t>”</w:t>
      </w:r>
      <w:r>
        <w:rPr>
          <w:rFonts w:ascii="Arial"/>
          <w:color w:val="000000"/>
          <w:sz w:val="24"/>
        </w:rPr>
        <w:t>; and (d) the conditions of consent.</w:t>
      </w:r>
    </w:p>
    <w:p>
      <w:pPr>
        <w:pStyle w:val="CaselawNumbered10"/>
        <w:numPr>
          <w:ilvl w:val="0"/>
          <w:numId w:val="66"/>
        </w:numPr>
        <w:spacing w:before="150" w:after="0"/>
        <w:ind w:left="600" w:hanging="600"/>
      </w:pPr>
      <w:r>
        <w:rPr>
          <w:rFonts w:ascii="Arial"/>
          <w:color w:val="000000"/>
          <w:sz w:val="24"/>
        </w:rPr>
        <w:t>This document was published on the Panel</w:t>
      </w:r>
      <w:r>
        <w:rPr>
          <w:rFonts w:ascii="Arial"/>
          <w:color w:val="000000"/>
          <w:sz w:val="24"/>
        </w:rPr>
        <w:t>’</w:t>
      </w:r>
      <w:r>
        <w:rPr>
          <w:rFonts w:ascii="Arial"/>
          <w:color w:val="000000"/>
          <w:sz w:val="24"/>
        </w:rPr>
        <w:t xml:space="preserve">s website on 30 June 2021 on a page entitled </w:t>
      </w:r>
      <w:r>
        <w:rPr>
          <w:rFonts w:ascii="Arial"/>
          <w:color w:val="000000"/>
          <w:sz w:val="24"/>
        </w:rPr>
        <w:t>“</w:t>
      </w:r>
      <w:r>
        <w:rPr>
          <w:rFonts w:ascii="Arial"/>
          <w:color w:val="000000"/>
          <w:sz w:val="24"/>
        </w:rPr>
        <w:t xml:space="preserve">WLPP meeting </w:t>
      </w:r>
      <w:r>
        <w:rPr>
          <w:rFonts w:ascii="Arial"/>
          <w:color w:val="000000"/>
          <w:sz w:val="24"/>
        </w:rPr>
        <w:t xml:space="preserve">– </w:t>
      </w:r>
      <w:r>
        <w:rPr>
          <w:rFonts w:ascii="Arial"/>
          <w:color w:val="000000"/>
          <w:sz w:val="24"/>
        </w:rPr>
        <w:t xml:space="preserve">29 June 2021 </w:t>
      </w:r>
      <w:r>
        <w:rPr>
          <w:rFonts w:ascii="Arial"/>
          <w:color w:val="000000"/>
          <w:sz w:val="24"/>
        </w:rPr>
        <w:t xml:space="preserve">– </w:t>
      </w:r>
      <w:r>
        <w:rPr>
          <w:rFonts w:ascii="Arial"/>
          <w:color w:val="000000"/>
          <w:sz w:val="24"/>
        </w:rPr>
        <w:t>Determination and Statements</w:t>
      </w:r>
      <w:r>
        <w:rPr>
          <w:rFonts w:ascii="Arial"/>
          <w:color w:val="000000"/>
          <w:sz w:val="24"/>
        </w:rPr>
        <w:t>”</w:t>
      </w:r>
      <w:r>
        <w:rPr>
          <w:rFonts w:ascii="Arial"/>
          <w:color w:val="000000"/>
          <w:sz w:val="24"/>
        </w:rPr>
        <w:t xml:space="preserve">. The </w:t>
      </w:r>
      <w:r>
        <w:rPr>
          <w:rFonts w:ascii="Arial"/>
          <w:color w:val="000000"/>
          <w:sz w:val="24"/>
        </w:rPr>
        <w:t>document</w:t>
      </w:r>
      <w:r>
        <w:rPr>
          <w:rFonts w:ascii="Arial"/>
          <w:color w:val="000000"/>
          <w:sz w:val="24"/>
        </w:rPr>
        <w:t xml:space="preserve"> </w:t>
      </w:r>
      <w:r>
        <w:rPr>
          <w:rFonts w:ascii="Arial"/>
          <w:color w:val="000000"/>
          <w:sz w:val="24"/>
        </w:rPr>
        <w:t>was next published on the Council</w:t>
      </w:r>
      <w:r>
        <w:rPr>
          <w:rFonts w:ascii="Arial"/>
          <w:color w:val="000000"/>
          <w:sz w:val="24"/>
        </w:rPr>
        <w:t>’</w:t>
      </w:r>
      <w:r>
        <w:rPr>
          <w:rFonts w:ascii="Arial"/>
          <w:color w:val="000000"/>
          <w:sz w:val="24"/>
        </w:rPr>
        <w:t xml:space="preserve">s </w:t>
      </w:r>
      <w:r>
        <w:rPr>
          <w:rFonts w:ascii="Arial"/>
          <w:color w:val="000000"/>
          <w:sz w:val="24"/>
        </w:rPr>
        <w:t>“</w:t>
      </w:r>
      <w:r>
        <w:rPr>
          <w:rFonts w:ascii="Arial"/>
          <w:color w:val="000000"/>
          <w:sz w:val="24"/>
        </w:rPr>
        <w:t>e</w:t>
      </w:r>
      <w:r>
        <w:rPr>
          <w:rFonts w:ascii="Arial"/>
          <w:color w:val="000000"/>
          <w:sz w:val="24"/>
        </w:rPr>
        <w:t>Planning</w:t>
      </w:r>
      <w:r>
        <w:rPr>
          <w:rFonts w:ascii="Arial"/>
          <w:color w:val="000000"/>
          <w:sz w:val="24"/>
        </w:rPr>
        <w:t xml:space="preserve"> </w:t>
      </w:r>
      <w:r>
        <w:rPr>
          <w:rFonts w:ascii="Arial"/>
          <w:color w:val="000000"/>
          <w:sz w:val="24"/>
        </w:rPr>
        <w:t>Portal</w:t>
      </w:r>
      <w:r>
        <w:rPr>
          <w:rFonts w:ascii="Arial"/>
          <w:color w:val="000000"/>
          <w:sz w:val="24"/>
        </w:rPr>
        <w:t xml:space="preserve">” </w:t>
      </w:r>
      <w:r>
        <w:rPr>
          <w:rFonts w:ascii="Arial"/>
          <w:color w:val="000000"/>
          <w:sz w:val="24"/>
        </w:rPr>
        <w:t xml:space="preserve">webpage on 1 July 2021 on a page entitled </w:t>
      </w:r>
      <w:r>
        <w:rPr>
          <w:rFonts w:ascii="Arial"/>
          <w:color w:val="000000"/>
          <w:sz w:val="24"/>
        </w:rPr>
        <w:t>“</w:t>
      </w:r>
      <w:r>
        <w:rPr>
          <w:rFonts w:ascii="Arial"/>
          <w:color w:val="000000"/>
          <w:sz w:val="24"/>
        </w:rPr>
        <w:t>DA Tracker</w:t>
      </w:r>
      <w:r>
        <w:rPr>
          <w:rFonts w:ascii="Arial"/>
          <w:color w:val="000000"/>
          <w:sz w:val="24"/>
        </w:rPr>
        <w:t>”</w:t>
      </w:r>
      <w:r>
        <w:rPr>
          <w:rFonts w:ascii="Arial"/>
          <w:color w:val="000000"/>
          <w:sz w:val="24"/>
        </w:rPr>
        <w:t>.</w:t>
      </w:r>
    </w:p>
    <w:p>
      <w:pPr>
        <w:pStyle w:val="CaselawNumbered10"/>
        <w:numPr>
          <w:ilvl w:val="0"/>
          <w:numId w:val="66"/>
        </w:numPr>
        <w:spacing w:before="150" w:after="0"/>
        <w:ind w:left="600" w:hanging="600"/>
      </w:pPr>
      <w:r>
        <w:rPr>
          <w:rFonts w:ascii="Arial"/>
          <w:color w:val="000000"/>
          <w:sz w:val="24"/>
        </w:rPr>
        <w:t>Helm argued that th</w:t>
      </w:r>
      <w:r>
        <w:rPr>
          <w:rFonts w:ascii="Arial"/>
          <w:color w:val="000000"/>
          <w:sz w:val="24"/>
        </w:rPr>
        <w:t>ose</w:t>
      </w:r>
      <w:r>
        <w:rPr>
          <w:rFonts w:ascii="Arial"/>
          <w:color w:val="000000"/>
          <w:sz w:val="24"/>
        </w:rPr>
        <w:t xml:space="preserve"> </w:t>
      </w:r>
      <w:r>
        <w:rPr>
          <w:rFonts w:ascii="Arial"/>
          <w:color w:val="000000"/>
          <w:sz w:val="24"/>
        </w:rPr>
        <w:t>publication</w:t>
      </w:r>
      <w:r>
        <w:rPr>
          <w:rFonts w:ascii="Arial"/>
          <w:color w:val="000000"/>
          <w:sz w:val="24"/>
        </w:rPr>
        <w:t>s</w:t>
      </w:r>
      <w:r>
        <w:rPr>
          <w:rFonts w:ascii="Arial"/>
          <w:color w:val="000000"/>
          <w:sz w:val="24"/>
        </w:rPr>
        <w:t xml:space="preserve"> </w:t>
      </w:r>
      <w:r>
        <w:rPr>
          <w:rFonts w:ascii="Arial"/>
          <w:color w:val="000000"/>
          <w:sz w:val="24"/>
        </w:rPr>
        <w:t>of this document satisfied the requirement</w:t>
      </w:r>
      <w:r>
        <w:rPr>
          <w:rFonts w:ascii="Arial"/>
          <w:color w:val="000000"/>
          <w:sz w:val="24"/>
        </w:rPr>
        <w:t>s</w:t>
      </w:r>
      <w:r>
        <w:rPr>
          <w:rFonts w:ascii="Arial"/>
          <w:color w:val="000000"/>
          <w:sz w:val="24"/>
        </w:rPr>
        <w:t xml:space="preserve"> </w:t>
      </w:r>
      <w:r>
        <w:rPr>
          <w:rFonts w:ascii="Arial"/>
          <w:color w:val="000000"/>
          <w:sz w:val="24"/>
        </w:rPr>
        <w:t>of</w:t>
      </w:r>
      <w:r>
        <w:rPr>
          <w:rFonts w:ascii="Arial"/>
          <w:color w:val="000000"/>
          <w:sz w:val="24"/>
        </w:rPr>
        <w:t xml:space="preserve"> </w:t>
      </w:r>
      <w:r>
        <w:rPr>
          <w:rFonts w:ascii="Arial"/>
          <w:color w:val="000000"/>
          <w:sz w:val="24"/>
        </w:rPr>
        <w:t xml:space="preserve">cl 124 of the EPA Regulation </w:t>
      </w:r>
      <w:r>
        <w:rPr>
          <w:rFonts w:ascii="Arial"/>
          <w:color w:val="000000"/>
          <w:sz w:val="24"/>
        </w:rPr>
        <w:t>for</w:t>
      </w:r>
      <w:r>
        <w:rPr>
          <w:rFonts w:ascii="Arial"/>
          <w:color w:val="000000"/>
          <w:sz w:val="24"/>
        </w:rPr>
        <w:t xml:space="preserve"> </w:t>
      </w:r>
      <w:r>
        <w:rPr>
          <w:rFonts w:ascii="Arial"/>
          <w:color w:val="000000"/>
          <w:sz w:val="24"/>
        </w:rPr>
        <w:t xml:space="preserve">giving notice in that the document was </w:t>
      </w:r>
      <w:r>
        <w:rPr>
          <w:rFonts w:ascii="Arial"/>
          <w:color w:val="000000"/>
          <w:sz w:val="24"/>
        </w:rPr>
        <w:t>“</w:t>
      </w:r>
      <w:r>
        <w:rPr>
          <w:rFonts w:ascii="Arial"/>
          <w:color w:val="000000"/>
          <w:sz w:val="24"/>
        </w:rPr>
        <w:t>published on the consent authority</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website</w:t>
      </w:r>
      <w:r>
        <w:rPr>
          <w:rFonts w:ascii="Arial"/>
          <w:color w:val="000000"/>
          <w:sz w:val="24"/>
        </w:rPr>
        <w:t xml:space="preserve">” </w:t>
      </w:r>
      <w:r>
        <w:rPr>
          <w:rFonts w:ascii="Arial"/>
          <w:color w:val="000000"/>
          <w:sz w:val="24"/>
        </w:rPr>
        <w:t xml:space="preserve">and did </w:t>
      </w:r>
      <w:r>
        <w:rPr>
          <w:rFonts w:ascii="Arial"/>
          <w:color w:val="000000"/>
          <w:sz w:val="24"/>
        </w:rPr>
        <w:t>“</w:t>
      </w:r>
      <w:r>
        <w:rPr>
          <w:rFonts w:ascii="Arial"/>
          <w:color w:val="000000"/>
          <w:sz w:val="24"/>
        </w:rPr>
        <w:t>describe the land and the development the subject of the development consent</w:t>
      </w:r>
      <w:r>
        <w:rPr>
          <w:rFonts w:ascii="Arial"/>
          <w:color w:val="000000"/>
          <w:sz w:val="24"/>
        </w:rPr>
        <w:t>”</w:t>
      </w:r>
      <w:r>
        <w:rPr>
          <w:rFonts w:ascii="Arial"/>
          <w:color w:val="000000"/>
          <w:sz w:val="24"/>
        </w:rPr>
        <w:t>. Helm argued that a notice does not need to state that it is a notice for the purposes of s 4.59 of the EPA Act.</w:t>
      </w:r>
    </w:p>
    <w:p>
      <w:pPr>
        <w:pStyle w:val="CaselawNumbered10"/>
        <w:numPr>
          <w:ilvl w:val="0"/>
          <w:numId w:val="66"/>
        </w:numPr>
        <w:spacing w:before="150" w:after="0"/>
        <w:ind w:left="600" w:hanging="600"/>
      </w:pPr>
      <w:r>
        <w:rPr>
          <w:rFonts w:ascii="Arial"/>
          <w:color w:val="000000"/>
          <w:sz w:val="24"/>
        </w:rPr>
        <w:t xml:space="preserve">I find that the notifications given on 30 June and 1 July 2021 were not notices for the purposes of s 4.59 of the EPA Act, as they were not given in accordance </w:t>
      </w:r>
      <w:r>
        <w:rPr>
          <w:rFonts w:ascii="Arial"/>
          <w:color w:val="000000"/>
          <w:sz w:val="24"/>
        </w:rPr>
        <w:t>with</w:t>
      </w:r>
      <w:r>
        <w:rPr>
          <w:rFonts w:ascii="Arial"/>
          <w:color w:val="000000"/>
          <w:sz w:val="24"/>
        </w:rPr>
        <w:t xml:space="preserve"> </w:t>
      </w:r>
      <w:r>
        <w:rPr>
          <w:rFonts w:ascii="Arial"/>
          <w:color w:val="000000"/>
          <w:sz w:val="24"/>
        </w:rPr>
        <w:t xml:space="preserve">the regulations. First, the notification given on 30 July 2021 was not published on </w:t>
      </w:r>
      <w:r>
        <w:rPr>
          <w:rFonts w:ascii="Arial"/>
          <w:color w:val="000000"/>
          <w:sz w:val="24"/>
        </w:rPr>
        <w:t>“</w:t>
      </w:r>
      <w:r>
        <w:rPr>
          <w:rFonts w:ascii="Arial"/>
          <w:color w:val="000000"/>
          <w:sz w:val="24"/>
        </w:rPr>
        <w:t>the consent authority</w:t>
      </w:r>
      <w:r>
        <w:rPr>
          <w:rFonts w:ascii="Arial"/>
          <w:color w:val="000000"/>
          <w:sz w:val="24"/>
        </w:rPr>
        <w:t>’</w:t>
      </w:r>
      <w:r>
        <w:rPr>
          <w:rFonts w:ascii="Arial"/>
          <w:color w:val="000000"/>
          <w:sz w:val="24"/>
        </w:rPr>
        <w:t xml:space="preserve">s </w:t>
      </w:r>
      <w:r>
        <w:rPr>
          <w:rFonts w:ascii="Arial"/>
          <w:color w:val="000000"/>
          <w:sz w:val="24"/>
        </w:rPr>
        <w:t>website</w:t>
      </w:r>
      <w:r>
        <w:rPr>
          <w:rFonts w:ascii="Arial"/>
          <w:color w:val="000000"/>
          <w:sz w:val="24"/>
        </w:rPr>
        <w:t>”</w:t>
      </w:r>
      <w:r>
        <w:rPr>
          <w:rFonts w:ascii="Arial"/>
          <w:color w:val="000000"/>
          <w:sz w:val="24"/>
        </w:rPr>
        <w:t>, as required by cl 124 of the EPA Regulation. The notification was on the Panel</w:t>
      </w:r>
      <w:r>
        <w:rPr>
          <w:rFonts w:ascii="Arial"/>
          <w:color w:val="000000"/>
          <w:sz w:val="24"/>
        </w:rPr>
        <w:t>’</w:t>
      </w:r>
      <w:r>
        <w:rPr>
          <w:rFonts w:ascii="Arial"/>
          <w:color w:val="000000"/>
          <w:sz w:val="24"/>
        </w:rPr>
        <w:t>s website, not on the Council</w:t>
      </w:r>
      <w:r>
        <w:rPr>
          <w:rFonts w:ascii="Arial"/>
          <w:color w:val="000000"/>
          <w:sz w:val="24"/>
        </w:rPr>
        <w:t>’</w:t>
      </w:r>
      <w:r>
        <w:rPr>
          <w:rFonts w:ascii="Arial"/>
          <w:color w:val="000000"/>
          <w:sz w:val="24"/>
        </w:rPr>
        <w:t>s website. The Council is the consent authority, notwithstanding that the Panel, by a Ministerial order, determined the development application</w:t>
      </w:r>
      <w:r>
        <w:rPr>
          <w:rFonts w:ascii="Arial"/>
          <w:color w:val="000000"/>
          <w:sz w:val="24"/>
        </w:rPr>
        <w:t xml:space="preserve"> </w:t>
      </w:r>
      <w:r>
        <w:rPr>
          <w:rFonts w:ascii="Arial"/>
          <w:color w:val="000000"/>
          <w:sz w:val="24"/>
        </w:rPr>
        <w:t>on behalf of the Council</w:t>
      </w:r>
      <w:r>
        <w:rPr>
          <w:rFonts w:ascii="Arial"/>
          <w:color w:val="000000"/>
          <w:sz w:val="24"/>
        </w:rPr>
        <w:t>.</w:t>
      </w:r>
    </w:p>
    <w:p>
      <w:pPr>
        <w:pStyle w:val="CaselawNumbered10"/>
        <w:numPr>
          <w:ilvl w:val="0"/>
          <w:numId w:val="66"/>
        </w:numPr>
        <w:spacing w:before="150" w:after="0"/>
        <w:ind w:left="600" w:hanging="600"/>
      </w:pPr>
      <w:r>
        <w:rPr>
          <w:rFonts w:ascii="Arial"/>
          <w:color w:val="000000"/>
          <w:sz w:val="24"/>
        </w:rPr>
        <w:t xml:space="preserve">Second, </w:t>
      </w:r>
      <w:r>
        <w:rPr>
          <w:rFonts w:ascii="Arial"/>
          <w:color w:val="000000"/>
          <w:sz w:val="24"/>
        </w:rPr>
        <w:t>neither notification stated it was a notice</w:t>
      </w:r>
      <w:r>
        <w:rPr>
          <w:rFonts w:ascii="Arial"/>
          <w:color w:val="000000"/>
          <w:sz w:val="24"/>
        </w:rPr>
        <w:t xml:space="preserve"> </w:t>
      </w:r>
      <w:r>
        <w:rPr>
          <w:rFonts w:ascii="Arial"/>
          <w:color w:val="000000"/>
          <w:sz w:val="24"/>
        </w:rPr>
        <w:t xml:space="preserve">for the purposes of s 4.59 of the EPA Act. Neither </w:t>
      </w:r>
      <w:r>
        <w:rPr>
          <w:rFonts w:ascii="Arial"/>
          <w:color w:val="000000"/>
          <w:sz w:val="24"/>
        </w:rPr>
        <w:t xml:space="preserve">the </w:t>
      </w:r>
      <w:r>
        <w:rPr>
          <w:rFonts w:ascii="Arial"/>
          <w:color w:val="000000"/>
          <w:sz w:val="24"/>
        </w:rPr>
        <w:t xml:space="preserve">title nor the text of </w:t>
      </w:r>
      <w:r>
        <w:rPr>
          <w:rFonts w:ascii="Arial"/>
          <w:color w:val="000000"/>
          <w:sz w:val="24"/>
        </w:rPr>
        <w:t>each</w:t>
      </w:r>
      <w:r>
        <w:rPr>
          <w:rFonts w:ascii="Arial"/>
          <w:color w:val="000000"/>
          <w:sz w:val="24"/>
        </w:rPr>
        <w:t xml:space="preserve"> </w:t>
      </w:r>
      <w:r>
        <w:rPr>
          <w:rFonts w:ascii="Arial"/>
          <w:color w:val="000000"/>
          <w:sz w:val="24"/>
        </w:rPr>
        <w:t>document published on the Pane</w:t>
      </w:r>
      <w:r>
        <w:rPr>
          <w:rFonts w:ascii="Arial"/>
          <w:color w:val="000000"/>
          <w:sz w:val="24"/>
        </w:rPr>
        <w:t>l</w:t>
      </w:r>
      <w:r>
        <w:rPr>
          <w:rFonts w:ascii="Arial"/>
          <w:color w:val="000000"/>
          <w:sz w:val="24"/>
        </w:rPr>
        <w:t>’</w:t>
      </w:r>
      <w:r>
        <w:rPr>
          <w:rFonts w:ascii="Arial"/>
          <w:color w:val="000000"/>
          <w:sz w:val="24"/>
        </w:rPr>
        <w:t>s and the Council</w:t>
      </w:r>
      <w:r>
        <w:rPr>
          <w:rFonts w:ascii="Arial"/>
          <w:color w:val="000000"/>
          <w:sz w:val="24"/>
        </w:rPr>
        <w:t>’</w:t>
      </w:r>
      <w:r>
        <w:rPr>
          <w:rFonts w:ascii="Arial"/>
          <w:color w:val="000000"/>
          <w:sz w:val="24"/>
        </w:rPr>
        <w:t xml:space="preserve">s websites informed the reader that it was a public notice of the granting of consent for the purposes of s 4.59 of the EPA </w:t>
      </w:r>
      <w:r>
        <w:rPr>
          <w:rFonts w:ascii="Arial"/>
          <w:color w:val="000000"/>
          <w:sz w:val="24"/>
        </w:rPr>
        <w:t xml:space="preserve">Act </w:t>
      </w:r>
      <w:r>
        <w:rPr>
          <w:rFonts w:ascii="Arial"/>
          <w:color w:val="000000"/>
          <w:sz w:val="24"/>
        </w:rPr>
        <w:t xml:space="preserve">so as </w:t>
      </w:r>
      <w:r>
        <w:rPr>
          <w:rFonts w:ascii="Arial"/>
          <w:color w:val="000000"/>
          <w:sz w:val="24"/>
        </w:rPr>
        <w:t xml:space="preserve">to </w:t>
      </w:r>
      <w:r>
        <w:rPr>
          <w:rFonts w:ascii="Arial"/>
          <w:color w:val="000000"/>
          <w:sz w:val="24"/>
        </w:rPr>
        <w:t xml:space="preserve">start </w:t>
      </w:r>
      <w:r>
        <w:rPr>
          <w:rFonts w:ascii="Arial"/>
          <w:color w:val="000000"/>
          <w:sz w:val="24"/>
        </w:rPr>
        <w:t xml:space="preserve">the </w:t>
      </w:r>
      <w:r>
        <w:rPr>
          <w:rFonts w:ascii="Arial"/>
          <w:color w:val="000000"/>
          <w:sz w:val="24"/>
        </w:rPr>
        <w:t>running</w:t>
      </w:r>
      <w:r>
        <w:rPr>
          <w:rFonts w:ascii="Arial"/>
          <w:color w:val="000000"/>
          <w:sz w:val="24"/>
        </w:rPr>
        <w:t xml:space="preserve"> </w:t>
      </w:r>
      <w:r>
        <w:rPr>
          <w:rFonts w:ascii="Arial"/>
          <w:color w:val="000000"/>
          <w:sz w:val="24"/>
        </w:rPr>
        <w:t>of</w:t>
      </w:r>
      <w:r>
        <w:rPr>
          <w:rFonts w:ascii="Arial"/>
          <w:color w:val="000000"/>
          <w:sz w:val="24"/>
        </w:rPr>
        <w:t xml:space="preserve"> </w:t>
      </w:r>
      <w:r>
        <w:rPr>
          <w:rFonts w:ascii="Arial"/>
          <w:color w:val="000000"/>
          <w:sz w:val="24"/>
        </w:rPr>
        <w:t xml:space="preserve">the </w:t>
      </w:r>
      <w:r>
        <w:rPr>
          <w:rFonts w:ascii="Arial"/>
          <w:color w:val="000000"/>
          <w:sz w:val="24"/>
        </w:rPr>
        <w:t>three</w:t>
      </w:r>
      <w:r>
        <w:rPr>
          <w:rFonts w:ascii="Arial"/>
          <w:color w:val="000000"/>
          <w:sz w:val="24"/>
        </w:rPr>
        <w:t xml:space="preserve"> </w:t>
      </w:r>
      <w:r>
        <w:rPr>
          <w:rFonts w:ascii="Arial"/>
          <w:color w:val="000000"/>
          <w:sz w:val="24"/>
        </w:rPr>
        <w:t>month</w:t>
      </w:r>
      <w:r>
        <w:rPr>
          <w:rFonts w:ascii="Arial"/>
          <w:color w:val="000000"/>
          <w:sz w:val="24"/>
        </w:rPr>
        <w:t xml:space="preserve"> </w:t>
      </w:r>
      <w:r>
        <w:rPr>
          <w:rFonts w:ascii="Arial"/>
          <w:color w:val="000000"/>
          <w:sz w:val="24"/>
        </w:rPr>
        <w:t xml:space="preserve">limitation period for commencing legal proceedings questioning the validity of the consent. Equally, the titles of the </w:t>
      </w:r>
      <w:r>
        <w:rPr>
          <w:rFonts w:ascii="Arial"/>
          <w:color w:val="000000"/>
          <w:sz w:val="24"/>
        </w:rPr>
        <w:t>webpages</w:t>
      </w:r>
      <w:r>
        <w:rPr>
          <w:rFonts w:ascii="Arial"/>
          <w:color w:val="000000"/>
          <w:sz w:val="24"/>
        </w:rPr>
        <w:t xml:space="preserve"> </w:t>
      </w:r>
      <w:r>
        <w:rPr>
          <w:rFonts w:ascii="Arial"/>
          <w:color w:val="000000"/>
          <w:sz w:val="24"/>
        </w:rPr>
        <w:t>of the Panel</w:t>
      </w:r>
      <w:r>
        <w:rPr>
          <w:rFonts w:ascii="Arial"/>
          <w:color w:val="000000"/>
          <w:sz w:val="24"/>
        </w:rPr>
        <w:t>’</w:t>
      </w:r>
      <w:r>
        <w:rPr>
          <w:rFonts w:ascii="Arial"/>
          <w:color w:val="000000"/>
          <w:sz w:val="24"/>
        </w:rPr>
        <w:t>s and the Council</w:t>
      </w:r>
      <w:r>
        <w:rPr>
          <w:rFonts w:ascii="Arial"/>
          <w:color w:val="000000"/>
          <w:sz w:val="24"/>
        </w:rPr>
        <w:t>’</w:t>
      </w:r>
      <w:r>
        <w:rPr>
          <w:rFonts w:ascii="Arial"/>
          <w:color w:val="000000"/>
          <w:sz w:val="24"/>
        </w:rPr>
        <w:t>s websites</w:t>
      </w:r>
      <w:r>
        <w:rPr>
          <w:rFonts w:ascii="Arial"/>
          <w:color w:val="000000"/>
          <w:sz w:val="24"/>
        </w:rPr>
        <w:t xml:space="preserve"> </w:t>
      </w:r>
      <w:r>
        <w:rPr>
          <w:rFonts w:ascii="Arial"/>
          <w:color w:val="000000"/>
          <w:sz w:val="24"/>
        </w:rPr>
        <w:t>on which the document was published did not inform the reader</w:t>
      </w:r>
      <w:r>
        <w:rPr>
          <w:rFonts w:ascii="Arial"/>
          <w:color w:val="000000"/>
          <w:sz w:val="24"/>
        </w:rPr>
        <w:t xml:space="preserve"> </w:t>
      </w:r>
      <w:r>
        <w:rPr>
          <w:rFonts w:ascii="Arial"/>
          <w:color w:val="000000"/>
          <w:sz w:val="24"/>
        </w:rPr>
        <w:t>specifically or in another way</w:t>
      </w:r>
      <w:r>
        <w:rPr>
          <w:rFonts w:ascii="Arial"/>
          <w:color w:val="000000"/>
          <w:sz w:val="24"/>
        </w:rPr>
        <w:t xml:space="preserve"> </w:t>
      </w:r>
      <w:r>
        <w:rPr>
          <w:rFonts w:ascii="Arial"/>
          <w:color w:val="000000"/>
          <w:sz w:val="24"/>
        </w:rPr>
        <w:t xml:space="preserve">that </w:t>
      </w:r>
      <w:r>
        <w:rPr>
          <w:rFonts w:ascii="Arial"/>
          <w:color w:val="000000"/>
          <w:sz w:val="24"/>
        </w:rPr>
        <w:t>it</w:t>
      </w:r>
      <w:r>
        <w:rPr>
          <w:rFonts w:ascii="Arial"/>
          <w:color w:val="000000"/>
          <w:sz w:val="24"/>
        </w:rPr>
        <w:t xml:space="preserve"> </w:t>
      </w:r>
      <w:r>
        <w:rPr>
          <w:rFonts w:ascii="Arial"/>
          <w:color w:val="000000"/>
          <w:sz w:val="24"/>
        </w:rPr>
        <w:t>was such a notice for the purposes of s 4.59 of the EPA Act. The giving of public notice under s 4.59 of the EPA Act, in accordance with cl 124 of the EPA Regulation, has the serious legal consequence of precluding the commencement of legal proceedings questioning the validity of a consent</w:t>
      </w:r>
      <w:r>
        <w:rPr>
          <w:rFonts w:ascii="Arial"/>
          <w:color w:val="000000"/>
          <w:sz w:val="24"/>
        </w:rPr>
        <w:t xml:space="preserve"> </w:t>
      </w:r>
      <w:r>
        <w:rPr>
          <w:rFonts w:ascii="Arial"/>
          <w:color w:val="000000"/>
          <w:sz w:val="24"/>
        </w:rPr>
        <w:t xml:space="preserve">after the expiry </w:t>
      </w:r>
      <w:r>
        <w:rPr>
          <w:rFonts w:ascii="Arial"/>
          <w:color w:val="000000"/>
          <w:sz w:val="24"/>
        </w:rPr>
        <w:t>o</w:t>
      </w:r>
      <w:r>
        <w:rPr>
          <w:rFonts w:ascii="Arial"/>
          <w:color w:val="000000"/>
          <w:sz w:val="24"/>
        </w:rPr>
        <w:t xml:space="preserve">f </w:t>
      </w:r>
      <w:r>
        <w:rPr>
          <w:rFonts w:ascii="Arial"/>
          <w:color w:val="000000"/>
          <w:sz w:val="24"/>
        </w:rPr>
        <w:t>three</w:t>
      </w:r>
      <w:r>
        <w:rPr>
          <w:rFonts w:ascii="Arial"/>
          <w:color w:val="000000"/>
          <w:sz w:val="24"/>
        </w:rPr>
        <w:t xml:space="preserve"> </w:t>
      </w:r>
      <w:r>
        <w:rPr>
          <w:rFonts w:ascii="Arial"/>
          <w:color w:val="000000"/>
          <w:sz w:val="24"/>
        </w:rPr>
        <w:t>months from the date of that notice</w:t>
      </w:r>
      <w:r>
        <w:rPr>
          <w:rFonts w:ascii="Arial"/>
          <w:color w:val="000000"/>
          <w:sz w:val="24"/>
        </w:rPr>
        <w:t>. People need to be notified in clear terms</w:t>
      </w:r>
      <w:r>
        <w:rPr>
          <w:rFonts w:ascii="Arial"/>
          <w:color w:val="000000"/>
          <w:sz w:val="24"/>
        </w:rPr>
        <w:t xml:space="preserve"> </w:t>
      </w:r>
      <w:r>
        <w:rPr>
          <w:rFonts w:ascii="Arial"/>
          <w:color w:val="000000"/>
          <w:sz w:val="24"/>
        </w:rPr>
        <w:t>of that</w:t>
      </w:r>
      <w:r>
        <w:rPr>
          <w:rFonts w:ascii="Arial"/>
          <w:color w:val="000000"/>
          <w:sz w:val="24"/>
        </w:rPr>
        <w:t xml:space="preserve"> </w:t>
      </w:r>
      <w:r>
        <w:rPr>
          <w:rFonts w:ascii="Arial"/>
          <w:color w:val="000000"/>
          <w:sz w:val="24"/>
        </w:rPr>
        <w:t>serious legal consequence</w:t>
      </w:r>
      <w:r>
        <w:rPr>
          <w:rFonts w:ascii="Arial"/>
          <w:color w:val="000000"/>
          <w:sz w:val="24"/>
        </w:rPr>
        <w:t>.</w:t>
      </w:r>
      <w:r>
        <w:rPr>
          <w:rFonts w:ascii="Arial"/>
          <w:color w:val="000000"/>
          <w:sz w:val="24"/>
        </w:rPr>
        <w:t xml:space="preserve"> </w:t>
      </w:r>
      <w:r>
        <w:rPr>
          <w:rFonts w:ascii="Arial"/>
          <w:color w:val="000000"/>
          <w:sz w:val="24"/>
        </w:rPr>
        <w:t>The notification</w:t>
      </w:r>
      <w:r>
        <w:rPr>
          <w:rFonts w:ascii="Arial"/>
          <w:color w:val="000000"/>
          <w:sz w:val="24"/>
        </w:rPr>
        <w:t>s</w:t>
      </w:r>
      <w:r>
        <w:rPr>
          <w:rFonts w:ascii="Arial"/>
          <w:color w:val="000000"/>
          <w:sz w:val="24"/>
        </w:rPr>
        <w:t xml:space="preserve"> </w:t>
      </w:r>
      <w:r>
        <w:rPr>
          <w:rFonts w:ascii="Arial"/>
          <w:color w:val="000000"/>
          <w:sz w:val="24"/>
        </w:rPr>
        <w:t xml:space="preserve">published on 30 June and 1 July 2021 did not do so. </w:t>
      </w:r>
    </w:p>
    <w:p>
      <w:pPr>
        <w:pStyle w:val="CaselawNumbered10"/>
        <w:numPr>
          <w:ilvl w:val="0"/>
          <w:numId w:val="66"/>
        </w:numPr>
        <w:spacing w:before="150" w:after="0"/>
        <w:ind w:left="600" w:hanging="600"/>
      </w:pPr>
      <w:r>
        <w:rPr>
          <w:rFonts w:ascii="Arial"/>
          <w:color w:val="000000"/>
          <w:sz w:val="24"/>
        </w:rPr>
        <w:t>For these reasons, the primary judge did not err in finding that only the notice given on 15 July 2021 constituted the public notice for the purposes of s 4.59 of the EPA Act. Contention 1 is rejected.</w:t>
      </w:r>
    </w:p>
    <w:p>
      <w:pPr>
        <w:pStyle w:val="CaselawHeading2"/>
        <w:keepNext/>
        <w:spacing w:before="150" w:after="150" w:line="264"/>
        <w:ind w:left="0"/>
        <w:jc w:val="left"/>
      </w:pPr>
      <w:r>
        <w:rPr>
          <w:rFonts w:ascii="Arial"/>
        </w:rPr>
        <w:t>Conclusion and orders</w:t>
      </w:r>
    </w:p>
    <w:p>
      <w:pPr>
        <w:pStyle w:val="CaselawNumbered10"/>
        <w:numPr>
          <w:ilvl w:val="0"/>
          <w:numId w:val="67"/>
        </w:numPr>
        <w:spacing w:before="150" w:after="0"/>
        <w:ind w:left="600" w:hanging="600"/>
      </w:pPr>
      <w:r>
        <w:rPr>
          <w:rFonts w:ascii="Arial"/>
          <w:color w:val="000000"/>
          <w:sz w:val="24"/>
        </w:rPr>
        <w:t xml:space="preserve">Mr </w:t>
      </w:r>
      <w:r>
        <w:rPr>
          <w:rFonts w:ascii="Arial"/>
          <w:color w:val="000000"/>
          <w:sz w:val="24"/>
        </w:rPr>
        <w:t>Lahoud</w:t>
      </w:r>
      <w:r>
        <w:rPr>
          <w:rFonts w:ascii="Arial"/>
          <w:color w:val="000000"/>
          <w:sz w:val="24"/>
        </w:rPr>
        <w:t xml:space="preserve"> </w:t>
      </w:r>
      <w:r>
        <w:rPr>
          <w:rFonts w:ascii="Arial"/>
          <w:color w:val="000000"/>
          <w:sz w:val="24"/>
        </w:rPr>
        <w:t>has not established any of the grounds of appeal challenging the primary judge</w:t>
      </w:r>
      <w:r>
        <w:rPr>
          <w:rFonts w:ascii="Arial"/>
          <w:color w:val="000000"/>
          <w:sz w:val="24"/>
        </w:rPr>
        <w:t>’</w:t>
      </w:r>
      <w:r>
        <w:rPr>
          <w:rFonts w:ascii="Arial"/>
          <w:color w:val="000000"/>
          <w:sz w:val="24"/>
        </w:rPr>
        <w:t>s rejection of the grounds of judicial review of the Panel</w:t>
      </w:r>
      <w:r>
        <w:rPr>
          <w:rFonts w:ascii="Arial"/>
          <w:color w:val="000000"/>
          <w:sz w:val="24"/>
        </w:rPr>
        <w:t>’</w:t>
      </w:r>
      <w:r>
        <w:rPr>
          <w:rFonts w:ascii="Arial"/>
          <w:color w:val="000000"/>
          <w:sz w:val="24"/>
        </w:rPr>
        <w:t>s decision to grant development consent. Helm, however, has established the contentions challenging the primary judge</w:t>
      </w:r>
      <w:r>
        <w:rPr>
          <w:rFonts w:ascii="Arial"/>
          <w:color w:val="000000"/>
          <w:sz w:val="24"/>
        </w:rPr>
        <w:t>’</w:t>
      </w:r>
      <w:r>
        <w:rPr>
          <w:rFonts w:ascii="Arial"/>
          <w:color w:val="000000"/>
          <w:sz w:val="24"/>
        </w:rPr>
        <w:t>s upholding of two grounds of review of the Panel</w:t>
      </w:r>
      <w:r>
        <w:rPr>
          <w:rFonts w:ascii="Arial"/>
          <w:color w:val="000000"/>
          <w:sz w:val="24"/>
        </w:rPr>
        <w:t>’</w:t>
      </w:r>
      <w:r>
        <w:rPr>
          <w:rFonts w:ascii="Arial"/>
          <w:color w:val="000000"/>
          <w:sz w:val="24"/>
        </w:rPr>
        <w:t xml:space="preserve">s decision. These conclusions mean that Mr </w:t>
      </w:r>
      <w:r>
        <w:rPr>
          <w:rFonts w:ascii="Arial"/>
          <w:color w:val="000000"/>
          <w:sz w:val="24"/>
        </w:rPr>
        <w:t>Lahoud</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appeal should be dismissed and certain of Helm</w:t>
      </w:r>
      <w:r>
        <w:rPr>
          <w:rFonts w:ascii="Arial"/>
          <w:color w:val="000000"/>
          <w:sz w:val="24"/>
        </w:rPr>
        <w:t>’</w:t>
      </w:r>
      <w:r>
        <w:rPr>
          <w:rFonts w:ascii="Arial"/>
          <w:color w:val="000000"/>
          <w:sz w:val="24"/>
        </w:rPr>
        <w:t>s contentions upheld.</w:t>
      </w:r>
    </w:p>
    <w:p>
      <w:pPr>
        <w:pStyle w:val="CaselawNumbered10"/>
        <w:numPr>
          <w:ilvl w:val="0"/>
          <w:numId w:val="67"/>
        </w:numPr>
        <w:spacing w:before="150" w:after="0"/>
        <w:ind w:left="600" w:hanging="600"/>
      </w:pPr>
      <w:r>
        <w:rPr>
          <w:rFonts w:ascii="Arial"/>
          <w:color w:val="000000"/>
          <w:sz w:val="24"/>
        </w:rPr>
        <w:t>The primary judge</w:t>
      </w:r>
      <w:r>
        <w:rPr>
          <w:rFonts w:ascii="Arial"/>
          <w:color w:val="000000"/>
          <w:sz w:val="24"/>
        </w:rPr>
        <w:t>’</w:t>
      </w:r>
      <w:r>
        <w:rPr>
          <w:rFonts w:ascii="Arial"/>
          <w:color w:val="000000"/>
          <w:sz w:val="24"/>
        </w:rPr>
        <w:t xml:space="preserve">s decision to order Mr </w:t>
      </w:r>
      <w:r>
        <w:rPr>
          <w:rFonts w:ascii="Arial"/>
          <w:color w:val="000000"/>
          <w:sz w:val="24"/>
        </w:rPr>
        <w:t>Lahoud</w:t>
      </w:r>
      <w:r>
        <w:rPr>
          <w:rFonts w:ascii="Arial"/>
          <w:color w:val="000000"/>
          <w:sz w:val="24"/>
        </w:rPr>
        <w:t xml:space="preserve"> </w:t>
      </w:r>
      <w:r>
        <w:rPr>
          <w:rFonts w:ascii="Arial"/>
          <w:color w:val="000000"/>
          <w:sz w:val="24"/>
        </w:rPr>
        <w:t>to pay 80% of Helm</w:t>
      </w:r>
      <w:r>
        <w:rPr>
          <w:rFonts w:ascii="Arial"/>
          <w:color w:val="000000"/>
          <w:sz w:val="24"/>
        </w:rPr>
        <w:t>’</w:t>
      </w:r>
      <w:r>
        <w:rPr>
          <w:rFonts w:ascii="Arial"/>
          <w:color w:val="000000"/>
          <w:sz w:val="24"/>
        </w:rPr>
        <w:t>s costs in the court below was dependent on the primary judge</w:t>
      </w:r>
      <w:r>
        <w:rPr>
          <w:rFonts w:ascii="Arial"/>
          <w:color w:val="000000"/>
          <w:sz w:val="24"/>
        </w:rPr>
        <w:t>’</w:t>
      </w:r>
      <w:r>
        <w:rPr>
          <w:rFonts w:ascii="Arial"/>
          <w:color w:val="000000"/>
          <w:sz w:val="24"/>
        </w:rPr>
        <w:t xml:space="preserve">s decision that Mr </w:t>
      </w:r>
      <w:r>
        <w:rPr>
          <w:rFonts w:ascii="Arial"/>
          <w:color w:val="000000"/>
          <w:sz w:val="24"/>
        </w:rPr>
        <w:t>Lahoud</w:t>
      </w:r>
      <w:r>
        <w:rPr>
          <w:rFonts w:ascii="Arial"/>
          <w:color w:val="000000"/>
          <w:sz w:val="24"/>
        </w:rPr>
        <w:t xml:space="preserve"> </w:t>
      </w:r>
      <w:r>
        <w:rPr>
          <w:rFonts w:ascii="Arial"/>
          <w:color w:val="000000"/>
          <w:sz w:val="24"/>
        </w:rPr>
        <w:t xml:space="preserve">was partially successful in the court below. That costs order should be set aside and replaced with an order that Mr </w:t>
      </w:r>
      <w:r>
        <w:rPr>
          <w:rFonts w:ascii="Arial"/>
          <w:color w:val="000000"/>
          <w:sz w:val="24"/>
        </w:rPr>
        <w:t>Lahoud</w:t>
      </w:r>
      <w:r>
        <w:rPr>
          <w:rFonts w:ascii="Arial"/>
          <w:color w:val="000000"/>
          <w:sz w:val="24"/>
        </w:rPr>
        <w:t xml:space="preserve"> </w:t>
      </w:r>
      <w:r>
        <w:rPr>
          <w:rFonts w:ascii="Arial"/>
          <w:color w:val="000000"/>
          <w:sz w:val="24"/>
        </w:rPr>
        <w:t>pay Helm</w:t>
      </w:r>
      <w:r>
        <w:rPr>
          <w:rFonts w:ascii="Arial"/>
          <w:color w:val="000000"/>
          <w:sz w:val="24"/>
        </w:rPr>
        <w:t>’</w:t>
      </w:r>
      <w:r>
        <w:rPr>
          <w:rFonts w:ascii="Arial"/>
          <w:color w:val="000000"/>
          <w:sz w:val="24"/>
        </w:rPr>
        <w:t xml:space="preserve">s costs of the proceedings in the court below. Mr </w:t>
      </w:r>
      <w:r>
        <w:rPr>
          <w:rFonts w:ascii="Arial"/>
          <w:color w:val="000000"/>
          <w:sz w:val="24"/>
        </w:rPr>
        <w:t>Lahoud</w:t>
      </w:r>
      <w:r>
        <w:rPr>
          <w:rFonts w:ascii="Arial"/>
          <w:color w:val="000000"/>
          <w:sz w:val="24"/>
        </w:rPr>
        <w:t xml:space="preserve"> </w:t>
      </w:r>
      <w:r>
        <w:rPr>
          <w:rFonts w:ascii="Arial"/>
          <w:color w:val="000000"/>
          <w:sz w:val="24"/>
        </w:rPr>
        <w:t>should also pay Helm</w:t>
      </w:r>
      <w:r>
        <w:rPr>
          <w:rFonts w:ascii="Arial"/>
          <w:color w:val="000000"/>
          <w:sz w:val="24"/>
        </w:rPr>
        <w:t>’</w:t>
      </w:r>
      <w:r>
        <w:rPr>
          <w:rFonts w:ascii="Arial"/>
          <w:color w:val="000000"/>
          <w:sz w:val="24"/>
        </w:rPr>
        <w:t>s costs of the appeal in this court.</w:t>
      </w:r>
    </w:p>
    <w:p>
      <w:pPr>
        <w:pStyle w:val="CaselawNumbered10"/>
        <w:numPr>
          <w:ilvl w:val="0"/>
          <w:numId w:val="67"/>
        </w:numPr>
        <w:spacing w:before="150" w:after="0"/>
        <w:ind w:left="600" w:hanging="600"/>
      </w:pPr>
      <w:r>
        <w:rPr>
          <w:rFonts w:ascii="Arial"/>
          <w:color w:val="000000"/>
          <w:sz w:val="24"/>
        </w:rPr>
        <w:t>The orders I propose this court make are:</w:t>
      </w:r>
    </w:p>
    <w:p>
      <w:pPr>
        <w:pStyle w:val="CaselawNumbered1"/>
        <w:numPr>
          <w:ilvl w:val="0"/>
          <w:numId w:val="68"/>
        </w:numPr>
        <w:spacing w:before="150" w:after="0"/>
        <w:ind w:left="1350" w:hanging="750"/>
      </w:pPr>
      <w:r>
        <w:rPr>
          <w:rFonts w:ascii="Arial"/>
          <w:color w:val="000000"/>
          <w:sz w:val="24"/>
        </w:rPr>
        <w:t>T</w:t>
      </w:r>
      <w:r>
        <w:rPr>
          <w:rFonts w:ascii="Arial"/>
          <w:color w:val="000000"/>
          <w:sz w:val="24"/>
        </w:rPr>
        <w:t>he appeal is dismissed</w:t>
      </w:r>
      <w:r>
        <w:rPr>
          <w:rFonts w:ascii="Arial"/>
          <w:color w:val="000000"/>
          <w:sz w:val="24"/>
        </w:rPr>
        <w:t>.</w:t>
      </w:r>
    </w:p>
    <w:p>
      <w:pPr>
        <w:pStyle w:val="CaselawNumbered1"/>
        <w:numPr>
          <w:ilvl w:val="0"/>
          <w:numId w:val="68"/>
        </w:numPr>
        <w:spacing w:before="150" w:after="0"/>
        <w:ind w:left="1350" w:hanging="750"/>
      </w:pPr>
      <w:r>
        <w:rPr>
          <w:rFonts w:ascii="Arial"/>
          <w:color w:val="000000"/>
          <w:sz w:val="24"/>
        </w:rPr>
        <w:t>C</w:t>
      </w:r>
      <w:r>
        <w:rPr>
          <w:rFonts w:ascii="Arial"/>
          <w:color w:val="000000"/>
          <w:sz w:val="24"/>
        </w:rPr>
        <w:t>ontentions 2, 3 and 4 of the second respondent</w:t>
      </w:r>
      <w:r>
        <w:rPr>
          <w:rFonts w:ascii="Arial"/>
          <w:color w:val="000000"/>
          <w:sz w:val="24"/>
        </w:rPr>
        <w:t>’</w:t>
      </w:r>
      <w:r>
        <w:rPr>
          <w:rFonts w:ascii="Arial"/>
          <w:color w:val="000000"/>
          <w:sz w:val="24"/>
        </w:rPr>
        <w:t>s notice of contention are upheld</w:t>
      </w:r>
      <w:r>
        <w:rPr>
          <w:rFonts w:ascii="Arial"/>
          <w:color w:val="000000"/>
          <w:sz w:val="24"/>
        </w:rPr>
        <w:t>.</w:t>
      </w:r>
    </w:p>
    <w:p>
      <w:pPr>
        <w:pStyle w:val="CaselawNumbered1"/>
        <w:numPr>
          <w:ilvl w:val="0"/>
          <w:numId w:val="68"/>
        </w:numPr>
        <w:spacing w:before="150" w:after="0"/>
        <w:ind w:left="1350" w:hanging="750"/>
      </w:pPr>
      <w:r>
        <w:rPr>
          <w:rFonts w:ascii="Arial"/>
          <w:color w:val="000000"/>
          <w:sz w:val="24"/>
        </w:rPr>
        <w:t>O</w:t>
      </w:r>
      <w:r>
        <w:rPr>
          <w:rFonts w:ascii="Arial"/>
          <w:color w:val="000000"/>
          <w:sz w:val="24"/>
        </w:rPr>
        <w:t>rder 3 of the orders of Moore J made on 2 November 2023 is set aside</w:t>
      </w:r>
      <w:r>
        <w:rPr>
          <w:rFonts w:ascii="Arial"/>
          <w:color w:val="000000"/>
          <w:sz w:val="24"/>
        </w:rPr>
        <w:t>.</w:t>
      </w:r>
    </w:p>
    <w:p>
      <w:pPr>
        <w:pStyle w:val="CaselawNumbered1"/>
        <w:numPr>
          <w:ilvl w:val="0"/>
          <w:numId w:val="68"/>
        </w:numPr>
        <w:spacing w:before="150" w:after="0"/>
        <w:ind w:left="1350" w:hanging="750"/>
      </w:pPr>
      <w:r>
        <w:rPr>
          <w:rFonts w:ascii="Arial"/>
          <w:color w:val="000000"/>
          <w:sz w:val="24"/>
        </w:rPr>
        <w:t>I</w:t>
      </w:r>
      <w:r>
        <w:rPr>
          <w:rFonts w:ascii="Arial"/>
          <w:color w:val="000000"/>
          <w:sz w:val="24"/>
        </w:rPr>
        <w:t xml:space="preserve">n lieu of order 3 of Moore J, the </w:t>
      </w:r>
      <w:r>
        <w:rPr>
          <w:rFonts w:ascii="Arial"/>
          <w:color w:val="000000"/>
          <w:sz w:val="24"/>
        </w:rPr>
        <w:t xml:space="preserve">appellant as </w:t>
      </w:r>
      <w:r>
        <w:rPr>
          <w:rFonts w:ascii="Arial"/>
          <w:color w:val="000000"/>
          <w:sz w:val="24"/>
        </w:rPr>
        <w:t>applicant</w:t>
      </w:r>
      <w:r>
        <w:rPr>
          <w:rFonts w:ascii="Arial"/>
          <w:color w:val="000000"/>
          <w:sz w:val="24"/>
        </w:rPr>
        <w:t xml:space="preserve"> </w:t>
      </w:r>
      <w:r>
        <w:rPr>
          <w:rFonts w:ascii="Arial"/>
          <w:color w:val="000000"/>
          <w:sz w:val="24"/>
        </w:rPr>
        <w:t xml:space="preserve">is </w:t>
      </w:r>
      <w:r>
        <w:rPr>
          <w:rFonts w:ascii="Arial"/>
          <w:color w:val="000000"/>
          <w:sz w:val="24"/>
        </w:rPr>
        <w:t xml:space="preserve">to pay </w:t>
      </w:r>
      <w:r>
        <w:rPr>
          <w:rFonts w:ascii="Arial"/>
          <w:color w:val="000000"/>
          <w:sz w:val="24"/>
        </w:rPr>
        <w:t>the second respondent</w:t>
      </w:r>
      <w:r>
        <w:rPr>
          <w:rFonts w:ascii="Arial"/>
          <w:color w:val="000000"/>
          <w:sz w:val="24"/>
        </w:rPr>
        <w:t>’</w:t>
      </w:r>
      <w:r>
        <w:rPr>
          <w:rFonts w:ascii="Arial"/>
          <w:color w:val="000000"/>
          <w:sz w:val="24"/>
        </w:rPr>
        <w:t xml:space="preserve">s costs of the proceedings </w:t>
      </w:r>
      <w:r>
        <w:rPr>
          <w:rFonts w:ascii="Arial"/>
          <w:color w:val="000000"/>
          <w:sz w:val="24"/>
        </w:rPr>
        <w:t>i</w:t>
      </w:r>
      <w:r>
        <w:rPr>
          <w:rFonts w:ascii="Arial"/>
          <w:color w:val="000000"/>
          <w:sz w:val="24"/>
        </w:rPr>
        <w:t>n the Land and</w:t>
      </w:r>
      <w:r>
        <w:rPr>
          <w:rFonts w:ascii="Arial"/>
          <w:color w:val="000000"/>
          <w:sz w:val="24"/>
        </w:rPr>
        <w:t xml:space="preserve"> </w:t>
      </w:r>
      <w:r>
        <w:rPr>
          <w:rFonts w:ascii="Arial"/>
          <w:color w:val="000000"/>
          <w:sz w:val="24"/>
        </w:rPr>
        <w:t>Environment Court.</w:t>
      </w:r>
    </w:p>
    <w:p>
      <w:pPr>
        <w:pStyle w:val="CaselawNumbered1"/>
        <w:numPr>
          <w:ilvl w:val="0"/>
          <w:numId w:val="68"/>
        </w:numPr>
        <w:spacing w:before="150" w:after="0"/>
        <w:ind w:left="1350" w:hanging="750"/>
      </w:pPr>
      <w:r>
        <w:rPr>
          <w:rFonts w:ascii="Arial"/>
          <w:color w:val="000000"/>
          <w:sz w:val="24"/>
        </w:rPr>
        <w:t>T</w:t>
      </w:r>
      <w:r>
        <w:rPr>
          <w:rFonts w:ascii="Arial"/>
          <w:color w:val="000000"/>
          <w:sz w:val="24"/>
        </w:rPr>
        <w:t>he appellant is to pay the second respondent</w:t>
      </w:r>
      <w:r>
        <w:rPr>
          <w:rFonts w:ascii="Arial"/>
          <w:color w:val="000000"/>
          <w:sz w:val="24"/>
        </w:rPr>
        <w:t>’</w:t>
      </w:r>
      <w:r>
        <w:rPr>
          <w:rFonts w:ascii="Arial"/>
          <w:color w:val="000000"/>
          <w:sz w:val="24"/>
        </w:rPr>
        <w:t>s costs of the proceedings in this court.</w:t>
      </w:r>
    </w:p>
    <w:p>
      <w:pPr>
        <w:pStyle w:val="CaselawNormal"/>
        <w:spacing w:before="150" w:after="150"/>
        <w:ind w:left="600"/>
        <w:jc w:val="left"/>
      </w:pPr>
      <w:r>
        <w:rPr>
          <w:rFonts w:ascii="Arial"/>
          <w:color w:val="000000"/>
          <w:sz w:val="24"/>
        </w:rPr>
        <w:t>**********</w:t>
      </w:r>
    </w:p>
    <w:p w:rsidR="00F65F85" w:rsidP="00F65F85" w:rsidRDefault="00F65F85">
      <w:pPr>
        <w:shd w:val="clear" w:color="auto" w:fill="FFFFFF"/>
        <w:spacing w:after="0" w:line="240" w:lineRule="auto"/>
        <w:ind w:left="119"/>
        <w:rPr>
          <w:rFonts w:cs="Arial"/>
          <w:color w:val="737373"/>
          <w:sz w:val="20"/>
          <w:szCs w:val="20"/>
          <w:lang w:eastAsia="en-US"/>
        </w:rPr>
      </w:pPr>
    </w:p>
    <w:p w:rsidR="00121EC3" w:rsidP="00F65F85" w:rsidRDefault="00121EC3">
      <w:pPr>
        <w:shd w:val="clear" w:color="auto" w:fill="FFFFFF"/>
        <w:spacing w:after="0" w:line="240" w:lineRule="auto"/>
        <w:ind w:left="119"/>
        <w:rPr>
          <w:rFonts w:cs="Arial"/>
          <w:color w:val="737373"/>
          <w:sz w:val="20"/>
          <w:szCs w:val="20"/>
          <w:lang w:eastAsia="en-US"/>
        </w:rPr>
      </w:pPr>
      <w:bookmarkStart w:name="_GoBack" w:id="0"/>
      <w:bookmarkEnd w:id="0"/>
    </w:p>
    <w:p w:rsidRPr="00820AFE" w:rsidR="004C5062" w:rsidP="00121EC3" w:rsidRDefault="00121EC3">
      <w:pPr>
        <w:shd w:val="clear" w:color="auto" w:fill="FFFFFF"/>
        <w:spacing w:after="0" w:line="240" w:lineRule="auto"/>
        <w:ind w:left="119"/>
        <w:rPr>
          <w:rFonts w:cs="Arial"/>
          <w:color w:val="000000"/>
          <w:lang w:eastAsia="en-US"/>
        </w:rPr>
      </w:pPr>
      <w:r w:rsidRPr="00575FAB">
        <w:rPr>
          <w:rFonts w:cs="Arial"/>
          <w:color w:val="737373"/>
          <w:sz w:val="20"/>
          <w:szCs w:val="20"/>
          <w:lang w:eastAsia="en-US"/>
        </w:rPr>
        <w:t>DISCLAIMER - Every effort has been made to comply with suppression orders or statutory provisions prohibiting publication that may apply to this judgment or decision. The onus remains on any person using material in the judgment or decision to ensure that the intended use of that material does not breach any such order or provision. Further e</w:t>
      </w:r>
      <w:r>
        <w:rPr>
          <w:rFonts w:cs="Arial"/>
          <w:color w:val="737373"/>
          <w:sz w:val="20"/>
          <w:szCs w:val="20"/>
          <w:lang w:eastAsia="en-US"/>
        </w:rPr>
        <w:t xml:space="preserve">nquiries may be directed to the </w:t>
      </w:r>
      <w:r w:rsidRPr="00575FAB">
        <w:rPr>
          <w:rFonts w:cs="Arial"/>
          <w:color w:val="737373"/>
          <w:sz w:val="20"/>
          <w:szCs w:val="20"/>
          <w:lang w:eastAsia="en-US"/>
        </w:rPr>
        <w:t>Registry of the Court or Tribunal in which it was generated.</w:t>
      </w:r>
    </w:p>
    <w:sectPr w:rsidRPr="00820AFE" w:rsidR="004C506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2F5B" w:rsidRDefault="00882F5B" w:rsidP="0049645A">
      <w:pPr>
        <w:spacing w:after="0" w:line="240" w:lineRule="auto"/>
      </w:pPr>
      <w:r>
        <w:separator/>
      </w:r>
    </w:p>
  </w:endnote>
  <w:endnote w:type="continuationSeparator" w:id="0">
    <w:p w:rsidR="00882F5B" w:rsidRDefault="00882F5B" w:rsidP="004964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0000012" w:usb3="00000000" w:csb0="0002009F" w:csb1="00000000"/>
  </w:font>
  <w:font w:name="Arial(W1)">
    <w:panose1 w:val="00000000000000000000"/>
    <w:charset w:val="00"/>
    <w:family w:val="swiss"/>
    <w:notTrueType/>
    <w:pitch w:val="variable"/>
    <w:sig w:usb0="00000003" w:usb1="00000000" w:usb2="00000000" w:usb3="00000000" w:csb0="00000001" w:csb1="00000000"/>
  </w:font>
  <w:font w:name="Arial (W1)">
    <w:altName w:val="Arial"/>
    <w:charset w:val="00"/>
    <w:family w:val="swiss"/>
    <w:pitch w:val="variable"/>
    <w:sig w:usb0="00000000" w:usb1="80000000" w:usb2="00000008" w:usb3="00000000" w:csb0="000001FF" w:csb1="00000000"/>
  </w:font>
  <w:font w:name="Arial Bold">
    <w:panose1 w:val="020B0704020202020204"/>
    <w:charset w:val="00"/>
    <w:family w:val="swiss"/>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2F5B" w:rsidRDefault="00882F5B" w:rsidP="0049645A">
      <w:pPr>
        <w:spacing w:after="0" w:line="240" w:lineRule="auto"/>
      </w:pPr>
      <w:r>
        <w:separator/>
      </w:r>
    </w:p>
  </w:footnote>
  <w:footnote w:type="continuationSeparator" w:id="0">
    <w:p w:rsidR="00882F5B" w:rsidRDefault="00882F5B" w:rsidP="0049645A">
      <w:pPr>
        <w:spacing w:after="0" w:line="240" w:lineRule="auto"/>
      </w:pPr>
      <w:r>
        <w:continuationSeparator/>
      </w:r>
    </w:p>
  </w:footnote>
</w:footnotes>
</file>

<file path=word/numbering.xml><?xml version="1.0" encoding="utf-8"?>
<w:numbering xmlns:w="http://schemas.openxmlformats.org/wordprocessingml/2006/main" xmlns:r="http://schemas.openxmlformats.org/officeDocument/2006/relationships" xmlns:m="http://schemas.openxmlformats.org/officeDocument/2006/math" xmlns:w14="http://schemas.microsoft.com/office/word/2010/wordml" xmlns:w15="http://schemas.microsoft.com/office/word/2012/wordml"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p14">
  <w:abstractNum w:abstractNumId="0">
    <w:nsid w:val="FFFFFF89"/>
    <w:multiLevelType w:val="singleLevel"/>
    <w:tmpl w:val="37A06812"/>
    <w:lvl w:ilvl="0">
      <w:start w:val="1"/>
      <w:numFmt w:val="bullet"/>
      <w:pStyle w:val="ListBullet"/>
      <w:lvlText w:val=""/>
      <w:lvlJc w:val="left"/>
      <w:pPr>
        <w:tabs>
          <w:tab w:val="num" w:pos="360"/>
        </w:tabs>
        <w:ind w:left="360" w:hanging="360"/>
      </w:pPr>
      <w:rPr>
        <w:rFonts w:hint="default" w:ascii="Symbol" w:hAnsi="Symbol"/>
      </w:rPr>
    </w:lvl>
  </w:abstractNum>
  <w:abstractNum w:abstractNumId="1">
    <w:nsid w:val="0E515A52"/>
    <w:multiLevelType w:val="hybridMultilevel"/>
    <w:tmpl w:val="A3AEE4F8"/>
    <w:lvl w:ilvl="0" w:tplc="8E3C1F56">
      <w:start w:val="1"/>
      <w:numFmt w:val="bullet"/>
      <w:pStyle w:val="Bulletforunderhdr12"/>
      <w:lvlText w:val=""/>
      <w:lvlJc w:val="left"/>
      <w:pPr>
        <w:tabs>
          <w:tab w:val="num" w:pos="1287"/>
        </w:tabs>
        <w:ind w:left="1287" w:hanging="360"/>
      </w:pPr>
      <w:rPr>
        <w:rFonts w:hint="default" w:ascii="Symbol" w:hAnsi="Symbol"/>
      </w:rPr>
    </w:lvl>
    <w:lvl w:ilvl="1" w:tplc="04090003">
      <w:start w:val="1"/>
      <w:numFmt w:val="bullet"/>
      <w:lvlText w:val="o"/>
      <w:lvlJc w:val="left"/>
      <w:pPr>
        <w:tabs>
          <w:tab w:val="num" w:pos="2007"/>
        </w:tabs>
        <w:ind w:left="2007" w:hanging="360"/>
      </w:pPr>
      <w:rPr>
        <w:rFonts w:hint="default" w:ascii="Courier New" w:hAnsi="Courier New" w:cs="Times New Roman"/>
      </w:rPr>
    </w:lvl>
    <w:lvl w:ilvl="2" w:tplc="04090005">
      <w:start w:val="1"/>
      <w:numFmt w:val="bullet"/>
      <w:lvlText w:val=""/>
      <w:lvlJc w:val="left"/>
      <w:pPr>
        <w:tabs>
          <w:tab w:val="num" w:pos="2727"/>
        </w:tabs>
        <w:ind w:left="2727" w:hanging="360"/>
      </w:pPr>
      <w:rPr>
        <w:rFonts w:hint="default" w:ascii="Wingdings" w:hAnsi="Wingdings"/>
      </w:rPr>
    </w:lvl>
    <w:lvl w:ilvl="3" w:tplc="04090001">
      <w:start w:val="1"/>
      <w:numFmt w:val="bullet"/>
      <w:lvlText w:val=""/>
      <w:lvlJc w:val="left"/>
      <w:pPr>
        <w:tabs>
          <w:tab w:val="num" w:pos="3447"/>
        </w:tabs>
        <w:ind w:left="3447" w:hanging="360"/>
      </w:pPr>
      <w:rPr>
        <w:rFonts w:hint="default" w:ascii="Symbol" w:hAnsi="Symbol"/>
      </w:rPr>
    </w:lvl>
    <w:lvl w:ilvl="4" w:tplc="04090003">
      <w:start w:val="1"/>
      <w:numFmt w:val="bullet"/>
      <w:lvlText w:val="o"/>
      <w:lvlJc w:val="left"/>
      <w:pPr>
        <w:tabs>
          <w:tab w:val="num" w:pos="4167"/>
        </w:tabs>
        <w:ind w:left="4167" w:hanging="360"/>
      </w:pPr>
      <w:rPr>
        <w:rFonts w:hint="default" w:ascii="Courier New" w:hAnsi="Courier New" w:cs="Times New Roman"/>
      </w:rPr>
    </w:lvl>
    <w:lvl w:ilvl="5" w:tplc="04090005">
      <w:start w:val="1"/>
      <w:numFmt w:val="bullet"/>
      <w:lvlText w:val=""/>
      <w:lvlJc w:val="left"/>
      <w:pPr>
        <w:tabs>
          <w:tab w:val="num" w:pos="4887"/>
        </w:tabs>
        <w:ind w:left="4887" w:hanging="360"/>
      </w:pPr>
      <w:rPr>
        <w:rFonts w:hint="default" w:ascii="Wingdings" w:hAnsi="Wingdings"/>
      </w:rPr>
    </w:lvl>
    <w:lvl w:ilvl="6" w:tplc="04090001">
      <w:start w:val="1"/>
      <w:numFmt w:val="bullet"/>
      <w:lvlText w:val=""/>
      <w:lvlJc w:val="left"/>
      <w:pPr>
        <w:tabs>
          <w:tab w:val="num" w:pos="5607"/>
        </w:tabs>
        <w:ind w:left="5607" w:hanging="360"/>
      </w:pPr>
      <w:rPr>
        <w:rFonts w:hint="default" w:ascii="Symbol" w:hAnsi="Symbol"/>
      </w:rPr>
    </w:lvl>
    <w:lvl w:ilvl="7" w:tplc="04090003">
      <w:start w:val="1"/>
      <w:numFmt w:val="bullet"/>
      <w:lvlText w:val="o"/>
      <w:lvlJc w:val="left"/>
      <w:pPr>
        <w:tabs>
          <w:tab w:val="num" w:pos="6327"/>
        </w:tabs>
        <w:ind w:left="6327" w:hanging="360"/>
      </w:pPr>
      <w:rPr>
        <w:rFonts w:hint="default" w:ascii="Courier New" w:hAnsi="Courier New" w:cs="Times New Roman"/>
      </w:rPr>
    </w:lvl>
    <w:lvl w:ilvl="8" w:tplc="04090005">
      <w:start w:val="1"/>
      <w:numFmt w:val="bullet"/>
      <w:lvlText w:val=""/>
      <w:lvlJc w:val="left"/>
      <w:pPr>
        <w:tabs>
          <w:tab w:val="num" w:pos="7047"/>
        </w:tabs>
        <w:ind w:left="7047" w:hanging="360"/>
      </w:pPr>
      <w:rPr>
        <w:rFonts w:hint="default" w:ascii="Wingdings" w:hAnsi="Wingdings"/>
      </w:rPr>
    </w:lvl>
  </w:abstractNum>
  <w:abstractNum w:abstractNumId="2">
    <w:nsid w:val="138E60B1"/>
    <w:multiLevelType w:val="singleLevel"/>
    <w:tmpl w:val="1EBA084E"/>
    <w:lvl w:ilvl="0">
      <w:start w:val="1"/>
      <w:numFmt w:val="bullet"/>
      <w:pStyle w:val="ListwithBullet"/>
      <w:lvlText w:val=""/>
      <w:lvlJc w:val="left"/>
      <w:pPr>
        <w:tabs>
          <w:tab w:val="num" w:pos="720"/>
        </w:tabs>
        <w:ind w:left="720" w:hanging="360"/>
      </w:pPr>
      <w:rPr>
        <w:rFonts w:hint="default" w:ascii="Wingdings" w:hAnsi="Wingdings"/>
        <w:sz w:val="12"/>
      </w:rPr>
    </w:lvl>
  </w:abstractNum>
  <w:abstractNum w:abstractNumId="3">
    <w:nsid w:val="1399788B"/>
    <w:multiLevelType w:val="hybridMultilevel"/>
    <w:tmpl w:val="8DFA16E2"/>
    <w:lvl w:ilvl="0" w:tplc="41E6A8CC">
      <w:start w:val="1"/>
      <w:numFmt w:val="bullet"/>
      <w:lvlText w:val="•"/>
      <w:lvlJc w:val="left"/>
      <w:pPr>
        <w:tabs>
          <w:tab w:val="num" w:pos="720"/>
        </w:tabs>
        <w:ind w:left="720" w:hanging="360"/>
      </w:pPr>
      <w:rPr>
        <w:rFonts w:hint="default" w:ascii="Arial" w:hAnsi="Arial" w:cs="Times New Roman"/>
      </w:rPr>
    </w:lvl>
    <w:lvl w:ilvl="1" w:tplc="3D0A3894">
      <w:start w:val="1"/>
      <w:numFmt w:val="bullet"/>
      <w:lvlText w:val="•"/>
      <w:lvlJc w:val="left"/>
      <w:pPr>
        <w:tabs>
          <w:tab w:val="num" w:pos="1440"/>
        </w:tabs>
        <w:ind w:left="1440" w:hanging="360"/>
      </w:pPr>
      <w:rPr>
        <w:rFonts w:hint="default" w:ascii="Arial" w:hAnsi="Arial" w:cs="Times New Roman"/>
      </w:rPr>
    </w:lvl>
    <w:lvl w:ilvl="2" w:tplc="D6DE8A02">
      <w:start w:val="1"/>
      <w:numFmt w:val="bullet"/>
      <w:lvlText w:val="•"/>
      <w:lvlJc w:val="left"/>
      <w:pPr>
        <w:tabs>
          <w:tab w:val="num" w:pos="2160"/>
        </w:tabs>
        <w:ind w:left="2160" w:hanging="360"/>
      </w:pPr>
      <w:rPr>
        <w:rFonts w:hint="default" w:ascii="Arial" w:hAnsi="Arial" w:cs="Times New Roman"/>
      </w:rPr>
    </w:lvl>
    <w:lvl w:ilvl="3" w:tplc="0DEEE040">
      <w:start w:val="1"/>
      <w:numFmt w:val="bullet"/>
      <w:lvlText w:val="•"/>
      <w:lvlJc w:val="left"/>
      <w:pPr>
        <w:tabs>
          <w:tab w:val="num" w:pos="2880"/>
        </w:tabs>
        <w:ind w:left="2880" w:hanging="360"/>
      </w:pPr>
      <w:rPr>
        <w:rFonts w:hint="default" w:ascii="Arial" w:hAnsi="Arial" w:cs="Times New Roman"/>
      </w:rPr>
    </w:lvl>
    <w:lvl w:ilvl="4" w:tplc="9D2C3098">
      <w:start w:val="1"/>
      <w:numFmt w:val="bullet"/>
      <w:lvlText w:val="•"/>
      <w:lvlJc w:val="left"/>
      <w:pPr>
        <w:tabs>
          <w:tab w:val="num" w:pos="3600"/>
        </w:tabs>
        <w:ind w:left="3600" w:hanging="360"/>
      </w:pPr>
      <w:rPr>
        <w:rFonts w:hint="default" w:ascii="Arial" w:hAnsi="Arial" w:cs="Times New Roman"/>
      </w:rPr>
    </w:lvl>
    <w:lvl w:ilvl="5" w:tplc="8E34C874">
      <w:start w:val="1"/>
      <w:numFmt w:val="bullet"/>
      <w:lvlText w:val="•"/>
      <w:lvlJc w:val="left"/>
      <w:pPr>
        <w:tabs>
          <w:tab w:val="num" w:pos="4320"/>
        </w:tabs>
        <w:ind w:left="4320" w:hanging="360"/>
      </w:pPr>
      <w:rPr>
        <w:rFonts w:hint="default" w:ascii="Arial" w:hAnsi="Arial" w:cs="Times New Roman"/>
      </w:rPr>
    </w:lvl>
    <w:lvl w:ilvl="6" w:tplc="861EB0D4">
      <w:start w:val="1"/>
      <w:numFmt w:val="bullet"/>
      <w:lvlText w:val="•"/>
      <w:lvlJc w:val="left"/>
      <w:pPr>
        <w:tabs>
          <w:tab w:val="num" w:pos="5040"/>
        </w:tabs>
        <w:ind w:left="5040" w:hanging="360"/>
      </w:pPr>
      <w:rPr>
        <w:rFonts w:hint="default" w:ascii="Arial" w:hAnsi="Arial" w:cs="Times New Roman"/>
      </w:rPr>
    </w:lvl>
    <w:lvl w:ilvl="7" w:tplc="5932446E">
      <w:start w:val="1"/>
      <w:numFmt w:val="bullet"/>
      <w:lvlText w:val="•"/>
      <w:lvlJc w:val="left"/>
      <w:pPr>
        <w:tabs>
          <w:tab w:val="num" w:pos="5760"/>
        </w:tabs>
        <w:ind w:left="5760" w:hanging="360"/>
      </w:pPr>
      <w:rPr>
        <w:rFonts w:hint="default" w:ascii="Arial" w:hAnsi="Arial" w:cs="Times New Roman"/>
      </w:rPr>
    </w:lvl>
    <w:lvl w:ilvl="8" w:tplc="969C7920">
      <w:start w:val="1"/>
      <w:numFmt w:val="bullet"/>
      <w:lvlText w:val="•"/>
      <w:lvlJc w:val="left"/>
      <w:pPr>
        <w:tabs>
          <w:tab w:val="num" w:pos="6480"/>
        </w:tabs>
        <w:ind w:left="6480" w:hanging="360"/>
      </w:pPr>
      <w:rPr>
        <w:rFonts w:hint="default" w:ascii="Arial" w:hAnsi="Arial" w:cs="Times New Roman"/>
      </w:rPr>
    </w:lvl>
  </w:abstractNum>
  <w:abstractNum w:abstractNumId="4">
    <w:nsid w:val="18A93517"/>
    <w:multiLevelType w:val="hybridMultilevel"/>
    <w:tmpl w:val="DFEC12B2"/>
    <w:lvl w:ilvl="0" w:tplc="D91818DA">
      <w:start w:val="1"/>
      <w:numFmt w:val="decimal"/>
      <w:pStyle w:val="DBRNumbering"/>
      <w:lvlText w:val="DBR_%1."/>
      <w:lvlJc w:val="left"/>
      <w:pPr>
        <w:ind w:left="36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5">
    <w:nsid w:val="236B011C"/>
    <w:multiLevelType w:val="hybridMultilevel"/>
    <w:tmpl w:val="A1D054F8"/>
    <w:lvl w:ilvl="0" w:tplc="345AD890">
      <w:start w:val="1"/>
      <w:numFmt w:val="bullet"/>
      <w:lvlText w:val="•"/>
      <w:lvlJc w:val="left"/>
      <w:pPr>
        <w:tabs>
          <w:tab w:val="num" w:pos="720"/>
        </w:tabs>
        <w:ind w:left="720" w:hanging="360"/>
      </w:pPr>
      <w:rPr>
        <w:rFonts w:hint="default" w:ascii="Arial" w:hAnsi="Arial" w:cs="Times New Roman"/>
      </w:rPr>
    </w:lvl>
    <w:lvl w:ilvl="1" w:tplc="C2A25116">
      <w:start w:val="1"/>
      <w:numFmt w:val="bullet"/>
      <w:lvlText w:val="•"/>
      <w:lvlJc w:val="left"/>
      <w:pPr>
        <w:tabs>
          <w:tab w:val="num" w:pos="1440"/>
        </w:tabs>
        <w:ind w:left="1440" w:hanging="360"/>
      </w:pPr>
      <w:rPr>
        <w:rFonts w:hint="default" w:ascii="Arial" w:hAnsi="Arial" w:cs="Times New Roman"/>
      </w:rPr>
    </w:lvl>
    <w:lvl w:ilvl="2" w:tplc="1952B01E">
      <w:start w:val="1"/>
      <w:numFmt w:val="bullet"/>
      <w:lvlText w:val="•"/>
      <w:lvlJc w:val="left"/>
      <w:pPr>
        <w:tabs>
          <w:tab w:val="num" w:pos="2160"/>
        </w:tabs>
        <w:ind w:left="2160" w:hanging="360"/>
      </w:pPr>
      <w:rPr>
        <w:rFonts w:hint="default" w:ascii="Arial" w:hAnsi="Arial" w:cs="Times New Roman"/>
      </w:rPr>
    </w:lvl>
    <w:lvl w:ilvl="3" w:tplc="FAF67244">
      <w:start w:val="1"/>
      <w:numFmt w:val="bullet"/>
      <w:lvlText w:val="•"/>
      <w:lvlJc w:val="left"/>
      <w:pPr>
        <w:tabs>
          <w:tab w:val="num" w:pos="2880"/>
        </w:tabs>
        <w:ind w:left="2880" w:hanging="360"/>
      </w:pPr>
      <w:rPr>
        <w:rFonts w:hint="default" w:ascii="Arial" w:hAnsi="Arial" w:cs="Times New Roman"/>
      </w:rPr>
    </w:lvl>
    <w:lvl w:ilvl="4" w:tplc="2C68FAE2">
      <w:start w:val="1"/>
      <w:numFmt w:val="bullet"/>
      <w:lvlText w:val="•"/>
      <w:lvlJc w:val="left"/>
      <w:pPr>
        <w:tabs>
          <w:tab w:val="num" w:pos="3600"/>
        </w:tabs>
        <w:ind w:left="3600" w:hanging="360"/>
      </w:pPr>
      <w:rPr>
        <w:rFonts w:hint="default" w:ascii="Arial" w:hAnsi="Arial" w:cs="Times New Roman"/>
      </w:rPr>
    </w:lvl>
    <w:lvl w:ilvl="5" w:tplc="665AEB92">
      <w:start w:val="1"/>
      <w:numFmt w:val="bullet"/>
      <w:lvlText w:val="•"/>
      <w:lvlJc w:val="left"/>
      <w:pPr>
        <w:tabs>
          <w:tab w:val="num" w:pos="4320"/>
        </w:tabs>
        <w:ind w:left="4320" w:hanging="360"/>
      </w:pPr>
      <w:rPr>
        <w:rFonts w:hint="default" w:ascii="Arial" w:hAnsi="Arial" w:cs="Times New Roman"/>
      </w:rPr>
    </w:lvl>
    <w:lvl w:ilvl="6" w:tplc="E1841134">
      <w:start w:val="1"/>
      <w:numFmt w:val="bullet"/>
      <w:lvlText w:val="•"/>
      <w:lvlJc w:val="left"/>
      <w:pPr>
        <w:tabs>
          <w:tab w:val="num" w:pos="5040"/>
        </w:tabs>
        <w:ind w:left="5040" w:hanging="360"/>
      </w:pPr>
      <w:rPr>
        <w:rFonts w:hint="default" w:ascii="Arial" w:hAnsi="Arial" w:cs="Times New Roman"/>
      </w:rPr>
    </w:lvl>
    <w:lvl w:ilvl="7" w:tplc="786C417E">
      <w:start w:val="1"/>
      <w:numFmt w:val="bullet"/>
      <w:lvlText w:val="•"/>
      <w:lvlJc w:val="left"/>
      <w:pPr>
        <w:tabs>
          <w:tab w:val="num" w:pos="5760"/>
        </w:tabs>
        <w:ind w:left="5760" w:hanging="360"/>
      </w:pPr>
      <w:rPr>
        <w:rFonts w:hint="default" w:ascii="Arial" w:hAnsi="Arial" w:cs="Times New Roman"/>
      </w:rPr>
    </w:lvl>
    <w:lvl w:ilvl="8" w:tplc="DCEE5316">
      <w:start w:val="1"/>
      <w:numFmt w:val="bullet"/>
      <w:lvlText w:val="•"/>
      <w:lvlJc w:val="left"/>
      <w:pPr>
        <w:tabs>
          <w:tab w:val="num" w:pos="6480"/>
        </w:tabs>
        <w:ind w:left="6480" w:hanging="360"/>
      </w:pPr>
      <w:rPr>
        <w:rFonts w:hint="default" w:ascii="Arial" w:hAnsi="Arial" w:cs="Times New Roman"/>
      </w:rPr>
    </w:lvl>
  </w:abstractNum>
  <w:abstractNum w:abstractNumId="6">
    <w:nsid w:val="2377446C"/>
    <w:multiLevelType w:val="hybridMultilevel"/>
    <w:tmpl w:val="1D28DDB4"/>
    <w:lvl w:ilvl="0" w:tplc="D8E08AF4">
      <w:start w:val="1"/>
      <w:numFmt w:val="bullet"/>
      <w:pStyle w:val="Index1"/>
      <w:lvlText w:val=""/>
      <w:lvlJc w:val="left"/>
      <w:pPr>
        <w:ind w:left="720" w:hanging="360"/>
      </w:pPr>
      <w:rPr>
        <w:rFonts w:hint="default" w:ascii="Symbol" w:hAnsi="Symbol"/>
      </w:rPr>
    </w:lvl>
    <w:lvl w:ilvl="1" w:tplc="0C090003">
      <w:start w:val="1"/>
      <w:numFmt w:val="bullet"/>
      <w:lvlText w:val="o"/>
      <w:lvlJc w:val="left"/>
      <w:pPr>
        <w:ind w:left="1440" w:hanging="360"/>
      </w:pPr>
      <w:rPr>
        <w:rFonts w:hint="default" w:ascii="Courier New" w:hAnsi="Courier New" w:cs="Courier New"/>
      </w:rPr>
    </w:lvl>
    <w:lvl w:ilvl="2" w:tplc="0C090005">
      <w:start w:val="1"/>
      <w:numFmt w:val="bullet"/>
      <w:lvlText w:val=""/>
      <w:lvlJc w:val="left"/>
      <w:pPr>
        <w:ind w:left="2160" w:hanging="360"/>
      </w:pPr>
      <w:rPr>
        <w:rFonts w:hint="default" w:ascii="Wingdings" w:hAnsi="Wingdings"/>
      </w:rPr>
    </w:lvl>
    <w:lvl w:ilvl="3" w:tplc="0C090001">
      <w:start w:val="1"/>
      <w:numFmt w:val="bullet"/>
      <w:lvlText w:val=""/>
      <w:lvlJc w:val="left"/>
      <w:pPr>
        <w:ind w:left="2880" w:hanging="360"/>
      </w:pPr>
      <w:rPr>
        <w:rFonts w:hint="default" w:ascii="Symbol" w:hAnsi="Symbol"/>
      </w:rPr>
    </w:lvl>
    <w:lvl w:ilvl="4" w:tplc="0C090003">
      <w:start w:val="1"/>
      <w:numFmt w:val="bullet"/>
      <w:lvlText w:val="o"/>
      <w:lvlJc w:val="left"/>
      <w:pPr>
        <w:ind w:left="3600" w:hanging="360"/>
      </w:pPr>
      <w:rPr>
        <w:rFonts w:hint="default" w:ascii="Courier New" w:hAnsi="Courier New" w:cs="Courier New"/>
      </w:rPr>
    </w:lvl>
    <w:lvl w:ilvl="5" w:tplc="0C090005">
      <w:start w:val="1"/>
      <w:numFmt w:val="bullet"/>
      <w:lvlText w:val=""/>
      <w:lvlJc w:val="left"/>
      <w:pPr>
        <w:ind w:left="4320" w:hanging="360"/>
      </w:pPr>
      <w:rPr>
        <w:rFonts w:hint="default" w:ascii="Wingdings" w:hAnsi="Wingdings"/>
      </w:rPr>
    </w:lvl>
    <w:lvl w:ilvl="6" w:tplc="0C090001">
      <w:start w:val="1"/>
      <w:numFmt w:val="bullet"/>
      <w:lvlText w:val=""/>
      <w:lvlJc w:val="left"/>
      <w:pPr>
        <w:ind w:left="5040" w:hanging="360"/>
      </w:pPr>
      <w:rPr>
        <w:rFonts w:hint="default" w:ascii="Symbol" w:hAnsi="Symbol"/>
      </w:rPr>
    </w:lvl>
    <w:lvl w:ilvl="7" w:tplc="0C090003">
      <w:start w:val="1"/>
      <w:numFmt w:val="bullet"/>
      <w:lvlText w:val="o"/>
      <w:lvlJc w:val="left"/>
      <w:pPr>
        <w:ind w:left="5760" w:hanging="360"/>
      </w:pPr>
      <w:rPr>
        <w:rFonts w:hint="default" w:ascii="Courier New" w:hAnsi="Courier New" w:cs="Courier New"/>
      </w:rPr>
    </w:lvl>
    <w:lvl w:ilvl="8" w:tplc="0C090005">
      <w:start w:val="1"/>
      <w:numFmt w:val="bullet"/>
      <w:lvlText w:val=""/>
      <w:lvlJc w:val="left"/>
      <w:pPr>
        <w:ind w:left="6480" w:hanging="360"/>
      </w:pPr>
      <w:rPr>
        <w:rFonts w:hint="default" w:ascii="Wingdings" w:hAnsi="Wingdings"/>
      </w:rPr>
    </w:lvl>
  </w:abstractNum>
  <w:abstractNum w:abstractNumId="7">
    <w:nsid w:val="28854318"/>
    <w:multiLevelType w:val="hybridMultilevel"/>
    <w:tmpl w:val="613233AA"/>
    <w:lvl w:ilvl="0" w:tplc="63647648">
      <w:start w:val="1"/>
      <w:numFmt w:val="bullet"/>
      <w:lvlText w:val="•"/>
      <w:lvlJc w:val="left"/>
      <w:pPr>
        <w:tabs>
          <w:tab w:val="num" w:pos="720"/>
        </w:tabs>
        <w:ind w:left="720" w:hanging="360"/>
      </w:pPr>
      <w:rPr>
        <w:rFonts w:hint="default" w:ascii="Arial" w:hAnsi="Arial" w:cs="Times New Roman"/>
      </w:rPr>
    </w:lvl>
    <w:lvl w:ilvl="1" w:tplc="4E50CA74">
      <w:start w:val="1"/>
      <w:numFmt w:val="bullet"/>
      <w:lvlText w:val="•"/>
      <w:lvlJc w:val="left"/>
      <w:pPr>
        <w:tabs>
          <w:tab w:val="num" w:pos="1440"/>
        </w:tabs>
        <w:ind w:left="1440" w:hanging="360"/>
      </w:pPr>
      <w:rPr>
        <w:rFonts w:hint="default" w:ascii="Arial" w:hAnsi="Arial" w:cs="Times New Roman"/>
      </w:rPr>
    </w:lvl>
    <w:lvl w:ilvl="2" w:tplc="7C24DACA">
      <w:start w:val="1"/>
      <w:numFmt w:val="bullet"/>
      <w:lvlText w:val="•"/>
      <w:lvlJc w:val="left"/>
      <w:pPr>
        <w:tabs>
          <w:tab w:val="num" w:pos="2160"/>
        </w:tabs>
        <w:ind w:left="2160" w:hanging="360"/>
      </w:pPr>
      <w:rPr>
        <w:rFonts w:hint="default" w:ascii="Arial" w:hAnsi="Arial" w:cs="Times New Roman"/>
      </w:rPr>
    </w:lvl>
    <w:lvl w:ilvl="3" w:tplc="26840C80">
      <w:start w:val="1"/>
      <w:numFmt w:val="bullet"/>
      <w:lvlText w:val="•"/>
      <w:lvlJc w:val="left"/>
      <w:pPr>
        <w:tabs>
          <w:tab w:val="num" w:pos="2880"/>
        </w:tabs>
        <w:ind w:left="2880" w:hanging="360"/>
      </w:pPr>
      <w:rPr>
        <w:rFonts w:hint="default" w:ascii="Arial" w:hAnsi="Arial" w:cs="Times New Roman"/>
      </w:rPr>
    </w:lvl>
    <w:lvl w:ilvl="4" w:tplc="10B09236">
      <w:start w:val="1"/>
      <w:numFmt w:val="bullet"/>
      <w:lvlText w:val="•"/>
      <w:lvlJc w:val="left"/>
      <w:pPr>
        <w:tabs>
          <w:tab w:val="num" w:pos="3600"/>
        </w:tabs>
        <w:ind w:left="3600" w:hanging="360"/>
      </w:pPr>
      <w:rPr>
        <w:rFonts w:hint="default" w:ascii="Arial" w:hAnsi="Arial" w:cs="Times New Roman"/>
      </w:rPr>
    </w:lvl>
    <w:lvl w:ilvl="5" w:tplc="CFDCCB16">
      <w:start w:val="1"/>
      <w:numFmt w:val="bullet"/>
      <w:lvlText w:val="•"/>
      <w:lvlJc w:val="left"/>
      <w:pPr>
        <w:tabs>
          <w:tab w:val="num" w:pos="4320"/>
        </w:tabs>
        <w:ind w:left="4320" w:hanging="360"/>
      </w:pPr>
      <w:rPr>
        <w:rFonts w:hint="default" w:ascii="Arial" w:hAnsi="Arial" w:cs="Times New Roman"/>
      </w:rPr>
    </w:lvl>
    <w:lvl w:ilvl="6" w:tplc="C706D966">
      <w:start w:val="1"/>
      <w:numFmt w:val="bullet"/>
      <w:lvlText w:val="•"/>
      <w:lvlJc w:val="left"/>
      <w:pPr>
        <w:tabs>
          <w:tab w:val="num" w:pos="5040"/>
        </w:tabs>
        <w:ind w:left="5040" w:hanging="360"/>
      </w:pPr>
      <w:rPr>
        <w:rFonts w:hint="default" w:ascii="Arial" w:hAnsi="Arial" w:cs="Times New Roman"/>
      </w:rPr>
    </w:lvl>
    <w:lvl w:ilvl="7" w:tplc="9BBABC10">
      <w:start w:val="1"/>
      <w:numFmt w:val="bullet"/>
      <w:lvlText w:val="•"/>
      <w:lvlJc w:val="left"/>
      <w:pPr>
        <w:tabs>
          <w:tab w:val="num" w:pos="5760"/>
        </w:tabs>
        <w:ind w:left="5760" w:hanging="360"/>
      </w:pPr>
      <w:rPr>
        <w:rFonts w:hint="default" w:ascii="Arial" w:hAnsi="Arial" w:cs="Times New Roman"/>
      </w:rPr>
    </w:lvl>
    <w:lvl w:ilvl="8" w:tplc="4258B410">
      <w:start w:val="1"/>
      <w:numFmt w:val="bullet"/>
      <w:lvlText w:val="•"/>
      <w:lvlJc w:val="left"/>
      <w:pPr>
        <w:tabs>
          <w:tab w:val="num" w:pos="6480"/>
        </w:tabs>
        <w:ind w:left="6480" w:hanging="360"/>
      </w:pPr>
      <w:rPr>
        <w:rFonts w:hint="default" w:ascii="Arial" w:hAnsi="Arial" w:cs="Times New Roman"/>
      </w:rPr>
    </w:lvl>
  </w:abstractNum>
  <w:abstractNum w:abstractNumId="8">
    <w:nsid w:val="294A3A9A"/>
    <w:multiLevelType w:val="hybridMultilevel"/>
    <w:tmpl w:val="D95C3AE0"/>
    <w:lvl w:ilvl="0" w:tplc="2C2E32B2">
      <w:start w:val="1"/>
      <w:numFmt w:val="bullet"/>
      <w:pStyle w:val="CaselawBullet"/>
      <w:lvlText w:val=""/>
      <w:lvlJc w:val="left"/>
      <w:pPr>
        <w:ind w:left="1440" w:hanging="360"/>
      </w:pPr>
      <w:rPr>
        <w:rFonts w:hint="default" w:ascii="Symbol" w:hAnsi="Symbol"/>
      </w:rPr>
    </w:lvl>
    <w:lvl w:ilvl="1" w:tplc="0C090003" w:tentative="true">
      <w:start w:val="1"/>
      <w:numFmt w:val="bullet"/>
      <w:lvlText w:val="o"/>
      <w:lvlJc w:val="left"/>
      <w:pPr>
        <w:ind w:left="2160" w:hanging="360"/>
      </w:pPr>
      <w:rPr>
        <w:rFonts w:hint="default" w:ascii="Courier New" w:hAnsi="Courier New" w:cs="Courier New"/>
      </w:rPr>
    </w:lvl>
    <w:lvl w:ilvl="2" w:tplc="0C090005" w:tentative="true">
      <w:start w:val="1"/>
      <w:numFmt w:val="bullet"/>
      <w:lvlText w:val=""/>
      <w:lvlJc w:val="left"/>
      <w:pPr>
        <w:ind w:left="2880" w:hanging="360"/>
      </w:pPr>
      <w:rPr>
        <w:rFonts w:hint="default" w:ascii="Wingdings" w:hAnsi="Wingdings"/>
      </w:rPr>
    </w:lvl>
    <w:lvl w:ilvl="3" w:tplc="0C090001" w:tentative="true">
      <w:start w:val="1"/>
      <w:numFmt w:val="bullet"/>
      <w:lvlText w:val=""/>
      <w:lvlJc w:val="left"/>
      <w:pPr>
        <w:ind w:left="3600" w:hanging="360"/>
      </w:pPr>
      <w:rPr>
        <w:rFonts w:hint="default" w:ascii="Symbol" w:hAnsi="Symbol"/>
      </w:rPr>
    </w:lvl>
    <w:lvl w:ilvl="4" w:tplc="0C090003" w:tentative="true">
      <w:start w:val="1"/>
      <w:numFmt w:val="bullet"/>
      <w:lvlText w:val="o"/>
      <w:lvlJc w:val="left"/>
      <w:pPr>
        <w:ind w:left="4320" w:hanging="360"/>
      </w:pPr>
      <w:rPr>
        <w:rFonts w:hint="default" w:ascii="Courier New" w:hAnsi="Courier New" w:cs="Courier New"/>
      </w:rPr>
    </w:lvl>
    <w:lvl w:ilvl="5" w:tplc="0C090005" w:tentative="true">
      <w:start w:val="1"/>
      <w:numFmt w:val="bullet"/>
      <w:lvlText w:val=""/>
      <w:lvlJc w:val="left"/>
      <w:pPr>
        <w:ind w:left="5040" w:hanging="360"/>
      </w:pPr>
      <w:rPr>
        <w:rFonts w:hint="default" w:ascii="Wingdings" w:hAnsi="Wingdings"/>
      </w:rPr>
    </w:lvl>
    <w:lvl w:ilvl="6" w:tplc="0C090001" w:tentative="true">
      <w:start w:val="1"/>
      <w:numFmt w:val="bullet"/>
      <w:lvlText w:val=""/>
      <w:lvlJc w:val="left"/>
      <w:pPr>
        <w:ind w:left="5760" w:hanging="360"/>
      </w:pPr>
      <w:rPr>
        <w:rFonts w:hint="default" w:ascii="Symbol" w:hAnsi="Symbol"/>
      </w:rPr>
    </w:lvl>
    <w:lvl w:ilvl="7" w:tplc="0C090003" w:tentative="true">
      <w:start w:val="1"/>
      <w:numFmt w:val="bullet"/>
      <w:lvlText w:val="o"/>
      <w:lvlJc w:val="left"/>
      <w:pPr>
        <w:ind w:left="6480" w:hanging="360"/>
      </w:pPr>
      <w:rPr>
        <w:rFonts w:hint="default" w:ascii="Courier New" w:hAnsi="Courier New" w:cs="Courier New"/>
      </w:rPr>
    </w:lvl>
    <w:lvl w:ilvl="8" w:tplc="0C090005" w:tentative="true">
      <w:start w:val="1"/>
      <w:numFmt w:val="bullet"/>
      <w:lvlText w:val=""/>
      <w:lvlJc w:val="left"/>
      <w:pPr>
        <w:ind w:left="7200" w:hanging="360"/>
      </w:pPr>
      <w:rPr>
        <w:rFonts w:hint="default" w:ascii="Wingdings" w:hAnsi="Wingdings"/>
      </w:rPr>
    </w:lvl>
  </w:abstractNum>
  <w:abstractNum w:abstractNumId="9">
    <w:nsid w:val="31D62726"/>
    <w:multiLevelType w:val="hybridMultilevel"/>
    <w:tmpl w:val="7CEA8C86"/>
    <w:lvl w:ilvl="0" w:tplc="08090001">
      <w:start w:val="1"/>
      <w:numFmt w:val="bullet"/>
      <w:pStyle w:val="TableBullet"/>
      <w:lvlText w:val=""/>
      <w:lvlJc w:val="left"/>
      <w:pPr>
        <w:tabs>
          <w:tab w:val="num" w:pos="1287"/>
        </w:tabs>
        <w:ind w:left="1287" w:hanging="360"/>
      </w:pPr>
      <w:rPr>
        <w:rFonts w:hint="default" w:ascii="Symbol" w:hAnsi="Symbol"/>
      </w:rPr>
    </w:lvl>
    <w:lvl w:ilvl="1" w:tplc="08090003">
      <w:start w:val="1"/>
      <w:numFmt w:val="bullet"/>
      <w:lvlText w:val="o"/>
      <w:lvlJc w:val="left"/>
      <w:pPr>
        <w:tabs>
          <w:tab w:val="num" w:pos="2007"/>
        </w:tabs>
        <w:ind w:left="2007" w:hanging="360"/>
      </w:pPr>
      <w:rPr>
        <w:rFonts w:hint="default" w:ascii="Courier New" w:hAnsi="Courier New" w:cs="Courier New"/>
      </w:rPr>
    </w:lvl>
    <w:lvl w:ilvl="2" w:tplc="08090005">
      <w:start w:val="1"/>
      <w:numFmt w:val="bullet"/>
      <w:lvlText w:val=""/>
      <w:lvlJc w:val="left"/>
      <w:pPr>
        <w:tabs>
          <w:tab w:val="num" w:pos="2727"/>
        </w:tabs>
        <w:ind w:left="2727" w:hanging="360"/>
      </w:pPr>
      <w:rPr>
        <w:rFonts w:hint="default" w:ascii="Wingdings" w:hAnsi="Wingdings"/>
      </w:rPr>
    </w:lvl>
    <w:lvl w:ilvl="3" w:tplc="08090001">
      <w:start w:val="1"/>
      <w:numFmt w:val="bullet"/>
      <w:lvlText w:val=""/>
      <w:lvlJc w:val="left"/>
      <w:pPr>
        <w:tabs>
          <w:tab w:val="num" w:pos="3447"/>
        </w:tabs>
        <w:ind w:left="3447" w:hanging="360"/>
      </w:pPr>
      <w:rPr>
        <w:rFonts w:hint="default" w:ascii="Symbol" w:hAnsi="Symbol"/>
      </w:rPr>
    </w:lvl>
    <w:lvl w:ilvl="4" w:tplc="08090003">
      <w:start w:val="1"/>
      <w:numFmt w:val="bullet"/>
      <w:lvlText w:val="o"/>
      <w:lvlJc w:val="left"/>
      <w:pPr>
        <w:tabs>
          <w:tab w:val="num" w:pos="4167"/>
        </w:tabs>
        <w:ind w:left="4167" w:hanging="360"/>
      </w:pPr>
      <w:rPr>
        <w:rFonts w:hint="default" w:ascii="Courier New" w:hAnsi="Courier New" w:cs="Courier New"/>
      </w:rPr>
    </w:lvl>
    <w:lvl w:ilvl="5" w:tplc="08090005">
      <w:start w:val="1"/>
      <w:numFmt w:val="bullet"/>
      <w:lvlText w:val=""/>
      <w:lvlJc w:val="left"/>
      <w:pPr>
        <w:tabs>
          <w:tab w:val="num" w:pos="4887"/>
        </w:tabs>
        <w:ind w:left="4887" w:hanging="360"/>
      </w:pPr>
      <w:rPr>
        <w:rFonts w:hint="default" w:ascii="Wingdings" w:hAnsi="Wingdings"/>
      </w:rPr>
    </w:lvl>
    <w:lvl w:ilvl="6" w:tplc="08090001">
      <w:start w:val="1"/>
      <w:numFmt w:val="bullet"/>
      <w:lvlText w:val=""/>
      <w:lvlJc w:val="left"/>
      <w:pPr>
        <w:tabs>
          <w:tab w:val="num" w:pos="5607"/>
        </w:tabs>
        <w:ind w:left="5607" w:hanging="360"/>
      </w:pPr>
      <w:rPr>
        <w:rFonts w:hint="default" w:ascii="Symbol" w:hAnsi="Symbol"/>
      </w:rPr>
    </w:lvl>
    <w:lvl w:ilvl="7" w:tplc="08090003">
      <w:start w:val="1"/>
      <w:numFmt w:val="bullet"/>
      <w:lvlText w:val="o"/>
      <w:lvlJc w:val="left"/>
      <w:pPr>
        <w:tabs>
          <w:tab w:val="num" w:pos="6327"/>
        </w:tabs>
        <w:ind w:left="6327" w:hanging="360"/>
      </w:pPr>
      <w:rPr>
        <w:rFonts w:hint="default" w:ascii="Courier New" w:hAnsi="Courier New" w:cs="Courier New"/>
      </w:rPr>
    </w:lvl>
    <w:lvl w:ilvl="8" w:tplc="08090005">
      <w:start w:val="1"/>
      <w:numFmt w:val="bullet"/>
      <w:lvlText w:val=""/>
      <w:lvlJc w:val="left"/>
      <w:pPr>
        <w:tabs>
          <w:tab w:val="num" w:pos="7047"/>
        </w:tabs>
        <w:ind w:left="7047" w:hanging="360"/>
      </w:pPr>
      <w:rPr>
        <w:rFonts w:hint="default" w:ascii="Wingdings" w:hAnsi="Wingdings"/>
      </w:rPr>
    </w:lvl>
  </w:abstractNum>
  <w:abstractNum w:abstractNumId="10">
    <w:nsid w:val="32C84D31"/>
    <w:multiLevelType w:val="hybridMultilevel"/>
    <w:tmpl w:val="6EA29FB4"/>
    <w:lvl w:ilvl="0" w:tplc="3AFAE3D2">
      <w:start w:val="1"/>
      <w:numFmt w:val="decimal"/>
      <w:pStyle w:val="CaselawNumbered1"/>
      <w:lvlText w:val="(%1)"/>
      <w:lvlJc w:val="left"/>
      <w:pPr>
        <w:ind w:left="720" w:hanging="360"/>
      </w:pPr>
      <w:rPr>
        <w:rFonts w:hint="default"/>
      </w:rPr>
    </w:lvl>
    <w:lvl w:ilvl="1" w:tplc="0C090019" w:tentative="true">
      <w:start w:val="1"/>
      <w:numFmt w:val="lowerLetter"/>
      <w:lvlText w:val="%2."/>
      <w:lvlJc w:val="left"/>
      <w:pPr>
        <w:ind w:left="1440" w:hanging="360"/>
      </w:pPr>
    </w:lvl>
    <w:lvl w:ilvl="2" w:tplc="0C09001B" w:tentative="true">
      <w:start w:val="1"/>
      <w:numFmt w:val="lowerRoman"/>
      <w:lvlText w:val="%3."/>
      <w:lvlJc w:val="right"/>
      <w:pPr>
        <w:ind w:left="2160" w:hanging="180"/>
      </w:pPr>
    </w:lvl>
    <w:lvl w:ilvl="3" w:tplc="0C09000F" w:tentative="true">
      <w:start w:val="1"/>
      <w:numFmt w:val="decimal"/>
      <w:lvlText w:val="%4."/>
      <w:lvlJc w:val="left"/>
      <w:pPr>
        <w:ind w:left="2880" w:hanging="360"/>
      </w:pPr>
    </w:lvl>
    <w:lvl w:ilvl="4" w:tplc="0C090019" w:tentative="true">
      <w:start w:val="1"/>
      <w:numFmt w:val="lowerLetter"/>
      <w:lvlText w:val="%5."/>
      <w:lvlJc w:val="left"/>
      <w:pPr>
        <w:ind w:left="3600" w:hanging="360"/>
      </w:pPr>
    </w:lvl>
    <w:lvl w:ilvl="5" w:tplc="0C09001B" w:tentative="true">
      <w:start w:val="1"/>
      <w:numFmt w:val="lowerRoman"/>
      <w:lvlText w:val="%6."/>
      <w:lvlJc w:val="right"/>
      <w:pPr>
        <w:ind w:left="4320" w:hanging="180"/>
      </w:pPr>
    </w:lvl>
    <w:lvl w:ilvl="6" w:tplc="0C09000F" w:tentative="true">
      <w:start w:val="1"/>
      <w:numFmt w:val="decimal"/>
      <w:lvlText w:val="%7."/>
      <w:lvlJc w:val="left"/>
      <w:pPr>
        <w:ind w:left="5040" w:hanging="360"/>
      </w:pPr>
    </w:lvl>
    <w:lvl w:ilvl="7" w:tplc="0C090019" w:tentative="true">
      <w:start w:val="1"/>
      <w:numFmt w:val="lowerLetter"/>
      <w:lvlText w:val="%8."/>
      <w:lvlJc w:val="left"/>
      <w:pPr>
        <w:ind w:left="5760" w:hanging="360"/>
      </w:pPr>
    </w:lvl>
    <w:lvl w:ilvl="8" w:tplc="0C09001B" w:tentative="true">
      <w:start w:val="1"/>
      <w:numFmt w:val="lowerRoman"/>
      <w:lvlText w:val="%9."/>
      <w:lvlJc w:val="right"/>
      <w:pPr>
        <w:ind w:left="6480" w:hanging="180"/>
      </w:pPr>
    </w:lvl>
  </w:abstractNum>
  <w:abstractNum w:abstractNumId="11">
    <w:nsid w:val="33DF2FB6"/>
    <w:multiLevelType w:val="hybridMultilevel"/>
    <w:tmpl w:val="33CC98FE"/>
    <w:lvl w:ilvl="0" w:tplc="DBA8805A">
      <w:start w:val="1"/>
      <w:numFmt w:val="decimal"/>
      <w:pStyle w:val="NFRNumbering"/>
      <w:lvlText w:val="NFR_%1."/>
      <w:lvlJc w:val="left"/>
      <w:pPr>
        <w:ind w:left="360" w:hanging="360"/>
      </w:pPr>
    </w:lvl>
    <w:lvl w:ilvl="1" w:tplc="0C090019">
      <w:start w:val="1"/>
      <w:numFmt w:val="lowerLetter"/>
      <w:lvlText w:val="%2."/>
      <w:lvlJc w:val="left"/>
      <w:pPr>
        <w:ind w:left="1080" w:hanging="360"/>
      </w:pPr>
    </w:lvl>
    <w:lvl w:ilvl="2" w:tplc="0C09001B">
      <w:start w:val="1"/>
      <w:numFmt w:val="lowerRoman"/>
      <w:lvlText w:val="%3."/>
      <w:lvlJc w:val="right"/>
      <w:pPr>
        <w:ind w:left="1800" w:hanging="180"/>
      </w:pPr>
    </w:lvl>
    <w:lvl w:ilvl="3" w:tplc="0C09000F">
      <w:start w:val="1"/>
      <w:numFmt w:val="decimal"/>
      <w:lvlText w:val="%4."/>
      <w:lvlJc w:val="left"/>
      <w:pPr>
        <w:ind w:left="2520" w:hanging="360"/>
      </w:pPr>
    </w:lvl>
    <w:lvl w:ilvl="4" w:tplc="0C090019">
      <w:start w:val="1"/>
      <w:numFmt w:val="lowerLetter"/>
      <w:lvlText w:val="%5."/>
      <w:lvlJc w:val="left"/>
      <w:pPr>
        <w:ind w:left="3240" w:hanging="360"/>
      </w:pPr>
    </w:lvl>
    <w:lvl w:ilvl="5" w:tplc="0C09001B">
      <w:start w:val="1"/>
      <w:numFmt w:val="lowerRoman"/>
      <w:lvlText w:val="%6."/>
      <w:lvlJc w:val="right"/>
      <w:pPr>
        <w:ind w:left="3960" w:hanging="180"/>
      </w:pPr>
    </w:lvl>
    <w:lvl w:ilvl="6" w:tplc="0C09000F">
      <w:start w:val="1"/>
      <w:numFmt w:val="decimal"/>
      <w:lvlText w:val="%7."/>
      <w:lvlJc w:val="left"/>
      <w:pPr>
        <w:ind w:left="4680" w:hanging="360"/>
      </w:pPr>
    </w:lvl>
    <w:lvl w:ilvl="7" w:tplc="0C090019">
      <w:start w:val="1"/>
      <w:numFmt w:val="lowerLetter"/>
      <w:lvlText w:val="%8."/>
      <w:lvlJc w:val="left"/>
      <w:pPr>
        <w:ind w:left="5400" w:hanging="360"/>
      </w:pPr>
    </w:lvl>
    <w:lvl w:ilvl="8" w:tplc="0C09001B">
      <w:start w:val="1"/>
      <w:numFmt w:val="lowerRoman"/>
      <w:lvlText w:val="%9."/>
      <w:lvlJc w:val="right"/>
      <w:pPr>
        <w:ind w:left="6120" w:hanging="180"/>
      </w:pPr>
    </w:lvl>
  </w:abstractNum>
  <w:abstractNum w:abstractNumId="12">
    <w:nsid w:val="353D152B"/>
    <w:multiLevelType w:val="hybridMultilevel"/>
    <w:tmpl w:val="87261C24"/>
    <w:lvl w:ilvl="0" w:tplc="F3C2251E">
      <w:start w:val="1"/>
      <w:numFmt w:val="lowerRoman"/>
      <w:pStyle w:val="CaselawNumberedi"/>
      <w:lvlText w:val="(%1)"/>
      <w:lvlJc w:val="left"/>
      <w:pPr>
        <w:ind w:left="2160" w:hanging="360"/>
      </w:pPr>
      <w:rPr>
        <w:rFonts w:hint="default"/>
      </w:rPr>
    </w:lvl>
    <w:lvl w:ilvl="1" w:tplc="0C090019" w:tentative="true">
      <w:start w:val="1"/>
      <w:numFmt w:val="lowerLetter"/>
      <w:lvlText w:val="%2."/>
      <w:lvlJc w:val="left"/>
      <w:pPr>
        <w:ind w:left="2880" w:hanging="360"/>
      </w:pPr>
    </w:lvl>
    <w:lvl w:ilvl="2" w:tplc="0C09001B" w:tentative="true">
      <w:start w:val="1"/>
      <w:numFmt w:val="lowerRoman"/>
      <w:lvlText w:val="%3."/>
      <w:lvlJc w:val="right"/>
      <w:pPr>
        <w:ind w:left="3600" w:hanging="180"/>
      </w:pPr>
    </w:lvl>
    <w:lvl w:ilvl="3" w:tplc="0C09000F" w:tentative="true">
      <w:start w:val="1"/>
      <w:numFmt w:val="decimal"/>
      <w:lvlText w:val="%4."/>
      <w:lvlJc w:val="left"/>
      <w:pPr>
        <w:ind w:left="4320" w:hanging="360"/>
      </w:pPr>
    </w:lvl>
    <w:lvl w:ilvl="4" w:tplc="0C090019" w:tentative="true">
      <w:start w:val="1"/>
      <w:numFmt w:val="lowerLetter"/>
      <w:lvlText w:val="%5."/>
      <w:lvlJc w:val="left"/>
      <w:pPr>
        <w:ind w:left="5040" w:hanging="360"/>
      </w:pPr>
    </w:lvl>
    <w:lvl w:ilvl="5" w:tplc="0C09001B" w:tentative="true">
      <w:start w:val="1"/>
      <w:numFmt w:val="lowerRoman"/>
      <w:lvlText w:val="%6."/>
      <w:lvlJc w:val="right"/>
      <w:pPr>
        <w:ind w:left="5760" w:hanging="180"/>
      </w:pPr>
    </w:lvl>
    <w:lvl w:ilvl="6" w:tplc="0C09000F" w:tentative="true">
      <w:start w:val="1"/>
      <w:numFmt w:val="decimal"/>
      <w:lvlText w:val="%7."/>
      <w:lvlJc w:val="left"/>
      <w:pPr>
        <w:ind w:left="6480" w:hanging="360"/>
      </w:pPr>
    </w:lvl>
    <w:lvl w:ilvl="7" w:tplc="0C090019" w:tentative="true">
      <w:start w:val="1"/>
      <w:numFmt w:val="lowerLetter"/>
      <w:lvlText w:val="%8."/>
      <w:lvlJc w:val="left"/>
      <w:pPr>
        <w:ind w:left="7200" w:hanging="360"/>
      </w:pPr>
    </w:lvl>
    <w:lvl w:ilvl="8" w:tplc="0C09001B" w:tentative="true">
      <w:start w:val="1"/>
      <w:numFmt w:val="lowerRoman"/>
      <w:lvlText w:val="%9."/>
      <w:lvlJc w:val="right"/>
      <w:pPr>
        <w:ind w:left="7920" w:hanging="180"/>
      </w:pPr>
    </w:lvl>
  </w:abstractNum>
  <w:abstractNum w:abstractNumId="13">
    <w:nsid w:val="46736775"/>
    <w:multiLevelType w:val="hybridMultilevel"/>
    <w:tmpl w:val="81BEEDF8"/>
    <w:lvl w:ilvl="0" w:tplc="0C090001">
      <w:start w:val="1"/>
      <w:numFmt w:val="bullet"/>
      <w:lvlText w:val=""/>
      <w:lvlJc w:val="left"/>
      <w:pPr>
        <w:ind w:left="720" w:hanging="360"/>
      </w:pPr>
      <w:rPr>
        <w:rFonts w:hint="default" w:ascii="Symbol" w:hAnsi="Symbol"/>
      </w:rPr>
    </w:lvl>
    <w:lvl w:ilvl="1" w:tplc="0C090003">
      <w:start w:val="1"/>
      <w:numFmt w:val="bullet"/>
      <w:lvlText w:val="o"/>
      <w:lvlJc w:val="left"/>
      <w:pPr>
        <w:ind w:left="1440" w:hanging="360"/>
      </w:pPr>
      <w:rPr>
        <w:rFonts w:hint="default" w:ascii="Courier New" w:hAnsi="Courier New" w:cs="Courier New"/>
      </w:rPr>
    </w:lvl>
    <w:lvl w:ilvl="2" w:tplc="0C090005">
      <w:start w:val="1"/>
      <w:numFmt w:val="bullet"/>
      <w:lvlText w:val=""/>
      <w:lvlJc w:val="left"/>
      <w:pPr>
        <w:ind w:left="2160" w:hanging="360"/>
      </w:pPr>
      <w:rPr>
        <w:rFonts w:hint="default" w:ascii="Wingdings" w:hAnsi="Wingdings"/>
      </w:rPr>
    </w:lvl>
    <w:lvl w:ilvl="3" w:tplc="0C090001">
      <w:start w:val="1"/>
      <w:numFmt w:val="bullet"/>
      <w:lvlText w:val=""/>
      <w:lvlJc w:val="left"/>
      <w:pPr>
        <w:ind w:left="2880" w:hanging="360"/>
      </w:pPr>
      <w:rPr>
        <w:rFonts w:hint="default" w:ascii="Symbol" w:hAnsi="Symbol"/>
      </w:rPr>
    </w:lvl>
    <w:lvl w:ilvl="4" w:tplc="0C090003">
      <w:start w:val="1"/>
      <w:numFmt w:val="bullet"/>
      <w:lvlText w:val="o"/>
      <w:lvlJc w:val="left"/>
      <w:pPr>
        <w:ind w:left="3600" w:hanging="360"/>
      </w:pPr>
      <w:rPr>
        <w:rFonts w:hint="default" w:ascii="Courier New" w:hAnsi="Courier New" w:cs="Courier New"/>
      </w:rPr>
    </w:lvl>
    <w:lvl w:ilvl="5" w:tplc="0C090005">
      <w:start w:val="1"/>
      <w:numFmt w:val="bullet"/>
      <w:lvlText w:val=""/>
      <w:lvlJc w:val="left"/>
      <w:pPr>
        <w:ind w:left="4320" w:hanging="360"/>
      </w:pPr>
      <w:rPr>
        <w:rFonts w:hint="default" w:ascii="Wingdings" w:hAnsi="Wingdings"/>
      </w:rPr>
    </w:lvl>
    <w:lvl w:ilvl="6" w:tplc="0C090001">
      <w:start w:val="1"/>
      <w:numFmt w:val="bullet"/>
      <w:lvlText w:val=""/>
      <w:lvlJc w:val="left"/>
      <w:pPr>
        <w:ind w:left="5040" w:hanging="360"/>
      </w:pPr>
      <w:rPr>
        <w:rFonts w:hint="default" w:ascii="Symbol" w:hAnsi="Symbol"/>
      </w:rPr>
    </w:lvl>
    <w:lvl w:ilvl="7" w:tplc="0C090003">
      <w:start w:val="1"/>
      <w:numFmt w:val="bullet"/>
      <w:lvlText w:val="o"/>
      <w:lvlJc w:val="left"/>
      <w:pPr>
        <w:ind w:left="5760" w:hanging="360"/>
      </w:pPr>
      <w:rPr>
        <w:rFonts w:hint="default" w:ascii="Courier New" w:hAnsi="Courier New" w:cs="Courier New"/>
      </w:rPr>
    </w:lvl>
    <w:lvl w:ilvl="8" w:tplc="0C090005">
      <w:start w:val="1"/>
      <w:numFmt w:val="bullet"/>
      <w:lvlText w:val=""/>
      <w:lvlJc w:val="left"/>
      <w:pPr>
        <w:ind w:left="6480" w:hanging="360"/>
      </w:pPr>
      <w:rPr>
        <w:rFonts w:hint="default" w:ascii="Wingdings" w:hAnsi="Wingdings"/>
      </w:rPr>
    </w:lvl>
  </w:abstractNum>
  <w:abstractNum w:abstractNumId="14">
    <w:nsid w:val="4A6E132D"/>
    <w:multiLevelType w:val="multilevel"/>
    <w:tmpl w:val="EFFE9968"/>
    <w:lvl w:ilvl="0">
      <w:start w:val="1"/>
      <w:numFmt w:val="upperLetter"/>
      <w:lvlText w:val="%1."/>
      <w:lvlJc w:val="left"/>
      <w:pPr>
        <w:tabs>
          <w:tab w:val="num" w:pos="-288"/>
        </w:tabs>
        <w:ind w:left="-288" w:hanging="432"/>
      </w:pPr>
    </w:lvl>
    <w:lvl w:ilvl="1">
      <w:start w:val="1"/>
      <w:numFmt w:val="decimal"/>
      <w:pStyle w:val="AppendixHeading2"/>
      <w:lvlText w:val="%1.%2"/>
      <w:lvlJc w:val="left"/>
      <w:pPr>
        <w:tabs>
          <w:tab w:val="num" w:pos="-144"/>
        </w:tabs>
        <w:ind w:left="-144" w:hanging="576"/>
      </w:pPr>
    </w:lvl>
    <w:lvl w:ilvl="2">
      <w:start w:val="1"/>
      <w:numFmt w:val="decimal"/>
      <w:lvlText w:val="%2.%1.%3"/>
      <w:lvlJc w:val="left"/>
      <w:pPr>
        <w:tabs>
          <w:tab w:val="num" w:pos="360"/>
        </w:tabs>
        <w:ind w:left="0" w:hanging="720"/>
      </w:pPr>
    </w:lvl>
    <w:lvl w:ilvl="3">
      <w:start w:val="1"/>
      <w:numFmt w:val="decimal"/>
      <w:lvlText w:val="%1.%2.%3.%4"/>
      <w:lvlJc w:val="left"/>
      <w:pPr>
        <w:tabs>
          <w:tab w:val="num" w:pos="144"/>
        </w:tabs>
        <w:ind w:left="144" w:hanging="864"/>
      </w:pPr>
    </w:lvl>
    <w:lvl w:ilvl="4">
      <w:start w:val="1"/>
      <w:numFmt w:val="decimal"/>
      <w:lvlText w:val="%1.%2.%3.%4.%5"/>
      <w:lvlJc w:val="left"/>
      <w:pPr>
        <w:tabs>
          <w:tab w:val="num" w:pos="288"/>
        </w:tabs>
        <w:ind w:left="288" w:hanging="1008"/>
      </w:pPr>
    </w:lvl>
    <w:lvl w:ilvl="5">
      <w:start w:val="1"/>
      <w:numFmt w:val="decimal"/>
      <w:lvlText w:val="%1.%2.%3.%4.%5.%6"/>
      <w:lvlJc w:val="left"/>
      <w:pPr>
        <w:tabs>
          <w:tab w:val="num" w:pos="432"/>
        </w:tabs>
        <w:ind w:left="432" w:hanging="1152"/>
      </w:pPr>
    </w:lvl>
    <w:lvl w:ilvl="6">
      <w:start w:val="1"/>
      <w:numFmt w:val="decimal"/>
      <w:lvlText w:val="%1.%2.%3.%4.%5.%6.%7"/>
      <w:lvlJc w:val="left"/>
      <w:pPr>
        <w:tabs>
          <w:tab w:val="num" w:pos="576"/>
        </w:tabs>
        <w:ind w:left="576" w:hanging="1296"/>
      </w:pPr>
    </w:lvl>
    <w:lvl w:ilvl="7">
      <w:start w:val="1"/>
      <w:numFmt w:val="decimal"/>
      <w:lvlText w:val="%1.%2.%3.%4.%5.%6.%7.%8"/>
      <w:lvlJc w:val="left"/>
      <w:pPr>
        <w:tabs>
          <w:tab w:val="num" w:pos="720"/>
        </w:tabs>
        <w:ind w:left="720" w:hanging="1440"/>
      </w:pPr>
    </w:lvl>
    <w:lvl w:ilvl="8">
      <w:start w:val="1"/>
      <w:numFmt w:val="decimal"/>
      <w:lvlText w:val="%1.%2.%3.%4.%5.%6.%7.%8.%9"/>
      <w:lvlJc w:val="left"/>
      <w:pPr>
        <w:tabs>
          <w:tab w:val="num" w:pos="864"/>
        </w:tabs>
        <w:ind w:left="864" w:hanging="1584"/>
      </w:pPr>
    </w:lvl>
  </w:abstractNum>
  <w:abstractNum w:abstractNumId="15">
    <w:nsid w:val="50702DEE"/>
    <w:multiLevelType w:val="hybridMultilevel"/>
    <w:tmpl w:val="4DA6461C"/>
    <w:lvl w:ilvl="0" w:tplc="00C27798">
      <w:start w:val="1"/>
      <w:numFmt w:val="lowerLetter"/>
      <w:pStyle w:val="CaselawNumbereda"/>
      <w:lvlText w:val="(%1)"/>
      <w:lvlJc w:val="left"/>
      <w:pPr>
        <w:ind w:left="1440" w:hanging="360"/>
      </w:pPr>
      <w:rPr>
        <w:rFonts w:hint="default"/>
      </w:rPr>
    </w:lvl>
    <w:lvl w:ilvl="1" w:tplc="0C090019" w:tentative="true">
      <w:start w:val="1"/>
      <w:numFmt w:val="lowerLetter"/>
      <w:lvlText w:val="%2."/>
      <w:lvlJc w:val="left"/>
      <w:pPr>
        <w:ind w:left="2160" w:hanging="360"/>
      </w:pPr>
    </w:lvl>
    <w:lvl w:ilvl="2" w:tplc="0C09001B" w:tentative="true">
      <w:start w:val="1"/>
      <w:numFmt w:val="lowerRoman"/>
      <w:lvlText w:val="%3."/>
      <w:lvlJc w:val="right"/>
      <w:pPr>
        <w:ind w:left="2880" w:hanging="180"/>
      </w:pPr>
    </w:lvl>
    <w:lvl w:ilvl="3" w:tplc="0C09000F" w:tentative="true">
      <w:start w:val="1"/>
      <w:numFmt w:val="decimal"/>
      <w:lvlText w:val="%4."/>
      <w:lvlJc w:val="left"/>
      <w:pPr>
        <w:ind w:left="3600" w:hanging="360"/>
      </w:pPr>
    </w:lvl>
    <w:lvl w:ilvl="4" w:tplc="0C090019" w:tentative="true">
      <w:start w:val="1"/>
      <w:numFmt w:val="lowerLetter"/>
      <w:lvlText w:val="%5."/>
      <w:lvlJc w:val="left"/>
      <w:pPr>
        <w:ind w:left="4320" w:hanging="360"/>
      </w:pPr>
    </w:lvl>
    <w:lvl w:ilvl="5" w:tplc="0C09001B" w:tentative="true">
      <w:start w:val="1"/>
      <w:numFmt w:val="lowerRoman"/>
      <w:lvlText w:val="%6."/>
      <w:lvlJc w:val="right"/>
      <w:pPr>
        <w:ind w:left="5040" w:hanging="180"/>
      </w:pPr>
    </w:lvl>
    <w:lvl w:ilvl="6" w:tplc="0C09000F" w:tentative="true">
      <w:start w:val="1"/>
      <w:numFmt w:val="decimal"/>
      <w:lvlText w:val="%7."/>
      <w:lvlJc w:val="left"/>
      <w:pPr>
        <w:ind w:left="5760" w:hanging="360"/>
      </w:pPr>
    </w:lvl>
    <w:lvl w:ilvl="7" w:tplc="0C090019" w:tentative="true">
      <w:start w:val="1"/>
      <w:numFmt w:val="lowerLetter"/>
      <w:lvlText w:val="%8."/>
      <w:lvlJc w:val="left"/>
      <w:pPr>
        <w:ind w:left="6480" w:hanging="360"/>
      </w:pPr>
    </w:lvl>
    <w:lvl w:ilvl="8" w:tplc="0C09001B" w:tentative="true">
      <w:start w:val="1"/>
      <w:numFmt w:val="lowerRoman"/>
      <w:lvlText w:val="%9."/>
      <w:lvlJc w:val="right"/>
      <w:pPr>
        <w:ind w:left="7200" w:hanging="180"/>
      </w:pPr>
    </w:lvl>
  </w:abstractNum>
  <w:abstractNum w:abstractNumId="16">
    <w:nsid w:val="52623F3D"/>
    <w:multiLevelType w:val="hybridMultilevel"/>
    <w:tmpl w:val="A106EF2E"/>
    <w:lvl w:ilvl="0" w:tplc="4DAC301C">
      <w:start w:val="1"/>
      <w:numFmt w:val="decimal"/>
      <w:pStyle w:val="CaselawNumbered10"/>
      <w:lvlText w:val="%1"/>
      <w:lvlJc w:val="left"/>
      <w:pPr>
        <w:ind w:left="360" w:hanging="360"/>
      </w:pPr>
      <w:rPr>
        <w:rFonts w:hint="default"/>
      </w:rPr>
    </w:lvl>
    <w:lvl w:ilvl="1" w:tplc="0C090019" w:tentative="true">
      <w:start w:val="1"/>
      <w:numFmt w:val="lowerLetter"/>
      <w:lvlText w:val="%2."/>
      <w:lvlJc w:val="left"/>
      <w:pPr>
        <w:ind w:left="2160" w:hanging="360"/>
      </w:pPr>
    </w:lvl>
    <w:lvl w:ilvl="2" w:tplc="0C09001B" w:tentative="true">
      <w:start w:val="1"/>
      <w:numFmt w:val="lowerRoman"/>
      <w:lvlText w:val="%3."/>
      <w:lvlJc w:val="right"/>
      <w:pPr>
        <w:ind w:left="2880" w:hanging="180"/>
      </w:pPr>
    </w:lvl>
    <w:lvl w:ilvl="3" w:tplc="0C09000F" w:tentative="true">
      <w:start w:val="1"/>
      <w:numFmt w:val="decimal"/>
      <w:lvlText w:val="%4."/>
      <w:lvlJc w:val="left"/>
      <w:pPr>
        <w:ind w:left="3600" w:hanging="360"/>
      </w:pPr>
    </w:lvl>
    <w:lvl w:ilvl="4" w:tplc="0C090019" w:tentative="true">
      <w:start w:val="1"/>
      <w:numFmt w:val="lowerLetter"/>
      <w:lvlText w:val="%5."/>
      <w:lvlJc w:val="left"/>
      <w:pPr>
        <w:ind w:left="4320" w:hanging="360"/>
      </w:pPr>
    </w:lvl>
    <w:lvl w:ilvl="5" w:tplc="0C09001B" w:tentative="true">
      <w:start w:val="1"/>
      <w:numFmt w:val="lowerRoman"/>
      <w:lvlText w:val="%6."/>
      <w:lvlJc w:val="right"/>
      <w:pPr>
        <w:ind w:left="5040" w:hanging="180"/>
      </w:pPr>
    </w:lvl>
    <w:lvl w:ilvl="6" w:tplc="0C09000F" w:tentative="true">
      <w:start w:val="1"/>
      <w:numFmt w:val="decimal"/>
      <w:lvlText w:val="%7."/>
      <w:lvlJc w:val="left"/>
      <w:pPr>
        <w:ind w:left="5760" w:hanging="360"/>
      </w:pPr>
    </w:lvl>
    <w:lvl w:ilvl="7" w:tplc="0C090019" w:tentative="true">
      <w:start w:val="1"/>
      <w:numFmt w:val="lowerLetter"/>
      <w:lvlText w:val="%8."/>
      <w:lvlJc w:val="left"/>
      <w:pPr>
        <w:ind w:left="6480" w:hanging="360"/>
      </w:pPr>
    </w:lvl>
    <w:lvl w:ilvl="8" w:tplc="0C09001B" w:tentative="true">
      <w:start w:val="1"/>
      <w:numFmt w:val="lowerRoman"/>
      <w:lvlText w:val="%9."/>
      <w:lvlJc w:val="right"/>
      <w:pPr>
        <w:ind w:left="7200" w:hanging="180"/>
      </w:pPr>
    </w:lvl>
  </w:abstractNum>
  <w:abstractNum w:abstractNumId="17">
    <w:nsid w:val="52CC25B4"/>
    <w:multiLevelType w:val="hybridMultilevel"/>
    <w:tmpl w:val="3DEE3746"/>
    <w:lvl w:ilvl="0" w:tplc="779C3EE2">
      <w:start w:val="1"/>
      <w:numFmt w:val="bullet"/>
      <w:pStyle w:val="ListBulletIndent"/>
      <w:lvlText w:val="o"/>
      <w:lvlJc w:val="left"/>
      <w:pPr>
        <w:tabs>
          <w:tab w:val="num" w:pos="1159"/>
        </w:tabs>
        <w:ind w:left="1159" w:hanging="360"/>
      </w:pPr>
      <w:rPr>
        <w:rFonts w:hint="default" w:ascii="Courier New" w:hAnsi="Courier New" w:cs="Times New Roman"/>
      </w:rPr>
    </w:lvl>
    <w:lvl w:ilvl="1" w:tplc="04090003">
      <w:start w:val="1"/>
      <w:numFmt w:val="bullet"/>
      <w:lvlText w:val="o"/>
      <w:lvlJc w:val="left"/>
      <w:pPr>
        <w:tabs>
          <w:tab w:val="num" w:pos="2160"/>
        </w:tabs>
        <w:ind w:left="2160" w:hanging="360"/>
      </w:pPr>
      <w:rPr>
        <w:rFonts w:hint="default" w:ascii="Courier New" w:hAnsi="Courier New" w:cs="Times New Roman"/>
      </w:rPr>
    </w:lvl>
    <w:lvl w:ilvl="2" w:tplc="04090005">
      <w:start w:val="1"/>
      <w:numFmt w:val="bullet"/>
      <w:lvlText w:val=""/>
      <w:lvlJc w:val="left"/>
      <w:pPr>
        <w:tabs>
          <w:tab w:val="num" w:pos="2880"/>
        </w:tabs>
        <w:ind w:left="2880" w:hanging="360"/>
      </w:pPr>
      <w:rPr>
        <w:rFonts w:hint="default" w:ascii="Wingdings" w:hAnsi="Wingdings"/>
      </w:rPr>
    </w:lvl>
    <w:lvl w:ilvl="3" w:tplc="04090001">
      <w:start w:val="1"/>
      <w:numFmt w:val="bullet"/>
      <w:lvlText w:val=""/>
      <w:lvlJc w:val="left"/>
      <w:pPr>
        <w:tabs>
          <w:tab w:val="num" w:pos="3600"/>
        </w:tabs>
        <w:ind w:left="3600" w:hanging="360"/>
      </w:pPr>
      <w:rPr>
        <w:rFonts w:hint="default" w:ascii="Symbol" w:hAnsi="Symbol"/>
      </w:rPr>
    </w:lvl>
    <w:lvl w:ilvl="4" w:tplc="04090003">
      <w:start w:val="1"/>
      <w:numFmt w:val="bullet"/>
      <w:lvlText w:val="o"/>
      <w:lvlJc w:val="left"/>
      <w:pPr>
        <w:tabs>
          <w:tab w:val="num" w:pos="4320"/>
        </w:tabs>
        <w:ind w:left="4320" w:hanging="360"/>
      </w:pPr>
      <w:rPr>
        <w:rFonts w:hint="default" w:ascii="Courier New" w:hAnsi="Courier New" w:cs="Times New Roman"/>
      </w:rPr>
    </w:lvl>
    <w:lvl w:ilvl="5" w:tplc="04090005">
      <w:start w:val="1"/>
      <w:numFmt w:val="bullet"/>
      <w:lvlText w:val=""/>
      <w:lvlJc w:val="left"/>
      <w:pPr>
        <w:tabs>
          <w:tab w:val="num" w:pos="5040"/>
        </w:tabs>
        <w:ind w:left="5040" w:hanging="360"/>
      </w:pPr>
      <w:rPr>
        <w:rFonts w:hint="default" w:ascii="Wingdings" w:hAnsi="Wingdings"/>
      </w:rPr>
    </w:lvl>
    <w:lvl w:ilvl="6" w:tplc="04090001">
      <w:start w:val="1"/>
      <w:numFmt w:val="bullet"/>
      <w:lvlText w:val=""/>
      <w:lvlJc w:val="left"/>
      <w:pPr>
        <w:tabs>
          <w:tab w:val="num" w:pos="5760"/>
        </w:tabs>
        <w:ind w:left="5760" w:hanging="360"/>
      </w:pPr>
      <w:rPr>
        <w:rFonts w:hint="default" w:ascii="Symbol" w:hAnsi="Symbol"/>
      </w:rPr>
    </w:lvl>
    <w:lvl w:ilvl="7" w:tplc="04090003">
      <w:start w:val="1"/>
      <w:numFmt w:val="bullet"/>
      <w:lvlText w:val="o"/>
      <w:lvlJc w:val="left"/>
      <w:pPr>
        <w:tabs>
          <w:tab w:val="num" w:pos="6480"/>
        </w:tabs>
        <w:ind w:left="6480" w:hanging="360"/>
      </w:pPr>
      <w:rPr>
        <w:rFonts w:hint="default" w:ascii="Courier New" w:hAnsi="Courier New" w:cs="Times New Roman"/>
      </w:rPr>
    </w:lvl>
    <w:lvl w:ilvl="8" w:tplc="04090005">
      <w:start w:val="1"/>
      <w:numFmt w:val="bullet"/>
      <w:lvlText w:val=""/>
      <w:lvlJc w:val="left"/>
      <w:pPr>
        <w:tabs>
          <w:tab w:val="num" w:pos="7200"/>
        </w:tabs>
        <w:ind w:left="7200" w:hanging="360"/>
      </w:pPr>
      <w:rPr>
        <w:rFonts w:hint="default" w:ascii="Wingdings" w:hAnsi="Wingdings"/>
      </w:rPr>
    </w:lvl>
  </w:abstractNum>
  <w:abstractNum w:abstractNumId="18">
    <w:nsid w:val="63917B65"/>
    <w:multiLevelType w:val="hybridMultilevel"/>
    <w:tmpl w:val="28DA8504"/>
    <w:lvl w:ilvl="0" w:tplc="7EBEE17E">
      <w:start w:val="1"/>
      <w:numFmt w:val="bullet"/>
      <w:lvlText w:val="•"/>
      <w:lvlJc w:val="left"/>
      <w:pPr>
        <w:tabs>
          <w:tab w:val="num" w:pos="720"/>
        </w:tabs>
        <w:ind w:left="720" w:hanging="360"/>
      </w:pPr>
      <w:rPr>
        <w:rFonts w:hint="default" w:ascii="Arial" w:hAnsi="Arial" w:cs="Times New Roman"/>
      </w:rPr>
    </w:lvl>
    <w:lvl w:ilvl="1" w:tplc="1DCC5FE4">
      <w:start w:val="1"/>
      <w:numFmt w:val="bullet"/>
      <w:lvlText w:val="•"/>
      <w:lvlJc w:val="left"/>
      <w:pPr>
        <w:tabs>
          <w:tab w:val="num" w:pos="1440"/>
        </w:tabs>
        <w:ind w:left="1440" w:hanging="360"/>
      </w:pPr>
      <w:rPr>
        <w:rFonts w:hint="default" w:ascii="Arial" w:hAnsi="Arial" w:cs="Times New Roman"/>
      </w:rPr>
    </w:lvl>
    <w:lvl w:ilvl="2" w:tplc="2E2254E0">
      <w:start w:val="1"/>
      <w:numFmt w:val="bullet"/>
      <w:lvlText w:val="•"/>
      <w:lvlJc w:val="left"/>
      <w:pPr>
        <w:tabs>
          <w:tab w:val="num" w:pos="2160"/>
        </w:tabs>
        <w:ind w:left="2160" w:hanging="360"/>
      </w:pPr>
      <w:rPr>
        <w:rFonts w:hint="default" w:ascii="Arial" w:hAnsi="Arial" w:cs="Times New Roman"/>
      </w:rPr>
    </w:lvl>
    <w:lvl w:ilvl="3" w:tplc="A5A07C72">
      <w:start w:val="1"/>
      <w:numFmt w:val="bullet"/>
      <w:lvlText w:val="•"/>
      <w:lvlJc w:val="left"/>
      <w:pPr>
        <w:tabs>
          <w:tab w:val="num" w:pos="2880"/>
        </w:tabs>
        <w:ind w:left="2880" w:hanging="360"/>
      </w:pPr>
      <w:rPr>
        <w:rFonts w:hint="default" w:ascii="Arial" w:hAnsi="Arial" w:cs="Times New Roman"/>
      </w:rPr>
    </w:lvl>
    <w:lvl w:ilvl="4" w:tplc="9E8A9A4E">
      <w:start w:val="1"/>
      <w:numFmt w:val="bullet"/>
      <w:lvlText w:val="•"/>
      <w:lvlJc w:val="left"/>
      <w:pPr>
        <w:tabs>
          <w:tab w:val="num" w:pos="3600"/>
        </w:tabs>
        <w:ind w:left="3600" w:hanging="360"/>
      </w:pPr>
      <w:rPr>
        <w:rFonts w:hint="default" w:ascii="Arial" w:hAnsi="Arial" w:cs="Times New Roman"/>
      </w:rPr>
    </w:lvl>
    <w:lvl w:ilvl="5" w:tplc="31ACE6B0">
      <w:start w:val="1"/>
      <w:numFmt w:val="bullet"/>
      <w:lvlText w:val="•"/>
      <w:lvlJc w:val="left"/>
      <w:pPr>
        <w:tabs>
          <w:tab w:val="num" w:pos="4320"/>
        </w:tabs>
        <w:ind w:left="4320" w:hanging="360"/>
      </w:pPr>
      <w:rPr>
        <w:rFonts w:hint="default" w:ascii="Arial" w:hAnsi="Arial" w:cs="Times New Roman"/>
      </w:rPr>
    </w:lvl>
    <w:lvl w:ilvl="6" w:tplc="AB685CD0">
      <w:start w:val="1"/>
      <w:numFmt w:val="bullet"/>
      <w:lvlText w:val="•"/>
      <w:lvlJc w:val="left"/>
      <w:pPr>
        <w:tabs>
          <w:tab w:val="num" w:pos="5040"/>
        </w:tabs>
        <w:ind w:left="5040" w:hanging="360"/>
      </w:pPr>
      <w:rPr>
        <w:rFonts w:hint="default" w:ascii="Arial" w:hAnsi="Arial" w:cs="Times New Roman"/>
      </w:rPr>
    </w:lvl>
    <w:lvl w:ilvl="7" w:tplc="FC002C06">
      <w:start w:val="1"/>
      <w:numFmt w:val="bullet"/>
      <w:lvlText w:val="•"/>
      <w:lvlJc w:val="left"/>
      <w:pPr>
        <w:tabs>
          <w:tab w:val="num" w:pos="5760"/>
        </w:tabs>
        <w:ind w:left="5760" w:hanging="360"/>
      </w:pPr>
      <w:rPr>
        <w:rFonts w:hint="default" w:ascii="Arial" w:hAnsi="Arial" w:cs="Times New Roman"/>
      </w:rPr>
    </w:lvl>
    <w:lvl w:ilvl="8" w:tplc="6338C1FE">
      <w:start w:val="1"/>
      <w:numFmt w:val="bullet"/>
      <w:lvlText w:val="•"/>
      <w:lvlJc w:val="left"/>
      <w:pPr>
        <w:tabs>
          <w:tab w:val="num" w:pos="6480"/>
        </w:tabs>
        <w:ind w:left="6480" w:hanging="360"/>
      </w:pPr>
      <w:rPr>
        <w:rFonts w:hint="default" w:ascii="Arial" w:hAnsi="Arial" w:cs="Times New Roman"/>
      </w:rPr>
    </w:lvl>
  </w:abstractNum>
  <w:abstractNum w:abstractNumId="19">
    <w:nsid w:val="643A5861"/>
    <w:multiLevelType w:val="hybridMultilevel"/>
    <w:tmpl w:val="5DFCE9E6"/>
    <w:lvl w:ilvl="0" w:tplc="8E086518">
      <w:start w:val="1"/>
      <w:numFmt w:val="bullet"/>
      <w:pStyle w:val="Bulletforblueiinfo"/>
      <w:lvlText w:val=""/>
      <w:lvlJc w:val="left"/>
      <w:pPr>
        <w:tabs>
          <w:tab w:val="num" w:pos="737"/>
        </w:tabs>
        <w:ind w:left="737" w:hanging="368"/>
      </w:pPr>
      <w:rPr>
        <w:rFonts w:hint="default" w:ascii="Symbol" w:hAnsi="Symbol"/>
      </w:rPr>
    </w:lvl>
    <w:lvl w:ilvl="1" w:tplc="04090003">
      <w:start w:val="1"/>
      <w:numFmt w:val="bullet"/>
      <w:lvlText w:val="o"/>
      <w:lvlJc w:val="left"/>
      <w:pPr>
        <w:tabs>
          <w:tab w:val="num" w:pos="1440"/>
        </w:tabs>
        <w:ind w:left="1440" w:hanging="360"/>
      </w:pPr>
      <w:rPr>
        <w:rFonts w:hint="default" w:ascii="Courier New" w:hAnsi="Courier New" w:cs="Times New Roman"/>
      </w:rPr>
    </w:lvl>
    <w:lvl w:ilvl="2" w:tplc="04090005">
      <w:start w:val="1"/>
      <w:numFmt w:val="bullet"/>
      <w:lvlText w:val=""/>
      <w:lvlJc w:val="left"/>
      <w:pPr>
        <w:tabs>
          <w:tab w:val="num" w:pos="2160"/>
        </w:tabs>
        <w:ind w:left="2160" w:hanging="360"/>
      </w:pPr>
      <w:rPr>
        <w:rFonts w:hint="default" w:ascii="Wingdings" w:hAnsi="Wingdings"/>
      </w:rPr>
    </w:lvl>
    <w:lvl w:ilvl="3" w:tplc="04090001">
      <w:start w:val="1"/>
      <w:numFmt w:val="bullet"/>
      <w:lvlText w:val=""/>
      <w:lvlJc w:val="left"/>
      <w:pPr>
        <w:tabs>
          <w:tab w:val="num" w:pos="2880"/>
        </w:tabs>
        <w:ind w:left="2880" w:hanging="360"/>
      </w:pPr>
      <w:rPr>
        <w:rFonts w:hint="default" w:ascii="Symbol" w:hAnsi="Symbol"/>
      </w:rPr>
    </w:lvl>
    <w:lvl w:ilvl="4" w:tplc="04090003">
      <w:start w:val="1"/>
      <w:numFmt w:val="bullet"/>
      <w:lvlText w:val="o"/>
      <w:lvlJc w:val="left"/>
      <w:pPr>
        <w:tabs>
          <w:tab w:val="num" w:pos="3600"/>
        </w:tabs>
        <w:ind w:left="3600" w:hanging="360"/>
      </w:pPr>
      <w:rPr>
        <w:rFonts w:hint="default" w:ascii="Courier New" w:hAnsi="Courier New" w:cs="Times New Roman"/>
      </w:rPr>
    </w:lvl>
    <w:lvl w:ilvl="5" w:tplc="04090005">
      <w:start w:val="1"/>
      <w:numFmt w:val="bullet"/>
      <w:lvlText w:val=""/>
      <w:lvlJc w:val="left"/>
      <w:pPr>
        <w:tabs>
          <w:tab w:val="num" w:pos="4320"/>
        </w:tabs>
        <w:ind w:left="4320" w:hanging="360"/>
      </w:pPr>
      <w:rPr>
        <w:rFonts w:hint="default" w:ascii="Wingdings" w:hAnsi="Wingdings"/>
      </w:rPr>
    </w:lvl>
    <w:lvl w:ilvl="6" w:tplc="04090001">
      <w:start w:val="1"/>
      <w:numFmt w:val="bullet"/>
      <w:lvlText w:val=""/>
      <w:lvlJc w:val="left"/>
      <w:pPr>
        <w:tabs>
          <w:tab w:val="num" w:pos="5040"/>
        </w:tabs>
        <w:ind w:left="5040" w:hanging="360"/>
      </w:pPr>
      <w:rPr>
        <w:rFonts w:hint="default" w:ascii="Symbol" w:hAnsi="Symbol"/>
      </w:rPr>
    </w:lvl>
    <w:lvl w:ilvl="7" w:tplc="04090003">
      <w:start w:val="1"/>
      <w:numFmt w:val="bullet"/>
      <w:lvlText w:val="o"/>
      <w:lvlJc w:val="left"/>
      <w:pPr>
        <w:tabs>
          <w:tab w:val="num" w:pos="5760"/>
        </w:tabs>
        <w:ind w:left="5760" w:hanging="360"/>
      </w:pPr>
      <w:rPr>
        <w:rFonts w:hint="default" w:ascii="Courier New" w:hAnsi="Courier New" w:cs="Times New Roman"/>
      </w:rPr>
    </w:lvl>
    <w:lvl w:ilvl="8" w:tplc="04090005">
      <w:start w:val="1"/>
      <w:numFmt w:val="bullet"/>
      <w:lvlText w:val=""/>
      <w:lvlJc w:val="left"/>
      <w:pPr>
        <w:tabs>
          <w:tab w:val="num" w:pos="6480"/>
        </w:tabs>
        <w:ind w:left="6480" w:hanging="360"/>
      </w:pPr>
      <w:rPr>
        <w:rFonts w:hint="default" w:ascii="Wingdings" w:hAnsi="Wingdings"/>
      </w:rPr>
    </w:lvl>
  </w:abstractNum>
  <w:abstractNum w:abstractNumId="20">
    <w:nsid w:val="692A3A69"/>
    <w:multiLevelType w:val="hybridMultilevel"/>
    <w:tmpl w:val="05DAD142"/>
    <w:lvl w:ilvl="0" w:tplc="73421F34">
      <w:start w:val="1"/>
      <w:numFmt w:val="bullet"/>
      <w:lvlText w:val="•"/>
      <w:lvlJc w:val="left"/>
      <w:pPr>
        <w:tabs>
          <w:tab w:val="num" w:pos="720"/>
        </w:tabs>
        <w:ind w:left="720" w:hanging="360"/>
      </w:pPr>
      <w:rPr>
        <w:rFonts w:hint="default" w:ascii="Arial" w:hAnsi="Arial" w:cs="Times New Roman"/>
      </w:rPr>
    </w:lvl>
    <w:lvl w:ilvl="1" w:tplc="8320F500">
      <w:start w:val="1"/>
      <w:numFmt w:val="bullet"/>
      <w:lvlText w:val="•"/>
      <w:lvlJc w:val="left"/>
      <w:pPr>
        <w:tabs>
          <w:tab w:val="num" w:pos="1440"/>
        </w:tabs>
        <w:ind w:left="1440" w:hanging="360"/>
      </w:pPr>
      <w:rPr>
        <w:rFonts w:hint="default" w:ascii="Arial" w:hAnsi="Arial" w:cs="Times New Roman"/>
      </w:rPr>
    </w:lvl>
    <w:lvl w:ilvl="2" w:tplc="8544046E">
      <w:start w:val="1"/>
      <w:numFmt w:val="bullet"/>
      <w:lvlText w:val="•"/>
      <w:lvlJc w:val="left"/>
      <w:pPr>
        <w:tabs>
          <w:tab w:val="num" w:pos="2160"/>
        </w:tabs>
        <w:ind w:left="2160" w:hanging="360"/>
      </w:pPr>
      <w:rPr>
        <w:rFonts w:hint="default" w:ascii="Arial" w:hAnsi="Arial" w:cs="Times New Roman"/>
      </w:rPr>
    </w:lvl>
    <w:lvl w:ilvl="3" w:tplc="3D8EF51A">
      <w:start w:val="1"/>
      <w:numFmt w:val="bullet"/>
      <w:lvlText w:val="•"/>
      <w:lvlJc w:val="left"/>
      <w:pPr>
        <w:tabs>
          <w:tab w:val="num" w:pos="2880"/>
        </w:tabs>
        <w:ind w:left="2880" w:hanging="360"/>
      </w:pPr>
      <w:rPr>
        <w:rFonts w:hint="default" w:ascii="Arial" w:hAnsi="Arial" w:cs="Times New Roman"/>
      </w:rPr>
    </w:lvl>
    <w:lvl w:ilvl="4" w:tplc="AEC2BFAC">
      <w:start w:val="1"/>
      <w:numFmt w:val="bullet"/>
      <w:lvlText w:val="•"/>
      <w:lvlJc w:val="left"/>
      <w:pPr>
        <w:tabs>
          <w:tab w:val="num" w:pos="3600"/>
        </w:tabs>
        <w:ind w:left="3600" w:hanging="360"/>
      </w:pPr>
      <w:rPr>
        <w:rFonts w:hint="default" w:ascii="Arial" w:hAnsi="Arial" w:cs="Times New Roman"/>
      </w:rPr>
    </w:lvl>
    <w:lvl w:ilvl="5" w:tplc="DDE2E5A6">
      <w:start w:val="1"/>
      <w:numFmt w:val="bullet"/>
      <w:lvlText w:val="•"/>
      <w:lvlJc w:val="left"/>
      <w:pPr>
        <w:tabs>
          <w:tab w:val="num" w:pos="4320"/>
        </w:tabs>
        <w:ind w:left="4320" w:hanging="360"/>
      </w:pPr>
      <w:rPr>
        <w:rFonts w:hint="default" w:ascii="Arial" w:hAnsi="Arial" w:cs="Times New Roman"/>
      </w:rPr>
    </w:lvl>
    <w:lvl w:ilvl="6" w:tplc="CBFAAEDE">
      <w:start w:val="1"/>
      <w:numFmt w:val="bullet"/>
      <w:lvlText w:val="•"/>
      <w:lvlJc w:val="left"/>
      <w:pPr>
        <w:tabs>
          <w:tab w:val="num" w:pos="5040"/>
        </w:tabs>
        <w:ind w:left="5040" w:hanging="360"/>
      </w:pPr>
      <w:rPr>
        <w:rFonts w:hint="default" w:ascii="Arial" w:hAnsi="Arial" w:cs="Times New Roman"/>
      </w:rPr>
    </w:lvl>
    <w:lvl w:ilvl="7" w:tplc="F90E4540">
      <w:start w:val="1"/>
      <w:numFmt w:val="bullet"/>
      <w:lvlText w:val="•"/>
      <w:lvlJc w:val="left"/>
      <w:pPr>
        <w:tabs>
          <w:tab w:val="num" w:pos="5760"/>
        </w:tabs>
        <w:ind w:left="5760" w:hanging="360"/>
      </w:pPr>
      <w:rPr>
        <w:rFonts w:hint="default" w:ascii="Arial" w:hAnsi="Arial" w:cs="Times New Roman"/>
      </w:rPr>
    </w:lvl>
    <w:lvl w:ilvl="8" w:tplc="2AE6386C">
      <w:start w:val="1"/>
      <w:numFmt w:val="bullet"/>
      <w:lvlText w:val="•"/>
      <w:lvlJc w:val="left"/>
      <w:pPr>
        <w:tabs>
          <w:tab w:val="num" w:pos="6480"/>
        </w:tabs>
        <w:ind w:left="6480" w:hanging="360"/>
      </w:pPr>
      <w:rPr>
        <w:rFonts w:hint="default" w:ascii="Arial" w:hAnsi="Arial" w:cs="Times New Roman"/>
      </w:rPr>
    </w:lvl>
  </w:abstractNum>
  <w:num w:numId="1">
    <w:abstractNumId w:val="16"/>
  </w:num>
  <w:num w:numId="2">
    <w:abstractNumId w:val="10"/>
  </w:num>
  <w:num w:numId="3">
    <w:abstractNumId w:val="15"/>
  </w:num>
  <w:num w:numId="4">
    <w:abstractNumId w:val="12"/>
  </w:num>
  <w:num w:numId="5">
    <w:abstractNumId w:val="8"/>
  </w:num>
  <w:num w:numId="6">
    <w:abstractNumId w:val="6"/>
  </w:num>
  <w:num w:numId="7">
    <w:abstractNumId w:val="0"/>
  </w:num>
  <w:num w:numId="8">
    <w:abstractNumId w:val="17"/>
  </w:num>
  <w:num w:numId="9">
    <w:abstractNumId w:val="2"/>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
  </w:num>
  <w:num w:numId="13">
    <w:abstractNumId w:val="1"/>
  </w:num>
  <w:num w:numId="14">
    <w:abstractNumId w:val="19"/>
  </w:num>
  <w:num w:numId="1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num>
  <w:num w:numId="17">
    <w:abstractNumId w:val="18"/>
  </w:num>
  <w:num w:numId="18">
    <w:abstractNumId w:val="5"/>
  </w:num>
  <w:num w:numId="19">
    <w:abstractNumId w:val="20"/>
  </w:num>
  <w:num w:numId="20">
    <w:abstractNumId w:val="7"/>
  </w:num>
  <w:num w:numId="21">
    <w:abstractNumId w:val="3"/>
  </w:num>
  <w:num w:numId="22">
    <w:abstractNumId w:val="16"/>
    <w:lvlOverride w:ilvl="0">
      <w:startOverride w:val="1"/>
    </w:lvlOverride>
  </w:num>
  <w:num w:numId="23">
    <w:abstractNumId w:val="15"/>
    <w:lvlOverride w:ilvl="0">
      <w:startOverride w:val="1"/>
    </w:lvlOverride>
  </w:num>
  <w:num w:numId="24">
    <w:abstractNumId w:val="16"/>
    <w:lvlOverride w:ilvl="0">
      <w:startOverride w:val="8"/>
    </w:lvlOverride>
  </w:num>
  <w:num w:numId="25">
    <w:abstractNumId w:val="15"/>
    <w:lvlOverride w:ilvl="0">
      <w:startOverride w:val="1"/>
    </w:lvlOverride>
  </w:num>
  <w:num w:numId="26">
    <w:abstractNumId w:val="16"/>
    <w:lvlOverride w:ilvl="0">
      <w:startOverride w:val="9"/>
    </w:lvlOverride>
  </w:num>
  <w:num w:numId="27">
    <w:abstractNumId w:val="16"/>
    <w:lvlOverride w:ilvl="0">
      <w:startOverride w:val="11"/>
    </w:lvlOverride>
  </w:num>
  <w:num w:numId="28">
    <w:abstractNumId w:val="16"/>
    <w:lvlOverride w:ilvl="0">
      <w:startOverride w:val="13"/>
    </w:lvlOverride>
  </w:num>
  <w:num w:numId="29">
    <w:abstractNumId w:val="16"/>
    <w:lvlOverride w:ilvl="0">
      <w:startOverride w:val="14"/>
    </w:lvlOverride>
  </w:num>
  <w:num w:numId="30">
    <w:abstractNumId w:val="16"/>
    <w:lvlOverride w:ilvl="0">
      <w:startOverride w:val="16"/>
    </w:lvlOverride>
  </w:num>
  <w:num w:numId="31">
    <w:abstractNumId w:val="16"/>
    <w:lvlOverride w:ilvl="0">
      <w:startOverride w:val="17"/>
    </w:lvlOverride>
  </w:num>
  <w:num w:numId="32">
    <w:abstractNumId w:val="16"/>
    <w:lvlOverride w:ilvl="0">
      <w:startOverride w:val="19"/>
    </w:lvlOverride>
  </w:num>
  <w:num w:numId="33">
    <w:abstractNumId w:val="16"/>
    <w:lvlOverride w:ilvl="0">
      <w:startOverride w:val="23"/>
    </w:lvlOverride>
  </w:num>
  <w:num w:numId="34">
    <w:abstractNumId w:val="16"/>
    <w:lvlOverride w:ilvl="0">
      <w:startOverride w:val="27"/>
    </w:lvlOverride>
  </w:num>
  <w:num w:numId="35">
    <w:abstractNumId w:val="16"/>
    <w:lvlOverride w:ilvl="0">
      <w:startOverride w:val="31"/>
    </w:lvlOverride>
  </w:num>
  <w:num w:numId="36">
    <w:abstractNumId w:val="16"/>
    <w:lvlOverride w:ilvl="0">
      <w:startOverride w:val="42"/>
    </w:lvlOverride>
  </w:num>
  <w:num w:numId="37">
    <w:abstractNumId w:val="16"/>
    <w:lvlOverride w:ilvl="0">
      <w:startOverride w:val="43"/>
    </w:lvlOverride>
  </w:num>
  <w:num w:numId="38">
    <w:abstractNumId w:val="16"/>
    <w:lvlOverride w:ilvl="0">
      <w:startOverride w:val="44"/>
    </w:lvlOverride>
  </w:num>
  <w:num w:numId="39">
    <w:abstractNumId w:val="16"/>
    <w:lvlOverride w:ilvl="0">
      <w:startOverride w:val="47"/>
    </w:lvlOverride>
  </w:num>
  <w:num w:numId="40">
    <w:abstractNumId w:val="16"/>
    <w:lvlOverride w:ilvl="0">
      <w:startOverride w:val="48"/>
    </w:lvlOverride>
  </w:num>
  <w:num w:numId="41">
    <w:abstractNumId w:val="16"/>
    <w:lvlOverride w:ilvl="0">
      <w:startOverride w:val="49"/>
    </w:lvlOverride>
  </w:num>
  <w:num w:numId="42">
    <w:abstractNumId w:val="16"/>
    <w:lvlOverride w:ilvl="0">
      <w:startOverride w:val="50"/>
    </w:lvlOverride>
  </w:num>
  <w:num w:numId="43">
    <w:abstractNumId w:val="16"/>
    <w:lvlOverride w:ilvl="0">
      <w:startOverride w:val="51"/>
    </w:lvlOverride>
  </w:num>
  <w:num w:numId="44">
    <w:abstractNumId w:val="16"/>
    <w:lvlOverride w:ilvl="0">
      <w:startOverride w:val="52"/>
    </w:lvlOverride>
  </w:num>
  <w:num w:numId="45">
    <w:abstractNumId w:val="16"/>
    <w:lvlOverride w:ilvl="0">
      <w:startOverride w:val="53"/>
    </w:lvlOverride>
  </w:num>
  <w:num w:numId="46">
    <w:abstractNumId w:val="16"/>
    <w:lvlOverride w:ilvl="0">
      <w:startOverride w:val="54"/>
    </w:lvlOverride>
  </w:num>
  <w:num w:numId="47">
    <w:abstractNumId w:val="16"/>
    <w:lvlOverride w:ilvl="0">
      <w:startOverride w:val="55"/>
    </w:lvlOverride>
  </w:num>
  <w:num w:numId="48">
    <w:abstractNumId w:val="16"/>
    <w:lvlOverride w:ilvl="0">
      <w:startOverride w:val="56"/>
    </w:lvlOverride>
  </w:num>
  <w:num w:numId="49">
    <w:abstractNumId w:val="16"/>
    <w:lvlOverride w:ilvl="0">
      <w:startOverride w:val="57"/>
    </w:lvlOverride>
  </w:num>
  <w:num w:numId="50">
    <w:abstractNumId w:val="16"/>
    <w:lvlOverride w:ilvl="0">
      <w:startOverride w:val="58"/>
    </w:lvlOverride>
  </w:num>
  <w:num w:numId="51">
    <w:abstractNumId w:val="16"/>
    <w:lvlOverride w:ilvl="0">
      <w:startOverride w:val="61"/>
    </w:lvlOverride>
  </w:num>
  <w:num w:numId="52">
    <w:abstractNumId w:val="16"/>
    <w:lvlOverride w:ilvl="0">
      <w:startOverride w:val="71"/>
    </w:lvlOverride>
  </w:num>
  <w:num w:numId="53">
    <w:abstractNumId w:val="16"/>
    <w:lvlOverride w:ilvl="0">
      <w:startOverride w:val="75"/>
    </w:lvlOverride>
  </w:num>
  <w:num w:numId="54">
    <w:abstractNumId w:val="16"/>
    <w:lvlOverride w:ilvl="0">
      <w:startOverride w:val="76"/>
    </w:lvlOverride>
  </w:num>
  <w:num w:numId="55">
    <w:abstractNumId w:val="16"/>
    <w:lvlOverride w:ilvl="0">
      <w:startOverride w:val="82"/>
    </w:lvlOverride>
  </w:num>
  <w:num w:numId="56">
    <w:abstractNumId w:val="16"/>
    <w:lvlOverride w:ilvl="0">
      <w:startOverride w:val="84"/>
    </w:lvlOverride>
  </w:num>
  <w:num w:numId="57">
    <w:abstractNumId w:val="16"/>
    <w:lvlOverride w:ilvl="0">
      <w:startOverride w:val="86"/>
    </w:lvlOverride>
  </w:num>
  <w:num w:numId="58">
    <w:abstractNumId w:val="16"/>
    <w:lvlOverride w:ilvl="0">
      <w:startOverride w:val="87"/>
    </w:lvlOverride>
  </w:num>
  <w:num w:numId="59">
    <w:abstractNumId w:val="16"/>
    <w:lvlOverride w:ilvl="0">
      <w:startOverride w:val="92"/>
    </w:lvlOverride>
  </w:num>
  <w:num w:numId="60">
    <w:abstractNumId w:val="15"/>
    <w:lvlOverride w:ilvl="0">
      <w:startOverride w:val="1"/>
    </w:lvlOverride>
  </w:num>
  <w:num w:numId="61">
    <w:abstractNumId w:val="16"/>
    <w:lvlOverride w:ilvl="0">
      <w:startOverride w:val="94"/>
    </w:lvlOverride>
  </w:num>
  <w:num w:numId="62">
    <w:abstractNumId w:val="16"/>
    <w:lvlOverride w:ilvl="0">
      <w:startOverride w:val="101"/>
    </w:lvlOverride>
  </w:num>
  <w:num w:numId="63">
    <w:abstractNumId w:val="16"/>
    <w:lvlOverride w:ilvl="0">
      <w:startOverride w:val="102"/>
    </w:lvlOverride>
  </w:num>
  <w:num w:numId="64">
    <w:abstractNumId w:val="16"/>
    <w:lvlOverride w:ilvl="0">
      <w:startOverride w:val="104"/>
    </w:lvlOverride>
  </w:num>
  <w:num w:numId="65">
    <w:abstractNumId w:val="16"/>
    <w:lvlOverride w:ilvl="0">
      <w:startOverride w:val="112"/>
    </w:lvlOverride>
  </w:num>
  <w:num w:numId="66">
    <w:abstractNumId w:val="16"/>
    <w:lvlOverride w:ilvl="0">
      <w:startOverride w:val="120"/>
    </w:lvlOverride>
  </w:num>
  <w:num w:numId="67">
    <w:abstractNumId w:val="16"/>
    <w:lvlOverride w:ilvl="0">
      <w:startOverride w:val="129"/>
    </w:lvlOverride>
  </w:num>
  <w:num w:numId="68">
    <w:abstractNumId w:val="10"/>
    <w:lvlOverride w:ilvl="0">
      <w:startOverride w:val="1"/>
    </w:lvlOverride>
  </w:num>
  <w:numIdMacAtCleanup w:val="21"/>
</w:numbering>
</file>

<file path=word/settings.xml><?xml version="1.0" encoding="utf-8"?>
<w:settings xmlns:w="http://schemas.openxmlformats.org/wordprocessingml/2006/main" xmlns:r="http://schemas.openxmlformats.org/officeDocument/2006/relationships" xmlns:m="http://schemas.openxmlformats.org/officeDocument/2006/math" xmlns:w14="http://schemas.microsoft.com/office/word/2010/wordml" xmlns:w15="http://schemas.microsoft.com/office/word/2012/wordml"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
  <w:zoom w:percent="110"/>
  <w:proofState w:spelling="clean" w:grammar="clean"/>
  <w:stylePaneFormatFilter w:val="1001"/>
  <w:stylePaneSortMethod w:val="0000"/>
  <w:documentProtection w:formatting="true" w:enforcement="false"/>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1B7B"/>
    <w:rsid w:val="0003597A"/>
    <w:rsid w:val="00042DF8"/>
    <w:rsid w:val="00072148"/>
    <w:rsid w:val="000A5273"/>
    <w:rsid w:val="000A5625"/>
    <w:rsid w:val="000A6DFA"/>
    <w:rsid w:val="000B2FCF"/>
    <w:rsid w:val="000C1A83"/>
    <w:rsid w:val="000D1F26"/>
    <w:rsid w:val="00111EC5"/>
    <w:rsid w:val="00121EC3"/>
    <w:rsid w:val="001338EF"/>
    <w:rsid w:val="00153E6E"/>
    <w:rsid w:val="00162707"/>
    <w:rsid w:val="001751EB"/>
    <w:rsid w:val="001820C8"/>
    <w:rsid w:val="00194D5E"/>
    <w:rsid w:val="00196071"/>
    <w:rsid w:val="001A3504"/>
    <w:rsid w:val="001B5128"/>
    <w:rsid w:val="001B7A55"/>
    <w:rsid w:val="001C3ADC"/>
    <w:rsid w:val="001C6E19"/>
    <w:rsid w:val="001D4762"/>
    <w:rsid w:val="001E75B2"/>
    <w:rsid w:val="00201CA2"/>
    <w:rsid w:val="00217987"/>
    <w:rsid w:val="002316E1"/>
    <w:rsid w:val="00251EE4"/>
    <w:rsid w:val="002541A8"/>
    <w:rsid w:val="00266EE1"/>
    <w:rsid w:val="00277342"/>
    <w:rsid w:val="002813BA"/>
    <w:rsid w:val="00287CB0"/>
    <w:rsid w:val="00292360"/>
    <w:rsid w:val="002A0321"/>
    <w:rsid w:val="002B5896"/>
    <w:rsid w:val="002D6852"/>
    <w:rsid w:val="00326903"/>
    <w:rsid w:val="00370C13"/>
    <w:rsid w:val="00372DFF"/>
    <w:rsid w:val="00375B64"/>
    <w:rsid w:val="00392276"/>
    <w:rsid w:val="003C07B8"/>
    <w:rsid w:val="003C2324"/>
    <w:rsid w:val="003C5ECC"/>
    <w:rsid w:val="003E2F29"/>
    <w:rsid w:val="003E7136"/>
    <w:rsid w:val="003F31CE"/>
    <w:rsid w:val="0041314F"/>
    <w:rsid w:val="00455FA7"/>
    <w:rsid w:val="00474412"/>
    <w:rsid w:val="004913C9"/>
    <w:rsid w:val="004930AF"/>
    <w:rsid w:val="0049645A"/>
    <w:rsid w:val="004967FE"/>
    <w:rsid w:val="004A71FA"/>
    <w:rsid w:val="004C5062"/>
    <w:rsid w:val="004D5416"/>
    <w:rsid w:val="005302CC"/>
    <w:rsid w:val="005332AB"/>
    <w:rsid w:val="00542268"/>
    <w:rsid w:val="00546295"/>
    <w:rsid w:val="00555D49"/>
    <w:rsid w:val="00575582"/>
    <w:rsid w:val="00575FAB"/>
    <w:rsid w:val="005B5E79"/>
    <w:rsid w:val="005D42DF"/>
    <w:rsid w:val="00642328"/>
    <w:rsid w:val="00644A82"/>
    <w:rsid w:val="006709AA"/>
    <w:rsid w:val="00676B35"/>
    <w:rsid w:val="00677778"/>
    <w:rsid w:val="00680374"/>
    <w:rsid w:val="006A32FB"/>
    <w:rsid w:val="006A4211"/>
    <w:rsid w:val="006D3721"/>
    <w:rsid w:val="006E0C28"/>
    <w:rsid w:val="006E7434"/>
    <w:rsid w:val="00711F07"/>
    <w:rsid w:val="00720C07"/>
    <w:rsid w:val="007360E8"/>
    <w:rsid w:val="007403DF"/>
    <w:rsid w:val="00770D05"/>
    <w:rsid w:val="00781479"/>
    <w:rsid w:val="00796C0B"/>
    <w:rsid w:val="007B2534"/>
    <w:rsid w:val="007E28FE"/>
    <w:rsid w:val="007F4A55"/>
    <w:rsid w:val="008116B4"/>
    <w:rsid w:val="0081465C"/>
    <w:rsid w:val="00820AFE"/>
    <w:rsid w:val="00822024"/>
    <w:rsid w:val="00831DA1"/>
    <w:rsid w:val="00837FFD"/>
    <w:rsid w:val="00856777"/>
    <w:rsid w:val="008648A1"/>
    <w:rsid w:val="00873086"/>
    <w:rsid w:val="00882F5B"/>
    <w:rsid w:val="008942E1"/>
    <w:rsid w:val="008A0343"/>
    <w:rsid w:val="008D401E"/>
    <w:rsid w:val="008E0F12"/>
    <w:rsid w:val="008E4DC4"/>
    <w:rsid w:val="008F3D40"/>
    <w:rsid w:val="00904372"/>
    <w:rsid w:val="00931AD2"/>
    <w:rsid w:val="00934F67"/>
    <w:rsid w:val="0094336B"/>
    <w:rsid w:val="009459F3"/>
    <w:rsid w:val="0098476B"/>
    <w:rsid w:val="00996CC0"/>
    <w:rsid w:val="009B29A0"/>
    <w:rsid w:val="009C6388"/>
    <w:rsid w:val="009C744F"/>
    <w:rsid w:val="009F0F22"/>
    <w:rsid w:val="00A125DF"/>
    <w:rsid w:val="00A2002E"/>
    <w:rsid w:val="00A345A3"/>
    <w:rsid w:val="00A50595"/>
    <w:rsid w:val="00A666D2"/>
    <w:rsid w:val="00A742BC"/>
    <w:rsid w:val="00A7789C"/>
    <w:rsid w:val="00AC2B81"/>
    <w:rsid w:val="00AC41BF"/>
    <w:rsid w:val="00AE0713"/>
    <w:rsid w:val="00AE6B34"/>
    <w:rsid w:val="00AF2480"/>
    <w:rsid w:val="00B006AC"/>
    <w:rsid w:val="00B0201F"/>
    <w:rsid w:val="00B078D6"/>
    <w:rsid w:val="00B33ABF"/>
    <w:rsid w:val="00B57BBB"/>
    <w:rsid w:val="00B60310"/>
    <w:rsid w:val="00B73C96"/>
    <w:rsid w:val="00B74D80"/>
    <w:rsid w:val="00B914EB"/>
    <w:rsid w:val="00BC3E3E"/>
    <w:rsid w:val="00BF46E1"/>
    <w:rsid w:val="00C11B7B"/>
    <w:rsid w:val="00C13AF5"/>
    <w:rsid w:val="00C27F1D"/>
    <w:rsid w:val="00C40A7E"/>
    <w:rsid w:val="00C41222"/>
    <w:rsid w:val="00C45B9A"/>
    <w:rsid w:val="00C55929"/>
    <w:rsid w:val="00C60864"/>
    <w:rsid w:val="00C6655F"/>
    <w:rsid w:val="00C72D08"/>
    <w:rsid w:val="00C746C8"/>
    <w:rsid w:val="00C9448F"/>
    <w:rsid w:val="00CC23D0"/>
    <w:rsid w:val="00CD6864"/>
    <w:rsid w:val="00CF78E7"/>
    <w:rsid w:val="00D029A0"/>
    <w:rsid w:val="00D149D0"/>
    <w:rsid w:val="00D32E73"/>
    <w:rsid w:val="00D37BAC"/>
    <w:rsid w:val="00D82789"/>
    <w:rsid w:val="00D93D6E"/>
    <w:rsid w:val="00DA03B8"/>
    <w:rsid w:val="00DA4CFB"/>
    <w:rsid w:val="00DA6160"/>
    <w:rsid w:val="00DD45C9"/>
    <w:rsid w:val="00DE3552"/>
    <w:rsid w:val="00DF54D0"/>
    <w:rsid w:val="00E101FF"/>
    <w:rsid w:val="00E1232E"/>
    <w:rsid w:val="00E20610"/>
    <w:rsid w:val="00E20C5D"/>
    <w:rsid w:val="00E4356F"/>
    <w:rsid w:val="00E447C7"/>
    <w:rsid w:val="00E57842"/>
    <w:rsid w:val="00E605E5"/>
    <w:rsid w:val="00E827DB"/>
    <w:rsid w:val="00EB2D93"/>
    <w:rsid w:val="00ED3424"/>
    <w:rsid w:val="00ED5DE9"/>
    <w:rsid w:val="00EE61A9"/>
    <w:rsid w:val="00EF2FE1"/>
    <w:rsid w:val="00EF40A6"/>
    <w:rsid w:val="00EF4519"/>
    <w:rsid w:val="00F11B42"/>
    <w:rsid w:val="00F155CF"/>
    <w:rsid w:val="00F22B5D"/>
    <w:rsid w:val="00F36D30"/>
    <w:rsid w:val="00F52FDE"/>
    <w:rsid w:val="00F65F85"/>
    <w:rsid w:val="00F82171"/>
    <w:rsid w:val="00F822F4"/>
    <w:rsid w:val="00F82F2E"/>
    <w:rsid w:val="00F858CF"/>
    <w:rsid w:val="00F92C9B"/>
    <w:rsid w:val="00F9716D"/>
    <w:rsid w:val="00FB03B7"/>
    <w:rsid w:val="00FB528A"/>
    <w:rsid w:val="00FE376B"/>
    <w:rsid w:val="00FF0BFE"/>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spidmax="1026" v:ext="edit"/>
    <o:shapelayout v:ext="edit">
      <o:idmap data="1" v:ext="edit"/>
    </o:shapelayout>
  </w:shapeDefaults>
  <w:decimalSymbol w:val="."/>
  <w:listSeparator w:val=","/>
</w:settings>
</file>

<file path=word/styles.xml><?xml version="1.0" encoding="utf-8"?>
<w:styles xmlns:w="http://schemas.openxmlformats.org/wordprocessingml/2006/main" xmlns:r="http://schemas.openxmlformats.org/officeDocument/2006/relationships" xmlns:m="http://schemas.openxmlformats.org/officeDocument/2006/math" xmlns:w14="http://schemas.microsoft.com/office/word/2010/wordml" xmlns:w15="http://schemas.microsoft.com/office/word/2012/wordml"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docDefaults>
    <w:rPrDefault>
      <w:rPr>
        <w:rFonts w:ascii="Arial" w:hAnsi="Arial" w:eastAsia="Calibri" w:cs="Times New Roman"/>
        <w:sz w:val="24"/>
        <w:szCs w:val="24"/>
        <w:lang w:val="en-AU" w:eastAsia="en-AU" w:bidi="ar-SA"/>
      </w:rPr>
    </w:rPrDefault>
    <w:pPrDefault/>
  </w:docDefaults>
  <w:latentStyles w:defLockedState="true" w:defUIPriority="99" w:defSemiHidden="true" w:defUnhideWhenUsed="true" w:defQFormat="false" w:count="267">
    <w:lsdException w:name="Normal" w:locked="false" w:uiPriority="0" w:semiHidden="false" w:unhideWhenUsed="false"/>
    <w:lsdException w:name="heading 1" w:locked="false" w:uiPriority="0" w:semiHidden="false" w:unhideWhenUsed="false" w:qFormat="true"/>
    <w:lsdException w:name="heading 2" w:locked="false" w:uiPriority="0" w:qFormat="true"/>
    <w:lsdException w:name="heading 3" w:locked="false" w:uiPriority="0" w:qFormat="true"/>
    <w:lsdException w:name="heading 4" w:uiPriority="0" w:qFormat="true"/>
    <w:lsdException w:name="heading 5" w:locked="false" w:uiPriority="0" w:qFormat="true"/>
    <w:lsdException w:name="heading 6" w:uiPriority="0" w:qFormat="true"/>
    <w:lsdException w:name="heading 7" w:qFormat="true"/>
    <w:lsdException w:name="heading 8" w:qFormat="true"/>
    <w:lsdException w:name="heading 9" w:qFormat="true"/>
    <w:lsdException w:name="toc 1" w:uiPriority="39" w:qFormat="true"/>
    <w:lsdException w:name="toc 2" w:uiPriority="39" w:qFormat="true"/>
    <w:lsdException w:name="toc 3" w:uiPriority="39" w:qFormat="true"/>
    <w:lsdException w:name="toc 4" w:uiPriority="39"/>
    <w:lsdException w:name="toc 5" w:uiPriority="39"/>
    <w:lsdException w:name="toc 6" w:uiPriority="39"/>
    <w:lsdException w:name="toc 7" w:uiPriority="39"/>
    <w:lsdException w:name="toc 8" w:uiPriority="39"/>
    <w:lsdException w:name="toc 9" w:uiPriority="39"/>
    <w:lsdException w:name="caption" w:qFormat="true"/>
    <w:lsdException w:name="annotation reference" w:uiPriority="0"/>
    <w:lsdException w:name="Title" w:uiPriority="10" w:unhideWhenUsed="false" w:qFormat="true"/>
    <w:lsdException w:name="Default Paragraph Font" w:locked="false" w:uiPriority="1"/>
    <w:lsdException w:name="Body Text" w:locked="false" w:uiPriority="0"/>
    <w:lsdException w:name="Body Text Indent" w:locked="false"/>
    <w:lsdException w:name="Subtitle" w:uiPriority="11" w:unhideWhenUsed="false" w:qFormat="true"/>
    <w:lsdException w:name="Body Text First Indent" w:locked="false"/>
    <w:lsdException w:name="Body Text First Indent 2" w:locked="false"/>
    <w:lsdException w:name="Body Text 2" w:locked="false"/>
    <w:lsdException w:name="Body Text 3" w:locked="false"/>
    <w:lsdException w:name="FollowedHyperlink" w:uiPriority="0"/>
    <w:lsdException w:name="Strong" w:locked="false" w:uiPriority="22" w:unhideWhenUsed="false" w:qFormat="true"/>
    <w:lsdException w:name="Emphasis" w:uiPriority="20" w:unhideWhenUsed="false" w:qFormat="true"/>
    <w:lsdException w:name="HTML Top of Form" w:locked="false"/>
    <w:lsdException w:name="HTML Bottom of Form" w:locked="false"/>
    <w:lsdException w:name="Normal Table" w:locked="false"/>
    <w:lsdException w:name="No List" w:locked="false"/>
    <w:lsdException w:name="Balloon Text" w:locked="false"/>
    <w:lsdException w:name="Table Grid" w:locked="false" w:uiPriority="59" w:semiHidden="false" w:unhideWhenUsed="false"/>
    <w:lsdException w:name="Placeholder Text" w:locked="false" w:unhideWhenUsed="false"/>
    <w:lsdException w:name="No Spacing" w:uiPriority="1" w:unhideWhenUsed="false" w:qFormat="true"/>
    <w:lsdException w:name="Light Shading" w:uiPriority="60" w:semiHidden="false" w:unhideWhenUsed="false"/>
    <w:lsdException w:name="Light List" w:uiPriority="61" w:semiHidden="false" w:unhideWhenUsed="false"/>
    <w:lsdException w:name="Light Grid" w:uiPriority="62" w:semiHidden="false" w:unhideWhenUsed="false"/>
    <w:lsdException w:name="Medium Shading 1" w:uiPriority="63" w:semiHidden="false" w:unhideWhenUsed="false"/>
    <w:lsdException w:name="Medium Shading 2" w:uiPriority="64" w:semiHidden="false" w:unhideWhenUsed="false"/>
    <w:lsdException w:name="Medium List 1" w:uiPriority="65" w:semiHidden="false" w:unhideWhenUsed="false"/>
    <w:lsdException w:name="Medium List 2" w:uiPriority="66" w:semiHidden="false" w:unhideWhenUsed="false"/>
    <w:lsdException w:name="Medium Grid 1" w:uiPriority="67" w:semiHidden="false" w:unhideWhenUsed="false"/>
    <w:lsdException w:name="Medium Grid 2" w:uiPriority="68" w:semiHidden="false" w:unhideWhenUsed="false"/>
    <w:lsdException w:name="Medium Grid 3" w:uiPriority="69" w:semiHidden="false" w:unhideWhenUsed="false"/>
    <w:lsdException w:name="Dark List" w:uiPriority="70" w:semiHidden="false" w:unhideWhenUsed="false"/>
    <w:lsdException w:name="Colorful Shading" w:uiPriority="71" w:semiHidden="false" w:unhideWhenUsed="false"/>
    <w:lsdException w:name="Colorful List" w:uiPriority="72" w:semiHidden="false" w:unhideWhenUsed="false"/>
    <w:lsdException w:name="Colorful Grid" w:uiPriority="73" w:semiHidden="false" w:unhideWhenUsed="false"/>
    <w:lsdException w:name="Light Shading Accent 1" w:uiPriority="60" w:semiHidden="false" w:unhideWhenUsed="false"/>
    <w:lsdException w:name="Light List Accent 1" w:uiPriority="61" w:semiHidden="false" w:unhideWhenUsed="false"/>
    <w:lsdException w:name="Light Grid Accent 1" w:uiPriority="62" w:semiHidden="false" w:unhideWhenUsed="false"/>
    <w:lsdException w:name="Medium Shading 1 Accent 1" w:uiPriority="63" w:semiHidden="false" w:unhideWhenUsed="false"/>
    <w:lsdException w:name="Medium Shading 2 Accent 1" w:uiPriority="64" w:semiHidden="false" w:unhideWhenUsed="false"/>
    <w:lsdException w:name="Medium List 1 Accent 1" w:uiPriority="65" w:semiHidden="false" w:unhideWhenUsed="false"/>
    <w:lsdException w:name="Revision" w:locked="false" w:unhideWhenUsed="false"/>
    <w:lsdException w:name="List Paragraph" w:uiPriority="34" w:unhideWhenUsed="false" w:qFormat="true"/>
    <w:lsdException w:name="Quote" w:uiPriority="29" w:unhideWhenUsed="false" w:qFormat="true"/>
    <w:lsdException w:name="Intense Quote" w:uiPriority="30" w:unhideWhenUsed="false" w:qFormat="true"/>
    <w:lsdException w:name="Medium List 2 Accent 1" w:uiPriority="66" w:semiHidden="false" w:unhideWhenUsed="false"/>
    <w:lsdException w:name="Medium Grid 1 Accent 1" w:uiPriority="67" w:semiHidden="false" w:unhideWhenUsed="false"/>
    <w:lsdException w:name="Medium Grid 2 Accent 1" w:uiPriority="68" w:semiHidden="false" w:unhideWhenUsed="false"/>
    <w:lsdException w:name="Medium Grid 3 Accent 1" w:uiPriority="69" w:semiHidden="false" w:unhideWhenUsed="false"/>
    <w:lsdException w:name="Dark List Accent 1" w:uiPriority="70" w:semiHidden="false" w:unhideWhenUsed="false"/>
    <w:lsdException w:name="Colorful Shading Accent 1" w:uiPriority="71" w:semiHidden="false" w:unhideWhenUsed="false"/>
    <w:lsdException w:name="Colorful List Accent 1" w:uiPriority="72" w:semiHidden="false" w:unhideWhenUsed="false"/>
    <w:lsdException w:name="Colorful Grid Accent 1" w:uiPriority="73" w:semiHidden="false" w:unhideWhenUsed="false"/>
    <w:lsdException w:name="Light Shading Accent 2" w:uiPriority="60" w:semiHidden="false" w:unhideWhenUsed="false"/>
    <w:lsdException w:name="Light List Accent 2" w:uiPriority="61" w:semiHidden="false" w:unhideWhenUsed="false"/>
    <w:lsdException w:name="Light Grid Accent 2" w:uiPriority="62" w:semiHidden="false" w:unhideWhenUsed="false"/>
    <w:lsdException w:name="Medium Shading 1 Accent 2" w:uiPriority="63" w:semiHidden="false" w:unhideWhenUsed="false"/>
    <w:lsdException w:name="Medium Shading 2 Accent 2" w:uiPriority="64" w:semiHidden="false" w:unhideWhenUsed="false"/>
    <w:lsdException w:name="Medium List 1 Accent 2" w:uiPriority="65" w:semiHidden="false" w:unhideWhenUsed="false"/>
    <w:lsdException w:name="Medium List 2 Accent 2" w:uiPriority="66" w:semiHidden="false" w:unhideWhenUsed="false"/>
    <w:lsdException w:name="Medium Grid 1 Accent 2" w:uiPriority="67" w:semiHidden="false" w:unhideWhenUsed="false"/>
    <w:lsdException w:name="Medium Grid 2 Accent 2" w:uiPriority="68" w:semiHidden="false" w:unhideWhenUsed="false"/>
    <w:lsdException w:name="Medium Grid 3 Accent 2" w:uiPriority="69" w:semiHidden="false" w:unhideWhenUsed="false"/>
    <w:lsdException w:name="Dark List Accent 2" w:uiPriority="70" w:semiHidden="false" w:unhideWhenUsed="false"/>
    <w:lsdException w:name="Colorful Shading Accent 2" w:uiPriority="71" w:semiHidden="false" w:unhideWhenUsed="false"/>
    <w:lsdException w:name="Colorful List Accent 2" w:uiPriority="72" w:semiHidden="false" w:unhideWhenUsed="false"/>
    <w:lsdException w:name="Colorful Grid Accent 2" w:uiPriority="73" w:semiHidden="false" w:unhideWhenUsed="false"/>
    <w:lsdException w:name="Light Shading Accent 3" w:uiPriority="60" w:semiHidden="false" w:unhideWhenUsed="false"/>
    <w:lsdException w:name="Light List Accent 3" w:uiPriority="61" w:semiHidden="false" w:unhideWhenUsed="false"/>
    <w:lsdException w:name="Light Grid Accent 3" w:uiPriority="62" w:semiHidden="false" w:unhideWhenUsed="false"/>
    <w:lsdException w:name="Medium Shading 1 Accent 3" w:uiPriority="63" w:semiHidden="false" w:unhideWhenUsed="false"/>
    <w:lsdException w:name="Medium Shading 2 Accent 3" w:uiPriority="64" w:semiHidden="false" w:unhideWhenUsed="false"/>
    <w:lsdException w:name="Medium List 1 Accent 3" w:uiPriority="65" w:semiHidden="false" w:unhideWhenUsed="false"/>
    <w:lsdException w:name="Medium List 2 Accent 3" w:uiPriority="66" w:semiHidden="false" w:unhideWhenUsed="false"/>
    <w:lsdException w:name="Medium Grid 1 Accent 3" w:uiPriority="67" w:semiHidden="false" w:unhideWhenUsed="false"/>
    <w:lsdException w:name="Medium Grid 2 Accent 3" w:uiPriority="68" w:semiHidden="false" w:unhideWhenUsed="false"/>
    <w:lsdException w:name="Medium Grid 3 Accent 3" w:uiPriority="69" w:semiHidden="false" w:unhideWhenUsed="false"/>
    <w:lsdException w:name="Dark List Accent 3" w:uiPriority="70" w:semiHidden="false" w:unhideWhenUsed="false"/>
    <w:lsdException w:name="Colorful Shading Accent 3" w:uiPriority="71" w:semiHidden="false" w:unhideWhenUsed="false"/>
    <w:lsdException w:name="Colorful List Accent 3" w:uiPriority="72" w:semiHidden="false" w:unhideWhenUsed="false"/>
    <w:lsdException w:name="Colorful Grid Accent 3" w:uiPriority="73" w:semiHidden="false" w:unhideWhenUsed="false"/>
    <w:lsdException w:name="Light Shading Accent 4" w:uiPriority="60" w:semiHidden="false" w:unhideWhenUsed="false"/>
    <w:lsdException w:name="Light List Accent 4" w:uiPriority="61" w:semiHidden="false" w:unhideWhenUsed="false"/>
    <w:lsdException w:name="Light Grid Accent 4" w:uiPriority="62" w:semiHidden="false" w:unhideWhenUsed="false"/>
    <w:lsdException w:name="Medium Shading 1 Accent 4" w:uiPriority="63" w:semiHidden="false" w:unhideWhenUsed="false"/>
    <w:lsdException w:name="Medium Shading 2 Accent 4" w:uiPriority="64" w:semiHidden="false" w:unhideWhenUsed="false"/>
    <w:lsdException w:name="Medium List 1 Accent 4" w:uiPriority="65" w:semiHidden="false" w:unhideWhenUsed="false"/>
    <w:lsdException w:name="Medium List 2 Accent 4" w:uiPriority="66" w:semiHidden="false" w:unhideWhenUsed="false"/>
    <w:lsdException w:name="Medium Grid 1 Accent 4" w:uiPriority="67" w:semiHidden="false" w:unhideWhenUsed="false"/>
    <w:lsdException w:name="Medium Grid 2 Accent 4" w:uiPriority="68" w:semiHidden="false" w:unhideWhenUsed="false"/>
    <w:lsdException w:name="Medium Grid 3 Accent 4" w:uiPriority="69" w:semiHidden="false" w:unhideWhenUsed="false"/>
    <w:lsdException w:name="Dark List Accent 4" w:uiPriority="70" w:semiHidden="false" w:unhideWhenUsed="false"/>
    <w:lsdException w:name="Colorful Shading Accent 4" w:uiPriority="71" w:semiHidden="false" w:unhideWhenUsed="false"/>
    <w:lsdException w:name="Colorful List Accent 4" w:uiPriority="72" w:semiHidden="false" w:unhideWhenUsed="false"/>
    <w:lsdException w:name="Colorful Grid Accent 4" w:uiPriority="73" w:semiHidden="false" w:unhideWhenUsed="false"/>
    <w:lsdException w:name="Light Shading Accent 5" w:uiPriority="60" w:semiHidden="false" w:unhideWhenUsed="false"/>
    <w:lsdException w:name="Light List Accent 5" w:uiPriority="61" w:semiHidden="false" w:unhideWhenUsed="false"/>
    <w:lsdException w:name="Light Grid Accent 5" w:uiPriority="62" w:semiHidden="false" w:unhideWhenUsed="false"/>
    <w:lsdException w:name="Medium Shading 1 Accent 5" w:uiPriority="63" w:semiHidden="false" w:unhideWhenUsed="false"/>
    <w:lsdException w:name="Medium Shading 2 Accent 5" w:uiPriority="64" w:semiHidden="false" w:unhideWhenUsed="false"/>
    <w:lsdException w:name="Medium List 1 Accent 5" w:uiPriority="65" w:semiHidden="false" w:unhideWhenUsed="false"/>
    <w:lsdException w:name="Medium List 2 Accent 5" w:uiPriority="66" w:semiHidden="false" w:unhideWhenUsed="false"/>
    <w:lsdException w:name="Medium Grid 1 Accent 5" w:uiPriority="67" w:semiHidden="false" w:unhideWhenUsed="false"/>
    <w:lsdException w:name="Medium Grid 2 Accent 5" w:uiPriority="68" w:semiHidden="false" w:unhideWhenUsed="false"/>
    <w:lsdException w:name="Medium Grid 3 Accent 5" w:uiPriority="69" w:semiHidden="false" w:unhideWhenUsed="false"/>
    <w:lsdException w:name="Dark List Accent 5" w:uiPriority="70" w:semiHidden="false" w:unhideWhenUsed="false"/>
    <w:lsdException w:name="Colorful Shading Accent 5" w:uiPriority="71" w:semiHidden="false" w:unhideWhenUsed="false"/>
    <w:lsdException w:name="Colorful List Accent 5" w:uiPriority="72" w:semiHidden="false" w:unhideWhenUsed="false"/>
    <w:lsdException w:name="Colorful Grid Accent 5" w:uiPriority="73" w:semiHidden="false" w:unhideWhenUsed="false"/>
    <w:lsdException w:name="Light Shading Accent 6" w:uiPriority="60" w:semiHidden="false" w:unhideWhenUsed="false"/>
    <w:lsdException w:name="Light List Accent 6" w:uiPriority="61" w:semiHidden="false" w:unhideWhenUsed="false"/>
    <w:lsdException w:name="Light Grid Accent 6" w:uiPriority="62" w:semiHidden="false" w:unhideWhenUsed="false"/>
    <w:lsdException w:name="Medium Shading 1 Accent 6" w:uiPriority="63" w:semiHidden="false" w:unhideWhenUsed="false"/>
    <w:lsdException w:name="Medium Shading 2 Accent 6" w:uiPriority="64" w:semiHidden="false" w:unhideWhenUsed="false"/>
    <w:lsdException w:name="Medium List 1 Accent 6" w:uiPriority="65" w:semiHidden="false" w:unhideWhenUsed="false"/>
    <w:lsdException w:name="Medium List 2 Accent 6" w:uiPriority="66" w:semiHidden="false" w:unhideWhenUsed="false"/>
    <w:lsdException w:name="Medium Grid 1 Accent 6" w:uiPriority="67" w:semiHidden="false" w:unhideWhenUsed="false"/>
    <w:lsdException w:name="Medium Grid 2 Accent 6" w:uiPriority="68" w:semiHidden="false" w:unhideWhenUsed="false"/>
    <w:lsdException w:name="Medium Grid 3 Accent 6" w:uiPriority="69" w:semiHidden="false" w:unhideWhenUsed="false"/>
    <w:lsdException w:name="Dark List Accent 6" w:uiPriority="70" w:semiHidden="false" w:unhideWhenUsed="false"/>
    <w:lsdException w:name="Colorful Shading Accent 6" w:uiPriority="71" w:semiHidden="false" w:unhideWhenUsed="false"/>
    <w:lsdException w:name="Colorful List Accent 6" w:uiPriority="72" w:semiHidden="false" w:unhideWhenUsed="false"/>
    <w:lsdException w:name="Colorful Grid Accent 6" w:uiPriority="73" w:semiHidden="false" w:unhideWhenUsed="false"/>
    <w:lsdException w:name="Subtle Emphasis" w:uiPriority="19" w:unhideWhenUsed="false" w:qFormat="true"/>
    <w:lsdException w:name="Intense Emphasis" w:uiPriority="21" w:unhideWhenUsed="false" w:qFormat="true"/>
    <w:lsdException w:name="Subtle Reference" w:uiPriority="31" w:unhideWhenUsed="false" w:qFormat="true"/>
    <w:lsdException w:name="Intense Reference" w:uiPriority="32" w:unhideWhenUsed="false" w:qFormat="true"/>
    <w:lsdException w:name="Book Title" w:uiPriority="33" w:unhideWhenUsed="false" w:qFormat="true"/>
    <w:lsdException w:name="Bibliography" w:uiPriority="37"/>
    <w:lsdException w:name="TOC Heading" w:uiPriority="39" w:qFormat="true"/>
  </w:latentStyles>
  <w:style w:type="paragraph" w:styleId="Normal" w:default="true">
    <w:name w:val="Normal"/>
    <w:semiHidden/>
    <w:rsid w:val="009459F3"/>
    <w:pPr>
      <w:spacing w:after="200" w:line="276" w:lineRule="auto"/>
    </w:pPr>
  </w:style>
  <w:style w:type="paragraph" w:styleId="Heading1">
    <w:name w:val="heading 1"/>
    <w:aliases w:val="H1,contents,proj,proj1,proj5,proj6,proj7,proj8,proj9,proj10,proj11,proj12,proj13,proj14,proj15,proj51,proj61,proj71,proj81,proj91,proj101,proj111,proj121,proj131,proj141,proj16,proj52,proj62,proj72,proj82,proj92,proj102,proj112,proj122,proj132"/>
    <w:basedOn w:val="Normal"/>
    <w:next w:val="Normal"/>
    <w:link w:val="Heading1Char"/>
    <w:qFormat/>
    <w:locked/>
    <w:rsid w:val="00C72D08"/>
    <w:pPr>
      <w:keepNext/>
      <w:spacing w:before="240" w:after="60"/>
      <w:outlineLvl w:val="0"/>
    </w:pPr>
    <w:rPr>
      <w:rFonts w:asciiTheme="majorHAnsi" w:hAnsiTheme="majorHAnsi" w:eastAsiaTheme="majorEastAsia" w:cstheme="majorBidi"/>
      <w:b/>
      <w:bCs/>
      <w:kern w:val="32"/>
      <w:sz w:val="32"/>
      <w:szCs w:val="32"/>
    </w:rPr>
  </w:style>
  <w:style w:type="paragraph" w:styleId="Heading2">
    <w:name w:val="heading 2"/>
    <w:aliases w:val="heading 2,Intro Text Bold,proj2,proj21,proj22,proj23,proj24,proj25,proj26,proj27,proj28,proj29,proj210,proj211,proj212,proj221,proj231,proj241,proj251,proj261,proj271,proj281,proj291,proj2101,proj2111,proj213,proj222,proj232,proj242,proj252,2"/>
    <w:basedOn w:val="Normal"/>
    <w:next w:val="Normal"/>
    <w:link w:val="Heading2Char"/>
    <w:semiHidden/>
    <w:qFormat/>
    <w:locked/>
    <w:rsid w:val="00C72D08"/>
    <w:pPr>
      <w:keepNext/>
      <w:spacing w:before="240" w:after="60"/>
      <w:outlineLvl w:val="1"/>
    </w:pPr>
    <w:rPr>
      <w:rFonts w:asciiTheme="majorHAnsi" w:hAnsiTheme="majorHAnsi" w:eastAsiaTheme="majorEastAsia" w:cstheme="majorBidi"/>
      <w:b/>
      <w:bCs/>
      <w:i/>
      <w:iCs/>
      <w:sz w:val="28"/>
      <w:szCs w:val="28"/>
    </w:rPr>
  </w:style>
  <w:style w:type="paragraph" w:styleId="Heading3">
    <w:name w:val="heading 3"/>
    <w:aliases w:val="heading 3,underlined Heading,proj3,proj31,proj32,proj33,proj34,proj35,proj36,proj37,proj38,proj39,proj310,proj311,proj312,proj321,proj331,proj341,proj351,proj361,proj371,proj381,proj391,proj3101,proj3111,proj313,proj322,proj332,proj342,h3,sl3"/>
    <w:basedOn w:val="Normal"/>
    <w:next w:val="Normal"/>
    <w:link w:val="Heading3Char"/>
    <w:semiHidden/>
    <w:qFormat/>
    <w:locked/>
    <w:rsid w:val="00C72D08"/>
    <w:pPr>
      <w:keepNext/>
      <w:spacing w:before="240" w:after="60"/>
      <w:outlineLvl w:val="2"/>
    </w:pPr>
    <w:rPr>
      <w:rFonts w:asciiTheme="majorHAnsi" w:hAnsiTheme="majorHAnsi" w:eastAsiaTheme="majorEastAsia" w:cstheme="majorBidi"/>
      <w:b/>
      <w:bCs/>
      <w:sz w:val="26"/>
      <w:szCs w:val="26"/>
    </w:rPr>
  </w:style>
  <w:style w:type="paragraph" w:styleId="Heading4">
    <w:name w:val="heading 4"/>
    <w:aliases w:val="Level 2 - a,h4,a,minor header,Map Title,Subsection,sub TR,proj4,proj41,proj42,proj43,proj44,proj45,proj46,proj47,proj48,proj49,proj410,proj411,proj412,proj421,proj431,proj441,proj451,proj461,proj471,proj481,proj491,proj4101,proj4111,proj413"/>
    <w:basedOn w:val="Normal"/>
    <w:next w:val="Normal"/>
    <w:link w:val="Heading4Char"/>
    <w:semiHidden/>
    <w:unhideWhenUsed/>
    <w:qFormat/>
    <w:locked/>
    <w:rsid w:val="00E1232E"/>
    <w:pPr>
      <w:keepNext/>
      <w:keepLines/>
      <w:spacing w:before="200" w:after="0"/>
      <w:outlineLvl w:val="3"/>
    </w:pPr>
    <w:rPr>
      <w:rFonts w:asciiTheme="majorHAnsi" w:hAnsiTheme="majorHAnsi" w:eastAsiaTheme="majorEastAsia" w:cstheme="majorBidi"/>
      <w:b/>
      <w:bCs/>
      <w:i/>
      <w:iCs/>
      <w:color w:val="4F81BD" w:themeColor="accent1"/>
    </w:rPr>
  </w:style>
  <w:style w:type="paragraph" w:styleId="Heading5">
    <w:name w:val="heading 5"/>
    <w:aliases w:val="Level 3 - i,5,Normal5,Level 3 - (i)"/>
    <w:basedOn w:val="Heading4"/>
    <w:next w:val="Normal"/>
    <w:link w:val="Heading5Char"/>
    <w:semiHidden/>
    <w:unhideWhenUsed/>
    <w:qFormat/>
    <w:rsid w:val="00E1232E"/>
    <w:pPr>
      <w:keepLines w:val="false"/>
      <w:tabs>
        <w:tab w:val="num" w:pos="1008"/>
      </w:tabs>
      <w:spacing w:before="240" w:after="120" w:line="300" w:lineRule="auto"/>
      <w:ind w:left="1008" w:hanging="1008"/>
      <w:outlineLvl w:val="4"/>
    </w:pPr>
    <w:rPr>
      <w:rFonts w:ascii="Arial" w:hAnsi="Arial" w:eastAsia="Times New Roman" w:cs="Arial"/>
      <w:b w:val="false"/>
      <w:i w:val="false"/>
      <w:iCs w:val="false"/>
      <w:color w:val="auto"/>
      <w:szCs w:val="28"/>
      <w:lang w:eastAsia="en-US"/>
    </w:rPr>
  </w:style>
  <w:style w:type="paragraph" w:styleId="Heading6">
    <w:name w:val="heading 6"/>
    <w:aliases w:val="Legal Level 1.,Body Text 5,Normal6"/>
    <w:basedOn w:val="Heading5"/>
    <w:next w:val="Normal"/>
    <w:link w:val="Heading6Char"/>
    <w:semiHidden/>
    <w:unhideWhenUsed/>
    <w:qFormat/>
    <w:locked/>
    <w:rsid w:val="00E1232E"/>
    <w:pPr>
      <w:tabs>
        <w:tab w:val="clear" w:pos="1008"/>
        <w:tab w:val="num" w:pos="1152"/>
      </w:tabs>
      <w:ind w:left="1152" w:hanging="1152"/>
      <w:outlineLvl w:val="5"/>
    </w:pPr>
  </w:style>
  <w:style w:type="paragraph" w:styleId="Heading7">
    <w:name w:val="heading 7"/>
    <w:aliases w:val="Legal Level 1.1.,Body Text 6,Heading 7(unused),Normal7"/>
    <w:basedOn w:val="Heading6"/>
    <w:next w:val="Normal"/>
    <w:link w:val="Heading7Char"/>
    <w:uiPriority w:val="99"/>
    <w:semiHidden/>
    <w:unhideWhenUsed/>
    <w:qFormat/>
    <w:locked/>
    <w:rsid w:val="00E1232E"/>
    <w:pPr>
      <w:tabs>
        <w:tab w:val="clear" w:pos="1152"/>
        <w:tab w:val="num" w:pos="1296"/>
      </w:tabs>
      <w:ind w:left="1296" w:hanging="1296"/>
      <w:outlineLvl w:val="6"/>
    </w:pPr>
  </w:style>
  <w:style w:type="paragraph" w:styleId="Heading8">
    <w:name w:val="heading 8"/>
    <w:aliases w:val="Legal Level 1.1.1.,Body Text 7,Heading 8(unused),Heading 8 (Start Appendices),Normal8"/>
    <w:basedOn w:val="Heading7"/>
    <w:next w:val="Normal"/>
    <w:link w:val="Heading8Char"/>
    <w:uiPriority w:val="99"/>
    <w:semiHidden/>
    <w:unhideWhenUsed/>
    <w:qFormat/>
    <w:locked/>
    <w:rsid w:val="00E1232E"/>
    <w:pPr>
      <w:tabs>
        <w:tab w:val="clear" w:pos="1296"/>
        <w:tab w:val="num" w:pos="1440"/>
      </w:tabs>
      <w:ind w:left="1440" w:hanging="1440"/>
      <w:outlineLvl w:val="7"/>
    </w:pPr>
  </w:style>
  <w:style w:type="paragraph" w:styleId="Heading9">
    <w:name w:val="heading 9"/>
    <w:aliases w:val="Legal Level 1.1.1.1.,Body Text 8,Heading 9(unused),Appendix"/>
    <w:basedOn w:val="Heading8"/>
    <w:next w:val="Normal"/>
    <w:link w:val="Heading9Char"/>
    <w:uiPriority w:val="99"/>
    <w:semiHidden/>
    <w:unhideWhenUsed/>
    <w:qFormat/>
    <w:locked/>
    <w:rsid w:val="00E1232E"/>
    <w:pPr>
      <w:tabs>
        <w:tab w:val="clear" w:pos="1440"/>
        <w:tab w:val="num" w:pos="1584"/>
      </w:tabs>
      <w:ind w:left="1584" w:hanging="1584"/>
      <w:outlineLvl w:val="8"/>
    </w:pPr>
  </w:style>
  <w:style w:type="character" w:styleId="DefaultParagraphFont" w:default="true">
    <w:name w:val="Default Paragraph Font"/>
    <w:uiPriority w:val="1"/>
    <w:semiHidden/>
    <w:unhideWhenUsed/>
  </w:style>
  <w:style w:type="table" w:styleId="TableNormal" w:default="true">
    <w:name w:val="Normal Table"/>
    <w:uiPriority w:val="99"/>
    <w:semiHidden/>
    <w:unhideWhenUsed/>
    <w:tblPr>
      <w:tblInd w:w="0" w:type="dxa"/>
      <w:tblCellMar>
        <w:top w:w="0" w:type="dxa"/>
        <w:left w:w="108" w:type="dxa"/>
        <w:bottom w:w="0" w:type="dxa"/>
        <w:right w:w="108" w:type="dxa"/>
      </w:tblCellMar>
    </w:tblPr>
  </w:style>
  <w:style w:type="numbering" w:styleId="NoList" w:default="true">
    <w:name w:val="No List"/>
    <w:uiPriority w:val="99"/>
    <w:semiHidden/>
    <w:unhideWhenUsed/>
  </w:style>
  <w:style w:type="paragraph" w:styleId="CaselawCoversheet" w:customStyle="true">
    <w:name w:val="Caselaw Coversheet"/>
    <w:basedOn w:val="Normal"/>
    <w:qFormat/>
    <w:rsid w:val="009C6388"/>
    <w:pPr>
      <w:spacing w:after="0" w:line="240" w:lineRule="auto"/>
    </w:pPr>
    <w:rPr>
      <w:rFonts w:cs="Arial"/>
    </w:rPr>
  </w:style>
  <w:style w:type="paragraph" w:styleId="CaselawNormal" w:customStyle="true">
    <w:name w:val="Caselaw Normal"/>
    <w:basedOn w:val="CaselawCoversheet"/>
    <w:uiPriority w:val="6"/>
    <w:qFormat/>
    <w:locked/>
    <w:rsid w:val="007360E8"/>
    <w:pPr>
      <w:spacing w:after="240" w:line="360" w:lineRule="auto"/>
      <w:ind w:left="720"/>
    </w:pPr>
  </w:style>
  <w:style w:type="paragraph" w:styleId="CaselawNumbered10" w:customStyle="true">
    <w:name w:val="Caselaw Numbered 1"/>
    <w:basedOn w:val="CaselawNormal"/>
    <w:uiPriority w:val="5"/>
    <w:qFormat/>
    <w:rsid w:val="007360E8"/>
    <w:pPr>
      <w:numPr>
        <w:numId w:val="1"/>
      </w:numPr>
      <w:ind w:left="720" w:hanging="720"/>
    </w:pPr>
  </w:style>
  <w:style w:type="paragraph" w:styleId="CaselawNumbered1" w:customStyle="true">
    <w:name w:val="Caselaw Numbered (1)"/>
    <w:basedOn w:val="CaselawNumbered10"/>
    <w:qFormat/>
    <w:rsid w:val="000A5273"/>
    <w:pPr>
      <w:numPr>
        <w:numId w:val="2"/>
      </w:numPr>
      <w:spacing w:after="360" w:line="240" w:lineRule="auto"/>
      <w:ind w:left="1440" w:hanging="720"/>
    </w:pPr>
  </w:style>
  <w:style w:type="paragraph" w:styleId="CaselawNumbereda" w:customStyle="true">
    <w:name w:val="Caselaw Numbered (a)"/>
    <w:basedOn w:val="CaselawNumbered1"/>
    <w:qFormat/>
    <w:rsid w:val="006E7434"/>
    <w:pPr>
      <w:numPr>
        <w:numId w:val="3"/>
      </w:numPr>
      <w:ind w:left="2160" w:hanging="720"/>
    </w:pPr>
  </w:style>
  <w:style w:type="paragraph" w:styleId="CaselawNumberedi" w:customStyle="true">
    <w:name w:val="Caselaw Numbered (i)"/>
    <w:basedOn w:val="CaselawNumbereda"/>
    <w:qFormat/>
    <w:rsid w:val="006E7434"/>
    <w:pPr>
      <w:numPr>
        <w:numId w:val="4"/>
      </w:numPr>
      <w:ind w:left="2880" w:hanging="720"/>
    </w:pPr>
  </w:style>
  <w:style w:type="paragraph" w:styleId="CaselawHeading1" w:customStyle="true">
    <w:name w:val="Caselaw Heading 1"/>
    <w:basedOn w:val="CaselawCoversheet"/>
    <w:next w:val="CaselawNumbered10"/>
    <w:uiPriority w:val="1"/>
    <w:qFormat/>
    <w:rsid w:val="00770D05"/>
    <w:pPr>
      <w:spacing w:after="240"/>
      <w:outlineLvl w:val="0"/>
    </w:pPr>
    <w:rPr>
      <w:b/>
      <w:caps/>
      <w:sz w:val="28"/>
    </w:rPr>
  </w:style>
  <w:style w:type="paragraph" w:styleId="CaselawHeading2" w:customStyle="true">
    <w:name w:val="Caselaw Heading 2"/>
    <w:basedOn w:val="CaselawHeading1"/>
    <w:next w:val="CaselawNumbered10"/>
    <w:uiPriority w:val="2"/>
    <w:qFormat/>
    <w:rsid w:val="009459F3"/>
    <w:pPr>
      <w:outlineLvl w:val="1"/>
    </w:pPr>
    <w:rPr>
      <w:caps w:val="false"/>
      <w:sz w:val="24"/>
    </w:rPr>
  </w:style>
  <w:style w:type="paragraph" w:styleId="CaselawHeading3" w:customStyle="true">
    <w:name w:val="Caselaw Heading 3"/>
    <w:basedOn w:val="CaselawHeading1"/>
    <w:next w:val="CaselawNumbered10"/>
    <w:uiPriority w:val="3"/>
    <w:qFormat/>
    <w:rsid w:val="009459F3"/>
    <w:pPr>
      <w:outlineLvl w:val="2"/>
    </w:pPr>
    <w:rPr>
      <w:b w:val="false"/>
      <w:i/>
      <w:caps w:val="false"/>
      <w:sz w:val="24"/>
    </w:rPr>
  </w:style>
  <w:style w:type="paragraph" w:styleId="CaselawQuote" w:customStyle="true">
    <w:name w:val="Caselaw Quote &gt;"/>
    <w:basedOn w:val="CaselawNormal"/>
    <w:qFormat/>
    <w:rsid w:val="00DA03B8"/>
    <w:pPr>
      <w:spacing w:after="360" w:line="240" w:lineRule="auto"/>
    </w:pPr>
    <w:rPr>
      <w:sz w:val="22"/>
    </w:rPr>
  </w:style>
  <w:style w:type="paragraph" w:styleId="CaselawQuote0" w:customStyle="true">
    <w:name w:val="Caselaw Quote &gt;&gt;"/>
    <w:basedOn w:val="CaselawNormal"/>
    <w:qFormat/>
    <w:rsid w:val="000A5273"/>
    <w:pPr>
      <w:spacing w:after="360" w:line="240" w:lineRule="auto"/>
      <w:ind w:left="2160"/>
    </w:pPr>
    <w:rPr>
      <w:sz w:val="22"/>
    </w:rPr>
  </w:style>
  <w:style w:type="paragraph" w:styleId="CaselawQuote1" w:customStyle="true">
    <w:name w:val="Caselaw Quote &gt;&gt;&gt;"/>
    <w:basedOn w:val="CaselawQuote0"/>
    <w:qFormat/>
    <w:rsid w:val="000A5273"/>
    <w:pPr>
      <w:ind w:left="2880"/>
    </w:pPr>
  </w:style>
  <w:style w:type="paragraph" w:styleId="CaselawHeading4" w:customStyle="true">
    <w:name w:val="Caselaw Heading 4"/>
    <w:basedOn w:val="CaselawHeading1"/>
    <w:next w:val="CaselawNumbered10"/>
    <w:uiPriority w:val="4"/>
    <w:qFormat/>
    <w:rsid w:val="009459F3"/>
    <w:pPr>
      <w:ind w:left="720"/>
      <w:outlineLvl w:val="3"/>
    </w:pPr>
    <w:rPr>
      <w:caps w:val="false"/>
      <w:sz w:val="22"/>
    </w:rPr>
  </w:style>
  <w:style w:type="character" w:styleId="Heading1Char" w:customStyle="true">
    <w:name w:val="Heading 1 Char"/>
    <w:aliases w:val="H1 Char,contents Char,proj Char,proj1 Char,proj5 Char,proj6 Char,proj7 Char,proj8 Char,proj9 Char,proj10 Char,proj11 Char,proj12 Char,proj13 Char,proj14 Char,proj15 Char,proj51 Char,proj61 Char,proj71 Char,proj81 Char,proj91 Char"/>
    <w:basedOn w:val="DefaultParagraphFont"/>
    <w:link w:val="Heading1"/>
    <w:rsid w:val="002316E1"/>
    <w:rPr>
      <w:rFonts w:asciiTheme="majorHAnsi" w:hAnsiTheme="majorHAnsi" w:eastAsiaTheme="majorEastAsia" w:cstheme="majorBidi"/>
      <w:b/>
      <w:bCs/>
      <w:kern w:val="32"/>
      <w:sz w:val="32"/>
      <w:szCs w:val="32"/>
      <w:lang w:eastAsia="en-US"/>
    </w:rPr>
  </w:style>
  <w:style w:type="character" w:styleId="Heading2Char" w:customStyle="true">
    <w:name w:val="Heading 2 Char"/>
    <w:aliases w:val="heading 2 Char,Intro Text Bold Char,proj2 Char,proj21 Char,proj22 Char,proj23 Char,proj24 Char,proj25 Char,proj26 Char,proj27 Char,proj28 Char,proj29 Char,proj210 Char,proj211 Char,proj212 Char,proj221 Char,proj231 Char,proj241 Char"/>
    <w:basedOn w:val="DefaultParagraphFont"/>
    <w:link w:val="Heading2"/>
    <w:semiHidden/>
    <w:rsid w:val="002316E1"/>
    <w:rPr>
      <w:rFonts w:asciiTheme="majorHAnsi" w:hAnsiTheme="majorHAnsi" w:eastAsiaTheme="majorEastAsia" w:cstheme="majorBidi"/>
      <w:b/>
      <w:bCs/>
      <w:i/>
      <w:iCs/>
      <w:sz w:val="28"/>
      <w:szCs w:val="28"/>
      <w:lang w:eastAsia="en-US"/>
    </w:rPr>
  </w:style>
  <w:style w:type="character" w:styleId="Heading3Char" w:customStyle="true">
    <w:name w:val="Heading 3 Char"/>
    <w:aliases w:val="heading 3 Char,underlined Heading Char,proj3 Char,proj31 Char,proj32 Char,proj33 Char,proj34 Char,proj35 Char,proj36 Char,proj37 Char,proj38 Char,proj39 Char,proj310 Char,proj311 Char,proj312 Char,proj321 Char,proj331 Char,proj341 Char"/>
    <w:basedOn w:val="DefaultParagraphFont"/>
    <w:link w:val="Heading3"/>
    <w:semiHidden/>
    <w:rsid w:val="002316E1"/>
    <w:rPr>
      <w:rFonts w:asciiTheme="majorHAnsi" w:hAnsiTheme="majorHAnsi" w:eastAsiaTheme="majorEastAsia" w:cstheme="majorBidi"/>
      <w:b/>
      <w:bCs/>
      <w:sz w:val="26"/>
      <w:szCs w:val="26"/>
      <w:lang w:eastAsia="en-US"/>
    </w:rPr>
  </w:style>
  <w:style w:type="table" w:styleId="TableGrid">
    <w:name w:val="Table Grid"/>
    <w:basedOn w:val="TableNormal"/>
    <w:uiPriority w:val="59"/>
    <w:locked/>
    <w:rsid w:val="002D6852"/>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CaselawBullet" w:customStyle="true">
    <w:name w:val="Caselaw Bullet"/>
    <w:basedOn w:val="CaselawNormal"/>
    <w:uiPriority w:val="1"/>
    <w:qFormat/>
    <w:locked/>
    <w:rsid w:val="00F36D30"/>
    <w:pPr>
      <w:numPr>
        <w:numId w:val="5"/>
      </w:numPr>
      <w:spacing w:after="360" w:line="240" w:lineRule="auto"/>
      <w:ind w:hanging="720"/>
    </w:pPr>
  </w:style>
  <w:style w:type="paragraph" w:styleId="CaselawHeading5" w:customStyle="true">
    <w:name w:val="Caselaw Heading 5"/>
    <w:basedOn w:val="CaselawHeading4"/>
    <w:rsid w:val="009459F3"/>
    <w:rPr>
      <w:b w:val="false"/>
      <w:u w:val="single"/>
    </w:rPr>
  </w:style>
  <w:style w:type="paragraph" w:styleId="BalloonText">
    <w:name w:val="Balloon Text"/>
    <w:basedOn w:val="Normal"/>
    <w:link w:val="BalloonTextChar"/>
    <w:uiPriority w:val="99"/>
    <w:semiHidden/>
    <w:unhideWhenUsed/>
    <w:locked/>
    <w:rsid w:val="000A5625"/>
    <w:pPr>
      <w:spacing w:after="0" w:line="240" w:lineRule="auto"/>
    </w:pPr>
    <w:rPr>
      <w:rFonts w:ascii="Tahoma" w:hAnsi="Tahoma" w:cs="Tahoma"/>
      <w:sz w:val="16"/>
      <w:szCs w:val="16"/>
    </w:rPr>
  </w:style>
  <w:style w:type="character" w:styleId="BalloonTextChar" w:customStyle="true">
    <w:name w:val="Balloon Text Char"/>
    <w:basedOn w:val="DefaultParagraphFont"/>
    <w:link w:val="BalloonText"/>
    <w:uiPriority w:val="99"/>
    <w:semiHidden/>
    <w:rsid w:val="000A5625"/>
    <w:rPr>
      <w:rFonts w:ascii="Tahoma" w:hAnsi="Tahoma" w:cs="Tahoma"/>
      <w:sz w:val="16"/>
      <w:szCs w:val="16"/>
    </w:rPr>
  </w:style>
  <w:style w:type="character" w:styleId="PlaceholderText">
    <w:name w:val="Placeholder Text"/>
    <w:basedOn w:val="DefaultParagraphFont"/>
    <w:uiPriority w:val="99"/>
    <w:semiHidden/>
    <w:locked/>
    <w:rsid w:val="00B914EB"/>
    <w:rPr>
      <w:color w:val="808080"/>
    </w:rPr>
  </w:style>
  <w:style w:type="character" w:styleId="Style1" w:customStyle="true">
    <w:name w:val="Style1"/>
    <w:basedOn w:val="Strong"/>
    <w:uiPriority w:val="1"/>
    <w:locked/>
    <w:rsid w:val="00C13AF5"/>
    <w:rPr>
      <w:rFonts w:ascii="Arial" w:hAnsi="Arial"/>
      <w:b w:val="false"/>
      <w:bCs/>
      <w:sz w:val="24"/>
    </w:rPr>
  </w:style>
  <w:style w:type="character" w:styleId="Strong">
    <w:name w:val="Strong"/>
    <w:basedOn w:val="DefaultParagraphFont"/>
    <w:uiPriority w:val="22"/>
    <w:semiHidden/>
    <w:qFormat/>
    <w:locked/>
    <w:rsid w:val="00C13AF5"/>
    <w:rPr>
      <w:b/>
      <w:bCs/>
    </w:rPr>
  </w:style>
  <w:style w:type="paragraph" w:styleId="DocumentMap">
    <w:name w:val="Document Map"/>
    <w:basedOn w:val="Normal"/>
    <w:link w:val="DocumentMapChar"/>
    <w:uiPriority w:val="99"/>
    <w:semiHidden/>
    <w:unhideWhenUsed/>
    <w:locked/>
    <w:rsid w:val="00C11B7B"/>
    <w:pPr>
      <w:spacing w:after="0" w:line="240" w:lineRule="auto"/>
    </w:pPr>
    <w:rPr>
      <w:rFonts w:ascii="Lucida Grande" w:hAnsi="Lucida Grande"/>
    </w:rPr>
  </w:style>
  <w:style w:type="character" w:styleId="DocumentMapChar" w:customStyle="true">
    <w:name w:val="Document Map Char"/>
    <w:basedOn w:val="DefaultParagraphFont"/>
    <w:link w:val="DocumentMap"/>
    <w:uiPriority w:val="99"/>
    <w:semiHidden/>
    <w:rsid w:val="00C11B7B"/>
    <w:rPr>
      <w:rFonts w:ascii="Lucida Grande" w:hAnsi="Lucida Grande"/>
    </w:rPr>
  </w:style>
  <w:style w:type="paragraph" w:styleId="NormalWeb">
    <w:name w:val="Normal (Web)"/>
    <w:basedOn w:val="Normal"/>
    <w:uiPriority w:val="99"/>
    <w:semiHidden/>
    <w:unhideWhenUsed/>
    <w:locked/>
    <w:rsid w:val="00677778"/>
    <w:pPr>
      <w:spacing w:before="100" w:beforeAutospacing="true" w:after="100" w:afterAutospacing="true" w:line="240" w:lineRule="auto"/>
    </w:pPr>
    <w:rPr>
      <w:rFonts w:ascii="Times New Roman" w:hAnsi="Times New Roman" w:eastAsia="Times New Roman"/>
    </w:rPr>
  </w:style>
  <w:style w:type="paragraph" w:styleId="judgmentpara" w:customStyle="true">
    <w:name w:val="judgment_para"/>
    <w:basedOn w:val="Normal"/>
    <w:rsid w:val="00677778"/>
    <w:pPr>
      <w:spacing w:before="100" w:beforeAutospacing="true" w:after="100" w:afterAutospacing="true" w:line="240" w:lineRule="auto"/>
    </w:pPr>
    <w:rPr>
      <w:rFonts w:ascii="Times New Roman" w:hAnsi="Times New Roman" w:eastAsia="Times New Roman"/>
    </w:rPr>
  </w:style>
  <w:style w:type="character" w:styleId="listnumber" w:customStyle="true">
    <w:name w:val="list_number_"/>
    <w:basedOn w:val="DefaultParagraphFont"/>
    <w:rsid w:val="00677778"/>
  </w:style>
  <w:style w:type="paragraph" w:styleId="judgmentnumbereda" w:customStyle="true">
    <w:name w:val="judgment_numbered_a_"/>
    <w:basedOn w:val="Normal"/>
    <w:rsid w:val="00B74D80"/>
    <w:pPr>
      <w:spacing w:before="100" w:beforeAutospacing="true" w:after="100" w:afterAutospacing="true" w:line="240" w:lineRule="auto"/>
    </w:pPr>
    <w:rPr>
      <w:rFonts w:ascii="Times New Roman" w:hAnsi="Times New Roman" w:eastAsia="Times New Roman"/>
    </w:rPr>
  </w:style>
  <w:style w:type="paragraph" w:styleId="judgmentnumberedi" w:customStyle="true">
    <w:name w:val="judgment_numbered_i_"/>
    <w:basedOn w:val="Normal"/>
    <w:rsid w:val="00B74D80"/>
    <w:pPr>
      <w:spacing w:before="100" w:beforeAutospacing="true" w:after="100" w:afterAutospacing="true" w:line="240" w:lineRule="auto"/>
    </w:pPr>
    <w:rPr>
      <w:rFonts w:ascii="Times New Roman" w:hAnsi="Times New Roman" w:eastAsia="Times New Roman"/>
    </w:rPr>
  </w:style>
  <w:style w:type="character" w:styleId="Heading4Char" w:customStyle="true">
    <w:name w:val="Heading 4 Char"/>
    <w:aliases w:val="Level 2 - a Char,h4 Char,a Char,minor header Char,Map Title Char,Subsection Char,sub TR Char,proj4 Char,proj41 Char,proj42 Char,proj43 Char,proj44 Char,proj45 Char,proj46 Char,proj47 Char,proj48 Char,proj49 Char,proj410 Char,proj411 Char"/>
    <w:basedOn w:val="DefaultParagraphFont"/>
    <w:link w:val="Heading4"/>
    <w:semiHidden/>
    <w:rsid w:val="00E1232E"/>
    <w:rPr>
      <w:rFonts w:asciiTheme="majorHAnsi" w:hAnsiTheme="majorHAnsi" w:eastAsiaTheme="majorEastAsia" w:cstheme="majorBidi"/>
      <w:b/>
      <w:bCs/>
      <w:i/>
      <w:iCs/>
      <w:color w:val="4F81BD" w:themeColor="accent1"/>
    </w:rPr>
  </w:style>
  <w:style w:type="character" w:styleId="Heading5Char" w:customStyle="true">
    <w:name w:val="Heading 5 Char"/>
    <w:aliases w:val="Level 3 - i Char,5 Char,Normal5 Char,Level 3 - (i) Char"/>
    <w:basedOn w:val="DefaultParagraphFont"/>
    <w:link w:val="Heading5"/>
    <w:semiHidden/>
    <w:rsid w:val="00E1232E"/>
    <w:rPr>
      <w:rFonts w:eastAsia="Times New Roman" w:cs="Arial"/>
      <w:bCs/>
      <w:szCs w:val="28"/>
      <w:lang w:eastAsia="en-US"/>
    </w:rPr>
  </w:style>
  <w:style w:type="character" w:styleId="Heading6Char" w:customStyle="true">
    <w:name w:val="Heading 6 Char"/>
    <w:aliases w:val="Legal Level 1. Char,Body Text 5 Char,Normal6 Char"/>
    <w:basedOn w:val="DefaultParagraphFont"/>
    <w:link w:val="Heading6"/>
    <w:semiHidden/>
    <w:rsid w:val="00E1232E"/>
    <w:rPr>
      <w:rFonts w:eastAsia="Times New Roman" w:cs="Arial"/>
      <w:bCs/>
      <w:szCs w:val="28"/>
      <w:lang w:eastAsia="en-US"/>
    </w:rPr>
  </w:style>
  <w:style w:type="character" w:styleId="Heading7Char" w:customStyle="true">
    <w:name w:val="Heading 7 Char"/>
    <w:aliases w:val="Legal Level 1.1. Char,Body Text 6 Char,Heading 7(unused) Char,Normal7 Char"/>
    <w:basedOn w:val="DefaultParagraphFont"/>
    <w:link w:val="Heading7"/>
    <w:uiPriority w:val="99"/>
    <w:semiHidden/>
    <w:rsid w:val="00E1232E"/>
    <w:rPr>
      <w:rFonts w:eastAsia="Times New Roman" w:cs="Arial"/>
      <w:bCs/>
      <w:szCs w:val="28"/>
      <w:lang w:eastAsia="en-US"/>
    </w:rPr>
  </w:style>
  <w:style w:type="character" w:styleId="Heading8Char" w:customStyle="true">
    <w:name w:val="Heading 8 Char"/>
    <w:aliases w:val="Legal Level 1.1.1. Char,Body Text 7 Char,Heading 8(unused) Char,Heading 8 (Start Appendices) Char,Normal8 Char"/>
    <w:basedOn w:val="DefaultParagraphFont"/>
    <w:link w:val="Heading8"/>
    <w:uiPriority w:val="99"/>
    <w:semiHidden/>
    <w:rsid w:val="00E1232E"/>
    <w:rPr>
      <w:rFonts w:eastAsia="Times New Roman" w:cs="Arial"/>
      <w:bCs/>
      <w:szCs w:val="28"/>
      <w:lang w:eastAsia="en-US"/>
    </w:rPr>
  </w:style>
  <w:style w:type="character" w:styleId="Heading9Char" w:customStyle="true">
    <w:name w:val="Heading 9 Char"/>
    <w:aliases w:val="Legal Level 1.1.1.1. Char,Body Text 8 Char,Heading 9(unused) Char,Appendix Char"/>
    <w:basedOn w:val="DefaultParagraphFont"/>
    <w:link w:val="Heading9"/>
    <w:uiPriority w:val="99"/>
    <w:semiHidden/>
    <w:rsid w:val="00E1232E"/>
    <w:rPr>
      <w:rFonts w:eastAsia="Times New Roman" w:cs="Arial"/>
      <w:bCs/>
      <w:szCs w:val="28"/>
      <w:lang w:eastAsia="en-US"/>
    </w:rPr>
  </w:style>
  <w:style w:type="character" w:styleId="Hyperlink">
    <w:name w:val="Hyperlink"/>
    <w:basedOn w:val="DefaultParagraphFont"/>
    <w:uiPriority w:val="99"/>
    <w:unhideWhenUsed/>
    <w:locked/>
    <w:rsid w:val="00E1232E"/>
    <w:rPr>
      <w:color w:val="0000FF"/>
      <w:u w:val="single"/>
    </w:rPr>
  </w:style>
  <w:style w:type="character" w:styleId="FollowedHyperlink">
    <w:name w:val="FollowedHyperlink"/>
    <w:basedOn w:val="DefaultParagraphFont"/>
    <w:semiHidden/>
    <w:unhideWhenUsed/>
    <w:locked/>
    <w:rsid w:val="00E1232E"/>
    <w:rPr>
      <w:color w:val="800080"/>
      <w:u w:val="single"/>
    </w:rPr>
  </w:style>
  <w:style w:type="character" w:styleId="Heading1Char1" w:customStyle="true">
    <w:name w:val="Heading 1 Char1"/>
    <w:aliases w:val="H1 Char1,contents Char1,proj Char1,proj1 Char1,proj5 Char1,proj6 Char1,proj7 Char1,proj8 Char1,proj9 Char1,proj10 Char1,proj11 Char1,proj12 Char1,proj13 Char1,proj14 Char1,proj15 Char1,proj51 Char1,proj61 Char1,proj71 Char1,proj81 Char1"/>
    <w:basedOn w:val="DefaultParagraphFont"/>
    <w:rsid w:val="00E1232E"/>
    <w:rPr>
      <w:rFonts w:asciiTheme="majorHAnsi" w:hAnsiTheme="majorHAnsi" w:eastAsiaTheme="majorEastAsia" w:cstheme="majorBidi"/>
      <w:b/>
      <w:bCs/>
      <w:color w:val="365F91" w:themeColor="accent1" w:themeShade="BF"/>
      <w:sz w:val="28"/>
      <w:szCs w:val="28"/>
      <w:lang w:eastAsia="en-US"/>
    </w:rPr>
  </w:style>
  <w:style w:type="character" w:styleId="Heading2Char1" w:customStyle="true">
    <w:name w:val="Heading 2 Char1"/>
    <w:aliases w:val="heading 2 Char1,Intro Text Bold Char1,proj2 Char1,proj21 Char1,proj22 Char1,proj23 Char1,proj24 Char1,proj25 Char1,proj26 Char1,proj27 Char1,proj28 Char1,proj29 Char1,proj210 Char1,proj211 Char1,proj212 Char1,proj221 Char1,proj231 Char1"/>
    <w:basedOn w:val="DefaultParagraphFont"/>
    <w:semiHidden/>
    <w:rsid w:val="00E1232E"/>
    <w:rPr>
      <w:rFonts w:asciiTheme="majorHAnsi" w:hAnsiTheme="majorHAnsi" w:eastAsiaTheme="majorEastAsia" w:cstheme="majorBidi"/>
      <w:b/>
      <w:bCs/>
      <w:color w:val="4F81BD" w:themeColor="accent1"/>
      <w:sz w:val="26"/>
      <w:szCs w:val="26"/>
      <w:lang w:eastAsia="en-US"/>
    </w:rPr>
  </w:style>
  <w:style w:type="character" w:styleId="Heading3Char1" w:customStyle="true">
    <w:name w:val="Heading 3 Char1"/>
    <w:aliases w:val="heading 3 Char1,underlined Heading Char1,proj3 Char1,proj31 Char1,proj32 Char1,proj33 Char1,proj34 Char1,proj35 Char1,proj36 Char1,proj37 Char1,proj38 Char1,proj39 Char1,proj310 Char1,proj311 Char1,proj312 Char1,proj321 Char1,h3 Char"/>
    <w:basedOn w:val="DefaultParagraphFont"/>
    <w:semiHidden/>
    <w:rsid w:val="00E1232E"/>
    <w:rPr>
      <w:rFonts w:asciiTheme="majorHAnsi" w:hAnsiTheme="majorHAnsi" w:eastAsiaTheme="majorEastAsia" w:cstheme="majorBidi"/>
      <w:b/>
      <w:bCs/>
      <w:color w:val="4F81BD" w:themeColor="accent1"/>
      <w:lang w:eastAsia="en-US"/>
    </w:rPr>
  </w:style>
  <w:style w:type="character" w:styleId="Heading4Char1" w:customStyle="true">
    <w:name w:val="Heading 4 Char1"/>
    <w:aliases w:val="Level 2 - a Char1,h4 Char1,a Char1,minor header Char1,Map Title Char1,Subsection Char1,sub TR Char1,proj4 Char1,proj41 Char1,proj42 Char1,proj43 Char1,proj44 Char1,proj45 Char1,proj46 Char1,proj47 Char1,proj48 Char1,proj49 Char1"/>
    <w:basedOn w:val="DefaultParagraphFont"/>
    <w:semiHidden/>
    <w:rsid w:val="00E1232E"/>
    <w:rPr>
      <w:rFonts w:asciiTheme="majorHAnsi" w:hAnsiTheme="majorHAnsi" w:eastAsiaTheme="majorEastAsia" w:cstheme="majorBidi"/>
      <w:b/>
      <w:bCs/>
      <w:i/>
      <w:iCs/>
      <w:color w:val="4F81BD" w:themeColor="accent1"/>
      <w:lang w:eastAsia="en-US"/>
    </w:rPr>
  </w:style>
  <w:style w:type="character" w:styleId="Heading5Char1" w:customStyle="true">
    <w:name w:val="Heading 5 Char1"/>
    <w:aliases w:val="Level 3 - i Char1,5 Char1,Normal5 Char1,Level 3 - (i) Char1"/>
    <w:basedOn w:val="DefaultParagraphFont"/>
    <w:semiHidden/>
    <w:rsid w:val="00E1232E"/>
    <w:rPr>
      <w:rFonts w:asciiTheme="majorHAnsi" w:hAnsiTheme="majorHAnsi" w:eastAsiaTheme="majorEastAsia" w:cstheme="majorBidi"/>
      <w:color w:val="243F60" w:themeColor="accent1" w:themeShade="7F"/>
      <w:lang w:eastAsia="en-US"/>
    </w:rPr>
  </w:style>
  <w:style w:type="character" w:styleId="Heading6Char1" w:customStyle="true">
    <w:name w:val="Heading 6 Char1"/>
    <w:aliases w:val="Legal Level 1. Char1,Body Text 5 Char1,Normal6 Char1"/>
    <w:basedOn w:val="DefaultParagraphFont"/>
    <w:semiHidden/>
    <w:rsid w:val="00E1232E"/>
    <w:rPr>
      <w:rFonts w:asciiTheme="majorHAnsi" w:hAnsiTheme="majorHAnsi" w:eastAsiaTheme="majorEastAsia" w:cstheme="majorBidi"/>
      <w:i/>
      <w:iCs/>
      <w:color w:val="243F60" w:themeColor="accent1" w:themeShade="7F"/>
      <w:lang w:eastAsia="en-US"/>
    </w:rPr>
  </w:style>
  <w:style w:type="character" w:styleId="Heading7Char1" w:customStyle="true">
    <w:name w:val="Heading 7 Char1"/>
    <w:aliases w:val="Legal Level 1.1. Char1,Body Text 6 Char1,Heading 7(unused) Char1,Normal7 Char1"/>
    <w:basedOn w:val="DefaultParagraphFont"/>
    <w:semiHidden/>
    <w:rsid w:val="00E1232E"/>
    <w:rPr>
      <w:rFonts w:asciiTheme="majorHAnsi" w:hAnsiTheme="majorHAnsi" w:eastAsiaTheme="majorEastAsia" w:cstheme="majorBidi"/>
      <w:i/>
      <w:iCs/>
      <w:color w:val="404040" w:themeColor="text1" w:themeTint="BF"/>
      <w:lang w:eastAsia="en-US"/>
    </w:rPr>
  </w:style>
  <w:style w:type="character" w:styleId="Heading8Char1" w:customStyle="true">
    <w:name w:val="Heading 8 Char1"/>
    <w:aliases w:val="Legal Level 1.1.1. Char1,Body Text 7 Char1,Heading 8(unused) Char1,Heading 8 (Start Appendices) Char1,Normal8 Char1"/>
    <w:basedOn w:val="DefaultParagraphFont"/>
    <w:semiHidden/>
    <w:rsid w:val="00E1232E"/>
    <w:rPr>
      <w:rFonts w:asciiTheme="majorHAnsi" w:hAnsiTheme="majorHAnsi" w:eastAsiaTheme="majorEastAsia" w:cstheme="majorBidi"/>
      <w:color w:val="404040" w:themeColor="text1" w:themeTint="BF"/>
      <w:lang w:eastAsia="en-US"/>
    </w:rPr>
  </w:style>
  <w:style w:type="character" w:styleId="Heading9Char1" w:customStyle="true">
    <w:name w:val="Heading 9 Char1"/>
    <w:aliases w:val="Legal Level 1.1.1.1. Char1,Body Text 8 Char1,Heading 9(unused) Char1,Appendix Char1"/>
    <w:basedOn w:val="DefaultParagraphFont"/>
    <w:semiHidden/>
    <w:rsid w:val="00E1232E"/>
    <w:rPr>
      <w:rFonts w:asciiTheme="majorHAnsi" w:hAnsiTheme="majorHAnsi" w:eastAsiaTheme="majorEastAsia" w:cstheme="majorBidi"/>
      <w:i/>
      <w:iCs/>
      <w:color w:val="404040" w:themeColor="text1" w:themeTint="BF"/>
      <w:lang w:eastAsia="en-US"/>
    </w:rPr>
  </w:style>
  <w:style w:type="paragraph" w:styleId="Index1">
    <w:name w:val="index 1"/>
    <w:basedOn w:val="Normal"/>
    <w:next w:val="Normal"/>
    <w:autoRedefine/>
    <w:uiPriority w:val="99"/>
    <w:unhideWhenUsed/>
    <w:locked/>
    <w:rsid w:val="00E1232E"/>
    <w:pPr>
      <w:keepLines/>
      <w:numPr>
        <w:numId w:val="6"/>
      </w:numPr>
      <w:overflowPunct w:val="false"/>
      <w:autoSpaceDE w:val="false"/>
      <w:autoSpaceDN w:val="false"/>
      <w:adjustRightInd w:val="false"/>
      <w:spacing w:after="0" w:line="240" w:lineRule="auto"/>
      <w:jc w:val="both"/>
    </w:pPr>
    <w:rPr>
      <w:rFonts w:ascii="Times New Roman" w:hAnsi="Times New Roman" w:eastAsia="Times New Roman"/>
      <w:szCs w:val="20"/>
      <w:lang w:eastAsia="en-US"/>
    </w:rPr>
  </w:style>
  <w:style w:type="paragraph" w:styleId="Index2">
    <w:name w:val="index 2"/>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480" w:hanging="240"/>
      <w:jc w:val="both"/>
    </w:pPr>
    <w:rPr>
      <w:rFonts w:ascii="Times New Roman" w:hAnsi="Times New Roman" w:eastAsia="Times New Roman"/>
      <w:szCs w:val="20"/>
      <w:lang w:eastAsia="en-US"/>
    </w:rPr>
  </w:style>
  <w:style w:type="paragraph" w:styleId="Index3">
    <w:name w:val="index 3"/>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720" w:hanging="240"/>
      <w:jc w:val="both"/>
    </w:pPr>
    <w:rPr>
      <w:rFonts w:ascii="Times New Roman" w:hAnsi="Times New Roman" w:eastAsia="Times New Roman"/>
      <w:szCs w:val="20"/>
      <w:lang w:eastAsia="en-US"/>
    </w:rPr>
  </w:style>
  <w:style w:type="paragraph" w:styleId="Index4">
    <w:name w:val="index 4"/>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960" w:hanging="240"/>
      <w:jc w:val="both"/>
    </w:pPr>
    <w:rPr>
      <w:rFonts w:ascii="Times New Roman" w:hAnsi="Times New Roman" w:eastAsia="Times New Roman"/>
      <w:szCs w:val="20"/>
      <w:lang w:eastAsia="en-US"/>
    </w:rPr>
  </w:style>
  <w:style w:type="paragraph" w:styleId="Index5">
    <w:name w:val="index 5"/>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200" w:hanging="240"/>
      <w:jc w:val="both"/>
    </w:pPr>
    <w:rPr>
      <w:rFonts w:ascii="Times New Roman" w:hAnsi="Times New Roman" w:eastAsia="Times New Roman"/>
      <w:szCs w:val="20"/>
      <w:lang w:eastAsia="en-US"/>
    </w:rPr>
  </w:style>
  <w:style w:type="paragraph" w:styleId="Index6">
    <w:name w:val="index 6"/>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440" w:hanging="240"/>
      <w:jc w:val="both"/>
    </w:pPr>
    <w:rPr>
      <w:rFonts w:ascii="Times New Roman" w:hAnsi="Times New Roman" w:eastAsia="Times New Roman"/>
      <w:szCs w:val="20"/>
      <w:lang w:eastAsia="en-US"/>
    </w:rPr>
  </w:style>
  <w:style w:type="paragraph" w:styleId="Index7">
    <w:name w:val="index 7"/>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680" w:hanging="240"/>
      <w:jc w:val="both"/>
    </w:pPr>
    <w:rPr>
      <w:rFonts w:ascii="Times New Roman" w:hAnsi="Times New Roman" w:eastAsia="Times New Roman"/>
      <w:szCs w:val="20"/>
      <w:lang w:eastAsia="en-US"/>
    </w:rPr>
  </w:style>
  <w:style w:type="paragraph" w:styleId="Index8">
    <w:name w:val="index 8"/>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920" w:hanging="240"/>
      <w:jc w:val="both"/>
    </w:pPr>
    <w:rPr>
      <w:rFonts w:ascii="Times New Roman" w:hAnsi="Times New Roman" w:eastAsia="Times New Roman"/>
      <w:szCs w:val="20"/>
      <w:lang w:eastAsia="en-US"/>
    </w:rPr>
  </w:style>
  <w:style w:type="paragraph" w:styleId="Index9">
    <w:name w:val="index 9"/>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2160" w:hanging="240"/>
      <w:jc w:val="both"/>
    </w:pPr>
    <w:rPr>
      <w:rFonts w:ascii="Times New Roman" w:hAnsi="Times New Roman" w:eastAsia="Times New Roman"/>
      <w:szCs w:val="20"/>
      <w:lang w:eastAsia="en-US"/>
    </w:rPr>
  </w:style>
  <w:style w:type="paragraph" w:styleId="TOC1">
    <w:name w:val="toc 1"/>
    <w:basedOn w:val="Normal"/>
    <w:next w:val="Normal"/>
    <w:autoRedefine/>
    <w:uiPriority w:val="39"/>
    <w:semiHidden/>
    <w:unhideWhenUsed/>
    <w:qFormat/>
    <w:locked/>
    <w:rsid w:val="00E1232E"/>
    <w:pPr>
      <w:spacing w:after="120" w:line="240" w:lineRule="auto"/>
    </w:pPr>
    <w:rPr>
      <w:rFonts w:eastAsia="Times New Roman"/>
      <w:b/>
      <w:sz w:val="20"/>
      <w:szCs w:val="20"/>
      <w:lang w:eastAsia="en-US"/>
    </w:rPr>
  </w:style>
  <w:style w:type="paragraph" w:styleId="TOC2">
    <w:name w:val="toc 2"/>
    <w:basedOn w:val="TOC1"/>
    <w:next w:val="Normal"/>
    <w:autoRedefine/>
    <w:uiPriority w:val="39"/>
    <w:semiHidden/>
    <w:unhideWhenUsed/>
    <w:qFormat/>
    <w:locked/>
    <w:rsid w:val="00E1232E"/>
    <w:pPr>
      <w:ind w:left="454"/>
    </w:pPr>
    <w:rPr>
      <w:b w:val="false"/>
    </w:rPr>
  </w:style>
  <w:style w:type="paragraph" w:styleId="TOC3">
    <w:name w:val="toc 3"/>
    <w:basedOn w:val="TOC2"/>
    <w:next w:val="Normal"/>
    <w:autoRedefine/>
    <w:uiPriority w:val="39"/>
    <w:semiHidden/>
    <w:unhideWhenUsed/>
    <w:qFormat/>
    <w:locked/>
    <w:rsid w:val="00E1232E"/>
    <w:pPr>
      <w:spacing w:before="120"/>
    </w:pPr>
  </w:style>
  <w:style w:type="paragraph" w:styleId="TOC4">
    <w:name w:val="toc 4"/>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after="0" w:line="240" w:lineRule="auto"/>
      <w:ind w:left="720"/>
      <w:jc w:val="both"/>
    </w:pPr>
    <w:rPr>
      <w:rFonts w:eastAsia="Times New Roman"/>
      <w:sz w:val="20"/>
      <w:szCs w:val="20"/>
      <w:lang w:eastAsia="en-US"/>
    </w:rPr>
  </w:style>
  <w:style w:type="paragraph" w:styleId="TOC5">
    <w:name w:val="toc 5"/>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960"/>
      <w:jc w:val="both"/>
    </w:pPr>
    <w:rPr>
      <w:rFonts w:eastAsia="Times New Roman"/>
      <w:szCs w:val="20"/>
      <w:lang w:eastAsia="en-US"/>
    </w:rPr>
  </w:style>
  <w:style w:type="paragraph" w:styleId="TOC6">
    <w:name w:val="toc 6"/>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200"/>
      <w:jc w:val="both"/>
    </w:pPr>
    <w:rPr>
      <w:rFonts w:ascii="Times New Roman" w:hAnsi="Times New Roman" w:eastAsia="Times New Roman"/>
      <w:szCs w:val="20"/>
      <w:lang w:eastAsia="en-US"/>
    </w:rPr>
  </w:style>
  <w:style w:type="paragraph" w:styleId="TOC7">
    <w:name w:val="toc 7"/>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440"/>
      <w:jc w:val="both"/>
    </w:pPr>
    <w:rPr>
      <w:rFonts w:ascii="Times New Roman" w:hAnsi="Times New Roman" w:eastAsia="Times New Roman"/>
      <w:szCs w:val="20"/>
      <w:lang w:eastAsia="en-US"/>
    </w:rPr>
  </w:style>
  <w:style w:type="paragraph" w:styleId="TOC8">
    <w:name w:val="toc 8"/>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680"/>
      <w:jc w:val="both"/>
    </w:pPr>
    <w:rPr>
      <w:rFonts w:ascii="Times New Roman" w:hAnsi="Times New Roman" w:eastAsia="Times New Roman"/>
      <w:szCs w:val="20"/>
      <w:lang w:eastAsia="en-US"/>
    </w:rPr>
  </w:style>
  <w:style w:type="paragraph" w:styleId="TOC9">
    <w:name w:val="toc 9"/>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920"/>
      <w:jc w:val="both"/>
    </w:pPr>
    <w:rPr>
      <w:rFonts w:ascii="Times New Roman" w:hAnsi="Times New Roman" w:eastAsia="Times New Roman"/>
      <w:szCs w:val="20"/>
      <w:lang w:eastAsia="en-US"/>
    </w:rPr>
  </w:style>
  <w:style w:type="paragraph" w:styleId="FootnoteText">
    <w:name w:val="footnote text"/>
    <w:basedOn w:val="Normal"/>
    <w:link w:val="FootnoteTextChar"/>
    <w:uiPriority w:val="99"/>
    <w:unhideWhenUsed/>
    <w:locked/>
    <w:rsid w:val="00E1232E"/>
    <w:pPr>
      <w:spacing w:after="0" w:line="240" w:lineRule="auto"/>
    </w:pPr>
    <w:rPr>
      <w:rFonts w:asciiTheme="minorHAnsi" w:hAnsiTheme="minorHAnsi" w:eastAsiaTheme="minorEastAsia" w:cstheme="minorBidi"/>
      <w:sz w:val="20"/>
      <w:szCs w:val="20"/>
      <w:lang w:val="en-US" w:eastAsia="ja-JP"/>
    </w:rPr>
  </w:style>
  <w:style w:type="character" w:styleId="FootnoteTextChar" w:customStyle="true">
    <w:name w:val="Footnote Text Char"/>
    <w:basedOn w:val="DefaultParagraphFont"/>
    <w:link w:val="FootnoteText"/>
    <w:uiPriority w:val="99"/>
    <w:rsid w:val="00E1232E"/>
    <w:rPr>
      <w:rFonts w:asciiTheme="minorHAnsi" w:hAnsiTheme="minorHAnsi" w:eastAsiaTheme="minorEastAsia" w:cstheme="minorBidi"/>
      <w:sz w:val="20"/>
      <w:szCs w:val="20"/>
      <w:lang w:val="en-US" w:eastAsia="ja-JP"/>
    </w:rPr>
  </w:style>
  <w:style w:type="paragraph" w:styleId="CommentText">
    <w:name w:val="annotation text"/>
    <w:basedOn w:val="Normal"/>
    <w:link w:val="CommentTextChar"/>
    <w:uiPriority w:val="99"/>
    <w:semiHidden/>
    <w:unhideWhenUsed/>
    <w:locked/>
    <w:rsid w:val="00E1232E"/>
    <w:pPr>
      <w:spacing w:before="240" w:after="120" w:line="300" w:lineRule="auto"/>
    </w:pPr>
    <w:rPr>
      <w:rFonts w:eastAsia="Times New Roman"/>
      <w:sz w:val="20"/>
      <w:szCs w:val="20"/>
      <w:lang w:eastAsia="en-US"/>
    </w:rPr>
  </w:style>
  <w:style w:type="character" w:styleId="CommentTextChar" w:customStyle="true">
    <w:name w:val="Comment Text Char"/>
    <w:basedOn w:val="DefaultParagraphFont"/>
    <w:link w:val="CommentText"/>
    <w:uiPriority w:val="99"/>
    <w:semiHidden/>
    <w:rsid w:val="00E1232E"/>
    <w:rPr>
      <w:rFonts w:eastAsia="Times New Roman"/>
      <w:sz w:val="20"/>
      <w:szCs w:val="20"/>
      <w:lang w:eastAsia="en-US"/>
    </w:rPr>
  </w:style>
  <w:style w:type="paragraph" w:styleId="Header">
    <w:name w:val="header"/>
    <w:basedOn w:val="Normal"/>
    <w:link w:val="HeaderChar"/>
    <w:uiPriority w:val="99"/>
    <w:semiHidden/>
    <w:unhideWhenUsed/>
    <w:locked/>
    <w:rsid w:val="00E1232E"/>
    <w:pPr>
      <w:tabs>
        <w:tab w:val="center" w:pos="4153"/>
        <w:tab w:val="right" w:pos="8306"/>
      </w:tabs>
      <w:spacing w:before="240" w:after="120" w:line="300" w:lineRule="auto"/>
    </w:pPr>
    <w:rPr>
      <w:rFonts w:eastAsia="Times New Roman"/>
      <w:sz w:val="20"/>
      <w:szCs w:val="20"/>
      <w:lang w:eastAsia="en-US"/>
    </w:rPr>
  </w:style>
  <w:style w:type="character" w:styleId="HeaderChar" w:customStyle="true">
    <w:name w:val="Header Char"/>
    <w:basedOn w:val="DefaultParagraphFont"/>
    <w:link w:val="Header"/>
    <w:uiPriority w:val="99"/>
    <w:semiHidden/>
    <w:rsid w:val="00E1232E"/>
    <w:rPr>
      <w:rFonts w:eastAsia="Times New Roman"/>
      <w:sz w:val="20"/>
      <w:szCs w:val="20"/>
      <w:lang w:eastAsia="en-US"/>
    </w:rPr>
  </w:style>
  <w:style w:type="paragraph" w:styleId="Footer">
    <w:name w:val="footer"/>
    <w:basedOn w:val="Normal"/>
    <w:link w:val="FooterChar"/>
    <w:uiPriority w:val="99"/>
    <w:semiHidden/>
    <w:unhideWhenUsed/>
    <w:locked/>
    <w:rsid w:val="00E1232E"/>
    <w:pPr>
      <w:tabs>
        <w:tab w:val="center" w:pos="4153"/>
        <w:tab w:val="right" w:pos="8306"/>
      </w:tabs>
      <w:spacing w:before="240" w:after="120" w:line="300" w:lineRule="auto"/>
    </w:pPr>
    <w:rPr>
      <w:rFonts w:eastAsia="Times New Roman"/>
      <w:sz w:val="20"/>
      <w:szCs w:val="20"/>
      <w:lang w:eastAsia="en-US"/>
    </w:rPr>
  </w:style>
  <w:style w:type="character" w:styleId="FooterChar" w:customStyle="true">
    <w:name w:val="Footer Char"/>
    <w:basedOn w:val="DefaultParagraphFont"/>
    <w:link w:val="Footer"/>
    <w:uiPriority w:val="99"/>
    <w:semiHidden/>
    <w:rsid w:val="00E1232E"/>
    <w:rPr>
      <w:rFonts w:eastAsia="Times New Roman"/>
      <w:sz w:val="20"/>
      <w:szCs w:val="20"/>
      <w:lang w:eastAsia="en-US"/>
    </w:rPr>
  </w:style>
  <w:style w:type="paragraph" w:styleId="IndexHeading">
    <w:name w:val="index heading"/>
    <w:basedOn w:val="Normal"/>
    <w:next w:val="Index1"/>
    <w:uiPriority w:val="99"/>
    <w:unhideWhenUsed/>
    <w:locked/>
    <w:rsid w:val="00E1232E"/>
    <w:pPr>
      <w:keepLines/>
      <w:overflowPunct w:val="false"/>
      <w:autoSpaceDE w:val="false"/>
      <w:autoSpaceDN w:val="false"/>
      <w:adjustRightInd w:val="false"/>
      <w:spacing w:before="240" w:after="0" w:line="240" w:lineRule="auto"/>
      <w:jc w:val="both"/>
    </w:pPr>
    <w:rPr>
      <w:rFonts w:ascii="Times New Roman" w:hAnsi="Times New Roman" w:eastAsia="Times New Roman"/>
      <w:szCs w:val="20"/>
      <w:lang w:eastAsia="en-US"/>
    </w:rPr>
  </w:style>
  <w:style w:type="paragraph" w:styleId="Caption">
    <w:name w:val="caption"/>
    <w:basedOn w:val="Normal"/>
    <w:next w:val="Normal"/>
    <w:uiPriority w:val="99"/>
    <w:semiHidden/>
    <w:unhideWhenUsed/>
    <w:qFormat/>
    <w:locked/>
    <w:rsid w:val="00E1232E"/>
    <w:pPr>
      <w:keepLines/>
      <w:tabs>
        <w:tab w:val="left" w:pos="1134"/>
      </w:tabs>
      <w:overflowPunct w:val="false"/>
      <w:autoSpaceDE w:val="false"/>
      <w:autoSpaceDN w:val="false"/>
      <w:adjustRightInd w:val="false"/>
      <w:spacing w:before="240" w:after="0" w:line="240" w:lineRule="auto"/>
      <w:ind w:left="567"/>
      <w:jc w:val="center"/>
    </w:pPr>
    <w:rPr>
      <w:rFonts w:ascii="Times New Roman" w:hAnsi="Times New Roman" w:eastAsia="Times New Roman"/>
      <w:i/>
      <w:iCs/>
      <w:sz w:val="20"/>
      <w:szCs w:val="20"/>
      <w:lang w:eastAsia="en-US"/>
    </w:rPr>
  </w:style>
  <w:style w:type="paragraph" w:styleId="ListBullet">
    <w:name w:val="List Bullet"/>
    <w:basedOn w:val="Normal"/>
    <w:uiPriority w:val="99"/>
    <w:semiHidden/>
    <w:unhideWhenUsed/>
    <w:locked/>
    <w:rsid w:val="00E1232E"/>
    <w:pPr>
      <w:numPr>
        <w:numId w:val="7"/>
      </w:numPr>
      <w:spacing w:before="60" w:after="60" w:line="300" w:lineRule="auto"/>
    </w:pPr>
    <w:rPr>
      <w:rFonts w:ascii="Arial(W1)" w:hAnsi="Arial(W1)" w:eastAsia="Times New Roman"/>
      <w:sz w:val="20"/>
      <w:szCs w:val="22"/>
      <w:lang w:eastAsia="en-US"/>
    </w:rPr>
  </w:style>
  <w:style w:type="character" w:styleId="BodyTextChar" w:customStyle="true">
    <w:name w:val="Body Text Char"/>
    <w:aliases w:val="bt Char,Heading 3 text Char,Heading 3 text1 Char,Heading 3 text2 Char,Heading 3 text3 Char,Heading 3 text4 Char"/>
    <w:basedOn w:val="DefaultParagraphFont"/>
    <w:link w:val="BodyText"/>
    <w:locked/>
    <w:rsid w:val="00E1232E"/>
    <w:rPr>
      <w:rFonts w:cs="Arial"/>
      <w:lang w:eastAsia="en-US"/>
    </w:rPr>
  </w:style>
  <w:style w:type="paragraph" w:styleId="BodyText">
    <w:name w:val="Body Text"/>
    <w:aliases w:val="bt,Heading 3 text,Heading 3 text1,Heading 3 text2,Heading 3 text3,Heading 3 text4"/>
    <w:basedOn w:val="Normal"/>
    <w:link w:val="BodyTextChar"/>
    <w:unhideWhenUsed/>
    <w:rsid w:val="00E1232E"/>
    <w:pPr>
      <w:spacing w:before="240" w:after="120" w:line="300" w:lineRule="auto"/>
    </w:pPr>
    <w:rPr>
      <w:rFonts w:cs="Arial"/>
      <w:lang w:eastAsia="en-US"/>
    </w:rPr>
  </w:style>
  <w:style w:type="character" w:styleId="BodyTextChar1" w:customStyle="true">
    <w:name w:val="Body Text Char1"/>
    <w:aliases w:val="bt Char1,Heading 3 text Char1,Heading 3 text1 Char1,Heading 3 text2 Char1,Heading 3 text3 Char1,Heading 3 text4 Char1"/>
    <w:basedOn w:val="DefaultParagraphFont"/>
    <w:semiHidden/>
    <w:rsid w:val="00E1232E"/>
  </w:style>
  <w:style w:type="paragraph" w:styleId="BodyTextIndent">
    <w:name w:val="Body Text Indent"/>
    <w:basedOn w:val="Normal"/>
    <w:link w:val="BodyTextIndentChar"/>
    <w:uiPriority w:val="99"/>
    <w:semiHidden/>
    <w:unhideWhenUsed/>
    <w:rsid w:val="00E1232E"/>
    <w:pPr>
      <w:spacing w:before="240" w:after="120" w:line="300" w:lineRule="auto"/>
      <w:ind w:left="283"/>
    </w:pPr>
    <w:rPr>
      <w:rFonts w:eastAsia="Times New Roman"/>
      <w:sz w:val="20"/>
      <w:szCs w:val="20"/>
      <w:lang w:eastAsia="en-US"/>
    </w:rPr>
  </w:style>
  <w:style w:type="character" w:styleId="BodyTextIndentChar" w:customStyle="true">
    <w:name w:val="Body Text Indent Char"/>
    <w:basedOn w:val="DefaultParagraphFont"/>
    <w:link w:val="BodyTextIndent"/>
    <w:uiPriority w:val="99"/>
    <w:semiHidden/>
    <w:rsid w:val="00E1232E"/>
    <w:rPr>
      <w:rFonts w:eastAsia="Times New Roman"/>
      <w:sz w:val="20"/>
      <w:szCs w:val="20"/>
      <w:lang w:eastAsia="en-US"/>
    </w:rPr>
  </w:style>
  <w:style w:type="paragraph" w:styleId="BodyText2">
    <w:name w:val="Body Text 2"/>
    <w:basedOn w:val="Normal"/>
    <w:link w:val="BodyText2Char"/>
    <w:uiPriority w:val="99"/>
    <w:semiHidden/>
    <w:unhideWhenUsed/>
    <w:rsid w:val="00E1232E"/>
    <w:pPr>
      <w:spacing w:before="240" w:after="120" w:line="480" w:lineRule="auto"/>
    </w:pPr>
    <w:rPr>
      <w:rFonts w:eastAsia="Times New Roman"/>
      <w:sz w:val="20"/>
      <w:szCs w:val="20"/>
      <w:lang w:eastAsia="en-US"/>
    </w:rPr>
  </w:style>
  <w:style w:type="character" w:styleId="BodyText2Char" w:customStyle="true">
    <w:name w:val="Body Text 2 Char"/>
    <w:basedOn w:val="DefaultParagraphFont"/>
    <w:link w:val="BodyText2"/>
    <w:uiPriority w:val="99"/>
    <w:semiHidden/>
    <w:rsid w:val="00E1232E"/>
    <w:rPr>
      <w:rFonts w:eastAsia="Times New Roman"/>
      <w:sz w:val="20"/>
      <w:szCs w:val="20"/>
      <w:lang w:eastAsia="en-US"/>
    </w:rPr>
  </w:style>
  <w:style w:type="paragraph" w:styleId="BodyText3">
    <w:name w:val="Body Text 3"/>
    <w:basedOn w:val="Normal"/>
    <w:link w:val="BodyText3Char"/>
    <w:uiPriority w:val="99"/>
    <w:semiHidden/>
    <w:unhideWhenUsed/>
    <w:rsid w:val="00E1232E"/>
    <w:pPr>
      <w:spacing w:before="240" w:after="120" w:line="300" w:lineRule="auto"/>
    </w:pPr>
    <w:rPr>
      <w:rFonts w:eastAsia="Times New Roman"/>
      <w:sz w:val="16"/>
      <w:szCs w:val="16"/>
      <w:lang w:eastAsia="en-US"/>
    </w:rPr>
  </w:style>
  <w:style w:type="character" w:styleId="BodyText3Char" w:customStyle="true">
    <w:name w:val="Body Text 3 Char"/>
    <w:basedOn w:val="DefaultParagraphFont"/>
    <w:link w:val="BodyText3"/>
    <w:uiPriority w:val="99"/>
    <w:semiHidden/>
    <w:rsid w:val="00E1232E"/>
    <w:rPr>
      <w:rFonts w:eastAsia="Times New Roman"/>
      <w:sz w:val="16"/>
      <w:szCs w:val="16"/>
      <w:lang w:eastAsia="en-US"/>
    </w:rPr>
  </w:style>
  <w:style w:type="paragraph" w:styleId="BodyTextIndent2">
    <w:name w:val="Body Text Indent 2"/>
    <w:basedOn w:val="Normal"/>
    <w:link w:val="BodyTextIndent2Char"/>
    <w:uiPriority w:val="99"/>
    <w:unhideWhenUsed/>
    <w:locked/>
    <w:rsid w:val="00E1232E"/>
    <w:pPr>
      <w:spacing w:before="240" w:after="120" w:line="480" w:lineRule="auto"/>
      <w:ind w:left="283"/>
    </w:pPr>
    <w:rPr>
      <w:rFonts w:eastAsia="Times New Roman"/>
      <w:sz w:val="20"/>
      <w:szCs w:val="20"/>
      <w:lang w:eastAsia="en-US"/>
    </w:rPr>
  </w:style>
  <w:style w:type="character" w:styleId="BodyTextIndent2Char" w:customStyle="true">
    <w:name w:val="Body Text Indent 2 Char"/>
    <w:basedOn w:val="DefaultParagraphFont"/>
    <w:link w:val="BodyTextIndent2"/>
    <w:uiPriority w:val="99"/>
    <w:rsid w:val="00E1232E"/>
    <w:rPr>
      <w:rFonts w:eastAsia="Times New Roman"/>
      <w:sz w:val="20"/>
      <w:szCs w:val="20"/>
      <w:lang w:eastAsia="en-US"/>
    </w:rPr>
  </w:style>
  <w:style w:type="paragraph" w:styleId="BodyTextIndent3">
    <w:name w:val="Body Text Indent 3"/>
    <w:basedOn w:val="Normal"/>
    <w:link w:val="BodyTextIndent3Char"/>
    <w:uiPriority w:val="99"/>
    <w:semiHidden/>
    <w:unhideWhenUsed/>
    <w:locked/>
    <w:rsid w:val="00E1232E"/>
    <w:pPr>
      <w:spacing w:before="240" w:after="120" w:line="300" w:lineRule="auto"/>
      <w:ind w:left="283"/>
    </w:pPr>
    <w:rPr>
      <w:rFonts w:eastAsia="Times New Roman"/>
      <w:sz w:val="16"/>
      <w:szCs w:val="16"/>
      <w:lang w:eastAsia="en-US"/>
    </w:rPr>
  </w:style>
  <w:style w:type="character" w:styleId="BodyTextIndent3Char" w:customStyle="true">
    <w:name w:val="Body Text Indent 3 Char"/>
    <w:basedOn w:val="DefaultParagraphFont"/>
    <w:link w:val="BodyTextIndent3"/>
    <w:uiPriority w:val="99"/>
    <w:semiHidden/>
    <w:rsid w:val="00E1232E"/>
    <w:rPr>
      <w:rFonts w:eastAsia="Times New Roman"/>
      <w:sz w:val="16"/>
      <w:szCs w:val="16"/>
      <w:lang w:eastAsia="en-US"/>
    </w:rPr>
  </w:style>
  <w:style w:type="paragraph" w:styleId="PlainText">
    <w:name w:val="Plain Text"/>
    <w:basedOn w:val="Normal"/>
    <w:link w:val="PlainTextChar"/>
    <w:uiPriority w:val="99"/>
    <w:semiHidden/>
    <w:unhideWhenUsed/>
    <w:locked/>
    <w:rsid w:val="00E1232E"/>
    <w:pPr>
      <w:spacing w:after="0" w:line="240" w:lineRule="auto"/>
    </w:pPr>
    <w:rPr>
      <w:rFonts w:ascii="Courier New" w:hAnsi="Courier New" w:eastAsia="Times New Roman" w:cs="Courier New"/>
      <w:sz w:val="20"/>
      <w:szCs w:val="20"/>
      <w:lang w:eastAsia="en-US"/>
    </w:rPr>
  </w:style>
  <w:style w:type="character" w:styleId="PlainTextChar" w:customStyle="true">
    <w:name w:val="Plain Text Char"/>
    <w:basedOn w:val="DefaultParagraphFont"/>
    <w:link w:val="PlainText"/>
    <w:uiPriority w:val="99"/>
    <w:semiHidden/>
    <w:rsid w:val="00E1232E"/>
    <w:rPr>
      <w:rFonts w:ascii="Courier New" w:hAnsi="Courier New" w:eastAsia="Times New Roman" w:cs="Courier New"/>
      <w:sz w:val="20"/>
      <w:szCs w:val="20"/>
      <w:lang w:eastAsia="en-US"/>
    </w:rPr>
  </w:style>
  <w:style w:type="paragraph" w:styleId="CommentSubject">
    <w:name w:val="annotation subject"/>
    <w:basedOn w:val="CommentText"/>
    <w:next w:val="CommentText"/>
    <w:link w:val="CommentSubjectChar"/>
    <w:uiPriority w:val="99"/>
    <w:semiHidden/>
    <w:unhideWhenUsed/>
    <w:locked/>
    <w:rsid w:val="00E1232E"/>
    <w:rPr>
      <w:b/>
      <w:bCs/>
    </w:rPr>
  </w:style>
  <w:style w:type="character" w:styleId="CommentSubjectChar" w:customStyle="true">
    <w:name w:val="Comment Subject Char"/>
    <w:basedOn w:val="CommentTextChar"/>
    <w:link w:val="CommentSubject"/>
    <w:uiPriority w:val="99"/>
    <w:semiHidden/>
    <w:rsid w:val="00E1232E"/>
    <w:rPr>
      <w:rFonts w:eastAsia="Times New Roman"/>
      <w:b/>
      <w:bCs/>
      <w:sz w:val="20"/>
      <w:szCs w:val="20"/>
      <w:lang w:eastAsia="en-US"/>
    </w:rPr>
  </w:style>
  <w:style w:type="paragraph" w:styleId="ListParagraph">
    <w:name w:val="List Paragraph"/>
    <w:basedOn w:val="Normal"/>
    <w:uiPriority w:val="34"/>
    <w:qFormat/>
    <w:locked/>
    <w:rsid w:val="00E1232E"/>
    <w:pPr>
      <w:spacing w:after="0" w:line="240" w:lineRule="auto"/>
      <w:ind w:left="720"/>
      <w:contextualSpacing/>
    </w:pPr>
    <w:rPr>
      <w:rFonts w:eastAsia="Times New Roman"/>
      <w:sz w:val="20"/>
      <w:lang w:eastAsia="en-US"/>
    </w:rPr>
  </w:style>
  <w:style w:type="paragraph" w:styleId="TOCHeading">
    <w:name w:val="TOC Heading"/>
    <w:basedOn w:val="Heading1"/>
    <w:next w:val="Normal"/>
    <w:uiPriority w:val="39"/>
    <w:semiHidden/>
    <w:unhideWhenUsed/>
    <w:qFormat/>
    <w:locked/>
    <w:rsid w:val="00E1232E"/>
    <w:pPr>
      <w:keepLines/>
      <w:spacing w:before="480" w:after="0"/>
      <w:outlineLvl w:val="9"/>
    </w:pPr>
    <w:rPr>
      <w:color w:val="365F91" w:themeColor="accent1" w:themeShade="BF"/>
      <w:kern w:val="0"/>
      <w:sz w:val="28"/>
      <w:szCs w:val="28"/>
      <w:lang w:val="en-US" w:eastAsia="ja-JP"/>
    </w:rPr>
  </w:style>
  <w:style w:type="paragraph" w:styleId="HeaderFooter" w:customStyle="true">
    <w:name w:val="Header/Footer"/>
    <w:basedOn w:val="Normal"/>
    <w:uiPriority w:val="99"/>
    <w:semiHidden/>
    <w:rsid w:val="00E1232E"/>
    <w:pPr>
      <w:spacing w:after="0" w:line="240" w:lineRule="auto"/>
      <w:jc w:val="right"/>
    </w:pPr>
    <w:rPr>
      <w:rFonts w:ascii="Arial (W1)" w:hAnsi="Arial (W1)" w:eastAsia="Times New Roman"/>
      <w:b/>
      <w:sz w:val="16"/>
      <w:szCs w:val="20"/>
      <w:lang w:eastAsia="en-US"/>
    </w:rPr>
  </w:style>
  <w:style w:type="paragraph" w:styleId="ListBulletIndent" w:customStyle="true">
    <w:name w:val="List Bullet Indent"/>
    <w:basedOn w:val="ListBullet"/>
    <w:uiPriority w:val="99"/>
    <w:semiHidden/>
    <w:rsid w:val="00E1232E"/>
    <w:pPr>
      <w:numPr>
        <w:numId w:val="8"/>
      </w:numPr>
    </w:pPr>
  </w:style>
  <w:style w:type="paragraph" w:styleId="TableText" w:customStyle="true">
    <w:name w:val="Table Text"/>
    <w:basedOn w:val="Normal"/>
    <w:uiPriority w:val="99"/>
    <w:semiHidden/>
    <w:rsid w:val="00E1232E"/>
    <w:pPr>
      <w:spacing w:before="60" w:after="60" w:line="300" w:lineRule="auto"/>
    </w:pPr>
    <w:rPr>
      <w:rFonts w:eastAsia="Times New Roman" w:cs="Arial"/>
      <w:sz w:val="20"/>
      <w:szCs w:val="20"/>
      <w:lang w:eastAsia="en-US"/>
    </w:rPr>
  </w:style>
  <w:style w:type="paragraph" w:styleId="Guidance" w:customStyle="true">
    <w:name w:val="Guidance"/>
    <w:basedOn w:val="BodyText"/>
    <w:uiPriority w:val="99"/>
    <w:semiHidden/>
    <w:rsid w:val="00E1232E"/>
    <w:pPr>
      <w:pBdr>
        <w:top w:val="single" w:color="auto" w:sz="4" w:space="6"/>
        <w:left w:val="single" w:color="auto" w:sz="4" w:space="6"/>
        <w:bottom w:val="single" w:color="auto" w:sz="4" w:space="6"/>
        <w:right w:val="single" w:color="auto" w:sz="4" w:space="6"/>
      </w:pBdr>
      <w:spacing w:before="0" w:after="0" w:line="240" w:lineRule="auto"/>
      <w:ind w:left="851"/>
    </w:pPr>
    <w:rPr>
      <w:rFonts w:ascii="Times New Roman" w:hAnsi="Times New Roman"/>
      <w:i/>
    </w:rPr>
  </w:style>
  <w:style w:type="paragraph" w:styleId="Tabletext0" w:customStyle="true">
    <w:name w:val="Table text"/>
    <w:basedOn w:val="Normal"/>
    <w:uiPriority w:val="99"/>
    <w:semiHidden/>
    <w:rsid w:val="00E1232E"/>
    <w:pPr>
      <w:spacing w:before="60" w:after="60" w:line="300" w:lineRule="auto"/>
    </w:pPr>
    <w:rPr>
      <w:rFonts w:eastAsia="Times New Roman" w:cs="Arial"/>
      <w:sz w:val="18"/>
      <w:szCs w:val="20"/>
      <w:lang w:eastAsia="en-US"/>
    </w:rPr>
  </w:style>
  <w:style w:type="paragraph" w:styleId="ListwithBullet" w:customStyle="true">
    <w:name w:val="List with Bullet"/>
    <w:basedOn w:val="Normal"/>
    <w:uiPriority w:val="99"/>
    <w:semiHidden/>
    <w:rsid w:val="00E1232E"/>
    <w:pPr>
      <w:numPr>
        <w:numId w:val="9"/>
      </w:numPr>
      <w:spacing w:after="0" w:line="300" w:lineRule="auto"/>
    </w:pPr>
    <w:rPr>
      <w:rFonts w:eastAsia="Times New Roman"/>
      <w:sz w:val="20"/>
      <w:szCs w:val="20"/>
      <w:lang w:eastAsia="en-US"/>
    </w:rPr>
  </w:style>
  <w:style w:type="paragraph" w:styleId="ListwithBulletinTable" w:customStyle="true">
    <w:name w:val="List with Bullet in Table"/>
    <w:basedOn w:val="ListwithBullet"/>
    <w:uiPriority w:val="99"/>
    <w:semiHidden/>
    <w:qFormat/>
    <w:rsid w:val="00E1232E"/>
    <w:rPr>
      <w:szCs w:val="22"/>
    </w:rPr>
  </w:style>
  <w:style w:type="paragraph" w:styleId="DBRNumbering" w:customStyle="true">
    <w:name w:val="DBR Numbering"/>
    <w:basedOn w:val="TableText"/>
    <w:uiPriority w:val="99"/>
    <w:semiHidden/>
    <w:qFormat/>
    <w:rsid w:val="00E1232E"/>
    <w:pPr>
      <w:numPr>
        <w:numId w:val="10"/>
      </w:numPr>
      <w:spacing w:line="240" w:lineRule="auto"/>
    </w:pPr>
  </w:style>
  <w:style w:type="paragraph" w:styleId="NFRNumbering" w:customStyle="true">
    <w:name w:val="NFR Numbering"/>
    <w:basedOn w:val="DBRNumbering"/>
    <w:uiPriority w:val="99"/>
    <w:semiHidden/>
    <w:qFormat/>
    <w:rsid w:val="00E1232E"/>
    <w:pPr>
      <w:numPr>
        <w:numId w:val="11"/>
      </w:numPr>
    </w:pPr>
    <w:rPr>
      <w:szCs w:val="24"/>
    </w:rPr>
  </w:style>
  <w:style w:type="character" w:styleId="TableHeadingChar" w:customStyle="true">
    <w:name w:val="Table Heading Char"/>
    <w:basedOn w:val="DefaultParagraphFont"/>
    <w:link w:val="TableHeading"/>
    <w:semiHidden/>
    <w:locked/>
    <w:rsid w:val="00E1232E"/>
    <w:rPr>
      <w:rFonts w:ascii="Arial Bold" w:hAnsi="Arial Bold"/>
      <w:b/>
      <w:sz w:val="18"/>
      <w:szCs w:val="22"/>
      <w:lang w:eastAsia="ar-SA"/>
    </w:rPr>
  </w:style>
  <w:style w:type="paragraph" w:styleId="TableHeading" w:customStyle="true">
    <w:name w:val="Table Heading"/>
    <w:basedOn w:val="Normal"/>
    <w:link w:val="TableHeadingChar"/>
    <w:semiHidden/>
    <w:rsid w:val="00E1232E"/>
    <w:pPr>
      <w:keepNext/>
      <w:keepLines/>
      <w:suppressAutoHyphens/>
      <w:spacing w:before="100" w:after="60" w:line="240" w:lineRule="auto"/>
    </w:pPr>
    <w:rPr>
      <w:rFonts w:ascii="Arial Bold" w:hAnsi="Arial Bold"/>
      <w:b/>
      <w:sz w:val="18"/>
      <w:szCs w:val="22"/>
      <w:lang w:eastAsia="ar-SA"/>
    </w:rPr>
  </w:style>
  <w:style w:type="paragraph" w:styleId="TableBullet" w:customStyle="true">
    <w:name w:val="Table Bullet"/>
    <w:basedOn w:val="TableText"/>
    <w:uiPriority w:val="99"/>
    <w:semiHidden/>
    <w:rsid w:val="00E1232E"/>
    <w:pPr>
      <w:numPr>
        <w:numId w:val="12"/>
      </w:numPr>
      <w:spacing w:line="240" w:lineRule="auto"/>
    </w:pPr>
    <w:rPr>
      <w:rFonts w:ascii="Arial (W1)" w:hAnsi="Arial (W1)" w:cs="Times New Roman"/>
      <w:sz w:val="22"/>
    </w:rPr>
  </w:style>
  <w:style w:type="paragraph" w:styleId="Bulletforunderhdr12" w:customStyle="true">
    <w:name w:val="Bullet for under hdr 1 &amp; 2"/>
    <w:basedOn w:val="Normal"/>
    <w:uiPriority w:val="99"/>
    <w:semiHidden/>
    <w:rsid w:val="00E1232E"/>
    <w:pPr>
      <w:numPr>
        <w:numId w:val="13"/>
      </w:numPr>
      <w:spacing w:before="240" w:after="120" w:line="300" w:lineRule="auto"/>
    </w:pPr>
    <w:rPr>
      <w:rFonts w:ascii="Helvetica" w:hAnsi="Helvetica" w:eastAsia="Times New Roman"/>
      <w:sz w:val="20"/>
      <w:szCs w:val="20"/>
      <w:lang w:val="en-GB" w:eastAsia="en-US"/>
    </w:rPr>
  </w:style>
  <w:style w:type="paragraph" w:styleId="Bulletforblueiinfo" w:customStyle="true">
    <w:name w:val="Bullet for blueiinfo"/>
    <w:basedOn w:val="Normal"/>
    <w:uiPriority w:val="99"/>
    <w:semiHidden/>
    <w:rsid w:val="00E1232E"/>
    <w:pPr>
      <w:numPr>
        <w:numId w:val="14"/>
      </w:numPr>
      <w:tabs>
        <w:tab w:val="clear" w:pos="737"/>
        <w:tab w:val="num" w:pos="0"/>
        <w:tab w:val="left" w:pos="1191"/>
      </w:tabs>
      <w:spacing w:before="240" w:after="120" w:line="300" w:lineRule="auto"/>
      <w:ind w:left="1191" w:hanging="454"/>
      <w:jc w:val="both"/>
    </w:pPr>
    <w:rPr>
      <w:rFonts w:eastAsia="Times New Roman"/>
      <w:i/>
      <w:color w:val="0000FF"/>
      <w:sz w:val="20"/>
      <w:szCs w:val="20"/>
      <w:lang w:val="en-GB" w:eastAsia="en-US"/>
    </w:rPr>
  </w:style>
  <w:style w:type="paragraph" w:styleId="TableNormal1" w:customStyle="true">
    <w:name w:val="Table Normal1"/>
    <w:basedOn w:val="Normal"/>
    <w:uiPriority w:val="99"/>
    <w:semiHidden/>
    <w:rsid w:val="00E1232E"/>
    <w:pPr>
      <w:keepNext/>
      <w:keepLines/>
      <w:spacing w:before="60" w:after="60" w:line="240" w:lineRule="auto"/>
    </w:pPr>
    <w:rPr>
      <w:rFonts w:eastAsia="Times New Roman"/>
      <w:sz w:val="18"/>
      <w:szCs w:val="22"/>
      <w:lang w:eastAsia="en-US"/>
    </w:rPr>
  </w:style>
  <w:style w:type="paragraph" w:styleId="TableHeadingCentre" w:customStyle="true">
    <w:name w:val="Table Heading Centre"/>
    <w:basedOn w:val="TableHeading"/>
    <w:uiPriority w:val="99"/>
    <w:semiHidden/>
    <w:rsid w:val="00E1232E"/>
    <w:pPr>
      <w:suppressAutoHyphens w:val="false"/>
      <w:spacing w:before="60"/>
      <w:jc w:val="center"/>
    </w:pPr>
    <w:rPr>
      <w:rFonts w:ascii="Arial (W1)" w:hAnsi="Arial (W1)"/>
      <w:lang w:eastAsia="en-US"/>
    </w:rPr>
  </w:style>
  <w:style w:type="paragraph" w:styleId="heading2text" w:customStyle="true">
    <w:name w:val="heading 2 text"/>
    <w:basedOn w:val="Normal"/>
    <w:uiPriority w:val="99"/>
    <w:semiHidden/>
    <w:rsid w:val="00E1232E"/>
    <w:pPr>
      <w:overflowPunct w:val="false"/>
      <w:autoSpaceDE w:val="false"/>
      <w:autoSpaceDN w:val="false"/>
      <w:adjustRightInd w:val="false"/>
      <w:spacing w:after="0" w:line="240" w:lineRule="auto"/>
      <w:ind w:left="1134"/>
      <w:jc w:val="both"/>
    </w:pPr>
    <w:rPr>
      <w:rFonts w:ascii="Times New Roman" w:hAnsi="Times New Roman" w:eastAsia="Times New Roman"/>
      <w:szCs w:val="20"/>
      <w:lang w:eastAsia="en-US"/>
    </w:rPr>
  </w:style>
  <w:style w:type="paragraph" w:styleId="ReturnAddress" w:customStyle="true">
    <w:name w:val="Return Address"/>
    <w:basedOn w:val="Normal"/>
    <w:uiPriority w:val="99"/>
    <w:semiHidden/>
    <w:rsid w:val="00E1232E"/>
    <w:pPr>
      <w:keepLines/>
      <w:framePr w:w="5040" w:vSpace="187" w:hSpace="187" w:wrap="notBeside" w:hAnchor="margin" w:vAnchor="page" w:y="966"/>
      <w:widowControl w:val="false"/>
      <w:overflowPunct w:val="false"/>
      <w:autoSpaceDE w:val="false"/>
      <w:autoSpaceDN w:val="false"/>
      <w:adjustRightInd w:val="false"/>
      <w:spacing w:after="0" w:line="200" w:lineRule="atLeast"/>
    </w:pPr>
    <w:rPr>
      <w:rFonts w:eastAsia="Times New Roman"/>
      <w:spacing w:val="-2"/>
      <w:sz w:val="16"/>
      <w:szCs w:val="20"/>
      <w:lang w:val="en-US" w:eastAsia="en-US"/>
    </w:rPr>
  </w:style>
  <w:style w:type="paragraph" w:styleId="Heading1Text" w:customStyle="true">
    <w:name w:val="Heading 1 Text"/>
    <w:basedOn w:val="Normal"/>
    <w:uiPriority w:val="99"/>
    <w:semiHidden/>
    <w:rsid w:val="00E1232E"/>
    <w:pPr>
      <w:overflowPunct w:val="false"/>
      <w:autoSpaceDE w:val="false"/>
      <w:autoSpaceDN w:val="false"/>
      <w:adjustRightInd w:val="false"/>
      <w:spacing w:after="0" w:line="240" w:lineRule="auto"/>
      <w:ind w:left="567"/>
      <w:jc w:val="both"/>
    </w:pPr>
    <w:rPr>
      <w:rFonts w:ascii="Times New Roman" w:hAnsi="Times New Roman" w:eastAsia="Times New Roman"/>
      <w:szCs w:val="20"/>
      <w:lang w:eastAsia="en-US"/>
    </w:rPr>
  </w:style>
  <w:style w:type="paragraph" w:styleId="Bullet" w:customStyle="true">
    <w:name w:val="Bullet"/>
    <w:basedOn w:val="Normal"/>
    <w:uiPriority w:val="99"/>
    <w:semiHidden/>
    <w:rsid w:val="00E1232E"/>
    <w:pPr>
      <w:overflowPunct w:val="false"/>
      <w:autoSpaceDE w:val="false"/>
      <w:autoSpaceDN w:val="false"/>
      <w:adjustRightInd w:val="false"/>
      <w:spacing w:before="120" w:after="0" w:line="240" w:lineRule="auto"/>
      <w:ind w:left="1418" w:hanging="567"/>
      <w:jc w:val="both"/>
    </w:pPr>
    <w:rPr>
      <w:rFonts w:ascii="Times New Roman" w:hAnsi="Times New Roman" w:eastAsia="Times New Roman"/>
      <w:szCs w:val="20"/>
      <w:lang w:eastAsia="en-US"/>
    </w:rPr>
  </w:style>
  <w:style w:type="paragraph" w:styleId="Topic" w:customStyle="true">
    <w:name w:val="Topic"/>
    <w:basedOn w:val="Normal"/>
    <w:next w:val="BodyText"/>
    <w:uiPriority w:val="99"/>
    <w:semiHidden/>
    <w:rsid w:val="00E1232E"/>
    <w:pPr>
      <w:spacing w:before="120" w:after="120" w:line="240" w:lineRule="auto"/>
      <w:ind w:left="425"/>
    </w:pPr>
    <w:rPr>
      <w:rFonts w:eastAsia="Times New Roman"/>
      <w:b/>
      <w:smallCaps/>
      <w:szCs w:val="20"/>
      <w:lang w:val="en-US" w:eastAsia="en-US"/>
    </w:rPr>
  </w:style>
  <w:style w:type="paragraph" w:styleId="AppendixHeading1" w:customStyle="true">
    <w:name w:val="Appendix Heading 1"/>
    <w:basedOn w:val="Heading1"/>
    <w:uiPriority w:val="99"/>
    <w:semiHidden/>
    <w:rsid w:val="00E1232E"/>
    <w:pPr>
      <w:keepLines/>
      <w:pageBreakBefore/>
      <w:tabs>
        <w:tab w:val="left" w:pos="510"/>
      </w:tabs>
      <w:overflowPunct w:val="false"/>
      <w:autoSpaceDE w:val="false"/>
      <w:autoSpaceDN w:val="false"/>
      <w:adjustRightInd w:val="false"/>
      <w:spacing w:after="0" w:line="240" w:lineRule="auto"/>
    </w:pPr>
    <w:rPr>
      <w:rFonts w:ascii="Arial" w:hAnsi="Arial" w:eastAsia="Times New Roman" w:cs="Arial"/>
      <w:bCs w:val="false"/>
      <w:kern w:val="0"/>
      <w:sz w:val="36"/>
      <w:szCs w:val="20"/>
      <w:lang w:val="en-US" w:eastAsia="en-US"/>
    </w:rPr>
  </w:style>
  <w:style w:type="paragraph" w:styleId="AppendixHeading2" w:customStyle="true">
    <w:name w:val="Appendix Heading 2"/>
    <w:basedOn w:val="Heading2"/>
    <w:uiPriority w:val="99"/>
    <w:semiHidden/>
    <w:rsid w:val="00E1232E"/>
    <w:pPr>
      <w:keepNext w:val="false"/>
      <w:numPr>
        <w:ilvl w:val="1"/>
        <w:numId w:val="15"/>
      </w:numPr>
      <w:tabs>
        <w:tab w:val="left" w:pos="0"/>
        <w:tab w:val="left" w:pos="567"/>
        <w:tab w:val="left" w:pos="794"/>
        <w:tab w:val="left" w:pos="1350"/>
      </w:tabs>
      <w:overflowPunct w:val="false"/>
      <w:autoSpaceDE w:val="false"/>
      <w:autoSpaceDN w:val="false"/>
      <w:adjustRightInd w:val="false"/>
      <w:spacing w:before="360" w:after="0" w:line="240" w:lineRule="atLeast"/>
    </w:pPr>
    <w:rPr>
      <w:rFonts w:ascii="Arial" w:hAnsi="Arial" w:eastAsia="Times New Roman" w:cs="Arial"/>
      <w:bCs w:val="false"/>
      <w:i w:val="false"/>
      <w:iCs w:val="false"/>
      <w:szCs w:val="20"/>
      <w:lang w:val="en-US" w:eastAsia="en-US"/>
    </w:rPr>
  </w:style>
  <w:style w:type="paragraph" w:styleId="ruler5" w:customStyle="true">
    <w:name w:val="ruler 5"/>
    <w:basedOn w:val="Normal"/>
    <w:uiPriority w:val="99"/>
    <w:semiHidden/>
    <w:rsid w:val="00E1232E"/>
    <w:pPr>
      <w:tabs>
        <w:tab w:val="left" w:pos="882"/>
        <w:tab w:val="left" w:pos="1857"/>
        <w:tab w:val="left" w:pos="2831"/>
        <w:tab w:val="left" w:pos="6589"/>
      </w:tabs>
      <w:spacing w:after="0" w:line="240" w:lineRule="auto"/>
    </w:pPr>
    <w:rPr>
      <w:rFonts w:ascii="Times" w:hAnsi="Times" w:eastAsia="Times New Roman"/>
      <w:noProof/>
      <w:color w:val="000000"/>
      <w:sz w:val="20"/>
      <w:szCs w:val="20"/>
      <w:lang w:eastAsia="en-US"/>
    </w:rPr>
  </w:style>
  <w:style w:type="paragraph" w:styleId="Normal1" w:customStyle="true">
    <w:name w:val="Normal1"/>
    <w:basedOn w:val="Normal"/>
    <w:uiPriority w:val="99"/>
    <w:semiHidden/>
    <w:rsid w:val="00E1232E"/>
    <w:pPr>
      <w:tabs>
        <w:tab w:val="left" w:pos="-1440"/>
        <w:tab w:val="left" w:pos="-720"/>
        <w:tab w:val="left" w:pos="1"/>
        <w:tab w:val="left" w:pos="1080"/>
        <w:tab w:val="left" w:pos="1800"/>
        <w:tab w:val="left" w:pos="252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spacing w:before="120" w:after="0" w:line="240" w:lineRule="auto"/>
      <w:jc w:val="both"/>
    </w:pPr>
    <w:rPr>
      <w:rFonts w:ascii="Times New Roman" w:hAnsi="Times New Roman" w:eastAsia="Times New Roman"/>
      <w:b/>
      <w:spacing w:val="-3"/>
      <w:szCs w:val="20"/>
      <w:lang w:val="en-GB" w:eastAsia="en-US"/>
    </w:rPr>
  </w:style>
  <w:style w:type="paragraph" w:styleId="BulletLast" w:customStyle="true">
    <w:name w:val="Bullet Last"/>
    <w:basedOn w:val="Bullet"/>
    <w:next w:val="Normal"/>
    <w:uiPriority w:val="99"/>
    <w:semiHidden/>
    <w:rsid w:val="00E1232E"/>
    <w:pPr>
      <w:tabs>
        <w:tab w:val="num" w:pos="720"/>
      </w:tabs>
      <w:overflowPunct/>
      <w:autoSpaceDE/>
      <w:autoSpaceDN/>
      <w:adjustRightInd/>
      <w:spacing w:before="0" w:after="240"/>
      <w:ind w:left="648" w:hanging="288"/>
    </w:pPr>
    <w:rPr>
      <w:lang w:val="en-GB"/>
    </w:rPr>
  </w:style>
  <w:style w:type="paragraph" w:styleId="DecimalAligned" w:customStyle="true">
    <w:name w:val="Decimal Aligned"/>
    <w:basedOn w:val="Normal"/>
    <w:uiPriority w:val="40"/>
    <w:semiHidden/>
    <w:qFormat/>
    <w:rsid w:val="00E1232E"/>
    <w:pPr>
      <w:tabs>
        <w:tab w:val="decimal" w:pos="360"/>
      </w:tabs>
    </w:pPr>
    <w:rPr>
      <w:rFonts w:asciiTheme="minorHAnsi" w:hAnsiTheme="minorHAnsi" w:eastAsiaTheme="minorHAnsi" w:cstheme="minorBidi"/>
      <w:sz w:val="20"/>
      <w:szCs w:val="22"/>
      <w:lang w:val="en-US" w:eastAsia="ja-JP"/>
    </w:rPr>
  </w:style>
  <w:style w:type="character" w:styleId="CommentReference">
    <w:name w:val="annotation reference"/>
    <w:basedOn w:val="DefaultParagraphFont"/>
    <w:semiHidden/>
    <w:unhideWhenUsed/>
    <w:locked/>
    <w:rsid w:val="00E1232E"/>
    <w:rPr>
      <w:sz w:val="16"/>
      <w:szCs w:val="16"/>
    </w:rPr>
  </w:style>
  <w:style w:type="character" w:styleId="SubtleEmphasis">
    <w:name w:val="Subtle Emphasis"/>
    <w:basedOn w:val="DefaultParagraphFont"/>
    <w:uiPriority w:val="19"/>
    <w:qFormat/>
    <w:locked/>
    <w:rsid w:val="00E1232E"/>
    <w:rPr>
      <w:i/>
      <w:iCs/>
      <w:color w:val="7F7F7F" w:themeColor="text1" w:themeTint="80"/>
    </w:rPr>
  </w:style>
  <w:style w:type="character" w:styleId="xdtextbox1" w:customStyle="true">
    <w:name w:val="xdtextbox1"/>
    <w:basedOn w:val="DefaultParagraphFont"/>
    <w:rsid w:val="00E1232E"/>
    <w:rPr>
      <w:color w:val="auto"/>
      <w:bdr w:val="single" w:color="DCDCDC" w:sz="8" w:space="1" w:frame="true"/>
      <w:shd w:val="clear" w:color="auto" w:fill="FFFFFF"/>
    </w:rPr>
  </w:style>
  <w:style w:type="table" w:styleId="MediumGrid1-Accent3">
    <w:name w:val="Medium Grid 1 Accent 3"/>
    <w:basedOn w:val="TableNormal"/>
    <w:uiPriority w:val="67"/>
    <w:locked/>
    <w:rsid w:val="00E1232E"/>
    <w:rPr>
      <w:rFonts w:ascii="Times New Roman" w:hAnsi="Times New Roman" w:eastAsia="Times New Roman"/>
      <w:sz w:val="20"/>
      <w:szCs w:val="20"/>
    </w:rPr>
    <w:tblPr>
      <w:tblStyleRowBandSize w:val="1"/>
      <w:tblStyleColBandSize w:val="1"/>
      <w:tblInd w:w="0" w:type="dxa"/>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insideV w:val="single" w:color="B3CC82" w:themeColor="accent3" w:themeTint="BF" w:sz="8" w:space="0"/>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color="B3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Shading2-Accent5">
    <w:name w:val="Medium Shading 2 Accent 5"/>
    <w:basedOn w:val="TableNormal"/>
    <w:uiPriority w:val="64"/>
    <w:locked/>
    <w:rsid w:val="00E1232E"/>
    <w:rPr>
      <w:rFonts w:asciiTheme="minorHAnsi" w:hAnsiTheme="minorHAnsi" w:eastAsiaTheme="minorEastAsia" w:cstheme="minorBidi"/>
      <w:sz w:val="22"/>
      <w:szCs w:val="22"/>
      <w:lang w:val="en-US" w:eastAsia="ja-JP"/>
    </w:rPr>
    <w:tblPr>
      <w:tblStyleRowBandSize w:val="1"/>
      <w:tblStyleColBandSize w:val="1"/>
      <w:tblInd w:w="0" w:type="dxa"/>
      <w:tblBorders>
        <w:top w:val="single" w:color="auto" w:sz="18" w:space="0"/>
        <w:bottom w:val="single" w:color="auto" w:sz="1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beforeLines="0" w:beforeAutospacing="false" w:after="0" w:afterLines="0" w:afterAutospacing="false" w:line="240" w:lineRule="auto"/>
      </w:pPr>
      <w:rPr>
        <w:color w:val="000000"/>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List1-Accent6">
    <w:name w:val="Medium List 1 Accent 6"/>
    <w:basedOn w:val="TableNormal"/>
    <w:uiPriority w:val="65"/>
    <w:locked/>
    <w:rsid w:val="00E1232E"/>
    <w:rPr>
      <w:rFonts w:ascii="Times New Roman" w:hAnsi="Times New Roman" w:eastAsia="Times New Roman"/>
      <w:color w:val="000000" w:themeColor="text1"/>
      <w:sz w:val="20"/>
      <w:szCs w:val="20"/>
    </w:rPr>
    <w:tblPr>
      <w:tblStyleRowBandSize w:val="1"/>
      <w:tblStyleColBandSize w:val="1"/>
      <w:tblInd w:w="0" w:type="dxa"/>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rPr>
        <w:rFonts w:hint="default"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ghtList-Accent11" w:customStyle="true">
    <w:name w:val="Light List - Accent 11"/>
    <w:basedOn w:val="TableNormal"/>
    <w:uiPriority w:val="61"/>
    <w:rsid w:val="00E1232E"/>
    <w:rPr>
      <w:rFonts w:ascii="Times New Roman" w:hAnsi="Times New Roman" w:eastAsia="Times New Roman"/>
      <w:sz w:val="20"/>
      <w:szCs w:val="20"/>
    </w:rPr>
    <w:tblPr>
      <w:tblStyleRowBandSize w:val="1"/>
      <w:tblStyleColBandSize w:val="1"/>
      <w:tblInd w:w="0" w:type="dxa"/>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shd w:val="clear" w:color="auto" w:fill="4F81BD" w:themeFill="accent1"/>
      </w:tcPr>
    </w:tblStylePr>
    <w:tblStylePr w:type="lastRow">
      <w:pPr>
        <w:spacing w:before="0" w:beforeLines="0" w:beforeAutospacing="false" w:after="0" w:afterLines="0" w:afterAutospacing="false"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ColorfulGrid1" w:customStyle="true">
    <w:name w:val="Colorful Grid1"/>
    <w:basedOn w:val="TableNormal"/>
    <w:uiPriority w:val="73"/>
    <w:rsid w:val="00E1232E"/>
    <w:rPr>
      <w:rFonts w:ascii="Times New Roman" w:hAnsi="Times New Roman" w:eastAsia="Times New Roman"/>
      <w:color w:val="000000" w:themeColor="text1"/>
      <w:sz w:val="20"/>
      <w:szCs w:val="20"/>
    </w:rPr>
    <w:tblPr>
      <w:tblStyleRowBandSize w:val="1"/>
      <w:tblStyleColBandSize w:val="1"/>
      <w:tblInd w:w="0" w:type="dxa"/>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List11" w:customStyle="true">
    <w:name w:val="Medium List 11"/>
    <w:basedOn w:val="TableNormal"/>
    <w:uiPriority w:val="65"/>
    <w:rsid w:val="00E1232E"/>
    <w:rPr>
      <w:rFonts w:ascii="Times New Roman" w:hAnsi="Times New Roman" w:eastAsia="Times New Roman"/>
      <w:color w:val="000000" w:themeColor="text1"/>
      <w:sz w:val="20"/>
      <w:szCs w:val="20"/>
    </w:rPr>
    <w:tblPr>
      <w:tblStyleRowBandSize w:val="1"/>
      <w:tblStyleColBandSize w:val="1"/>
      <w:tblInd w:w="0" w:type="dxa"/>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hint="default"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ghtList1" w:customStyle="true">
    <w:name w:val="Light List1"/>
    <w:basedOn w:val="TableNormal"/>
    <w:uiPriority w:val="61"/>
    <w:rsid w:val="00E1232E"/>
    <w:rPr>
      <w:rFonts w:ascii="Times New Roman" w:hAnsi="Times New Roman" w:eastAsia="Times New Roman"/>
      <w:sz w:val="20"/>
      <w:szCs w:val="20"/>
    </w:rPr>
    <w:tblPr>
      <w:tblStyleRowBandSize w:val="1"/>
      <w:tblStyleColBandSize w:val="1"/>
      <w:tblInd w:w="0" w:type="dxa"/>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shd w:val="clear" w:color="auto" w:fill="000000" w:themeFill="text1"/>
      </w:tcPr>
    </w:tblStylePr>
    <w:tblStylePr w:type="lastRow">
      <w:pPr>
        <w:spacing w:before="0" w:beforeLines="0" w:beforeAutospacing="false" w:after="0" w:afterLines="0" w:afterAutospacing="false"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MediumGrid21" w:customStyle="true">
    <w:name w:val="Medium Grid 21"/>
    <w:basedOn w:val="TableNormal"/>
    <w:uiPriority w:val="68"/>
    <w:rsid w:val="00E1232E"/>
    <w:rPr>
      <w:rFonts w:asciiTheme="majorHAnsi" w:hAnsiTheme="majorHAnsi" w:eastAsiaTheme="majorEastAsia" w:cstheme="majorBidi"/>
      <w:color w:val="000000" w:themeColor="text1"/>
      <w:sz w:val="20"/>
      <w:szCs w:val="20"/>
    </w:rPr>
    <w:tblPr>
      <w:tblStyleRowBandSize w:val="1"/>
      <w:tblStyleColBandSize w:val="1"/>
      <w:tblInd w:w="0" w:type="dxa"/>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false"/>
        <w:bCs w:val="false"/>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color="000000" w:themeColor="text1" w:sz="6" w:space="0"/>
          <w:insideV w:val="single" w:color="000000" w:themeColor="text1" w:sz="6" w:space="0"/>
        </w:tcBorders>
        <w:shd w:val="clear" w:color="auto" w:fill="808080" w:themeFill="text1" w:themeFillTint="7F"/>
      </w:tcPr>
    </w:tblStylePr>
    <w:tblStylePr w:type="nwCell">
      <w:tblPr/>
      <w:tcPr>
        <w:shd w:val="clear" w:color="auto" w:fill="FFFFFF" w:themeFill="background1"/>
      </w:tcPr>
    </w:tblStylePr>
  </w:style>
  <w:style w:type="character" w:styleId="FootnoteReference">
    <w:name w:val="footnote reference"/>
    <w:basedOn w:val="DefaultParagraphFont"/>
    <w:uiPriority w:val="99"/>
    <w:unhideWhenUsed/>
    <w:locked/>
    <w:rsid w:val="0049645A"/>
    <w:rPr>
      <w:vertAlign w:val="superscript"/>
    </w:rPr>
  </w:style>
  <w:style w:type="paragraph" w:styleId="disclaimer" w:customStyle="true">
    <w:name w:val="disclaimer"/>
    <w:basedOn w:val="Normal"/>
    <w:rsid w:val="00575FAB"/>
    <w:pPr>
      <w:spacing w:before="100" w:beforeAutospacing="true" w:after="100" w:afterAutospacing="true" w:line="240" w:lineRule="auto"/>
    </w:pPr>
    <w:rPr>
      <w:rFonts w:ascii="Times" w:hAnsi="Times"/>
      <w:sz w:val="20"/>
      <w:szCs w:val="20"/>
      <w:lang w:eastAsia="en-US"/>
    </w:rPr>
  </w:style>
  <w:style w:type="character" w:styleId="Emphasis">
    <w:name w:val="Emphasis"/>
    <w:basedOn w:val="DefaultParagraphFont"/>
    <w:uiPriority w:val="20"/>
    <w:qFormat/>
    <w:locked/>
    <w:rsid w:val="00A2002E"/>
    <w:rPr>
      <w:i/>
      <w:iCs/>
    </w:rPr>
  </w:style>
</w:styles>
</file>

<file path=word/stylesWithEffects.xml><?xml version="1.0" encoding="utf-8"?>
<w:styles xmlns:w="http://schemas.openxmlformats.org/wordprocessingml/2006/main" xmlns:mc="http://schemas.openxmlformats.org/markup-compatibility/2006" xmlns:m="http://schemas.openxmlformats.org/officeDocument/2006/math" xmlns:o="urn:schemas-microsoft-com:office:office" xmlns:r="http://schemas.openxmlformats.org/officeDocument/2006/relationships" xmlns:v="urn:schemas-microsoft-com:vml"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docDefaults>
    <w:rPrDefault>
      <w:rPr>
        <w:rFonts w:ascii="Arial" w:cs="Times New Roman" w:eastAsia="Calibri" w:hAnsi="Arial"/>
        <w:sz w:val="24"/>
        <w:szCs w:val="24"/>
        <w:lang w:bidi="ar-SA" w:eastAsia="en-AU" w:val="en-AU"/>
      </w:rPr>
    </w:rPrDefault>
    <w:pPrDefault/>
  </w:docDefaults>
  <w:latentStyles w:count="267" w:defLockedState="1" w:defQFormat="0" w:defSemiHidden="1" w:defUIPriority="99" w:defUnhideWhenUsed="1">
    <w:lsdException w:locked="0" w:name="Normal" w:semiHidden="0" w:uiPriority="0" w:unhideWhenUsed="0"/>
    <w:lsdException w:locked="0" w:name="heading 1" w:qFormat="1" w:semiHidden="0" w:uiPriority="0" w:unhideWhenUsed="0"/>
    <w:lsdException w:locked="0" w:name="heading 2" w:qFormat="1" w:uiPriority="0"/>
    <w:lsdException w:locked="0" w:name="heading 3" w:qFormat="1" w:uiPriority="0"/>
    <w:lsdException w:name="heading 4" w:qFormat="1" w:uiPriority="0"/>
    <w:lsdException w:locked="0" w:name="heading 5" w:qFormat="1" w:uiPriority="0"/>
    <w:lsdException w:name="heading 6" w:qFormat="1" w:uiPriority="0"/>
    <w:lsdException w:name="heading 7" w:qFormat="1"/>
    <w:lsdException w:name="heading 8" w:qFormat="1"/>
    <w:lsdException w:name="heading 9" w:qFormat="1"/>
    <w:lsdException w:name="toc 1" w:qFormat="1" w:uiPriority="39"/>
    <w:lsdException w:name="toc 2" w:qFormat="1" w:uiPriority="39"/>
    <w:lsdException w:name="toc 3" w:qFormat="1"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annotation reference" w:uiPriority="0"/>
    <w:lsdException w:name="Title" w:qFormat="1" w:uiPriority="10" w:unhideWhenUsed="0"/>
    <w:lsdException w:locked="0" w:name="Default Paragraph Font" w:uiPriority="1"/>
    <w:lsdException w:locked="0" w:name="Body Text" w:uiPriority="0"/>
    <w:lsdException w:locked="0" w:name="Body Text Indent"/>
    <w:lsdException w:name="Subtitle" w:qFormat="1" w:uiPriority="11" w:unhideWhenUsed="0"/>
    <w:lsdException w:locked="0" w:name="Body Text First Indent"/>
    <w:lsdException w:locked="0" w:name="Body Text First Indent 2"/>
    <w:lsdException w:locked="0" w:name="Body Text 2"/>
    <w:lsdException w:locked="0" w:name="Body Text 3"/>
    <w:lsdException w:name="FollowedHyperlink" w:uiPriority="0"/>
    <w:lsdException w:locked="0" w:name="Strong" w:qFormat="1" w:uiPriority="22" w:unhideWhenUsed="0"/>
    <w:lsdException w:name="Emphasis" w:qFormat="1" w:uiPriority="20" w:unhideWhenUsed="0"/>
    <w:lsdException w:locked="0" w:name="HTML Top of Form"/>
    <w:lsdException w:locked="0" w:name="HTML Bottom of Form"/>
    <w:lsdException w:locked="0" w:name="Normal Table"/>
    <w:lsdException w:locked="0" w:name="No List"/>
    <w:lsdException w:locked="0" w:name="Balloon Text"/>
    <w:lsdException w:locked="0" w:name="Table Grid" w:semiHidden="0" w:uiPriority="59" w:unhideWhenUsed="0"/>
    <w:lsdException w:locked="0" w:name="Placeholder Text" w:unhideWhenUsed="0"/>
    <w:lsdException w:name="No Spacing" w:qFormat="1"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locked="0" w:name="Revision" w:unhideWhenUsed="0"/>
    <w:lsdException w:name="List Paragraph" w:qFormat="1" w:uiPriority="34" w:unhideWhenUsed="0"/>
    <w:lsdException w:name="Quote" w:qFormat="1" w:uiPriority="29" w:unhideWhenUsed="0"/>
    <w:lsdException w:name="Intense Quote" w:qFormat="1"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uiPriority="19" w:unhideWhenUsed="0"/>
    <w:lsdException w:name="Intense Emphasis" w:qFormat="1" w:uiPriority="21" w:unhideWhenUsed="0"/>
    <w:lsdException w:name="Subtle Reference" w:qFormat="1" w:uiPriority="31" w:unhideWhenUsed="0"/>
    <w:lsdException w:name="Intense Reference" w:qFormat="1" w:uiPriority="32" w:unhideWhenUsed="0"/>
    <w:lsdException w:name="Book Title" w:qFormat="1" w:uiPriority="33" w:unhideWhenUsed="0"/>
    <w:lsdException w:name="Bibliography" w:uiPriority="37"/>
    <w:lsdException w:name="TOC Heading" w:qFormat="1" w:uiPriority="39"/>
  </w:latentStyles>
  <w:style w:default="1" w:styleId="Normal" w:type="paragraph">
    <w:name w:val="Normal"/>
    <w:semiHidden/>
    <w:rsid w:val="009459F3"/>
    <w:pPr>
      <w:spacing w:after="200" w:line="276" w:lineRule="auto"/>
    </w:pPr>
  </w:style>
  <w:style w:styleId="Heading1" w:type="paragraph">
    <w:name w:val="heading 1"/>
    <w:aliases w:val="H1,contents,proj,proj1,proj5,proj6,proj7,proj8,proj9,proj10,proj11,proj12,proj13,proj14,proj15,proj51,proj61,proj71,proj81,proj91,proj101,proj111,proj121,proj131,proj141,proj16,proj52,proj62,proj72,proj82,proj92,proj102,proj112,proj122,proj132"/>
    <w:basedOn w:val="Normal"/>
    <w:next w:val="Normal"/>
    <w:link w:val="Heading1Char"/>
    <w:qFormat/>
    <w:locked/>
    <w:rsid w:val="00C72D08"/>
    <w:pPr>
      <w:keepNext/>
      <w:spacing w:after="60" w:before="240"/>
      <w:outlineLvl w:val="0"/>
    </w:pPr>
    <w:rPr>
      <w:rFonts w:asciiTheme="majorHAnsi" w:cstheme="majorBidi" w:eastAsiaTheme="majorEastAsia" w:hAnsiTheme="majorHAnsi"/>
      <w:b/>
      <w:bCs/>
      <w:kern w:val="32"/>
      <w:sz w:val="32"/>
      <w:szCs w:val="32"/>
    </w:rPr>
  </w:style>
  <w:style w:styleId="Heading2" w:type="paragraph">
    <w:name w:val="heading 2"/>
    <w:aliases w:val="heading 2,Intro Text Bold,proj2,proj21,proj22,proj23,proj24,proj25,proj26,proj27,proj28,proj29,proj210,proj211,proj212,proj221,proj231,proj241,proj251,proj261,proj271,proj281,proj291,proj2101,proj2111,proj213,proj222,proj232,proj242,proj252,2"/>
    <w:basedOn w:val="Normal"/>
    <w:next w:val="Normal"/>
    <w:link w:val="Heading2Char"/>
    <w:semiHidden/>
    <w:qFormat/>
    <w:locked/>
    <w:rsid w:val="00C72D08"/>
    <w:pPr>
      <w:keepNext/>
      <w:spacing w:after="60" w:before="240"/>
      <w:outlineLvl w:val="1"/>
    </w:pPr>
    <w:rPr>
      <w:rFonts w:asciiTheme="majorHAnsi" w:cstheme="majorBidi" w:eastAsiaTheme="majorEastAsia" w:hAnsiTheme="majorHAnsi"/>
      <w:b/>
      <w:bCs/>
      <w:i/>
      <w:iCs/>
      <w:sz w:val="28"/>
      <w:szCs w:val="28"/>
    </w:rPr>
  </w:style>
  <w:style w:styleId="Heading3" w:type="paragraph">
    <w:name w:val="heading 3"/>
    <w:aliases w:val="heading 3,underlined Heading,proj3,proj31,proj32,proj33,proj34,proj35,proj36,proj37,proj38,proj39,proj310,proj311,proj312,proj321,proj331,proj341,proj351,proj361,proj371,proj381,proj391,proj3101,proj3111,proj313,proj322,proj332,proj342,h3,sl3"/>
    <w:basedOn w:val="Normal"/>
    <w:next w:val="Normal"/>
    <w:link w:val="Heading3Char"/>
    <w:semiHidden/>
    <w:qFormat/>
    <w:locked/>
    <w:rsid w:val="00C72D08"/>
    <w:pPr>
      <w:keepNext/>
      <w:spacing w:after="60" w:before="240"/>
      <w:outlineLvl w:val="2"/>
    </w:pPr>
    <w:rPr>
      <w:rFonts w:asciiTheme="majorHAnsi" w:cstheme="majorBidi" w:eastAsiaTheme="majorEastAsia" w:hAnsiTheme="majorHAnsi"/>
      <w:b/>
      <w:bCs/>
      <w:sz w:val="26"/>
      <w:szCs w:val="26"/>
    </w:rPr>
  </w:style>
  <w:style w:styleId="Heading4" w:type="paragraph">
    <w:name w:val="heading 4"/>
    <w:aliases w:val="Level 2 - a,h4,a,minor header,Map Title,Subsection,sub TR,proj4,proj41,proj42,proj43,proj44,proj45,proj46,proj47,proj48,proj49,proj410,proj411,proj412,proj421,proj431,proj441,proj451,proj461,proj471,proj481,proj491,proj4101,proj4111,proj413"/>
    <w:basedOn w:val="Normal"/>
    <w:next w:val="Normal"/>
    <w:link w:val="Heading4Char"/>
    <w:semiHidden/>
    <w:unhideWhenUsed/>
    <w:qFormat/>
    <w:locked/>
    <w:rsid w:val="00E1232E"/>
    <w:pPr>
      <w:keepNext/>
      <w:keepLines/>
      <w:spacing w:after="0" w:before="200"/>
      <w:outlineLvl w:val="3"/>
    </w:pPr>
    <w:rPr>
      <w:rFonts w:asciiTheme="majorHAnsi" w:cstheme="majorBidi" w:eastAsiaTheme="majorEastAsia" w:hAnsiTheme="majorHAnsi"/>
      <w:b/>
      <w:bCs/>
      <w:i/>
      <w:iCs/>
      <w:color w:themeColor="accent1" w:val="4F81BD"/>
    </w:rPr>
  </w:style>
  <w:style w:styleId="Heading5" w:type="paragraph">
    <w:name w:val="heading 5"/>
    <w:aliases w:val="Level 3 - i,5,Normal5,Level 3 - (i)"/>
    <w:basedOn w:val="Heading4"/>
    <w:next w:val="Normal"/>
    <w:link w:val="Heading5Char"/>
    <w:semiHidden/>
    <w:unhideWhenUsed/>
    <w:qFormat/>
    <w:rsid w:val="00E1232E"/>
    <w:pPr>
      <w:keepLines w:val="0"/>
      <w:tabs>
        <w:tab w:pos="1008" w:val="num"/>
      </w:tabs>
      <w:spacing w:after="120" w:before="240" w:line="300" w:lineRule="auto"/>
      <w:ind w:hanging="1008" w:left="1008"/>
      <w:outlineLvl w:val="4"/>
    </w:pPr>
    <w:rPr>
      <w:rFonts w:ascii="Arial" w:cs="Arial" w:eastAsia="Times New Roman" w:hAnsi="Arial"/>
      <w:b w:val="0"/>
      <w:i w:val="0"/>
      <w:iCs w:val="0"/>
      <w:color w:val="auto"/>
      <w:szCs w:val="28"/>
      <w:lang w:eastAsia="en-US"/>
    </w:rPr>
  </w:style>
  <w:style w:styleId="Heading6" w:type="paragraph">
    <w:name w:val="heading 6"/>
    <w:aliases w:val="Legal Level 1.,Body Text 5,Normal6"/>
    <w:basedOn w:val="Heading5"/>
    <w:next w:val="Normal"/>
    <w:link w:val="Heading6Char"/>
    <w:semiHidden/>
    <w:unhideWhenUsed/>
    <w:qFormat/>
    <w:locked/>
    <w:rsid w:val="00E1232E"/>
    <w:pPr>
      <w:tabs>
        <w:tab w:pos="1008" w:val="clear"/>
        <w:tab w:pos="1152" w:val="num"/>
      </w:tabs>
      <w:ind w:hanging="1152" w:left="1152"/>
      <w:outlineLvl w:val="5"/>
    </w:pPr>
  </w:style>
  <w:style w:styleId="Heading7" w:type="paragraph">
    <w:name w:val="heading 7"/>
    <w:aliases w:val="Legal Level 1.1.,Body Text 6,Heading 7(unused),Normal7"/>
    <w:basedOn w:val="Heading6"/>
    <w:next w:val="Normal"/>
    <w:link w:val="Heading7Char"/>
    <w:uiPriority w:val="99"/>
    <w:semiHidden/>
    <w:unhideWhenUsed/>
    <w:qFormat/>
    <w:locked/>
    <w:rsid w:val="00E1232E"/>
    <w:pPr>
      <w:tabs>
        <w:tab w:pos="1152" w:val="clear"/>
        <w:tab w:pos="1296" w:val="num"/>
      </w:tabs>
      <w:ind w:hanging="1296" w:left="1296"/>
      <w:outlineLvl w:val="6"/>
    </w:pPr>
  </w:style>
  <w:style w:styleId="Heading8" w:type="paragraph">
    <w:name w:val="heading 8"/>
    <w:aliases w:val="Legal Level 1.1.1.,Body Text 7,Heading 8(unused),Heading 8 (Start Appendices),Normal8"/>
    <w:basedOn w:val="Heading7"/>
    <w:next w:val="Normal"/>
    <w:link w:val="Heading8Char"/>
    <w:uiPriority w:val="99"/>
    <w:semiHidden/>
    <w:unhideWhenUsed/>
    <w:qFormat/>
    <w:locked/>
    <w:rsid w:val="00E1232E"/>
    <w:pPr>
      <w:tabs>
        <w:tab w:pos="1296" w:val="clear"/>
        <w:tab w:pos="1440" w:val="num"/>
      </w:tabs>
      <w:ind w:hanging="1440" w:left="1440"/>
      <w:outlineLvl w:val="7"/>
    </w:pPr>
  </w:style>
  <w:style w:styleId="Heading9" w:type="paragraph">
    <w:name w:val="heading 9"/>
    <w:aliases w:val="Legal Level 1.1.1.1.,Body Text 8,Heading 9(unused),Appendix"/>
    <w:basedOn w:val="Heading8"/>
    <w:next w:val="Normal"/>
    <w:link w:val="Heading9Char"/>
    <w:uiPriority w:val="99"/>
    <w:semiHidden/>
    <w:unhideWhenUsed/>
    <w:qFormat/>
    <w:locked/>
    <w:rsid w:val="00E1232E"/>
    <w:pPr>
      <w:tabs>
        <w:tab w:pos="1440" w:val="clear"/>
        <w:tab w:pos="1584" w:val="num"/>
      </w:tabs>
      <w:ind w:hanging="1584" w:left="1584"/>
      <w:outlineLvl w:val="8"/>
    </w:p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CaselawCoversheet" w:type="paragraph">
    <w:name w:val="Caselaw Coversheet"/>
    <w:basedOn w:val="Normal"/>
    <w:qFormat/>
    <w:rsid w:val="009C6388"/>
    <w:pPr>
      <w:spacing w:after="0" w:line="240" w:lineRule="auto"/>
    </w:pPr>
    <w:rPr>
      <w:rFonts w:cs="Arial"/>
    </w:rPr>
  </w:style>
  <w:style w:customStyle="1" w:styleId="CaselawNormal" w:type="paragraph">
    <w:name w:val="Caselaw Normal"/>
    <w:basedOn w:val="CaselawCoversheet"/>
    <w:uiPriority w:val="6"/>
    <w:qFormat/>
    <w:locked/>
    <w:rsid w:val="007360E8"/>
    <w:pPr>
      <w:spacing w:after="240" w:line="360" w:lineRule="auto"/>
      <w:ind w:left="720"/>
    </w:pPr>
  </w:style>
  <w:style w:customStyle="1" w:styleId="CaselawNumbered10" w:type="paragraph">
    <w:name w:val="Caselaw Numbered 1"/>
    <w:basedOn w:val="CaselawNormal"/>
    <w:uiPriority w:val="5"/>
    <w:qFormat/>
    <w:rsid w:val="007360E8"/>
    <w:pPr>
      <w:numPr>
        <w:numId w:val="1"/>
      </w:numPr>
      <w:ind w:hanging="720" w:left="720"/>
    </w:pPr>
  </w:style>
  <w:style w:customStyle="1" w:styleId="CaselawNumbered1" w:type="paragraph">
    <w:name w:val="Caselaw Numbered (1)"/>
    <w:basedOn w:val="CaselawNumbered10"/>
    <w:qFormat/>
    <w:rsid w:val="000A5273"/>
    <w:pPr>
      <w:numPr>
        <w:numId w:val="2"/>
      </w:numPr>
      <w:spacing w:after="360" w:line="240" w:lineRule="auto"/>
      <w:ind w:hanging="720" w:left="1440"/>
    </w:pPr>
  </w:style>
  <w:style w:customStyle="1" w:styleId="CaselawNumbereda" w:type="paragraph">
    <w:name w:val="Caselaw Numbered (a)"/>
    <w:basedOn w:val="CaselawNumbered1"/>
    <w:qFormat/>
    <w:rsid w:val="006E7434"/>
    <w:pPr>
      <w:numPr>
        <w:numId w:val="3"/>
      </w:numPr>
      <w:ind w:hanging="720" w:left="2160"/>
    </w:pPr>
  </w:style>
  <w:style w:customStyle="1" w:styleId="CaselawNumberedi" w:type="paragraph">
    <w:name w:val="Caselaw Numbered (i)"/>
    <w:basedOn w:val="CaselawNumbereda"/>
    <w:qFormat/>
    <w:rsid w:val="006E7434"/>
    <w:pPr>
      <w:numPr>
        <w:numId w:val="4"/>
      </w:numPr>
      <w:ind w:hanging="720" w:left="2880"/>
    </w:pPr>
  </w:style>
  <w:style w:customStyle="1" w:styleId="CaselawHeading1" w:type="paragraph">
    <w:name w:val="Caselaw Heading 1"/>
    <w:basedOn w:val="CaselawCoversheet"/>
    <w:next w:val="CaselawNumbered10"/>
    <w:uiPriority w:val="1"/>
    <w:qFormat/>
    <w:rsid w:val="00770D05"/>
    <w:pPr>
      <w:spacing w:after="240"/>
      <w:outlineLvl w:val="0"/>
    </w:pPr>
    <w:rPr>
      <w:b/>
      <w:caps/>
      <w:sz w:val="28"/>
    </w:rPr>
  </w:style>
  <w:style w:customStyle="1" w:styleId="CaselawHeading2" w:type="paragraph">
    <w:name w:val="Caselaw Heading 2"/>
    <w:basedOn w:val="CaselawHeading1"/>
    <w:next w:val="CaselawNumbered10"/>
    <w:uiPriority w:val="2"/>
    <w:qFormat/>
    <w:rsid w:val="009459F3"/>
    <w:pPr>
      <w:outlineLvl w:val="1"/>
    </w:pPr>
    <w:rPr>
      <w:caps w:val="0"/>
      <w:sz w:val="24"/>
    </w:rPr>
  </w:style>
  <w:style w:customStyle="1" w:styleId="CaselawHeading3" w:type="paragraph">
    <w:name w:val="Caselaw Heading 3"/>
    <w:basedOn w:val="CaselawHeading1"/>
    <w:next w:val="CaselawNumbered10"/>
    <w:uiPriority w:val="3"/>
    <w:qFormat/>
    <w:rsid w:val="009459F3"/>
    <w:pPr>
      <w:outlineLvl w:val="2"/>
    </w:pPr>
    <w:rPr>
      <w:b w:val="0"/>
      <w:i/>
      <w:caps w:val="0"/>
      <w:sz w:val="24"/>
    </w:rPr>
  </w:style>
  <w:style w:customStyle="1" w:styleId="CaselawQuote" w:type="paragraph">
    <w:name w:val="Caselaw Quote &gt;"/>
    <w:basedOn w:val="CaselawNormal"/>
    <w:qFormat/>
    <w:rsid w:val="00DA03B8"/>
    <w:pPr>
      <w:spacing w:after="360" w:line="240" w:lineRule="auto"/>
    </w:pPr>
    <w:rPr>
      <w:sz w:val="22"/>
    </w:rPr>
  </w:style>
  <w:style w:customStyle="1" w:styleId="CaselawQuote0" w:type="paragraph">
    <w:name w:val="Caselaw Quote &gt;&gt;"/>
    <w:basedOn w:val="CaselawNormal"/>
    <w:qFormat/>
    <w:rsid w:val="000A5273"/>
    <w:pPr>
      <w:spacing w:after="360" w:line="240" w:lineRule="auto"/>
      <w:ind w:left="2160"/>
    </w:pPr>
    <w:rPr>
      <w:sz w:val="22"/>
    </w:rPr>
  </w:style>
  <w:style w:customStyle="1" w:styleId="CaselawQuote1" w:type="paragraph">
    <w:name w:val="Caselaw Quote &gt;&gt;&gt;"/>
    <w:basedOn w:val="CaselawQuote0"/>
    <w:qFormat/>
    <w:rsid w:val="000A5273"/>
    <w:pPr>
      <w:ind w:left="2880"/>
    </w:pPr>
  </w:style>
  <w:style w:customStyle="1" w:styleId="CaselawHeading4" w:type="paragraph">
    <w:name w:val="Caselaw Heading 4"/>
    <w:basedOn w:val="CaselawHeading1"/>
    <w:next w:val="CaselawNumbered10"/>
    <w:uiPriority w:val="4"/>
    <w:qFormat/>
    <w:rsid w:val="009459F3"/>
    <w:pPr>
      <w:ind w:left="720"/>
      <w:outlineLvl w:val="3"/>
    </w:pPr>
    <w:rPr>
      <w:caps w:val="0"/>
      <w:sz w:val="22"/>
    </w:rPr>
  </w:style>
  <w:style w:customStyle="1" w:styleId="Heading1Char" w:type="character">
    <w:name w:val="Heading 1 Char"/>
    <w:aliases w:val="H1 Char,contents Char,proj Char,proj1 Char,proj5 Char,proj6 Char,proj7 Char,proj8 Char,proj9 Char,proj10 Char,proj11 Char,proj12 Char,proj13 Char,proj14 Char,proj15 Char,proj51 Char,proj61 Char,proj71 Char,proj81 Char,proj91 Char"/>
    <w:basedOn w:val="DefaultParagraphFont"/>
    <w:link w:val="Heading1"/>
    <w:rsid w:val="002316E1"/>
    <w:rPr>
      <w:rFonts w:asciiTheme="majorHAnsi" w:cstheme="majorBidi" w:eastAsiaTheme="majorEastAsia" w:hAnsiTheme="majorHAnsi"/>
      <w:b/>
      <w:bCs/>
      <w:kern w:val="32"/>
      <w:sz w:val="32"/>
      <w:szCs w:val="32"/>
      <w:lang w:eastAsia="en-US"/>
    </w:rPr>
  </w:style>
  <w:style w:customStyle="1" w:styleId="Heading2Char" w:type="character">
    <w:name w:val="Heading 2 Char"/>
    <w:aliases w:val="heading 2 Char,Intro Text Bold Char,proj2 Char,proj21 Char,proj22 Char,proj23 Char,proj24 Char,proj25 Char,proj26 Char,proj27 Char,proj28 Char,proj29 Char,proj210 Char,proj211 Char,proj212 Char,proj221 Char,proj231 Char,proj241 Char"/>
    <w:basedOn w:val="DefaultParagraphFont"/>
    <w:link w:val="Heading2"/>
    <w:semiHidden/>
    <w:rsid w:val="002316E1"/>
    <w:rPr>
      <w:rFonts w:asciiTheme="majorHAnsi" w:cstheme="majorBidi" w:eastAsiaTheme="majorEastAsia" w:hAnsiTheme="majorHAnsi"/>
      <w:b/>
      <w:bCs/>
      <w:i/>
      <w:iCs/>
      <w:sz w:val="28"/>
      <w:szCs w:val="28"/>
      <w:lang w:eastAsia="en-US"/>
    </w:rPr>
  </w:style>
  <w:style w:customStyle="1" w:styleId="Heading3Char" w:type="character">
    <w:name w:val="Heading 3 Char"/>
    <w:aliases w:val="heading 3 Char,underlined Heading Char,proj3 Char,proj31 Char,proj32 Char,proj33 Char,proj34 Char,proj35 Char,proj36 Char,proj37 Char,proj38 Char,proj39 Char,proj310 Char,proj311 Char,proj312 Char,proj321 Char,proj331 Char,proj341 Char"/>
    <w:basedOn w:val="DefaultParagraphFont"/>
    <w:link w:val="Heading3"/>
    <w:semiHidden/>
    <w:rsid w:val="002316E1"/>
    <w:rPr>
      <w:rFonts w:asciiTheme="majorHAnsi" w:cstheme="majorBidi" w:eastAsiaTheme="majorEastAsia" w:hAnsiTheme="majorHAnsi"/>
      <w:b/>
      <w:bCs/>
      <w:sz w:val="26"/>
      <w:szCs w:val="26"/>
      <w:lang w:eastAsia="en-US"/>
    </w:rPr>
  </w:style>
  <w:style w:styleId="TableGrid" w:type="table">
    <w:name w:val="Table Grid"/>
    <w:basedOn w:val="TableNormal"/>
    <w:uiPriority w:val="59"/>
    <w:locked/>
    <w:rsid w:val="002D6852"/>
    <w:tblPr>
      <w:tblInd w:type="dxa" w:w="0"/>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0"/>
        <w:left w:type="dxa" w:w="108"/>
        <w:bottom w:type="dxa" w:w="0"/>
        <w:right w:type="dxa" w:w="108"/>
      </w:tblCellMar>
    </w:tblPr>
  </w:style>
  <w:style w:customStyle="1" w:styleId="CaselawBullet" w:type="paragraph">
    <w:name w:val="Caselaw Bullet"/>
    <w:basedOn w:val="CaselawNormal"/>
    <w:uiPriority w:val="1"/>
    <w:qFormat/>
    <w:locked/>
    <w:rsid w:val="00F36D30"/>
    <w:pPr>
      <w:numPr>
        <w:numId w:val="5"/>
      </w:numPr>
      <w:spacing w:after="360" w:line="240" w:lineRule="auto"/>
      <w:ind w:hanging="720"/>
    </w:pPr>
  </w:style>
  <w:style w:customStyle="1" w:styleId="CaselawHeading5" w:type="paragraph">
    <w:name w:val="Caselaw Heading 5"/>
    <w:basedOn w:val="CaselawHeading4"/>
    <w:rsid w:val="009459F3"/>
    <w:rPr>
      <w:b w:val="0"/>
      <w:u w:val="single"/>
    </w:rPr>
  </w:style>
  <w:style w:styleId="BalloonText" w:type="paragraph">
    <w:name w:val="Balloon Text"/>
    <w:basedOn w:val="Normal"/>
    <w:link w:val="BalloonTextChar"/>
    <w:uiPriority w:val="99"/>
    <w:semiHidden/>
    <w:unhideWhenUsed/>
    <w:locked/>
    <w:rsid w:val="000A5625"/>
    <w:pPr>
      <w:spacing w:after="0" w:line="240" w:lineRule="auto"/>
    </w:pPr>
    <w:rPr>
      <w:rFonts w:ascii="Tahoma" w:cs="Tahoma" w:hAnsi="Tahoma"/>
      <w:sz w:val="16"/>
      <w:szCs w:val="16"/>
    </w:rPr>
  </w:style>
  <w:style w:customStyle="1" w:styleId="BalloonTextChar" w:type="character">
    <w:name w:val="Balloon Text Char"/>
    <w:basedOn w:val="DefaultParagraphFont"/>
    <w:link w:val="BalloonText"/>
    <w:uiPriority w:val="99"/>
    <w:semiHidden/>
    <w:rsid w:val="000A5625"/>
    <w:rPr>
      <w:rFonts w:ascii="Tahoma" w:cs="Tahoma" w:hAnsi="Tahoma"/>
      <w:sz w:val="16"/>
      <w:szCs w:val="16"/>
    </w:rPr>
  </w:style>
  <w:style w:styleId="PlaceholderText" w:type="character">
    <w:name w:val="Placeholder Text"/>
    <w:basedOn w:val="DefaultParagraphFont"/>
    <w:uiPriority w:val="99"/>
    <w:semiHidden/>
    <w:locked/>
    <w:rsid w:val="00B914EB"/>
    <w:rPr>
      <w:color w:val="808080"/>
    </w:rPr>
  </w:style>
  <w:style w:customStyle="1" w:styleId="Style1" w:type="character">
    <w:name w:val="Style1"/>
    <w:basedOn w:val="Strong"/>
    <w:uiPriority w:val="1"/>
    <w:locked/>
    <w:rsid w:val="00C13AF5"/>
    <w:rPr>
      <w:rFonts w:ascii="Arial" w:hAnsi="Arial"/>
      <w:b w:val="0"/>
      <w:bCs/>
      <w:sz w:val="24"/>
    </w:rPr>
  </w:style>
  <w:style w:styleId="Strong" w:type="character">
    <w:name w:val="Strong"/>
    <w:basedOn w:val="DefaultParagraphFont"/>
    <w:uiPriority w:val="22"/>
    <w:semiHidden/>
    <w:qFormat/>
    <w:locked/>
    <w:rsid w:val="00C13AF5"/>
    <w:rPr>
      <w:b/>
      <w:bCs/>
    </w:rPr>
  </w:style>
  <w:style w:styleId="DocumentMap" w:type="paragraph">
    <w:name w:val="Document Map"/>
    <w:basedOn w:val="Normal"/>
    <w:link w:val="DocumentMapChar"/>
    <w:uiPriority w:val="99"/>
    <w:semiHidden/>
    <w:unhideWhenUsed/>
    <w:locked/>
    <w:rsid w:val="00C11B7B"/>
    <w:pPr>
      <w:spacing w:after="0" w:line="240" w:lineRule="auto"/>
    </w:pPr>
    <w:rPr>
      <w:rFonts w:ascii="Lucida Grande" w:hAnsi="Lucida Grande"/>
    </w:rPr>
  </w:style>
  <w:style w:customStyle="1" w:styleId="DocumentMapChar" w:type="character">
    <w:name w:val="Document Map Char"/>
    <w:basedOn w:val="DefaultParagraphFont"/>
    <w:link w:val="DocumentMap"/>
    <w:uiPriority w:val="99"/>
    <w:semiHidden/>
    <w:rsid w:val="00C11B7B"/>
    <w:rPr>
      <w:rFonts w:ascii="Lucida Grande" w:hAnsi="Lucida Grande"/>
    </w:rPr>
  </w:style>
  <w:style w:styleId="NormalWeb" w:type="paragraph">
    <w:name w:val="Normal (Web)"/>
    <w:basedOn w:val="Normal"/>
    <w:uiPriority w:val="99"/>
    <w:semiHidden/>
    <w:unhideWhenUsed/>
    <w:locked/>
    <w:rsid w:val="00677778"/>
    <w:pPr>
      <w:spacing w:after="100" w:afterAutospacing="1" w:before="100" w:beforeAutospacing="1" w:line="240" w:lineRule="auto"/>
    </w:pPr>
    <w:rPr>
      <w:rFonts w:ascii="Times New Roman" w:eastAsia="Times New Roman" w:hAnsi="Times New Roman"/>
    </w:rPr>
  </w:style>
  <w:style w:customStyle="1" w:styleId="judgmentpara" w:type="paragraph">
    <w:name w:val="judgment_para"/>
    <w:basedOn w:val="Normal"/>
    <w:rsid w:val="00677778"/>
    <w:pPr>
      <w:spacing w:after="100" w:afterAutospacing="1" w:before="100" w:beforeAutospacing="1" w:line="240" w:lineRule="auto"/>
    </w:pPr>
    <w:rPr>
      <w:rFonts w:ascii="Times New Roman" w:eastAsia="Times New Roman" w:hAnsi="Times New Roman"/>
    </w:rPr>
  </w:style>
  <w:style w:customStyle="1" w:styleId="listnumber" w:type="character">
    <w:name w:val="list_number_"/>
    <w:basedOn w:val="DefaultParagraphFont"/>
    <w:rsid w:val="00677778"/>
  </w:style>
  <w:style w:customStyle="1" w:styleId="judgmentnumbereda" w:type="paragraph">
    <w:name w:val="judgment_numbered_a_"/>
    <w:basedOn w:val="Normal"/>
    <w:rsid w:val="00B74D80"/>
    <w:pPr>
      <w:spacing w:after="100" w:afterAutospacing="1" w:before="100" w:beforeAutospacing="1" w:line="240" w:lineRule="auto"/>
    </w:pPr>
    <w:rPr>
      <w:rFonts w:ascii="Times New Roman" w:eastAsia="Times New Roman" w:hAnsi="Times New Roman"/>
    </w:rPr>
  </w:style>
  <w:style w:customStyle="1" w:styleId="judgmentnumberedi" w:type="paragraph">
    <w:name w:val="judgment_numbered_i_"/>
    <w:basedOn w:val="Normal"/>
    <w:rsid w:val="00B74D80"/>
    <w:pPr>
      <w:spacing w:after="100" w:afterAutospacing="1" w:before="100" w:beforeAutospacing="1" w:line="240" w:lineRule="auto"/>
    </w:pPr>
    <w:rPr>
      <w:rFonts w:ascii="Times New Roman" w:eastAsia="Times New Roman" w:hAnsi="Times New Roman"/>
    </w:rPr>
  </w:style>
  <w:style w:customStyle="1" w:styleId="Heading4Char" w:type="character">
    <w:name w:val="Heading 4 Char"/>
    <w:aliases w:val="Level 2 - a Char,h4 Char,a Char,minor header Char,Map Title Char,Subsection Char,sub TR Char,proj4 Char,proj41 Char,proj42 Char,proj43 Char,proj44 Char,proj45 Char,proj46 Char,proj47 Char,proj48 Char,proj49 Char,proj410 Char,proj411 Char"/>
    <w:basedOn w:val="DefaultParagraphFont"/>
    <w:link w:val="Heading4"/>
    <w:semiHidden/>
    <w:rsid w:val="00E1232E"/>
    <w:rPr>
      <w:rFonts w:asciiTheme="majorHAnsi" w:cstheme="majorBidi" w:eastAsiaTheme="majorEastAsia" w:hAnsiTheme="majorHAnsi"/>
      <w:b/>
      <w:bCs/>
      <w:i/>
      <w:iCs/>
      <w:color w:themeColor="accent1" w:val="4F81BD"/>
    </w:rPr>
  </w:style>
  <w:style w:customStyle="1" w:styleId="Heading5Char" w:type="character">
    <w:name w:val="Heading 5 Char"/>
    <w:aliases w:val="Level 3 - i Char,5 Char,Normal5 Char,Level 3 - (i) Char"/>
    <w:basedOn w:val="DefaultParagraphFont"/>
    <w:link w:val="Heading5"/>
    <w:semiHidden/>
    <w:rsid w:val="00E1232E"/>
    <w:rPr>
      <w:rFonts w:cs="Arial" w:eastAsia="Times New Roman"/>
      <w:bCs/>
      <w:szCs w:val="28"/>
      <w:lang w:eastAsia="en-US"/>
    </w:rPr>
  </w:style>
  <w:style w:customStyle="1" w:styleId="Heading6Char" w:type="character">
    <w:name w:val="Heading 6 Char"/>
    <w:aliases w:val="Legal Level 1. Char,Body Text 5 Char,Normal6 Char"/>
    <w:basedOn w:val="DefaultParagraphFont"/>
    <w:link w:val="Heading6"/>
    <w:semiHidden/>
    <w:rsid w:val="00E1232E"/>
    <w:rPr>
      <w:rFonts w:cs="Arial" w:eastAsia="Times New Roman"/>
      <w:bCs/>
      <w:szCs w:val="28"/>
      <w:lang w:eastAsia="en-US"/>
    </w:rPr>
  </w:style>
  <w:style w:customStyle="1" w:styleId="Heading7Char" w:type="character">
    <w:name w:val="Heading 7 Char"/>
    <w:aliases w:val="Legal Level 1.1. Char,Body Text 6 Char,Heading 7(unused) Char,Normal7 Char"/>
    <w:basedOn w:val="DefaultParagraphFont"/>
    <w:link w:val="Heading7"/>
    <w:uiPriority w:val="99"/>
    <w:semiHidden/>
    <w:rsid w:val="00E1232E"/>
    <w:rPr>
      <w:rFonts w:cs="Arial" w:eastAsia="Times New Roman"/>
      <w:bCs/>
      <w:szCs w:val="28"/>
      <w:lang w:eastAsia="en-US"/>
    </w:rPr>
  </w:style>
  <w:style w:customStyle="1" w:styleId="Heading8Char" w:type="character">
    <w:name w:val="Heading 8 Char"/>
    <w:aliases w:val="Legal Level 1.1.1. Char,Body Text 7 Char,Heading 8(unused) Char,Heading 8 (Start Appendices) Char,Normal8 Char"/>
    <w:basedOn w:val="DefaultParagraphFont"/>
    <w:link w:val="Heading8"/>
    <w:uiPriority w:val="99"/>
    <w:semiHidden/>
    <w:rsid w:val="00E1232E"/>
    <w:rPr>
      <w:rFonts w:cs="Arial" w:eastAsia="Times New Roman"/>
      <w:bCs/>
      <w:szCs w:val="28"/>
      <w:lang w:eastAsia="en-US"/>
    </w:rPr>
  </w:style>
  <w:style w:customStyle="1" w:styleId="Heading9Char" w:type="character">
    <w:name w:val="Heading 9 Char"/>
    <w:aliases w:val="Legal Level 1.1.1.1. Char,Body Text 8 Char,Heading 9(unused) Char,Appendix Char"/>
    <w:basedOn w:val="DefaultParagraphFont"/>
    <w:link w:val="Heading9"/>
    <w:uiPriority w:val="99"/>
    <w:semiHidden/>
    <w:rsid w:val="00E1232E"/>
    <w:rPr>
      <w:rFonts w:cs="Arial" w:eastAsia="Times New Roman"/>
      <w:bCs/>
      <w:szCs w:val="28"/>
      <w:lang w:eastAsia="en-US"/>
    </w:rPr>
  </w:style>
  <w:style w:styleId="Hyperlink" w:type="character">
    <w:name w:val="Hyperlink"/>
    <w:basedOn w:val="DefaultParagraphFont"/>
    <w:uiPriority w:val="99"/>
    <w:unhideWhenUsed/>
    <w:locked/>
    <w:rsid w:val="00E1232E"/>
    <w:rPr>
      <w:color w:val="0000FF"/>
      <w:u w:val="single"/>
    </w:rPr>
  </w:style>
  <w:style w:styleId="FollowedHyperlink" w:type="character">
    <w:name w:val="FollowedHyperlink"/>
    <w:basedOn w:val="DefaultParagraphFont"/>
    <w:semiHidden/>
    <w:unhideWhenUsed/>
    <w:locked/>
    <w:rsid w:val="00E1232E"/>
    <w:rPr>
      <w:color w:val="800080"/>
      <w:u w:val="single"/>
    </w:rPr>
  </w:style>
  <w:style w:customStyle="1" w:styleId="Heading1Char1" w:type="character">
    <w:name w:val="Heading 1 Char1"/>
    <w:aliases w:val="H1 Char1,contents Char1,proj Char1,proj1 Char1,proj5 Char1,proj6 Char1,proj7 Char1,proj8 Char1,proj9 Char1,proj10 Char1,proj11 Char1,proj12 Char1,proj13 Char1,proj14 Char1,proj15 Char1,proj51 Char1,proj61 Char1,proj71 Char1,proj81 Char1"/>
    <w:basedOn w:val="DefaultParagraphFont"/>
    <w:rsid w:val="00E1232E"/>
    <w:rPr>
      <w:rFonts w:asciiTheme="majorHAnsi" w:cstheme="majorBidi" w:eastAsiaTheme="majorEastAsia" w:hAnsiTheme="majorHAnsi"/>
      <w:b/>
      <w:bCs/>
      <w:color w:themeColor="accent1" w:themeShade="BF" w:val="365F91"/>
      <w:sz w:val="28"/>
      <w:szCs w:val="28"/>
      <w:lang w:eastAsia="en-US"/>
    </w:rPr>
  </w:style>
  <w:style w:customStyle="1" w:styleId="Heading2Char1" w:type="character">
    <w:name w:val="Heading 2 Char1"/>
    <w:aliases w:val="heading 2 Char1,Intro Text Bold Char1,proj2 Char1,proj21 Char1,proj22 Char1,proj23 Char1,proj24 Char1,proj25 Char1,proj26 Char1,proj27 Char1,proj28 Char1,proj29 Char1,proj210 Char1,proj211 Char1,proj212 Char1,proj221 Char1,proj231 Char1"/>
    <w:basedOn w:val="DefaultParagraphFont"/>
    <w:semiHidden/>
    <w:rsid w:val="00E1232E"/>
    <w:rPr>
      <w:rFonts w:asciiTheme="majorHAnsi" w:cstheme="majorBidi" w:eastAsiaTheme="majorEastAsia" w:hAnsiTheme="majorHAnsi"/>
      <w:b/>
      <w:bCs/>
      <w:color w:themeColor="accent1" w:val="4F81BD"/>
      <w:sz w:val="26"/>
      <w:szCs w:val="26"/>
      <w:lang w:eastAsia="en-US"/>
    </w:rPr>
  </w:style>
  <w:style w:customStyle="1" w:styleId="Heading3Char1" w:type="character">
    <w:name w:val="Heading 3 Char1"/>
    <w:aliases w:val="heading 3 Char1,underlined Heading Char1,proj3 Char1,proj31 Char1,proj32 Char1,proj33 Char1,proj34 Char1,proj35 Char1,proj36 Char1,proj37 Char1,proj38 Char1,proj39 Char1,proj310 Char1,proj311 Char1,proj312 Char1,proj321 Char1,h3 Char"/>
    <w:basedOn w:val="DefaultParagraphFont"/>
    <w:semiHidden/>
    <w:rsid w:val="00E1232E"/>
    <w:rPr>
      <w:rFonts w:asciiTheme="majorHAnsi" w:cstheme="majorBidi" w:eastAsiaTheme="majorEastAsia" w:hAnsiTheme="majorHAnsi"/>
      <w:b/>
      <w:bCs/>
      <w:color w:themeColor="accent1" w:val="4F81BD"/>
      <w:lang w:eastAsia="en-US"/>
    </w:rPr>
  </w:style>
  <w:style w:customStyle="1" w:styleId="Heading4Char1" w:type="character">
    <w:name w:val="Heading 4 Char1"/>
    <w:aliases w:val="Level 2 - a Char1,h4 Char1,a Char1,minor header Char1,Map Title Char1,Subsection Char1,sub TR Char1,proj4 Char1,proj41 Char1,proj42 Char1,proj43 Char1,proj44 Char1,proj45 Char1,proj46 Char1,proj47 Char1,proj48 Char1,proj49 Char1"/>
    <w:basedOn w:val="DefaultParagraphFont"/>
    <w:semiHidden/>
    <w:rsid w:val="00E1232E"/>
    <w:rPr>
      <w:rFonts w:asciiTheme="majorHAnsi" w:cstheme="majorBidi" w:eastAsiaTheme="majorEastAsia" w:hAnsiTheme="majorHAnsi"/>
      <w:b/>
      <w:bCs/>
      <w:i/>
      <w:iCs/>
      <w:color w:themeColor="accent1" w:val="4F81BD"/>
      <w:lang w:eastAsia="en-US"/>
    </w:rPr>
  </w:style>
  <w:style w:customStyle="1" w:styleId="Heading5Char1" w:type="character">
    <w:name w:val="Heading 5 Char1"/>
    <w:aliases w:val="Level 3 - i Char1,5 Char1,Normal5 Char1,Level 3 - (i) Char1"/>
    <w:basedOn w:val="DefaultParagraphFont"/>
    <w:semiHidden/>
    <w:rsid w:val="00E1232E"/>
    <w:rPr>
      <w:rFonts w:asciiTheme="majorHAnsi" w:cstheme="majorBidi" w:eastAsiaTheme="majorEastAsia" w:hAnsiTheme="majorHAnsi"/>
      <w:color w:themeColor="accent1" w:themeShade="7F" w:val="243F60"/>
      <w:lang w:eastAsia="en-US"/>
    </w:rPr>
  </w:style>
  <w:style w:customStyle="1" w:styleId="Heading6Char1" w:type="character">
    <w:name w:val="Heading 6 Char1"/>
    <w:aliases w:val="Legal Level 1. Char1,Body Text 5 Char1,Normal6 Char1"/>
    <w:basedOn w:val="DefaultParagraphFont"/>
    <w:semiHidden/>
    <w:rsid w:val="00E1232E"/>
    <w:rPr>
      <w:rFonts w:asciiTheme="majorHAnsi" w:cstheme="majorBidi" w:eastAsiaTheme="majorEastAsia" w:hAnsiTheme="majorHAnsi"/>
      <w:i/>
      <w:iCs/>
      <w:color w:themeColor="accent1" w:themeShade="7F" w:val="243F60"/>
      <w:lang w:eastAsia="en-US"/>
    </w:rPr>
  </w:style>
  <w:style w:customStyle="1" w:styleId="Heading7Char1" w:type="character">
    <w:name w:val="Heading 7 Char1"/>
    <w:aliases w:val="Legal Level 1.1. Char1,Body Text 6 Char1,Heading 7(unused) Char1,Normal7 Char1"/>
    <w:basedOn w:val="DefaultParagraphFont"/>
    <w:semiHidden/>
    <w:rsid w:val="00E1232E"/>
    <w:rPr>
      <w:rFonts w:asciiTheme="majorHAnsi" w:cstheme="majorBidi" w:eastAsiaTheme="majorEastAsia" w:hAnsiTheme="majorHAnsi"/>
      <w:i/>
      <w:iCs/>
      <w:color w:themeColor="text1" w:themeTint="BF" w:val="404040"/>
      <w:lang w:eastAsia="en-US"/>
    </w:rPr>
  </w:style>
  <w:style w:customStyle="1" w:styleId="Heading8Char1" w:type="character">
    <w:name w:val="Heading 8 Char1"/>
    <w:aliases w:val="Legal Level 1.1.1. Char1,Body Text 7 Char1,Heading 8(unused) Char1,Heading 8 (Start Appendices) Char1,Normal8 Char1"/>
    <w:basedOn w:val="DefaultParagraphFont"/>
    <w:semiHidden/>
    <w:rsid w:val="00E1232E"/>
    <w:rPr>
      <w:rFonts w:asciiTheme="majorHAnsi" w:cstheme="majorBidi" w:eastAsiaTheme="majorEastAsia" w:hAnsiTheme="majorHAnsi"/>
      <w:color w:themeColor="text1" w:themeTint="BF" w:val="404040"/>
      <w:lang w:eastAsia="en-US"/>
    </w:rPr>
  </w:style>
  <w:style w:customStyle="1" w:styleId="Heading9Char1" w:type="character">
    <w:name w:val="Heading 9 Char1"/>
    <w:aliases w:val="Legal Level 1.1.1.1. Char1,Body Text 8 Char1,Heading 9(unused) Char1,Appendix Char1"/>
    <w:basedOn w:val="DefaultParagraphFont"/>
    <w:semiHidden/>
    <w:rsid w:val="00E1232E"/>
    <w:rPr>
      <w:rFonts w:asciiTheme="majorHAnsi" w:cstheme="majorBidi" w:eastAsiaTheme="majorEastAsia" w:hAnsiTheme="majorHAnsi"/>
      <w:i/>
      <w:iCs/>
      <w:color w:themeColor="text1" w:themeTint="BF" w:val="404040"/>
      <w:lang w:eastAsia="en-US"/>
    </w:rPr>
  </w:style>
  <w:style w:styleId="Index1" w:type="paragraph">
    <w:name w:val="index 1"/>
    <w:basedOn w:val="Normal"/>
    <w:next w:val="Normal"/>
    <w:autoRedefine/>
    <w:uiPriority w:val="99"/>
    <w:unhideWhenUsed/>
    <w:locked/>
    <w:rsid w:val="00E1232E"/>
    <w:pPr>
      <w:keepLines/>
      <w:numPr>
        <w:numId w:val="6"/>
      </w:numPr>
      <w:overflowPunct w:val="0"/>
      <w:autoSpaceDE w:val="0"/>
      <w:autoSpaceDN w:val="0"/>
      <w:adjustRightInd w:val="0"/>
      <w:spacing w:after="0" w:line="240" w:lineRule="auto"/>
      <w:jc w:val="both"/>
    </w:pPr>
    <w:rPr>
      <w:rFonts w:ascii="Times New Roman" w:eastAsia="Times New Roman" w:hAnsi="Times New Roman"/>
      <w:szCs w:val="20"/>
      <w:lang w:eastAsia="en-US"/>
    </w:rPr>
  </w:style>
  <w:style w:styleId="Index2" w:type="paragraph">
    <w:name w:val="index 2"/>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480"/>
      <w:jc w:val="both"/>
    </w:pPr>
    <w:rPr>
      <w:rFonts w:ascii="Times New Roman" w:eastAsia="Times New Roman" w:hAnsi="Times New Roman"/>
      <w:szCs w:val="20"/>
      <w:lang w:eastAsia="en-US"/>
    </w:rPr>
  </w:style>
  <w:style w:styleId="Index3" w:type="paragraph">
    <w:name w:val="index 3"/>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720"/>
      <w:jc w:val="both"/>
    </w:pPr>
    <w:rPr>
      <w:rFonts w:ascii="Times New Roman" w:eastAsia="Times New Roman" w:hAnsi="Times New Roman"/>
      <w:szCs w:val="20"/>
      <w:lang w:eastAsia="en-US"/>
    </w:rPr>
  </w:style>
  <w:style w:styleId="Index4" w:type="paragraph">
    <w:name w:val="index 4"/>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960"/>
      <w:jc w:val="both"/>
    </w:pPr>
    <w:rPr>
      <w:rFonts w:ascii="Times New Roman" w:eastAsia="Times New Roman" w:hAnsi="Times New Roman"/>
      <w:szCs w:val="20"/>
      <w:lang w:eastAsia="en-US"/>
    </w:rPr>
  </w:style>
  <w:style w:styleId="Index5" w:type="paragraph">
    <w:name w:val="index 5"/>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200"/>
      <w:jc w:val="both"/>
    </w:pPr>
    <w:rPr>
      <w:rFonts w:ascii="Times New Roman" w:eastAsia="Times New Roman" w:hAnsi="Times New Roman"/>
      <w:szCs w:val="20"/>
      <w:lang w:eastAsia="en-US"/>
    </w:rPr>
  </w:style>
  <w:style w:styleId="Index6" w:type="paragraph">
    <w:name w:val="index 6"/>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440"/>
      <w:jc w:val="both"/>
    </w:pPr>
    <w:rPr>
      <w:rFonts w:ascii="Times New Roman" w:eastAsia="Times New Roman" w:hAnsi="Times New Roman"/>
      <w:szCs w:val="20"/>
      <w:lang w:eastAsia="en-US"/>
    </w:rPr>
  </w:style>
  <w:style w:styleId="Index7" w:type="paragraph">
    <w:name w:val="index 7"/>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680"/>
      <w:jc w:val="both"/>
    </w:pPr>
    <w:rPr>
      <w:rFonts w:ascii="Times New Roman" w:eastAsia="Times New Roman" w:hAnsi="Times New Roman"/>
      <w:szCs w:val="20"/>
      <w:lang w:eastAsia="en-US"/>
    </w:rPr>
  </w:style>
  <w:style w:styleId="Index8" w:type="paragraph">
    <w:name w:val="index 8"/>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920"/>
      <w:jc w:val="both"/>
    </w:pPr>
    <w:rPr>
      <w:rFonts w:ascii="Times New Roman" w:eastAsia="Times New Roman" w:hAnsi="Times New Roman"/>
      <w:szCs w:val="20"/>
      <w:lang w:eastAsia="en-US"/>
    </w:rPr>
  </w:style>
  <w:style w:styleId="Index9" w:type="paragraph">
    <w:name w:val="index 9"/>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2160"/>
      <w:jc w:val="both"/>
    </w:pPr>
    <w:rPr>
      <w:rFonts w:ascii="Times New Roman" w:eastAsia="Times New Roman" w:hAnsi="Times New Roman"/>
      <w:szCs w:val="20"/>
      <w:lang w:eastAsia="en-US"/>
    </w:rPr>
  </w:style>
  <w:style w:styleId="TOC1" w:type="paragraph">
    <w:name w:val="toc 1"/>
    <w:basedOn w:val="Normal"/>
    <w:next w:val="Normal"/>
    <w:autoRedefine/>
    <w:uiPriority w:val="39"/>
    <w:semiHidden/>
    <w:unhideWhenUsed/>
    <w:qFormat/>
    <w:locked/>
    <w:rsid w:val="00E1232E"/>
    <w:pPr>
      <w:spacing w:after="120" w:line="240" w:lineRule="auto"/>
    </w:pPr>
    <w:rPr>
      <w:rFonts w:eastAsia="Times New Roman"/>
      <w:b/>
      <w:sz w:val="20"/>
      <w:szCs w:val="20"/>
      <w:lang w:eastAsia="en-US"/>
    </w:rPr>
  </w:style>
  <w:style w:styleId="TOC2" w:type="paragraph">
    <w:name w:val="toc 2"/>
    <w:basedOn w:val="TOC1"/>
    <w:next w:val="Normal"/>
    <w:autoRedefine/>
    <w:uiPriority w:val="39"/>
    <w:semiHidden/>
    <w:unhideWhenUsed/>
    <w:qFormat/>
    <w:locked/>
    <w:rsid w:val="00E1232E"/>
    <w:pPr>
      <w:ind w:left="454"/>
    </w:pPr>
    <w:rPr>
      <w:b w:val="0"/>
    </w:rPr>
  </w:style>
  <w:style w:styleId="TOC3" w:type="paragraph">
    <w:name w:val="toc 3"/>
    <w:basedOn w:val="TOC2"/>
    <w:next w:val="Normal"/>
    <w:autoRedefine/>
    <w:uiPriority w:val="39"/>
    <w:semiHidden/>
    <w:unhideWhenUsed/>
    <w:qFormat/>
    <w:locked/>
    <w:rsid w:val="00E1232E"/>
    <w:pPr>
      <w:spacing w:before="120"/>
    </w:pPr>
  </w:style>
  <w:style w:styleId="TOC4" w:type="paragraph">
    <w:name w:val="toc 4"/>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line="240" w:lineRule="auto"/>
      <w:ind w:left="720"/>
      <w:jc w:val="both"/>
    </w:pPr>
    <w:rPr>
      <w:rFonts w:eastAsia="Times New Roman"/>
      <w:sz w:val="20"/>
      <w:szCs w:val="20"/>
      <w:lang w:eastAsia="en-US"/>
    </w:rPr>
  </w:style>
  <w:style w:styleId="TOC5" w:type="paragraph">
    <w:name w:val="toc 5"/>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960"/>
      <w:jc w:val="both"/>
    </w:pPr>
    <w:rPr>
      <w:rFonts w:eastAsia="Times New Roman"/>
      <w:szCs w:val="20"/>
      <w:lang w:eastAsia="en-US"/>
    </w:rPr>
  </w:style>
  <w:style w:styleId="TOC6" w:type="paragraph">
    <w:name w:val="toc 6"/>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200"/>
      <w:jc w:val="both"/>
    </w:pPr>
    <w:rPr>
      <w:rFonts w:ascii="Times New Roman" w:eastAsia="Times New Roman" w:hAnsi="Times New Roman"/>
      <w:szCs w:val="20"/>
      <w:lang w:eastAsia="en-US"/>
    </w:rPr>
  </w:style>
  <w:style w:styleId="TOC7" w:type="paragraph">
    <w:name w:val="toc 7"/>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440"/>
      <w:jc w:val="both"/>
    </w:pPr>
    <w:rPr>
      <w:rFonts w:ascii="Times New Roman" w:eastAsia="Times New Roman" w:hAnsi="Times New Roman"/>
      <w:szCs w:val="20"/>
      <w:lang w:eastAsia="en-US"/>
    </w:rPr>
  </w:style>
  <w:style w:styleId="TOC8" w:type="paragraph">
    <w:name w:val="toc 8"/>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680"/>
      <w:jc w:val="both"/>
    </w:pPr>
    <w:rPr>
      <w:rFonts w:ascii="Times New Roman" w:eastAsia="Times New Roman" w:hAnsi="Times New Roman"/>
      <w:szCs w:val="20"/>
      <w:lang w:eastAsia="en-US"/>
    </w:rPr>
  </w:style>
  <w:style w:styleId="TOC9" w:type="paragraph">
    <w:name w:val="toc 9"/>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920"/>
      <w:jc w:val="both"/>
    </w:pPr>
    <w:rPr>
      <w:rFonts w:ascii="Times New Roman" w:eastAsia="Times New Roman" w:hAnsi="Times New Roman"/>
      <w:szCs w:val="20"/>
      <w:lang w:eastAsia="en-US"/>
    </w:rPr>
  </w:style>
  <w:style w:styleId="FootnoteText" w:type="paragraph">
    <w:name w:val="footnote text"/>
    <w:basedOn w:val="Normal"/>
    <w:link w:val="FootnoteTextChar"/>
    <w:uiPriority w:val="99"/>
    <w:unhideWhenUsed/>
    <w:locked/>
    <w:rsid w:val="00E1232E"/>
    <w:pPr>
      <w:spacing w:after="0" w:line="240" w:lineRule="auto"/>
    </w:pPr>
    <w:rPr>
      <w:rFonts w:asciiTheme="minorHAnsi" w:cstheme="minorBidi" w:eastAsiaTheme="minorEastAsia" w:hAnsiTheme="minorHAnsi"/>
      <w:sz w:val="20"/>
      <w:szCs w:val="20"/>
      <w:lang w:eastAsia="ja-JP" w:val="en-US"/>
    </w:rPr>
  </w:style>
  <w:style w:customStyle="1" w:styleId="FootnoteTextChar" w:type="character">
    <w:name w:val="Footnote Text Char"/>
    <w:basedOn w:val="DefaultParagraphFont"/>
    <w:link w:val="FootnoteText"/>
    <w:uiPriority w:val="99"/>
    <w:rsid w:val="00E1232E"/>
    <w:rPr>
      <w:rFonts w:asciiTheme="minorHAnsi" w:cstheme="minorBidi" w:eastAsiaTheme="minorEastAsia" w:hAnsiTheme="minorHAnsi"/>
      <w:sz w:val="20"/>
      <w:szCs w:val="20"/>
      <w:lang w:eastAsia="ja-JP" w:val="en-US"/>
    </w:rPr>
  </w:style>
  <w:style w:styleId="CommentText" w:type="paragraph">
    <w:name w:val="annotation text"/>
    <w:basedOn w:val="Normal"/>
    <w:link w:val="CommentTextChar"/>
    <w:uiPriority w:val="99"/>
    <w:semiHidden/>
    <w:unhideWhenUsed/>
    <w:locked/>
    <w:rsid w:val="00E1232E"/>
    <w:pPr>
      <w:spacing w:after="120" w:before="240" w:line="300" w:lineRule="auto"/>
    </w:pPr>
    <w:rPr>
      <w:rFonts w:eastAsia="Times New Roman"/>
      <w:sz w:val="20"/>
      <w:szCs w:val="20"/>
      <w:lang w:eastAsia="en-US"/>
    </w:rPr>
  </w:style>
  <w:style w:customStyle="1" w:styleId="CommentTextChar" w:type="character">
    <w:name w:val="Comment Text Char"/>
    <w:basedOn w:val="DefaultParagraphFont"/>
    <w:link w:val="CommentText"/>
    <w:uiPriority w:val="99"/>
    <w:semiHidden/>
    <w:rsid w:val="00E1232E"/>
    <w:rPr>
      <w:rFonts w:eastAsia="Times New Roman"/>
      <w:sz w:val="20"/>
      <w:szCs w:val="20"/>
      <w:lang w:eastAsia="en-US"/>
    </w:rPr>
  </w:style>
  <w:style w:styleId="Header" w:type="paragraph">
    <w:name w:val="header"/>
    <w:basedOn w:val="Normal"/>
    <w:link w:val="HeaderChar"/>
    <w:uiPriority w:val="99"/>
    <w:semiHidden/>
    <w:unhideWhenUsed/>
    <w:locked/>
    <w:rsid w:val="00E1232E"/>
    <w:pPr>
      <w:tabs>
        <w:tab w:pos="4153" w:val="center"/>
        <w:tab w:pos="8306" w:val="right"/>
      </w:tabs>
      <w:spacing w:after="120" w:before="240" w:line="300" w:lineRule="auto"/>
    </w:pPr>
    <w:rPr>
      <w:rFonts w:eastAsia="Times New Roman"/>
      <w:sz w:val="20"/>
      <w:szCs w:val="20"/>
      <w:lang w:eastAsia="en-US"/>
    </w:rPr>
  </w:style>
  <w:style w:customStyle="1" w:styleId="HeaderChar" w:type="character">
    <w:name w:val="Header Char"/>
    <w:basedOn w:val="DefaultParagraphFont"/>
    <w:link w:val="Header"/>
    <w:uiPriority w:val="99"/>
    <w:semiHidden/>
    <w:rsid w:val="00E1232E"/>
    <w:rPr>
      <w:rFonts w:eastAsia="Times New Roman"/>
      <w:sz w:val="20"/>
      <w:szCs w:val="20"/>
      <w:lang w:eastAsia="en-US"/>
    </w:rPr>
  </w:style>
  <w:style w:styleId="Footer" w:type="paragraph">
    <w:name w:val="footer"/>
    <w:basedOn w:val="Normal"/>
    <w:link w:val="FooterChar"/>
    <w:uiPriority w:val="99"/>
    <w:semiHidden/>
    <w:unhideWhenUsed/>
    <w:locked/>
    <w:rsid w:val="00E1232E"/>
    <w:pPr>
      <w:tabs>
        <w:tab w:pos="4153" w:val="center"/>
        <w:tab w:pos="8306" w:val="right"/>
      </w:tabs>
      <w:spacing w:after="120" w:before="240" w:line="300" w:lineRule="auto"/>
    </w:pPr>
    <w:rPr>
      <w:rFonts w:eastAsia="Times New Roman"/>
      <w:sz w:val="20"/>
      <w:szCs w:val="20"/>
      <w:lang w:eastAsia="en-US"/>
    </w:rPr>
  </w:style>
  <w:style w:customStyle="1" w:styleId="FooterChar" w:type="character">
    <w:name w:val="Footer Char"/>
    <w:basedOn w:val="DefaultParagraphFont"/>
    <w:link w:val="Footer"/>
    <w:uiPriority w:val="99"/>
    <w:semiHidden/>
    <w:rsid w:val="00E1232E"/>
    <w:rPr>
      <w:rFonts w:eastAsia="Times New Roman"/>
      <w:sz w:val="20"/>
      <w:szCs w:val="20"/>
      <w:lang w:eastAsia="en-US"/>
    </w:rPr>
  </w:style>
  <w:style w:styleId="IndexHeading" w:type="paragraph">
    <w:name w:val="index heading"/>
    <w:basedOn w:val="Normal"/>
    <w:next w:val="Index1"/>
    <w:uiPriority w:val="99"/>
    <w:unhideWhenUsed/>
    <w:locked/>
    <w:rsid w:val="00E1232E"/>
    <w:pPr>
      <w:keepLines/>
      <w:overflowPunct w:val="0"/>
      <w:autoSpaceDE w:val="0"/>
      <w:autoSpaceDN w:val="0"/>
      <w:adjustRightInd w:val="0"/>
      <w:spacing w:after="0" w:before="240" w:line="240" w:lineRule="auto"/>
      <w:jc w:val="both"/>
    </w:pPr>
    <w:rPr>
      <w:rFonts w:ascii="Times New Roman" w:eastAsia="Times New Roman" w:hAnsi="Times New Roman"/>
      <w:szCs w:val="20"/>
      <w:lang w:eastAsia="en-US"/>
    </w:rPr>
  </w:style>
  <w:style w:styleId="Caption" w:type="paragraph">
    <w:name w:val="caption"/>
    <w:basedOn w:val="Normal"/>
    <w:next w:val="Normal"/>
    <w:uiPriority w:val="99"/>
    <w:semiHidden/>
    <w:unhideWhenUsed/>
    <w:qFormat/>
    <w:locked/>
    <w:rsid w:val="00E1232E"/>
    <w:pPr>
      <w:keepLines/>
      <w:tabs>
        <w:tab w:pos="1134" w:val="left"/>
      </w:tabs>
      <w:overflowPunct w:val="0"/>
      <w:autoSpaceDE w:val="0"/>
      <w:autoSpaceDN w:val="0"/>
      <w:adjustRightInd w:val="0"/>
      <w:spacing w:after="0" w:before="240" w:line="240" w:lineRule="auto"/>
      <w:ind w:left="567"/>
      <w:jc w:val="center"/>
    </w:pPr>
    <w:rPr>
      <w:rFonts w:ascii="Times New Roman" w:eastAsia="Times New Roman" w:hAnsi="Times New Roman"/>
      <w:i/>
      <w:iCs/>
      <w:sz w:val="20"/>
      <w:szCs w:val="20"/>
      <w:lang w:eastAsia="en-US"/>
    </w:rPr>
  </w:style>
  <w:style w:styleId="ListBullet" w:type="paragraph">
    <w:name w:val="List Bullet"/>
    <w:basedOn w:val="Normal"/>
    <w:uiPriority w:val="99"/>
    <w:semiHidden/>
    <w:unhideWhenUsed/>
    <w:locked/>
    <w:rsid w:val="00E1232E"/>
    <w:pPr>
      <w:numPr>
        <w:numId w:val="7"/>
      </w:numPr>
      <w:spacing w:after="60" w:before="60" w:line="300" w:lineRule="auto"/>
    </w:pPr>
    <w:rPr>
      <w:rFonts w:ascii="Arial(W1)" w:eastAsia="Times New Roman" w:hAnsi="Arial(W1)"/>
      <w:sz w:val="20"/>
      <w:szCs w:val="22"/>
      <w:lang w:eastAsia="en-US"/>
    </w:rPr>
  </w:style>
  <w:style w:customStyle="1" w:styleId="BodyTextChar" w:type="character">
    <w:name w:val="Body Text Char"/>
    <w:aliases w:val="bt Char,Heading 3 text Char,Heading 3 text1 Char,Heading 3 text2 Char,Heading 3 text3 Char,Heading 3 text4 Char"/>
    <w:basedOn w:val="DefaultParagraphFont"/>
    <w:link w:val="BodyText"/>
    <w:locked/>
    <w:rsid w:val="00E1232E"/>
    <w:rPr>
      <w:rFonts w:cs="Arial"/>
      <w:lang w:eastAsia="en-US"/>
    </w:rPr>
  </w:style>
  <w:style w:styleId="BodyText" w:type="paragraph">
    <w:name w:val="Body Text"/>
    <w:aliases w:val="bt,Heading 3 text,Heading 3 text1,Heading 3 text2,Heading 3 text3,Heading 3 text4"/>
    <w:basedOn w:val="Normal"/>
    <w:link w:val="BodyTextChar"/>
    <w:unhideWhenUsed/>
    <w:rsid w:val="00E1232E"/>
    <w:pPr>
      <w:spacing w:after="120" w:before="240" w:line="300" w:lineRule="auto"/>
    </w:pPr>
    <w:rPr>
      <w:rFonts w:cs="Arial"/>
      <w:lang w:eastAsia="en-US"/>
    </w:rPr>
  </w:style>
  <w:style w:customStyle="1" w:styleId="BodyTextChar1" w:type="character">
    <w:name w:val="Body Text Char1"/>
    <w:aliases w:val="bt Char1,Heading 3 text Char1,Heading 3 text1 Char1,Heading 3 text2 Char1,Heading 3 text3 Char1,Heading 3 text4 Char1"/>
    <w:basedOn w:val="DefaultParagraphFont"/>
    <w:semiHidden/>
    <w:rsid w:val="00E1232E"/>
  </w:style>
  <w:style w:styleId="BodyTextIndent" w:type="paragraph">
    <w:name w:val="Body Text Indent"/>
    <w:basedOn w:val="Normal"/>
    <w:link w:val="BodyTextIndentChar"/>
    <w:uiPriority w:val="99"/>
    <w:semiHidden/>
    <w:unhideWhenUsed/>
    <w:rsid w:val="00E1232E"/>
    <w:pPr>
      <w:spacing w:after="120" w:before="240" w:line="300" w:lineRule="auto"/>
      <w:ind w:left="283"/>
    </w:pPr>
    <w:rPr>
      <w:rFonts w:eastAsia="Times New Roman"/>
      <w:sz w:val="20"/>
      <w:szCs w:val="20"/>
      <w:lang w:eastAsia="en-US"/>
    </w:rPr>
  </w:style>
  <w:style w:customStyle="1" w:styleId="BodyTextIndentChar" w:type="character">
    <w:name w:val="Body Text Indent Char"/>
    <w:basedOn w:val="DefaultParagraphFont"/>
    <w:link w:val="BodyTextIndent"/>
    <w:uiPriority w:val="99"/>
    <w:semiHidden/>
    <w:rsid w:val="00E1232E"/>
    <w:rPr>
      <w:rFonts w:eastAsia="Times New Roman"/>
      <w:sz w:val="20"/>
      <w:szCs w:val="20"/>
      <w:lang w:eastAsia="en-US"/>
    </w:rPr>
  </w:style>
  <w:style w:styleId="BodyText2" w:type="paragraph">
    <w:name w:val="Body Text 2"/>
    <w:basedOn w:val="Normal"/>
    <w:link w:val="BodyText2Char"/>
    <w:uiPriority w:val="99"/>
    <w:semiHidden/>
    <w:unhideWhenUsed/>
    <w:rsid w:val="00E1232E"/>
    <w:pPr>
      <w:spacing w:after="120" w:before="240" w:line="480" w:lineRule="auto"/>
    </w:pPr>
    <w:rPr>
      <w:rFonts w:eastAsia="Times New Roman"/>
      <w:sz w:val="20"/>
      <w:szCs w:val="20"/>
      <w:lang w:eastAsia="en-US"/>
    </w:rPr>
  </w:style>
  <w:style w:customStyle="1" w:styleId="BodyText2Char" w:type="character">
    <w:name w:val="Body Text 2 Char"/>
    <w:basedOn w:val="DefaultParagraphFont"/>
    <w:link w:val="BodyText2"/>
    <w:uiPriority w:val="99"/>
    <w:semiHidden/>
    <w:rsid w:val="00E1232E"/>
    <w:rPr>
      <w:rFonts w:eastAsia="Times New Roman"/>
      <w:sz w:val="20"/>
      <w:szCs w:val="20"/>
      <w:lang w:eastAsia="en-US"/>
    </w:rPr>
  </w:style>
  <w:style w:styleId="BodyText3" w:type="paragraph">
    <w:name w:val="Body Text 3"/>
    <w:basedOn w:val="Normal"/>
    <w:link w:val="BodyText3Char"/>
    <w:uiPriority w:val="99"/>
    <w:semiHidden/>
    <w:unhideWhenUsed/>
    <w:rsid w:val="00E1232E"/>
    <w:pPr>
      <w:spacing w:after="120" w:before="240" w:line="300" w:lineRule="auto"/>
    </w:pPr>
    <w:rPr>
      <w:rFonts w:eastAsia="Times New Roman"/>
      <w:sz w:val="16"/>
      <w:szCs w:val="16"/>
      <w:lang w:eastAsia="en-US"/>
    </w:rPr>
  </w:style>
  <w:style w:customStyle="1" w:styleId="BodyText3Char" w:type="character">
    <w:name w:val="Body Text 3 Char"/>
    <w:basedOn w:val="DefaultParagraphFont"/>
    <w:link w:val="BodyText3"/>
    <w:uiPriority w:val="99"/>
    <w:semiHidden/>
    <w:rsid w:val="00E1232E"/>
    <w:rPr>
      <w:rFonts w:eastAsia="Times New Roman"/>
      <w:sz w:val="16"/>
      <w:szCs w:val="16"/>
      <w:lang w:eastAsia="en-US"/>
    </w:rPr>
  </w:style>
  <w:style w:styleId="BodyTextIndent2" w:type="paragraph">
    <w:name w:val="Body Text Indent 2"/>
    <w:basedOn w:val="Normal"/>
    <w:link w:val="BodyTextIndent2Char"/>
    <w:uiPriority w:val="99"/>
    <w:unhideWhenUsed/>
    <w:locked/>
    <w:rsid w:val="00E1232E"/>
    <w:pPr>
      <w:spacing w:after="120" w:before="240" w:line="480" w:lineRule="auto"/>
      <w:ind w:left="283"/>
    </w:pPr>
    <w:rPr>
      <w:rFonts w:eastAsia="Times New Roman"/>
      <w:sz w:val="20"/>
      <w:szCs w:val="20"/>
      <w:lang w:eastAsia="en-US"/>
    </w:rPr>
  </w:style>
  <w:style w:customStyle="1" w:styleId="BodyTextIndent2Char" w:type="character">
    <w:name w:val="Body Text Indent 2 Char"/>
    <w:basedOn w:val="DefaultParagraphFont"/>
    <w:link w:val="BodyTextIndent2"/>
    <w:uiPriority w:val="99"/>
    <w:rsid w:val="00E1232E"/>
    <w:rPr>
      <w:rFonts w:eastAsia="Times New Roman"/>
      <w:sz w:val="20"/>
      <w:szCs w:val="20"/>
      <w:lang w:eastAsia="en-US"/>
    </w:rPr>
  </w:style>
  <w:style w:styleId="BodyTextIndent3" w:type="paragraph">
    <w:name w:val="Body Text Indent 3"/>
    <w:basedOn w:val="Normal"/>
    <w:link w:val="BodyTextIndent3Char"/>
    <w:uiPriority w:val="99"/>
    <w:semiHidden/>
    <w:unhideWhenUsed/>
    <w:locked/>
    <w:rsid w:val="00E1232E"/>
    <w:pPr>
      <w:spacing w:after="120" w:before="240" w:line="300" w:lineRule="auto"/>
      <w:ind w:left="283"/>
    </w:pPr>
    <w:rPr>
      <w:rFonts w:eastAsia="Times New Roman"/>
      <w:sz w:val="16"/>
      <w:szCs w:val="16"/>
      <w:lang w:eastAsia="en-US"/>
    </w:rPr>
  </w:style>
  <w:style w:customStyle="1" w:styleId="BodyTextIndent3Char" w:type="character">
    <w:name w:val="Body Text Indent 3 Char"/>
    <w:basedOn w:val="DefaultParagraphFont"/>
    <w:link w:val="BodyTextIndent3"/>
    <w:uiPriority w:val="99"/>
    <w:semiHidden/>
    <w:rsid w:val="00E1232E"/>
    <w:rPr>
      <w:rFonts w:eastAsia="Times New Roman"/>
      <w:sz w:val="16"/>
      <w:szCs w:val="16"/>
      <w:lang w:eastAsia="en-US"/>
    </w:rPr>
  </w:style>
  <w:style w:styleId="PlainText" w:type="paragraph">
    <w:name w:val="Plain Text"/>
    <w:basedOn w:val="Normal"/>
    <w:link w:val="PlainTextChar"/>
    <w:uiPriority w:val="99"/>
    <w:semiHidden/>
    <w:unhideWhenUsed/>
    <w:locked/>
    <w:rsid w:val="00E1232E"/>
    <w:pPr>
      <w:spacing w:after="0" w:line="240" w:lineRule="auto"/>
    </w:pPr>
    <w:rPr>
      <w:rFonts w:ascii="Courier New" w:cs="Courier New" w:eastAsia="Times New Roman" w:hAnsi="Courier New"/>
      <w:sz w:val="20"/>
      <w:szCs w:val="20"/>
      <w:lang w:eastAsia="en-US"/>
    </w:rPr>
  </w:style>
  <w:style w:customStyle="1" w:styleId="PlainTextChar" w:type="character">
    <w:name w:val="Plain Text Char"/>
    <w:basedOn w:val="DefaultParagraphFont"/>
    <w:link w:val="PlainText"/>
    <w:uiPriority w:val="99"/>
    <w:semiHidden/>
    <w:rsid w:val="00E1232E"/>
    <w:rPr>
      <w:rFonts w:ascii="Courier New" w:cs="Courier New" w:eastAsia="Times New Roman" w:hAnsi="Courier New"/>
      <w:sz w:val="20"/>
      <w:szCs w:val="20"/>
      <w:lang w:eastAsia="en-US"/>
    </w:rPr>
  </w:style>
  <w:style w:styleId="CommentSubject" w:type="paragraph">
    <w:name w:val="annotation subject"/>
    <w:basedOn w:val="CommentText"/>
    <w:next w:val="CommentText"/>
    <w:link w:val="CommentSubjectChar"/>
    <w:uiPriority w:val="99"/>
    <w:semiHidden/>
    <w:unhideWhenUsed/>
    <w:locked/>
    <w:rsid w:val="00E1232E"/>
    <w:rPr>
      <w:b/>
      <w:bCs/>
    </w:rPr>
  </w:style>
  <w:style w:customStyle="1" w:styleId="CommentSubjectChar" w:type="character">
    <w:name w:val="Comment Subject Char"/>
    <w:basedOn w:val="CommentTextChar"/>
    <w:link w:val="CommentSubject"/>
    <w:uiPriority w:val="99"/>
    <w:semiHidden/>
    <w:rsid w:val="00E1232E"/>
    <w:rPr>
      <w:rFonts w:eastAsia="Times New Roman"/>
      <w:b/>
      <w:bCs/>
      <w:sz w:val="20"/>
      <w:szCs w:val="20"/>
      <w:lang w:eastAsia="en-US"/>
    </w:rPr>
  </w:style>
  <w:style w:styleId="ListParagraph" w:type="paragraph">
    <w:name w:val="List Paragraph"/>
    <w:basedOn w:val="Normal"/>
    <w:uiPriority w:val="34"/>
    <w:qFormat/>
    <w:locked/>
    <w:rsid w:val="00E1232E"/>
    <w:pPr>
      <w:spacing w:after="0" w:line="240" w:lineRule="auto"/>
      <w:ind w:left="720"/>
      <w:contextualSpacing/>
    </w:pPr>
    <w:rPr>
      <w:rFonts w:eastAsia="Times New Roman"/>
      <w:sz w:val="20"/>
      <w:lang w:eastAsia="en-US"/>
    </w:rPr>
  </w:style>
  <w:style w:styleId="TOCHeading" w:type="paragraph">
    <w:name w:val="TOC Heading"/>
    <w:basedOn w:val="Heading1"/>
    <w:next w:val="Normal"/>
    <w:uiPriority w:val="39"/>
    <w:semiHidden/>
    <w:unhideWhenUsed/>
    <w:qFormat/>
    <w:locked/>
    <w:rsid w:val="00E1232E"/>
    <w:pPr>
      <w:keepLines/>
      <w:spacing w:after="0" w:before="480"/>
      <w:outlineLvl w:val="9"/>
    </w:pPr>
    <w:rPr>
      <w:color w:themeColor="accent1" w:themeShade="BF" w:val="365F91"/>
      <w:kern w:val="0"/>
      <w:sz w:val="28"/>
      <w:szCs w:val="28"/>
      <w:lang w:eastAsia="ja-JP" w:val="en-US"/>
    </w:rPr>
  </w:style>
  <w:style w:customStyle="1" w:styleId="HeaderFooter" w:type="paragraph">
    <w:name w:val="Header/Footer"/>
    <w:basedOn w:val="Normal"/>
    <w:uiPriority w:val="99"/>
    <w:semiHidden/>
    <w:rsid w:val="00E1232E"/>
    <w:pPr>
      <w:spacing w:after="0" w:line="240" w:lineRule="auto"/>
      <w:jc w:val="right"/>
    </w:pPr>
    <w:rPr>
      <w:rFonts w:ascii="Arial (W1)" w:eastAsia="Times New Roman" w:hAnsi="Arial (W1)"/>
      <w:b/>
      <w:sz w:val="16"/>
      <w:szCs w:val="20"/>
      <w:lang w:eastAsia="en-US"/>
    </w:rPr>
  </w:style>
  <w:style w:customStyle="1" w:styleId="ListBulletIndent" w:type="paragraph">
    <w:name w:val="List Bullet Indent"/>
    <w:basedOn w:val="ListBullet"/>
    <w:uiPriority w:val="99"/>
    <w:semiHidden/>
    <w:rsid w:val="00E1232E"/>
    <w:pPr>
      <w:numPr>
        <w:numId w:val="8"/>
      </w:numPr>
    </w:pPr>
  </w:style>
  <w:style w:customStyle="1" w:styleId="TableText" w:type="paragraph">
    <w:name w:val="Table Text"/>
    <w:basedOn w:val="Normal"/>
    <w:uiPriority w:val="99"/>
    <w:semiHidden/>
    <w:rsid w:val="00E1232E"/>
    <w:pPr>
      <w:spacing w:after="60" w:before="60" w:line="300" w:lineRule="auto"/>
    </w:pPr>
    <w:rPr>
      <w:rFonts w:cs="Arial" w:eastAsia="Times New Roman"/>
      <w:sz w:val="20"/>
      <w:szCs w:val="20"/>
      <w:lang w:eastAsia="en-US"/>
    </w:rPr>
  </w:style>
  <w:style w:customStyle="1" w:styleId="Guidance" w:type="paragraph">
    <w:name w:val="Guidance"/>
    <w:basedOn w:val="BodyText"/>
    <w:uiPriority w:val="99"/>
    <w:semiHidden/>
    <w:rsid w:val="00E1232E"/>
    <w:pPr>
      <w:pBdr>
        <w:top w:color="auto" w:space="6" w:sz="4" w:val="single"/>
        <w:left w:color="auto" w:space="6" w:sz="4" w:val="single"/>
        <w:bottom w:color="auto" w:space="6" w:sz="4" w:val="single"/>
        <w:right w:color="auto" w:space="6" w:sz="4" w:val="single"/>
      </w:pBdr>
      <w:spacing w:after="0" w:before="0" w:line="240" w:lineRule="auto"/>
      <w:ind w:left="851"/>
    </w:pPr>
    <w:rPr>
      <w:rFonts w:ascii="Times New Roman" w:hAnsi="Times New Roman"/>
      <w:i/>
    </w:rPr>
  </w:style>
  <w:style w:customStyle="1" w:styleId="Tabletext0" w:type="paragraph">
    <w:name w:val="Table text"/>
    <w:basedOn w:val="Normal"/>
    <w:uiPriority w:val="99"/>
    <w:semiHidden/>
    <w:rsid w:val="00E1232E"/>
    <w:pPr>
      <w:spacing w:after="60" w:before="60" w:line="300" w:lineRule="auto"/>
    </w:pPr>
    <w:rPr>
      <w:rFonts w:cs="Arial" w:eastAsia="Times New Roman"/>
      <w:sz w:val="18"/>
      <w:szCs w:val="20"/>
      <w:lang w:eastAsia="en-US"/>
    </w:rPr>
  </w:style>
  <w:style w:customStyle="1" w:styleId="ListwithBullet" w:type="paragraph">
    <w:name w:val="List with Bullet"/>
    <w:basedOn w:val="Normal"/>
    <w:uiPriority w:val="99"/>
    <w:semiHidden/>
    <w:rsid w:val="00E1232E"/>
    <w:pPr>
      <w:numPr>
        <w:numId w:val="9"/>
      </w:numPr>
      <w:spacing w:after="0" w:line="300" w:lineRule="auto"/>
    </w:pPr>
    <w:rPr>
      <w:rFonts w:eastAsia="Times New Roman"/>
      <w:sz w:val="20"/>
      <w:szCs w:val="20"/>
      <w:lang w:eastAsia="en-US"/>
    </w:rPr>
  </w:style>
  <w:style w:customStyle="1" w:styleId="ListwithBulletinTable" w:type="paragraph">
    <w:name w:val="List with Bullet in Table"/>
    <w:basedOn w:val="ListwithBullet"/>
    <w:uiPriority w:val="99"/>
    <w:semiHidden/>
    <w:qFormat/>
    <w:rsid w:val="00E1232E"/>
    <w:rPr>
      <w:szCs w:val="22"/>
    </w:rPr>
  </w:style>
  <w:style w:customStyle="1" w:styleId="DBRNumbering" w:type="paragraph">
    <w:name w:val="DBR Numbering"/>
    <w:basedOn w:val="TableText"/>
    <w:uiPriority w:val="99"/>
    <w:semiHidden/>
    <w:qFormat/>
    <w:rsid w:val="00E1232E"/>
    <w:pPr>
      <w:numPr>
        <w:numId w:val="10"/>
      </w:numPr>
      <w:spacing w:line="240" w:lineRule="auto"/>
    </w:pPr>
  </w:style>
  <w:style w:customStyle="1" w:styleId="NFRNumbering" w:type="paragraph">
    <w:name w:val="NFR Numbering"/>
    <w:basedOn w:val="DBRNumbering"/>
    <w:uiPriority w:val="99"/>
    <w:semiHidden/>
    <w:qFormat/>
    <w:rsid w:val="00E1232E"/>
    <w:pPr>
      <w:numPr>
        <w:numId w:val="11"/>
      </w:numPr>
    </w:pPr>
    <w:rPr>
      <w:szCs w:val="24"/>
    </w:rPr>
  </w:style>
  <w:style w:customStyle="1" w:styleId="TableHeadingChar" w:type="character">
    <w:name w:val="Table Heading Char"/>
    <w:basedOn w:val="DefaultParagraphFont"/>
    <w:link w:val="TableHeading"/>
    <w:semiHidden/>
    <w:locked/>
    <w:rsid w:val="00E1232E"/>
    <w:rPr>
      <w:rFonts w:ascii="Arial Bold" w:hAnsi="Arial Bold"/>
      <w:b/>
      <w:sz w:val="18"/>
      <w:szCs w:val="22"/>
      <w:lang w:eastAsia="ar-SA"/>
    </w:rPr>
  </w:style>
  <w:style w:customStyle="1" w:styleId="TableHeading" w:type="paragraph">
    <w:name w:val="Table Heading"/>
    <w:basedOn w:val="Normal"/>
    <w:link w:val="TableHeadingChar"/>
    <w:semiHidden/>
    <w:rsid w:val="00E1232E"/>
    <w:pPr>
      <w:keepNext/>
      <w:keepLines/>
      <w:suppressAutoHyphens/>
      <w:spacing w:after="60" w:before="100" w:line="240" w:lineRule="auto"/>
    </w:pPr>
    <w:rPr>
      <w:rFonts w:ascii="Arial Bold" w:hAnsi="Arial Bold"/>
      <w:b/>
      <w:sz w:val="18"/>
      <w:szCs w:val="22"/>
      <w:lang w:eastAsia="ar-SA"/>
    </w:rPr>
  </w:style>
  <w:style w:customStyle="1" w:styleId="TableBullet" w:type="paragraph">
    <w:name w:val="Table Bullet"/>
    <w:basedOn w:val="TableText"/>
    <w:uiPriority w:val="99"/>
    <w:semiHidden/>
    <w:rsid w:val="00E1232E"/>
    <w:pPr>
      <w:numPr>
        <w:numId w:val="12"/>
      </w:numPr>
      <w:spacing w:line="240" w:lineRule="auto"/>
    </w:pPr>
    <w:rPr>
      <w:rFonts w:ascii="Arial (W1)" w:cs="Times New Roman" w:hAnsi="Arial (W1)"/>
      <w:sz w:val="22"/>
    </w:rPr>
  </w:style>
  <w:style w:customStyle="1" w:styleId="Bulletforunderhdr12" w:type="paragraph">
    <w:name w:val="Bullet for under hdr 1 &amp; 2"/>
    <w:basedOn w:val="Normal"/>
    <w:uiPriority w:val="99"/>
    <w:semiHidden/>
    <w:rsid w:val="00E1232E"/>
    <w:pPr>
      <w:numPr>
        <w:numId w:val="13"/>
      </w:numPr>
      <w:spacing w:after="120" w:before="240" w:line="300" w:lineRule="auto"/>
    </w:pPr>
    <w:rPr>
      <w:rFonts w:ascii="Helvetica" w:eastAsia="Times New Roman" w:hAnsi="Helvetica"/>
      <w:sz w:val="20"/>
      <w:szCs w:val="20"/>
      <w:lang w:eastAsia="en-US" w:val="en-GB"/>
    </w:rPr>
  </w:style>
  <w:style w:customStyle="1" w:styleId="Bulletforblueiinfo" w:type="paragraph">
    <w:name w:val="Bullet for blueiinfo"/>
    <w:basedOn w:val="Normal"/>
    <w:uiPriority w:val="99"/>
    <w:semiHidden/>
    <w:rsid w:val="00E1232E"/>
    <w:pPr>
      <w:numPr>
        <w:numId w:val="14"/>
      </w:numPr>
      <w:tabs>
        <w:tab w:pos="737" w:val="clear"/>
        <w:tab w:pos="0" w:val="num"/>
        <w:tab w:pos="1191" w:val="left"/>
      </w:tabs>
      <w:spacing w:after="120" w:before="240" w:line="300" w:lineRule="auto"/>
      <w:ind w:hanging="454" w:left="1191"/>
      <w:jc w:val="both"/>
    </w:pPr>
    <w:rPr>
      <w:rFonts w:eastAsia="Times New Roman"/>
      <w:i/>
      <w:color w:val="0000FF"/>
      <w:sz w:val="20"/>
      <w:szCs w:val="20"/>
      <w:lang w:eastAsia="en-US" w:val="en-GB"/>
    </w:rPr>
  </w:style>
  <w:style w:customStyle="1" w:styleId="TableNormal1" w:type="paragraph">
    <w:name w:val="Table Normal1"/>
    <w:basedOn w:val="Normal"/>
    <w:uiPriority w:val="99"/>
    <w:semiHidden/>
    <w:rsid w:val="00E1232E"/>
    <w:pPr>
      <w:keepNext/>
      <w:keepLines/>
      <w:spacing w:after="60" w:before="60" w:line="240" w:lineRule="auto"/>
    </w:pPr>
    <w:rPr>
      <w:rFonts w:eastAsia="Times New Roman"/>
      <w:sz w:val="18"/>
      <w:szCs w:val="22"/>
      <w:lang w:eastAsia="en-US"/>
    </w:rPr>
  </w:style>
  <w:style w:customStyle="1" w:styleId="TableHeadingCentre" w:type="paragraph">
    <w:name w:val="Table Heading Centre"/>
    <w:basedOn w:val="TableHeading"/>
    <w:uiPriority w:val="99"/>
    <w:semiHidden/>
    <w:rsid w:val="00E1232E"/>
    <w:pPr>
      <w:suppressAutoHyphens w:val="0"/>
      <w:spacing w:before="60"/>
      <w:jc w:val="center"/>
    </w:pPr>
    <w:rPr>
      <w:rFonts w:ascii="Arial (W1)" w:hAnsi="Arial (W1)"/>
      <w:lang w:eastAsia="en-US"/>
    </w:rPr>
  </w:style>
  <w:style w:customStyle="1" w:styleId="heading2text" w:type="paragraph">
    <w:name w:val="heading 2 text"/>
    <w:basedOn w:val="Normal"/>
    <w:uiPriority w:val="99"/>
    <w:semiHidden/>
    <w:rsid w:val="00E1232E"/>
    <w:pPr>
      <w:overflowPunct w:val="0"/>
      <w:autoSpaceDE w:val="0"/>
      <w:autoSpaceDN w:val="0"/>
      <w:adjustRightInd w:val="0"/>
      <w:spacing w:after="0" w:line="240" w:lineRule="auto"/>
      <w:ind w:left="1134"/>
      <w:jc w:val="both"/>
    </w:pPr>
    <w:rPr>
      <w:rFonts w:ascii="Times New Roman" w:eastAsia="Times New Roman" w:hAnsi="Times New Roman"/>
      <w:szCs w:val="20"/>
      <w:lang w:eastAsia="en-US"/>
    </w:rPr>
  </w:style>
  <w:style w:customStyle="1" w:styleId="ReturnAddress" w:type="paragraph">
    <w:name w:val="Return Address"/>
    <w:basedOn w:val="Normal"/>
    <w:uiPriority w:val="99"/>
    <w:semiHidden/>
    <w:rsid w:val="00E1232E"/>
    <w:pPr>
      <w:keepLines/>
      <w:framePr w:hAnchor="margin" w:hSpace="187" w:vAnchor="page" w:vSpace="187" w:w="5040" w:wrap="notBeside" w:y="966"/>
      <w:widowControl w:val="0"/>
      <w:overflowPunct w:val="0"/>
      <w:autoSpaceDE w:val="0"/>
      <w:autoSpaceDN w:val="0"/>
      <w:adjustRightInd w:val="0"/>
      <w:spacing w:after="0" w:line="200" w:lineRule="atLeast"/>
    </w:pPr>
    <w:rPr>
      <w:rFonts w:eastAsia="Times New Roman"/>
      <w:spacing w:val="-2"/>
      <w:sz w:val="16"/>
      <w:szCs w:val="20"/>
      <w:lang w:eastAsia="en-US" w:val="en-US"/>
    </w:rPr>
  </w:style>
  <w:style w:customStyle="1" w:styleId="Heading1Text" w:type="paragraph">
    <w:name w:val="Heading 1 Text"/>
    <w:basedOn w:val="Normal"/>
    <w:uiPriority w:val="99"/>
    <w:semiHidden/>
    <w:rsid w:val="00E1232E"/>
    <w:pPr>
      <w:overflowPunct w:val="0"/>
      <w:autoSpaceDE w:val="0"/>
      <w:autoSpaceDN w:val="0"/>
      <w:adjustRightInd w:val="0"/>
      <w:spacing w:after="0" w:line="240" w:lineRule="auto"/>
      <w:ind w:left="567"/>
      <w:jc w:val="both"/>
    </w:pPr>
    <w:rPr>
      <w:rFonts w:ascii="Times New Roman" w:eastAsia="Times New Roman" w:hAnsi="Times New Roman"/>
      <w:szCs w:val="20"/>
      <w:lang w:eastAsia="en-US"/>
    </w:rPr>
  </w:style>
  <w:style w:customStyle="1" w:styleId="Bullet" w:type="paragraph">
    <w:name w:val="Bullet"/>
    <w:basedOn w:val="Normal"/>
    <w:uiPriority w:val="99"/>
    <w:semiHidden/>
    <w:rsid w:val="00E1232E"/>
    <w:pPr>
      <w:overflowPunct w:val="0"/>
      <w:autoSpaceDE w:val="0"/>
      <w:autoSpaceDN w:val="0"/>
      <w:adjustRightInd w:val="0"/>
      <w:spacing w:after="0" w:before="120" w:line="240" w:lineRule="auto"/>
      <w:ind w:hanging="567" w:left="1418"/>
      <w:jc w:val="both"/>
    </w:pPr>
    <w:rPr>
      <w:rFonts w:ascii="Times New Roman" w:eastAsia="Times New Roman" w:hAnsi="Times New Roman"/>
      <w:szCs w:val="20"/>
      <w:lang w:eastAsia="en-US"/>
    </w:rPr>
  </w:style>
  <w:style w:customStyle="1" w:styleId="Topic" w:type="paragraph">
    <w:name w:val="Topic"/>
    <w:basedOn w:val="Normal"/>
    <w:next w:val="BodyText"/>
    <w:uiPriority w:val="99"/>
    <w:semiHidden/>
    <w:rsid w:val="00E1232E"/>
    <w:pPr>
      <w:spacing w:after="120" w:before="120" w:line="240" w:lineRule="auto"/>
      <w:ind w:left="425"/>
    </w:pPr>
    <w:rPr>
      <w:rFonts w:eastAsia="Times New Roman"/>
      <w:b/>
      <w:smallCaps/>
      <w:szCs w:val="20"/>
      <w:lang w:eastAsia="en-US" w:val="en-US"/>
    </w:rPr>
  </w:style>
  <w:style w:customStyle="1" w:styleId="AppendixHeading1" w:type="paragraph">
    <w:name w:val="Appendix Heading 1"/>
    <w:basedOn w:val="Heading1"/>
    <w:uiPriority w:val="99"/>
    <w:semiHidden/>
    <w:rsid w:val="00E1232E"/>
    <w:pPr>
      <w:keepLines/>
      <w:pageBreakBefore/>
      <w:tabs>
        <w:tab w:pos="510" w:val="left"/>
      </w:tabs>
      <w:overflowPunct w:val="0"/>
      <w:autoSpaceDE w:val="0"/>
      <w:autoSpaceDN w:val="0"/>
      <w:adjustRightInd w:val="0"/>
      <w:spacing w:after="0" w:line="240" w:lineRule="auto"/>
    </w:pPr>
    <w:rPr>
      <w:rFonts w:ascii="Arial" w:cs="Arial" w:eastAsia="Times New Roman" w:hAnsi="Arial"/>
      <w:bCs w:val="0"/>
      <w:kern w:val="0"/>
      <w:sz w:val="36"/>
      <w:szCs w:val="20"/>
      <w:lang w:eastAsia="en-US" w:val="en-US"/>
    </w:rPr>
  </w:style>
  <w:style w:customStyle="1" w:styleId="AppendixHeading2" w:type="paragraph">
    <w:name w:val="Appendix Heading 2"/>
    <w:basedOn w:val="Heading2"/>
    <w:uiPriority w:val="99"/>
    <w:semiHidden/>
    <w:rsid w:val="00E1232E"/>
    <w:pPr>
      <w:keepNext w:val="0"/>
      <w:numPr>
        <w:ilvl w:val="1"/>
        <w:numId w:val="15"/>
      </w:numPr>
      <w:tabs>
        <w:tab w:pos="0" w:val="left"/>
        <w:tab w:pos="567" w:val="left"/>
        <w:tab w:pos="794" w:val="left"/>
        <w:tab w:pos="1350" w:val="left"/>
      </w:tabs>
      <w:overflowPunct w:val="0"/>
      <w:autoSpaceDE w:val="0"/>
      <w:autoSpaceDN w:val="0"/>
      <w:adjustRightInd w:val="0"/>
      <w:spacing w:after="0" w:before="360" w:line="240" w:lineRule="atLeast"/>
    </w:pPr>
    <w:rPr>
      <w:rFonts w:ascii="Arial" w:cs="Arial" w:eastAsia="Times New Roman" w:hAnsi="Arial"/>
      <w:bCs w:val="0"/>
      <w:i w:val="0"/>
      <w:iCs w:val="0"/>
      <w:szCs w:val="20"/>
      <w:lang w:eastAsia="en-US" w:val="en-US"/>
    </w:rPr>
  </w:style>
  <w:style w:customStyle="1" w:styleId="ruler5" w:type="paragraph">
    <w:name w:val="ruler 5"/>
    <w:basedOn w:val="Normal"/>
    <w:uiPriority w:val="99"/>
    <w:semiHidden/>
    <w:rsid w:val="00E1232E"/>
    <w:pPr>
      <w:tabs>
        <w:tab w:pos="882" w:val="left"/>
        <w:tab w:pos="1857" w:val="left"/>
        <w:tab w:pos="2831" w:val="left"/>
        <w:tab w:pos="6589" w:val="left"/>
      </w:tabs>
      <w:spacing w:after="0" w:line="240" w:lineRule="auto"/>
    </w:pPr>
    <w:rPr>
      <w:rFonts w:ascii="Times" w:eastAsia="Times New Roman" w:hAnsi="Times"/>
      <w:noProof/>
      <w:color w:val="000000"/>
      <w:sz w:val="20"/>
      <w:szCs w:val="20"/>
      <w:lang w:eastAsia="en-US"/>
    </w:rPr>
  </w:style>
  <w:style w:customStyle="1" w:styleId="Normal1" w:type="paragraph">
    <w:name w:val="Normal1"/>
    <w:basedOn w:val="Normal"/>
    <w:uiPriority w:val="99"/>
    <w:semiHidden/>
    <w:rsid w:val="00E1232E"/>
    <w:pPr>
      <w:tabs>
        <w:tab w:pos="-1440" w:val="left"/>
        <w:tab w:pos="-720" w:val="left"/>
        <w:tab w:pos="1" w:val="left"/>
        <w:tab w:pos="1080" w:val="left"/>
        <w:tab w:pos="1800" w:val="left"/>
        <w:tab w:pos="2520" w:val="left"/>
        <w:tab w:pos="10080" w:val="left"/>
        <w:tab w:pos="10800" w:val="left"/>
        <w:tab w:pos="11520" w:val="left"/>
        <w:tab w:pos="12240" w:val="left"/>
        <w:tab w:pos="12960" w:val="left"/>
        <w:tab w:pos="13680" w:val="left"/>
        <w:tab w:pos="14400" w:val="left"/>
        <w:tab w:pos="15120" w:val="left"/>
        <w:tab w:pos="15840" w:val="left"/>
        <w:tab w:pos="16560" w:val="left"/>
        <w:tab w:pos="17280" w:val="left"/>
        <w:tab w:pos="18000" w:val="left"/>
        <w:tab w:pos="18720" w:val="left"/>
      </w:tabs>
      <w:suppressAutoHyphens/>
      <w:spacing w:after="0" w:before="120" w:line="240" w:lineRule="auto"/>
      <w:jc w:val="both"/>
    </w:pPr>
    <w:rPr>
      <w:rFonts w:ascii="Times New Roman" w:eastAsia="Times New Roman" w:hAnsi="Times New Roman"/>
      <w:b/>
      <w:spacing w:val="-3"/>
      <w:szCs w:val="20"/>
      <w:lang w:eastAsia="en-US" w:val="en-GB"/>
    </w:rPr>
  </w:style>
  <w:style w:customStyle="1" w:styleId="BulletLast" w:type="paragraph">
    <w:name w:val="Bullet Last"/>
    <w:basedOn w:val="Bullet"/>
    <w:next w:val="Normal"/>
    <w:uiPriority w:val="99"/>
    <w:semiHidden/>
    <w:rsid w:val="00E1232E"/>
    <w:pPr>
      <w:tabs>
        <w:tab w:pos="720" w:val="num"/>
      </w:tabs>
      <w:overflowPunct/>
      <w:autoSpaceDE/>
      <w:autoSpaceDN/>
      <w:adjustRightInd/>
      <w:spacing w:after="240" w:before="0"/>
      <w:ind w:hanging="288" w:left="648"/>
    </w:pPr>
    <w:rPr>
      <w:lang w:val="en-GB"/>
    </w:rPr>
  </w:style>
  <w:style w:customStyle="1" w:styleId="DecimalAligned" w:type="paragraph">
    <w:name w:val="Decimal Aligned"/>
    <w:basedOn w:val="Normal"/>
    <w:uiPriority w:val="40"/>
    <w:semiHidden/>
    <w:qFormat/>
    <w:rsid w:val="00E1232E"/>
    <w:pPr>
      <w:tabs>
        <w:tab w:pos="360" w:val="decimal"/>
      </w:tabs>
    </w:pPr>
    <w:rPr>
      <w:rFonts w:asciiTheme="minorHAnsi" w:cstheme="minorBidi" w:eastAsiaTheme="minorHAnsi" w:hAnsiTheme="minorHAnsi"/>
      <w:sz w:val="20"/>
      <w:szCs w:val="22"/>
      <w:lang w:eastAsia="ja-JP" w:val="en-US"/>
    </w:rPr>
  </w:style>
  <w:style w:styleId="CommentReference" w:type="character">
    <w:name w:val="annotation reference"/>
    <w:basedOn w:val="DefaultParagraphFont"/>
    <w:semiHidden/>
    <w:unhideWhenUsed/>
    <w:locked/>
    <w:rsid w:val="00E1232E"/>
    <w:rPr>
      <w:sz w:val="16"/>
      <w:szCs w:val="16"/>
    </w:rPr>
  </w:style>
  <w:style w:styleId="SubtleEmphasis" w:type="character">
    <w:name w:val="Subtle Emphasis"/>
    <w:basedOn w:val="DefaultParagraphFont"/>
    <w:uiPriority w:val="19"/>
    <w:qFormat/>
    <w:locked/>
    <w:rsid w:val="00E1232E"/>
    <w:rPr>
      <w:i/>
      <w:iCs/>
      <w:color w:themeColor="text1" w:themeTint="80" w:val="7F7F7F"/>
    </w:rPr>
  </w:style>
  <w:style w:customStyle="1" w:styleId="xdtextbox1" w:type="character">
    <w:name w:val="xdtextbox1"/>
    <w:basedOn w:val="DefaultParagraphFont"/>
    <w:rsid w:val="00E1232E"/>
    <w:rPr>
      <w:color w:val="auto"/>
      <w:bdr w:color="DCDCDC" w:frame="1" w:space="1" w:sz="8" w:val="single"/>
      <w:shd w:color="auto" w:fill="FFFFFF" w:val="clear"/>
    </w:rPr>
  </w:style>
  <w:style w:styleId="MediumGrid1-Accent3" w:type="table">
    <w:name w:val="Medium Grid 1 Accent 3"/>
    <w:basedOn w:val="TableNormal"/>
    <w:uiPriority w:val="67"/>
    <w:locked/>
    <w:rsid w:val="00E1232E"/>
    <w:rPr>
      <w:rFonts w:ascii="Times New Roman" w:eastAsia="Times New Roman" w:hAnsi="Times New Roman"/>
      <w:sz w:val="20"/>
      <w:szCs w:val="20"/>
    </w:rPr>
    <w:tblPr>
      <w:tblStyleRowBandSize w:val="1"/>
      <w:tblStyleColBandSize w:val="1"/>
      <w:tblInd w:type="dxa" w:w="0"/>
      <w:tblBorders>
        <w:top w:color="B3CC82" w:space="0" w:sz="8" w:themeColor="accent3" w:themeTint="BF" w:val="single"/>
        <w:left w:color="B3CC82" w:space="0" w:sz="8" w:themeColor="accent3" w:themeTint="BF" w:val="single"/>
        <w:bottom w:color="B3CC82" w:space="0" w:sz="8" w:themeColor="accent3" w:themeTint="BF" w:val="single"/>
        <w:right w:color="B3CC82" w:space="0" w:sz="8" w:themeColor="accent3" w:themeTint="BF" w:val="single"/>
        <w:insideH w:color="B3CC82" w:space="0" w:sz="8" w:themeColor="accent3" w:themeTint="BF" w:val="single"/>
        <w:insideV w:color="B3CC82" w:space="0" w:sz="8" w:themeColor="accent3" w:themeTint="BF" w:val="single"/>
      </w:tblBorders>
      <w:tblCellMar>
        <w:top w:type="dxa" w:w="0"/>
        <w:left w:type="dxa" w:w="108"/>
        <w:bottom w:type="dxa" w:w="0"/>
        <w:right w:type="dxa" w:w="108"/>
      </w:tblCellMar>
    </w:tblPr>
    <w:tcPr>
      <w:shd w:color="auto" w:fill="E6EED5" w:themeFill="accent3" w:themeFillTint="3F" w:val="clear"/>
    </w:tcPr>
    <w:tblStylePr w:type="firstRow">
      <w:rPr>
        <w:b/>
        <w:bCs/>
      </w:rPr>
    </w:tblStylePr>
    <w:tblStylePr w:type="lastRow">
      <w:rPr>
        <w:b/>
        <w:bCs/>
      </w:rPr>
      <w:tblPr/>
      <w:tcPr>
        <w:tcBorders>
          <w:top w:color="B3CC82" w:space="0" w:sz="18" w:themeColor="accent3" w:themeTint="BF" w:val="single"/>
        </w:tcBorders>
      </w:tcPr>
    </w:tblStylePr>
    <w:tblStylePr w:type="firstCol">
      <w:rPr>
        <w:b/>
        <w:bCs/>
      </w:rPr>
    </w:tblStylePr>
    <w:tblStylePr w:type="lastCol">
      <w:rPr>
        <w:b/>
        <w:bCs/>
      </w:rPr>
    </w:tblStylePr>
    <w:tblStylePr w:type="band1Vert">
      <w:tblPr/>
      <w:tcPr>
        <w:shd w:color="auto" w:fill="CDDDAC" w:themeFill="accent3" w:themeFillTint="7F" w:val="clear"/>
      </w:tcPr>
    </w:tblStylePr>
    <w:tblStylePr w:type="band1Horz">
      <w:tblPr/>
      <w:tcPr>
        <w:shd w:color="auto" w:fill="CDDDAC" w:themeFill="accent3" w:themeFillTint="7F" w:val="clear"/>
      </w:tcPr>
    </w:tblStylePr>
  </w:style>
  <w:style w:styleId="MediumShading2-Accent5" w:type="table">
    <w:name w:val="Medium Shading 2 Accent 5"/>
    <w:basedOn w:val="TableNormal"/>
    <w:uiPriority w:val="64"/>
    <w:locked/>
    <w:rsid w:val="00E1232E"/>
    <w:rPr>
      <w:rFonts w:asciiTheme="minorHAnsi" w:cstheme="minorBidi" w:eastAsiaTheme="minorEastAsia" w:hAnsiTheme="minorHAnsi"/>
      <w:sz w:val="22"/>
      <w:szCs w:val="22"/>
      <w:lang w:eastAsia="ja-JP" w:val="en-US"/>
    </w:rPr>
    <w:tblPr>
      <w:tblStyleRowBandSize w:val="1"/>
      <w:tblStyleColBandSize w:val="1"/>
      <w:tblInd w:type="dxa" w:w="0"/>
      <w:tblBorders>
        <w:top w:color="auto" w:space="0" w:sz="18" w:val="single"/>
        <w:bottom w:color="auto" w:space="0" w:sz="18"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tcBorders>
          <w:top w:color="auto" w:space="0" w:sz="18" w:val="single"/>
          <w:left w:val="nil"/>
          <w:bottom w:color="auto" w:space="0" w:sz="18" w:val="single"/>
          <w:right w:val="nil"/>
          <w:insideH w:val="nil"/>
          <w:insideV w:val="nil"/>
        </w:tcBorders>
        <w:shd w:color="auto" w:fill="4BACC6" w:themeFill="accent5" w:val="clear"/>
      </w:tcPr>
    </w:tblStylePr>
    <w:tblStylePr w:type="lastRow">
      <w:pPr>
        <w:spacing w:after="0" w:afterAutospacing="0" w:afterLines="0" w:before="0" w:beforeAutospacing="0" w:beforeLines="0" w:line="240" w:lineRule="auto"/>
      </w:pPr>
      <w:rPr>
        <w:color w:val="000000"/>
      </w:rPr>
      <w:tblPr/>
      <w:tcPr>
        <w:tcBorders>
          <w:top w:color="auto" w:space="0" w:sz="6" w:val="double"/>
          <w:left w:val="nil"/>
          <w:bottom w:color="auto" w:space="0" w:sz="18" w:val="single"/>
          <w:right w:val="nil"/>
          <w:insideH w:val="nil"/>
          <w:insideV w:val="nil"/>
        </w:tcBorders>
        <w:shd w:color="auto" w:fill="FFFFFF" w:themeFill="background1" w:val="clear"/>
      </w:tcPr>
    </w:tblStylePr>
    <w:tblStylePr w:type="firstCol">
      <w:rPr>
        <w:b/>
        <w:bCs/>
        <w:color w:themeColor="background1" w:val="FFFFFF"/>
      </w:rPr>
      <w:tblPr/>
      <w:tcPr>
        <w:tcBorders>
          <w:top w:val="nil"/>
          <w:left w:val="nil"/>
          <w:bottom w:color="auto" w:space="0" w:sz="18" w:val="single"/>
          <w:right w:val="nil"/>
          <w:insideH w:val="nil"/>
          <w:insideV w:val="nil"/>
        </w:tcBorders>
        <w:shd w:color="auto" w:fill="4BACC6" w:themeFill="accent5" w:val="clear"/>
      </w:tcPr>
    </w:tblStylePr>
    <w:tblStylePr w:type="lastCol">
      <w:rPr>
        <w:b/>
        <w:bCs/>
        <w:color w:themeColor="background1" w:val="FFFFFF"/>
      </w:rPr>
      <w:tblPr/>
      <w:tcPr>
        <w:tcBorders>
          <w:left w:val="nil"/>
          <w:right w:val="nil"/>
          <w:insideH w:val="nil"/>
          <w:insideV w:val="nil"/>
        </w:tcBorders>
        <w:shd w:color="auto" w:fill="4BACC6" w:themeFill="accent5" w:val="clear"/>
      </w:tcPr>
    </w:tblStylePr>
    <w:tblStylePr w:type="band1Vert">
      <w:tblPr/>
      <w:tcPr>
        <w:tcBorders>
          <w:left w:val="nil"/>
          <w:right w:val="nil"/>
          <w:insideH w:val="nil"/>
          <w:insideV w:val="nil"/>
        </w:tcBorders>
        <w:shd w:color="auto" w:fill="D8D8D8" w:themeFill="background1" w:themeFillShade="D8" w:val="clear"/>
      </w:tcPr>
    </w:tblStylePr>
    <w:tblStylePr w:type="band1Horz">
      <w:tblPr/>
      <w:tcPr>
        <w:shd w:color="auto" w:fill="D8D8D8" w:themeFill="background1" w:themeFillShade="D8" w:val="clear"/>
      </w:tcPr>
    </w:tblStylePr>
    <w:tblStylePr w:type="neCell">
      <w:tblPr/>
      <w:tcPr>
        <w:tcBorders>
          <w:top w:color="auto" w:space="0" w:sz="18" w:val="single"/>
          <w:left w:val="nil"/>
          <w:bottom w:color="auto" w:space="0" w:sz="18" w:val="single"/>
          <w:right w:val="nil"/>
          <w:insideH w:val="nil"/>
          <w:insideV w:val="nil"/>
        </w:tcBorders>
      </w:tcPr>
    </w:tblStylePr>
    <w:tblStylePr w:type="nwCell">
      <w:rPr>
        <w:color w:themeColor="background1" w:val="FFFFFF"/>
      </w:rPr>
      <w:tblPr/>
      <w:tcPr>
        <w:tcBorders>
          <w:top w:color="auto" w:space="0" w:sz="18" w:val="single"/>
          <w:left w:val="nil"/>
          <w:bottom w:color="auto" w:space="0" w:sz="18" w:val="single"/>
          <w:right w:val="nil"/>
          <w:insideH w:val="nil"/>
          <w:insideV w:val="nil"/>
        </w:tcBorders>
      </w:tcPr>
    </w:tblStylePr>
  </w:style>
  <w:style w:styleId="MediumList1-Accent6" w:type="table">
    <w:name w:val="Medium List 1 Accent 6"/>
    <w:basedOn w:val="TableNormal"/>
    <w:uiPriority w:val="65"/>
    <w:locked/>
    <w:rsid w:val="00E1232E"/>
    <w:rPr>
      <w:rFonts w:ascii="Times New Roman" w:eastAsia="Times New Roman" w:hAnsi="Times New Roman"/>
      <w:color w:themeColor="text1" w:val="000000"/>
      <w:sz w:val="20"/>
      <w:szCs w:val="20"/>
    </w:rPr>
    <w:tblPr>
      <w:tblStyleRowBandSize w:val="1"/>
      <w:tblStyleColBandSize w:val="1"/>
      <w:tblInd w:type="dxa" w:w="0"/>
      <w:tblBorders>
        <w:top w:color="F79646" w:space="0" w:sz="8" w:themeColor="accent6" w:val="single"/>
        <w:bottom w:color="F79646" w:space="0" w:sz="8" w:themeColor="accent6" w:val="single"/>
      </w:tblBorders>
      <w:tblCellMar>
        <w:top w:type="dxa" w:w="0"/>
        <w:left w:type="dxa" w:w="108"/>
        <w:bottom w:type="dxa" w:w="0"/>
        <w:right w:type="dxa" w:w="108"/>
      </w:tblCellMar>
    </w:tblPr>
    <w:tblStylePr w:type="firstRow">
      <w:rPr>
        <w:rFonts w:asciiTheme="majorHAnsi" w:cstheme="majorBidi" w:eastAsiaTheme="majorEastAsia" w:hAnsiTheme="majorHAnsi" w:hint="default"/>
      </w:rPr>
      <w:tblPr/>
      <w:tcPr>
        <w:tcBorders>
          <w:top w:val="nil"/>
          <w:bottom w:color="F79646" w:space="0" w:sz="8" w:themeColor="accent6" w:val="single"/>
        </w:tcBorders>
      </w:tcPr>
    </w:tblStylePr>
    <w:tblStylePr w:type="lastRow">
      <w:rPr>
        <w:b/>
        <w:bCs/>
        <w:color w:themeColor="text2" w:val="1F497D"/>
      </w:rPr>
      <w:tblPr/>
      <w:tcPr>
        <w:tcBorders>
          <w:top w:color="F79646" w:space="0" w:sz="8" w:themeColor="accent6" w:val="single"/>
          <w:bottom w:color="F79646" w:space="0" w:sz="8" w:themeColor="accent6" w:val="single"/>
        </w:tcBorders>
      </w:tcPr>
    </w:tblStylePr>
    <w:tblStylePr w:type="firstCol">
      <w:rPr>
        <w:b/>
        <w:bCs/>
      </w:rPr>
    </w:tblStylePr>
    <w:tblStylePr w:type="lastCol">
      <w:rPr>
        <w:b/>
        <w:bCs/>
      </w:rPr>
      <w:tblPr/>
      <w:tcPr>
        <w:tcBorders>
          <w:top w:color="F79646" w:space="0" w:sz="8" w:themeColor="accent6" w:val="single"/>
          <w:bottom w:color="F79646" w:space="0" w:sz="8" w:themeColor="accent6" w:val="single"/>
        </w:tcBorders>
      </w:tcPr>
    </w:tblStylePr>
    <w:tblStylePr w:type="band1Vert">
      <w:tblPr/>
      <w:tcPr>
        <w:shd w:color="auto" w:fill="FDE4D0" w:themeFill="accent6" w:themeFillTint="3F" w:val="clear"/>
      </w:tcPr>
    </w:tblStylePr>
    <w:tblStylePr w:type="band1Horz">
      <w:tblPr/>
      <w:tcPr>
        <w:shd w:color="auto" w:fill="FDE4D0" w:themeFill="accent6" w:themeFillTint="3F" w:val="clear"/>
      </w:tcPr>
    </w:tblStylePr>
  </w:style>
  <w:style w:customStyle="1" w:styleId="LightList-Accent11" w:type="table">
    <w:name w:val="Light List - Accent 11"/>
    <w:basedOn w:val="TableNormal"/>
    <w:uiPriority w:val="61"/>
    <w:rsid w:val="00E1232E"/>
    <w:rPr>
      <w:rFonts w:ascii="Times New Roman" w:eastAsia="Times New Roman" w:hAnsi="Times New Roman"/>
      <w:sz w:val="20"/>
      <w:szCs w:val="20"/>
    </w:rPr>
    <w:tblPr>
      <w:tblStyleRowBandSize w:val="1"/>
      <w:tblStyleColBandSize w:val="1"/>
      <w:tblInd w:type="dxa" w:w="0"/>
      <w:tblBorders>
        <w:top w:color="4F81BD" w:space="0" w:sz="8" w:themeColor="accent1" w:val="single"/>
        <w:left w:color="4F81BD" w:space="0" w:sz="8" w:themeColor="accent1" w:val="single"/>
        <w:bottom w:color="4F81BD" w:space="0" w:sz="8" w:themeColor="accent1" w:val="single"/>
        <w:right w:color="4F81BD" w:space="0" w:sz="8" w:themeColor="accent1"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shd w:color="auto" w:fill="4F81BD" w:themeFill="accent1" w:val="clear"/>
      </w:tcPr>
    </w:tblStylePr>
    <w:tblStylePr w:type="lastRow">
      <w:pPr>
        <w:spacing w:after="0" w:afterAutospacing="0" w:afterLines="0" w:before="0" w:beforeAutospacing="0" w:beforeLines="0" w:line="240" w:lineRule="auto"/>
      </w:pPr>
      <w:rPr>
        <w:b/>
        <w:bCs/>
      </w:rPr>
      <w:tblPr/>
      <w:tcPr>
        <w:tcBorders>
          <w:top w:color="4F81BD" w:space="0" w:sz="6" w:themeColor="accent1" w:val="double"/>
          <w:left w:color="4F81BD" w:space="0" w:sz="8" w:themeColor="accent1" w:val="single"/>
          <w:bottom w:color="4F81BD" w:space="0" w:sz="8" w:themeColor="accent1" w:val="single"/>
          <w:right w:color="4F81BD" w:space="0" w:sz="8" w:themeColor="accent1" w:val="single"/>
        </w:tcBorders>
      </w:tcPr>
    </w:tblStylePr>
    <w:tblStylePr w:type="firstCol">
      <w:rPr>
        <w:b/>
        <w:bCs/>
      </w:rPr>
    </w:tblStylePr>
    <w:tblStylePr w:type="lastCol">
      <w:rPr>
        <w:b/>
        <w:bCs/>
      </w:rPr>
    </w:tblStylePr>
    <w:tblStylePr w:type="band1Vert">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tblStylePr w:type="band1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style>
  <w:style w:customStyle="1" w:styleId="ColorfulGrid1" w:type="table">
    <w:name w:val="Colorful Grid1"/>
    <w:basedOn w:val="TableNormal"/>
    <w:uiPriority w:val="73"/>
    <w:rsid w:val="00E1232E"/>
    <w:rPr>
      <w:rFonts w:ascii="Times New Roman" w:eastAsia="Times New Roman" w:hAnsi="Times New Roman"/>
      <w:color w:themeColor="text1" w:val="000000"/>
      <w:sz w:val="20"/>
      <w:szCs w:val="20"/>
    </w:rPr>
    <w:tblPr>
      <w:tblStyleRowBandSize w:val="1"/>
      <w:tblStyleColBandSize w:val="1"/>
      <w:tblInd w:type="dxa" w:w="0"/>
      <w:tblBorders>
        <w:insideH w:color="FFFFFF" w:space="0" w:sz="4" w:themeColor="background1" w:val="single"/>
      </w:tblBorders>
      <w:tblCellMar>
        <w:top w:type="dxa" w:w="0"/>
        <w:left w:type="dxa" w:w="108"/>
        <w:bottom w:type="dxa" w:w="0"/>
        <w:right w:type="dxa" w:w="108"/>
      </w:tblCellMar>
    </w:tblPr>
    <w:tcPr>
      <w:shd w:color="auto" w:fill="CCCCCC" w:themeFill="text1" w:themeFillTint="33" w:val="clear"/>
    </w:tcPr>
    <w:tblStylePr w:type="firstRow">
      <w:rPr>
        <w:b/>
        <w:bCs/>
      </w:rPr>
      <w:tblPr/>
      <w:tcPr>
        <w:shd w:color="auto" w:fill="999999" w:themeFill="text1" w:themeFillTint="66" w:val="clear"/>
      </w:tcPr>
    </w:tblStylePr>
    <w:tblStylePr w:type="lastRow">
      <w:rPr>
        <w:b/>
        <w:bCs/>
        <w:color w:themeColor="text1" w:val="000000"/>
      </w:rPr>
      <w:tblPr/>
      <w:tcPr>
        <w:shd w:color="auto" w:fill="999999" w:themeFill="text1" w:themeFillTint="66" w:val="clear"/>
      </w:tcPr>
    </w:tblStylePr>
    <w:tblStylePr w:type="firstCol">
      <w:rPr>
        <w:color w:themeColor="background1" w:val="FFFFFF"/>
      </w:rPr>
      <w:tblPr/>
      <w:tcPr>
        <w:shd w:color="auto" w:fill="000000" w:themeFill="text1" w:themeFillShade="BF" w:val="clear"/>
      </w:tcPr>
    </w:tblStylePr>
    <w:tblStylePr w:type="lastCol">
      <w:rPr>
        <w:color w:themeColor="background1" w:val="FFFFFF"/>
      </w:rPr>
      <w:tblPr/>
      <w:tcPr>
        <w:shd w:color="auto" w:fill="000000" w:themeFill="text1" w:themeFillShade="BF" w:val="clear"/>
      </w:tcPr>
    </w:tblStylePr>
    <w:tblStylePr w:type="band1Vert">
      <w:tblPr/>
      <w:tcPr>
        <w:shd w:color="auto" w:fill="808080" w:themeFill="text1" w:themeFillTint="7F" w:val="clear"/>
      </w:tcPr>
    </w:tblStylePr>
    <w:tblStylePr w:type="band1Horz">
      <w:tblPr/>
      <w:tcPr>
        <w:shd w:color="auto" w:fill="808080" w:themeFill="text1" w:themeFillTint="7F" w:val="clear"/>
      </w:tcPr>
    </w:tblStylePr>
  </w:style>
  <w:style w:customStyle="1" w:styleId="MediumList11" w:type="table">
    <w:name w:val="Medium List 11"/>
    <w:basedOn w:val="TableNormal"/>
    <w:uiPriority w:val="65"/>
    <w:rsid w:val="00E1232E"/>
    <w:rPr>
      <w:rFonts w:ascii="Times New Roman" w:eastAsia="Times New Roman" w:hAnsi="Times New Roman"/>
      <w:color w:themeColor="text1" w:val="000000"/>
      <w:sz w:val="20"/>
      <w:szCs w:val="20"/>
    </w:rPr>
    <w:tblPr>
      <w:tblStyleRowBandSize w:val="1"/>
      <w:tblStyleColBandSize w:val="1"/>
      <w:tblInd w:type="dxa" w:w="0"/>
      <w:tblBorders>
        <w:top w:color="000000" w:space="0" w:sz="8" w:themeColor="text1" w:val="single"/>
        <w:bottom w:color="000000" w:space="0" w:sz="8" w:themeColor="text1" w:val="single"/>
      </w:tblBorders>
      <w:tblCellMar>
        <w:top w:type="dxa" w:w="0"/>
        <w:left w:type="dxa" w:w="108"/>
        <w:bottom w:type="dxa" w:w="0"/>
        <w:right w:type="dxa" w:w="108"/>
      </w:tblCellMar>
    </w:tblPr>
    <w:tblStylePr w:type="firstRow">
      <w:rPr>
        <w:rFonts w:asciiTheme="majorHAnsi" w:cstheme="majorBidi" w:eastAsiaTheme="majorEastAsia" w:hAnsiTheme="majorHAnsi" w:hint="default"/>
      </w:rPr>
      <w:tblPr/>
      <w:tcPr>
        <w:tcBorders>
          <w:top w:val="nil"/>
          <w:bottom w:color="000000" w:space="0" w:sz="8" w:themeColor="text1" w:val="single"/>
        </w:tcBorders>
      </w:tcPr>
    </w:tblStylePr>
    <w:tblStylePr w:type="lastRow">
      <w:rPr>
        <w:b/>
        <w:bCs/>
        <w:color w:themeColor="text2" w:val="1F497D"/>
      </w:rPr>
      <w:tblPr/>
      <w:tcPr>
        <w:tcBorders>
          <w:top w:color="000000" w:space="0" w:sz="8" w:themeColor="text1" w:val="single"/>
          <w:bottom w:color="000000" w:space="0" w:sz="8" w:themeColor="text1" w:val="single"/>
        </w:tcBorders>
      </w:tcPr>
    </w:tblStylePr>
    <w:tblStylePr w:type="firstCol">
      <w:rPr>
        <w:b/>
        <w:bCs/>
      </w:rPr>
    </w:tblStylePr>
    <w:tblStylePr w:type="lastCol">
      <w:rPr>
        <w:b/>
        <w:bCs/>
      </w:rPr>
      <w:tblPr/>
      <w:tcPr>
        <w:tcBorders>
          <w:top w:color="000000" w:space="0" w:sz="8" w:themeColor="text1" w:val="single"/>
          <w:bottom w:color="000000" w:space="0" w:sz="8" w:themeColor="text1" w:val="single"/>
        </w:tcBorders>
      </w:tcPr>
    </w:tblStylePr>
    <w:tblStylePr w:type="band1Vert">
      <w:tblPr/>
      <w:tcPr>
        <w:shd w:color="auto" w:fill="C0C0C0" w:themeFill="text1" w:themeFillTint="3F" w:val="clear"/>
      </w:tcPr>
    </w:tblStylePr>
    <w:tblStylePr w:type="band1Horz">
      <w:tblPr/>
      <w:tcPr>
        <w:shd w:color="auto" w:fill="C0C0C0" w:themeFill="text1" w:themeFillTint="3F" w:val="clear"/>
      </w:tcPr>
    </w:tblStylePr>
  </w:style>
  <w:style w:customStyle="1" w:styleId="LightList1" w:type="table">
    <w:name w:val="Light List1"/>
    <w:basedOn w:val="TableNormal"/>
    <w:uiPriority w:val="61"/>
    <w:rsid w:val="00E1232E"/>
    <w:rPr>
      <w:rFonts w:ascii="Times New Roman" w:eastAsia="Times New Roman" w:hAnsi="Times New Roman"/>
      <w:sz w:val="20"/>
      <w:szCs w:val="20"/>
    </w:rPr>
    <w:tblPr>
      <w:tblStyleRowBandSize w:val="1"/>
      <w:tblStyleColBandSize w:val="1"/>
      <w:tblInd w:type="dxa" w:w="0"/>
      <w:tblBorders>
        <w:top w:color="000000" w:space="0" w:sz="8" w:themeColor="text1" w:val="single"/>
        <w:left w:color="000000" w:space="0" w:sz="8" w:themeColor="text1" w:val="single"/>
        <w:bottom w:color="000000" w:space="0" w:sz="8" w:themeColor="text1" w:val="single"/>
        <w:right w:color="000000" w:space="0" w:sz="8" w:themeColor="text1"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shd w:color="auto" w:fill="000000" w:themeFill="text1" w:val="clear"/>
      </w:tcPr>
    </w:tblStylePr>
    <w:tblStylePr w:type="lastRow">
      <w:pPr>
        <w:spacing w:after="0" w:afterAutospacing="0" w:afterLines="0" w:before="0" w:beforeAutospacing="0" w:beforeLines="0" w:line="240" w:lineRule="auto"/>
      </w:pPr>
      <w:rPr>
        <w:b/>
        <w:bCs/>
      </w:rPr>
      <w:tblPr/>
      <w:tcPr>
        <w:tcBorders>
          <w:top w:color="000000" w:space="0" w:sz="6" w:themeColor="text1" w:val="double"/>
          <w:left w:color="000000" w:space="0" w:sz="8" w:themeColor="text1" w:val="single"/>
          <w:bottom w:color="000000" w:space="0" w:sz="8" w:themeColor="text1" w:val="single"/>
          <w:right w:color="000000" w:space="0" w:sz="8" w:themeColor="text1" w:val="single"/>
        </w:tcBorders>
      </w:tcPr>
    </w:tblStylePr>
    <w:tblStylePr w:type="firstCol">
      <w:rPr>
        <w:b/>
        <w:bCs/>
      </w:rPr>
    </w:tblStylePr>
    <w:tblStylePr w:type="lastCol">
      <w:rPr>
        <w:b/>
        <w:bCs/>
      </w:r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style>
  <w:style w:customStyle="1" w:styleId="MediumGrid21" w:type="table">
    <w:name w:val="Medium Grid 21"/>
    <w:basedOn w:val="TableNormal"/>
    <w:uiPriority w:val="68"/>
    <w:rsid w:val="00E1232E"/>
    <w:rPr>
      <w:rFonts w:asciiTheme="majorHAnsi" w:cstheme="majorBidi" w:eastAsiaTheme="majorEastAsia" w:hAnsiTheme="majorHAnsi"/>
      <w:color w:themeColor="text1" w:val="000000"/>
      <w:sz w:val="20"/>
      <w:szCs w:val="20"/>
    </w:rPr>
    <w:tblPr>
      <w:tblStyleRowBandSize w:val="1"/>
      <w:tblStyleColBandSize w:val="1"/>
      <w:tblInd w:type="dxa" w:w="0"/>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CellMar>
        <w:top w:type="dxa" w:w="0"/>
        <w:left w:type="dxa" w:w="108"/>
        <w:bottom w:type="dxa" w:w="0"/>
        <w:right w:type="dxa" w:w="108"/>
      </w:tblCellMar>
    </w:tblPr>
    <w:tcPr>
      <w:shd w:color="auto" w:fill="C0C0C0" w:themeFill="text1" w:themeFillTint="3F" w:val="clear"/>
    </w:tcPr>
    <w:tblStylePr w:type="firstRow">
      <w:rPr>
        <w:b/>
        <w:bCs/>
        <w:color w:themeColor="text1" w:val="000000"/>
      </w:rPr>
      <w:tblPr/>
      <w:tcPr>
        <w:shd w:color="auto" w:fill="E6E6E6" w:themeFill="text1" w:themeFillTint="19" w:val="clear"/>
      </w:tcPr>
    </w:tblStylePr>
    <w:tblStylePr w:type="lastRow">
      <w:rPr>
        <w:b/>
        <w:bCs/>
        <w:color w:themeColor="text1" w:val="000000"/>
      </w:rPr>
      <w:tblPr/>
      <w:tcPr>
        <w:tcBorders>
          <w:top w:color="000000" w:space="0" w:sz="12" w:themeColor="text1" w:val="single"/>
          <w:left w:val="nil"/>
          <w:bottom w:val="nil"/>
          <w:right w:val="nil"/>
          <w:insideH w:val="nil"/>
          <w:insideV w:val="nil"/>
        </w:tcBorders>
        <w:shd w:color="auto" w:fill="FFFFFF" w:themeFill="background1" w:val="clear"/>
      </w:tcPr>
    </w:tblStylePr>
    <w:tblStylePr w:type="firstCol">
      <w:rPr>
        <w:b/>
        <w:bCs/>
        <w:color w:themeColor="text1" w:val="000000"/>
      </w:rPr>
      <w:tblPr/>
      <w:tcPr>
        <w:tcBorders>
          <w:top w:val="nil"/>
          <w:left w:val="nil"/>
          <w:bottom w:val="nil"/>
          <w:right w:val="nil"/>
          <w:insideH w:val="nil"/>
          <w:insideV w:val="nil"/>
        </w:tcBorders>
        <w:shd w:color="auto" w:fill="FFFFFF" w:themeFill="background1" w:val="clear"/>
      </w:tcPr>
    </w:tblStylePr>
    <w:tblStylePr w:type="lastCol">
      <w:rPr>
        <w:b w:val="0"/>
        <w:bCs w:val="0"/>
        <w:color w:themeColor="text1" w:val="000000"/>
      </w:rPr>
      <w:tblPr/>
      <w:tcPr>
        <w:tcBorders>
          <w:top w:val="nil"/>
          <w:left w:val="nil"/>
          <w:bottom w:val="nil"/>
          <w:right w:val="nil"/>
          <w:insideH w:val="nil"/>
          <w:insideV w:val="nil"/>
        </w:tcBorders>
        <w:shd w:color="auto" w:fill="CCCCCC" w:themeFill="text1" w:themeFillTint="33" w:val="clear"/>
      </w:tcPr>
    </w:tblStylePr>
    <w:tblStylePr w:type="band1Vert">
      <w:tblPr/>
      <w:tcPr>
        <w:shd w:color="auto" w:fill="808080" w:themeFill="text1" w:themeFillTint="7F" w:val="clear"/>
      </w:tcPr>
    </w:tblStylePr>
    <w:tblStylePr w:type="band1Horz">
      <w:tblPr/>
      <w:tcPr>
        <w:tcBorders>
          <w:insideH w:color="000000" w:space="0" w:sz="6" w:themeColor="text1" w:val="single"/>
          <w:insideV w:color="000000" w:space="0" w:sz="6" w:themeColor="text1" w:val="single"/>
        </w:tcBorders>
        <w:shd w:color="auto" w:fill="808080" w:themeFill="text1" w:themeFillTint="7F" w:val="clear"/>
      </w:tcPr>
    </w:tblStylePr>
    <w:tblStylePr w:type="nwCell">
      <w:tblPr/>
      <w:tcPr>
        <w:shd w:color="auto" w:fill="FFFFFF" w:themeFill="background1" w:val="clear"/>
      </w:tcPr>
    </w:tblStylePr>
  </w:style>
  <w:style w:styleId="FootnoteReference" w:type="character">
    <w:name w:val="footnote reference"/>
    <w:basedOn w:val="DefaultParagraphFont"/>
    <w:uiPriority w:val="99"/>
    <w:unhideWhenUsed/>
    <w:locked/>
    <w:rsid w:val="0049645A"/>
    <w:rPr>
      <w:vertAlign w:val="superscript"/>
    </w:rPr>
  </w:style>
  <w:style w:customStyle="1" w:styleId="disclaimer" w:type="paragraph">
    <w:name w:val="disclaimer"/>
    <w:basedOn w:val="Normal"/>
    <w:rsid w:val="00575FAB"/>
    <w:pPr>
      <w:spacing w:after="100" w:afterAutospacing="1" w:before="100" w:beforeAutospacing="1" w:line="240" w:lineRule="auto"/>
    </w:pPr>
    <w:rPr>
      <w:rFonts w:ascii="Times" w:hAnsi="Times"/>
      <w:sz w:val="20"/>
      <w:szCs w:val="20"/>
      <w:lang w:eastAsia="en-US"/>
    </w:rPr>
  </w:style>
  <w:style w:styleId="Emphasis" w:type="character">
    <w:name w:val="Emphasis"/>
    <w:basedOn w:val="DefaultParagraphFont"/>
    <w:uiPriority w:val="20"/>
    <w:qFormat/>
    <w:locked/>
    <w:rsid w:val="00A2002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3584556">
      <w:bodyDiv w:val="1"/>
      <w:marLeft w:val="0"/>
      <w:marRight w:val="0"/>
      <w:marTop w:val="0"/>
      <w:marBottom w:val="0"/>
      <w:divBdr>
        <w:top w:val="none" w:sz="0" w:space="0" w:color="auto"/>
        <w:left w:val="none" w:sz="0" w:space="0" w:color="auto"/>
        <w:bottom w:val="none" w:sz="0" w:space="0" w:color="auto"/>
        <w:right w:val="none" w:sz="0" w:space="0" w:color="auto"/>
      </w:divBdr>
      <w:divsChild>
        <w:div w:id="1323466538">
          <w:blockQuote w:val="1"/>
          <w:marLeft w:val="720"/>
          <w:marRight w:val="720"/>
          <w:marTop w:val="100"/>
          <w:marBottom w:val="100"/>
          <w:divBdr>
            <w:top w:val="none" w:sz="0" w:space="0" w:color="auto"/>
            <w:left w:val="none" w:sz="0" w:space="0" w:color="auto"/>
            <w:bottom w:val="none" w:sz="0" w:space="0" w:color="auto"/>
            <w:right w:val="none" w:sz="0" w:space="0" w:color="auto"/>
          </w:divBdr>
        </w:div>
        <w:div w:id="540753297">
          <w:blockQuote w:val="1"/>
          <w:marLeft w:val="720"/>
          <w:marRight w:val="720"/>
          <w:marTop w:val="100"/>
          <w:marBottom w:val="100"/>
          <w:divBdr>
            <w:top w:val="none" w:sz="0" w:space="0" w:color="auto"/>
            <w:left w:val="none" w:sz="0" w:space="0" w:color="auto"/>
            <w:bottom w:val="none" w:sz="0" w:space="0" w:color="auto"/>
            <w:right w:val="none" w:sz="0" w:space="0" w:color="auto"/>
          </w:divBdr>
        </w:div>
        <w:div w:id="2067560568">
          <w:blockQuote w:val="1"/>
          <w:marLeft w:val="720"/>
          <w:marRight w:val="720"/>
          <w:marTop w:val="100"/>
          <w:marBottom w:val="100"/>
          <w:divBdr>
            <w:top w:val="none" w:sz="0" w:space="0" w:color="auto"/>
            <w:left w:val="none" w:sz="0" w:space="0" w:color="auto"/>
            <w:bottom w:val="none" w:sz="0" w:space="0" w:color="auto"/>
            <w:right w:val="none" w:sz="0" w:space="0" w:color="auto"/>
          </w:divBdr>
        </w:div>
        <w:div w:id="1162282195">
          <w:blockQuote w:val="1"/>
          <w:marLeft w:val="720"/>
          <w:marRight w:val="720"/>
          <w:marTop w:val="100"/>
          <w:marBottom w:val="100"/>
          <w:divBdr>
            <w:top w:val="none" w:sz="0" w:space="0" w:color="auto"/>
            <w:left w:val="none" w:sz="0" w:space="0" w:color="auto"/>
            <w:bottom w:val="none" w:sz="0" w:space="0" w:color="auto"/>
            <w:right w:val="none" w:sz="0" w:space="0" w:color="auto"/>
          </w:divBdr>
        </w:div>
        <w:div w:id="485322580">
          <w:blockQuote w:val="1"/>
          <w:marLeft w:val="720"/>
          <w:marRight w:val="720"/>
          <w:marTop w:val="100"/>
          <w:marBottom w:val="100"/>
          <w:divBdr>
            <w:top w:val="none" w:sz="0" w:space="0" w:color="auto"/>
            <w:left w:val="none" w:sz="0" w:space="0" w:color="auto"/>
            <w:bottom w:val="none" w:sz="0" w:space="0" w:color="auto"/>
            <w:right w:val="none" w:sz="0" w:space="0" w:color="auto"/>
          </w:divBdr>
        </w:div>
        <w:div w:id="83036598">
          <w:blockQuote w:val="1"/>
          <w:marLeft w:val="720"/>
          <w:marRight w:val="720"/>
          <w:marTop w:val="100"/>
          <w:marBottom w:val="100"/>
          <w:divBdr>
            <w:top w:val="none" w:sz="0" w:space="0" w:color="auto"/>
            <w:left w:val="none" w:sz="0" w:space="0" w:color="auto"/>
            <w:bottom w:val="none" w:sz="0" w:space="0" w:color="auto"/>
            <w:right w:val="none" w:sz="0" w:space="0" w:color="auto"/>
          </w:divBdr>
        </w:div>
        <w:div w:id="224531235">
          <w:blockQuote w:val="1"/>
          <w:marLeft w:val="720"/>
          <w:marRight w:val="720"/>
          <w:marTop w:val="100"/>
          <w:marBottom w:val="100"/>
          <w:divBdr>
            <w:top w:val="none" w:sz="0" w:space="0" w:color="auto"/>
            <w:left w:val="none" w:sz="0" w:space="0" w:color="auto"/>
            <w:bottom w:val="none" w:sz="0" w:space="0" w:color="auto"/>
            <w:right w:val="none" w:sz="0" w:space="0" w:color="auto"/>
          </w:divBdr>
        </w:div>
        <w:div w:id="752896876">
          <w:blockQuote w:val="1"/>
          <w:marLeft w:val="720"/>
          <w:marRight w:val="720"/>
          <w:marTop w:val="100"/>
          <w:marBottom w:val="100"/>
          <w:divBdr>
            <w:top w:val="none" w:sz="0" w:space="0" w:color="auto"/>
            <w:left w:val="none" w:sz="0" w:space="0" w:color="auto"/>
            <w:bottom w:val="none" w:sz="0" w:space="0" w:color="auto"/>
            <w:right w:val="none" w:sz="0" w:space="0" w:color="auto"/>
          </w:divBdr>
        </w:div>
        <w:div w:id="2098214261">
          <w:blockQuote w:val="1"/>
          <w:marLeft w:val="720"/>
          <w:marRight w:val="720"/>
          <w:marTop w:val="100"/>
          <w:marBottom w:val="100"/>
          <w:divBdr>
            <w:top w:val="none" w:sz="0" w:space="0" w:color="auto"/>
            <w:left w:val="none" w:sz="0" w:space="0" w:color="auto"/>
            <w:bottom w:val="none" w:sz="0" w:space="0" w:color="auto"/>
            <w:right w:val="none" w:sz="0" w:space="0" w:color="auto"/>
          </w:divBdr>
        </w:div>
        <w:div w:id="1349941460">
          <w:blockQuote w:val="1"/>
          <w:marLeft w:val="720"/>
          <w:marRight w:val="720"/>
          <w:marTop w:val="100"/>
          <w:marBottom w:val="100"/>
          <w:divBdr>
            <w:top w:val="none" w:sz="0" w:space="0" w:color="auto"/>
            <w:left w:val="none" w:sz="0" w:space="0" w:color="auto"/>
            <w:bottom w:val="none" w:sz="0" w:space="0" w:color="auto"/>
            <w:right w:val="none" w:sz="0" w:space="0" w:color="auto"/>
          </w:divBdr>
        </w:div>
        <w:div w:id="2009213380">
          <w:blockQuote w:val="1"/>
          <w:marLeft w:val="720"/>
          <w:marRight w:val="720"/>
          <w:marTop w:val="100"/>
          <w:marBottom w:val="100"/>
          <w:divBdr>
            <w:top w:val="none" w:sz="0" w:space="0" w:color="auto"/>
            <w:left w:val="none" w:sz="0" w:space="0" w:color="auto"/>
            <w:bottom w:val="none" w:sz="0" w:space="0" w:color="auto"/>
            <w:right w:val="none" w:sz="0" w:space="0" w:color="auto"/>
          </w:divBdr>
        </w:div>
        <w:div w:id="1618443962">
          <w:blockQuote w:val="1"/>
          <w:marLeft w:val="720"/>
          <w:marRight w:val="720"/>
          <w:marTop w:val="100"/>
          <w:marBottom w:val="100"/>
          <w:divBdr>
            <w:top w:val="none" w:sz="0" w:space="0" w:color="auto"/>
            <w:left w:val="none" w:sz="0" w:space="0" w:color="auto"/>
            <w:bottom w:val="none" w:sz="0" w:space="0" w:color="auto"/>
            <w:right w:val="none" w:sz="0" w:space="0" w:color="auto"/>
          </w:divBdr>
        </w:div>
        <w:div w:id="1383139316">
          <w:blockQuote w:val="1"/>
          <w:marLeft w:val="720"/>
          <w:marRight w:val="720"/>
          <w:marTop w:val="100"/>
          <w:marBottom w:val="100"/>
          <w:divBdr>
            <w:top w:val="none" w:sz="0" w:space="0" w:color="auto"/>
            <w:left w:val="none" w:sz="0" w:space="0" w:color="auto"/>
            <w:bottom w:val="none" w:sz="0" w:space="0" w:color="auto"/>
            <w:right w:val="none" w:sz="0" w:space="0" w:color="auto"/>
          </w:divBdr>
        </w:div>
        <w:div w:id="943074930">
          <w:blockQuote w:val="1"/>
          <w:marLeft w:val="720"/>
          <w:marRight w:val="720"/>
          <w:marTop w:val="100"/>
          <w:marBottom w:val="100"/>
          <w:divBdr>
            <w:top w:val="none" w:sz="0" w:space="0" w:color="auto"/>
            <w:left w:val="none" w:sz="0" w:space="0" w:color="auto"/>
            <w:bottom w:val="none" w:sz="0" w:space="0" w:color="auto"/>
            <w:right w:val="none" w:sz="0" w:space="0" w:color="auto"/>
          </w:divBdr>
        </w:div>
        <w:div w:id="1375424791">
          <w:blockQuote w:val="1"/>
          <w:marLeft w:val="720"/>
          <w:marRight w:val="720"/>
          <w:marTop w:val="100"/>
          <w:marBottom w:val="100"/>
          <w:divBdr>
            <w:top w:val="none" w:sz="0" w:space="0" w:color="auto"/>
            <w:left w:val="none" w:sz="0" w:space="0" w:color="auto"/>
            <w:bottom w:val="none" w:sz="0" w:space="0" w:color="auto"/>
            <w:right w:val="none" w:sz="0" w:space="0" w:color="auto"/>
          </w:divBdr>
        </w:div>
        <w:div w:id="153381271">
          <w:blockQuote w:val="1"/>
          <w:marLeft w:val="720"/>
          <w:marRight w:val="720"/>
          <w:marTop w:val="100"/>
          <w:marBottom w:val="100"/>
          <w:divBdr>
            <w:top w:val="none" w:sz="0" w:space="0" w:color="auto"/>
            <w:left w:val="none" w:sz="0" w:space="0" w:color="auto"/>
            <w:bottom w:val="none" w:sz="0" w:space="0" w:color="auto"/>
            <w:right w:val="none" w:sz="0" w:space="0" w:color="auto"/>
          </w:divBdr>
        </w:div>
        <w:div w:id="1557006020">
          <w:blockQuote w:val="1"/>
          <w:marLeft w:val="720"/>
          <w:marRight w:val="720"/>
          <w:marTop w:val="100"/>
          <w:marBottom w:val="100"/>
          <w:divBdr>
            <w:top w:val="none" w:sz="0" w:space="0" w:color="auto"/>
            <w:left w:val="none" w:sz="0" w:space="0" w:color="auto"/>
            <w:bottom w:val="none" w:sz="0" w:space="0" w:color="auto"/>
            <w:right w:val="none" w:sz="0" w:space="0" w:color="auto"/>
          </w:divBdr>
        </w:div>
        <w:div w:id="388117017">
          <w:blockQuote w:val="1"/>
          <w:marLeft w:val="720"/>
          <w:marRight w:val="720"/>
          <w:marTop w:val="100"/>
          <w:marBottom w:val="100"/>
          <w:divBdr>
            <w:top w:val="none" w:sz="0" w:space="0" w:color="auto"/>
            <w:left w:val="none" w:sz="0" w:space="0" w:color="auto"/>
            <w:bottom w:val="none" w:sz="0" w:space="0" w:color="auto"/>
            <w:right w:val="none" w:sz="0" w:space="0" w:color="auto"/>
          </w:divBdr>
        </w:div>
        <w:div w:id="17436407">
          <w:blockQuote w:val="1"/>
          <w:marLeft w:val="720"/>
          <w:marRight w:val="720"/>
          <w:marTop w:val="100"/>
          <w:marBottom w:val="100"/>
          <w:divBdr>
            <w:top w:val="none" w:sz="0" w:space="0" w:color="auto"/>
            <w:left w:val="none" w:sz="0" w:space="0" w:color="auto"/>
            <w:bottom w:val="none" w:sz="0" w:space="0" w:color="auto"/>
            <w:right w:val="none" w:sz="0" w:space="0" w:color="auto"/>
          </w:divBdr>
        </w:div>
        <w:div w:id="356974689">
          <w:blockQuote w:val="1"/>
          <w:marLeft w:val="720"/>
          <w:marRight w:val="720"/>
          <w:marTop w:val="100"/>
          <w:marBottom w:val="100"/>
          <w:divBdr>
            <w:top w:val="none" w:sz="0" w:space="0" w:color="auto"/>
            <w:left w:val="none" w:sz="0" w:space="0" w:color="auto"/>
            <w:bottom w:val="none" w:sz="0" w:space="0" w:color="auto"/>
            <w:right w:val="none" w:sz="0" w:space="0" w:color="auto"/>
          </w:divBdr>
        </w:div>
        <w:div w:id="429400356">
          <w:blockQuote w:val="1"/>
          <w:marLeft w:val="720"/>
          <w:marRight w:val="720"/>
          <w:marTop w:val="100"/>
          <w:marBottom w:val="100"/>
          <w:divBdr>
            <w:top w:val="none" w:sz="0" w:space="0" w:color="auto"/>
            <w:left w:val="none" w:sz="0" w:space="0" w:color="auto"/>
            <w:bottom w:val="none" w:sz="0" w:space="0" w:color="auto"/>
            <w:right w:val="none" w:sz="0" w:space="0" w:color="auto"/>
          </w:divBdr>
        </w:div>
        <w:div w:id="1900897446">
          <w:blockQuote w:val="1"/>
          <w:marLeft w:val="720"/>
          <w:marRight w:val="720"/>
          <w:marTop w:val="100"/>
          <w:marBottom w:val="100"/>
          <w:divBdr>
            <w:top w:val="none" w:sz="0" w:space="0" w:color="auto"/>
            <w:left w:val="none" w:sz="0" w:space="0" w:color="auto"/>
            <w:bottom w:val="none" w:sz="0" w:space="0" w:color="auto"/>
            <w:right w:val="none" w:sz="0" w:space="0" w:color="auto"/>
          </w:divBdr>
        </w:div>
        <w:div w:id="1567951967">
          <w:blockQuote w:val="1"/>
          <w:marLeft w:val="720"/>
          <w:marRight w:val="720"/>
          <w:marTop w:val="100"/>
          <w:marBottom w:val="100"/>
          <w:divBdr>
            <w:top w:val="none" w:sz="0" w:space="0" w:color="auto"/>
            <w:left w:val="none" w:sz="0" w:space="0" w:color="auto"/>
            <w:bottom w:val="none" w:sz="0" w:space="0" w:color="auto"/>
            <w:right w:val="none" w:sz="0" w:space="0" w:color="auto"/>
          </w:divBdr>
        </w:div>
        <w:div w:id="600145073">
          <w:blockQuote w:val="1"/>
          <w:marLeft w:val="720"/>
          <w:marRight w:val="720"/>
          <w:marTop w:val="100"/>
          <w:marBottom w:val="100"/>
          <w:divBdr>
            <w:top w:val="none" w:sz="0" w:space="0" w:color="auto"/>
            <w:left w:val="none" w:sz="0" w:space="0" w:color="auto"/>
            <w:bottom w:val="none" w:sz="0" w:space="0" w:color="auto"/>
            <w:right w:val="none" w:sz="0" w:space="0" w:color="auto"/>
          </w:divBdr>
        </w:div>
        <w:div w:id="853493210">
          <w:blockQuote w:val="1"/>
          <w:marLeft w:val="720"/>
          <w:marRight w:val="720"/>
          <w:marTop w:val="100"/>
          <w:marBottom w:val="100"/>
          <w:divBdr>
            <w:top w:val="none" w:sz="0" w:space="0" w:color="auto"/>
            <w:left w:val="none" w:sz="0" w:space="0" w:color="auto"/>
            <w:bottom w:val="none" w:sz="0" w:space="0" w:color="auto"/>
            <w:right w:val="none" w:sz="0" w:space="0" w:color="auto"/>
          </w:divBdr>
        </w:div>
        <w:div w:id="1175072868">
          <w:blockQuote w:val="1"/>
          <w:marLeft w:val="720"/>
          <w:marRight w:val="720"/>
          <w:marTop w:val="100"/>
          <w:marBottom w:val="100"/>
          <w:divBdr>
            <w:top w:val="none" w:sz="0" w:space="0" w:color="auto"/>
            <w:left w:val="none" w:sz="0" w:space="0" w:color="auto"/>
            <w:bottom w:val="none" w:sz="0" w:space="0" w:color="auto"/>
            <w:right w:val="none" w:sz="0" w:space="0" w:color="auto"/>
          </w:divBdr>
        </w:div>
        <w:div w:id="2085103040">
          <w:blockQuote w:val="1"/>
          <w:marLeft w:val="720"/>
          <w:marRight w:val="720"/>
          <w:marTop w:val="100"/>
          <w:marBottom w:val="100"/>
          <w:divBdr>
            <w:top w:val="none" w:sz="0" w:space="0" w:color="auto"/>
            <w:left w:val="none" w:sz="0" w:space="0" w:color="auto"/>
            <w:bottom w:val="none" w:sz="0" w:space="0" w:color="auto"/>
            <w:right w:val="none" w:sz="0" w:space="0" w:color="auto"/>
          </w:divBdr>
        </w:div>
        <w:div w:id="1003359963">
          <w:blockQuote w:val="1"/>
          <w:marLeft w:val="720"/>
          <w:marRight w:val="720"/>
          <w:marTop w:val="100"/>
          <w:marBottom w:val="100"/>
          <w:divBdr>
            <w:top w:val="none" w:sz="0" w:space="0" w:color="auto"/>
            <w:left w:val="none" w:sz="0" w:space="0" w:color="auto"/>
            <w:bottom w:val="none" w:sz="0" w:space="0" w:color="auto"/>
            <w:right w:val="none" w:sz="0" w:space="0" w:color="auto"/>
          </w:divBdr>
        </w:div>
        <w:div w:id="1698461026">
          <w:blockQuote w:val="1"/>
          <w:marLeft w:val="720"/>
          <w:marRight w:val="720"/>
          <w:marTop w:val="100"/>
          <w:marBottom w:val="100"/>
          <w:divBdr>
            <w:top w:val="none" w:sz="0" w:space="0" w:color="auto"/>
            <w:left w:val="none" w:sz="0" w:space="0" w:color="auto"/>
            <w:bottom w:val="none" w:sz="0" w:space="0" w:color="auto"/>
            <w:right w:val="none" w:sz="0" w:space="0" w:color="auto"/>
          </w:divBdr>
        </w:div>
        <w:div w:id="1358652970">
          <w:blockQuote w:val="1"/>
          <w:marLeft w:val="720"/>
          <w:marRight w:val="720"/>
          <w:marTop w:val="100"/>
          <w:marBottom w:val="100"/>
          <w:divBdr>
            <w:top w:val="none" w:sz="0" w:space="0" w:color="auto"/>
            <w:left w:val="none" w:sz="0" w:space="0" w:color="auto"/>
            <w:bottom w:val="none" w:sz="0" w:space="0" w:color="auto"/>
            <w:right w:val="none" w:sz="0" w:space="0" w:color="auto"/>
          </w:divBdr>
        </w:div>
        <w:div w:id="292255334">
          <w:blockQuote w:val="1"/>
          <w:marLeft w:val="720"/>
          <w:marRight w:val="720"/>
          <w:marTop w:val="100"/>
          <w:marBottom w:val="100"/>
          <w:divBdr>
            <w:top w:val="none" w:sz="0" w:space="0" w:color="auto"/>
            <w:left w:val="none" w:sz="0" w:space="0" w:color="auto"/>
            <w:bottom w:val="none" w:sz="0" w:space="0" w:color="auto"/>
            <w:right w:val="none" w:sz="0" w:space="0" w:color="auto"/>
          </w:divBdr>
        </w:div>
        <w:div w:id="1549608476">
          <w:blockQuote w:val="1"/>
          <w:marLeft w:val="720"/>
          <w:marRight w:val="720"/>
          <w:marTop w:val="100"/>
          <w:marBottom w:val="100"/>
          <w:divBdr>
            <w:top w:val="none" w:sz="0" w:space="0" w:color="auto"/>
            <w:left w:val="none" w:sz="0" w:space="0" w:color="auto"/>
            <w:bottom w:val="none" w:sz="0" w:space="0" w:color="auto"/>
            <w:right w:val="none" w:sz="0" w:space="0" w:color="auto"/>
          </w:divBdr>
        </w:div>
        <w:div w:id="438070274">
          <w:blockQuote w:val="1"/>
          <w:marLeft w:val="720"/>
          <w:marRight w:val="720"/>
          <w:marTop w:val="100"/>
          <w:marBottom w:val="100"/>
          <w:divBdr>
            <w:top w:val="none" w:sz="0" w:space="0" w:color="auto"/>
            <w:left w:val="none" w:sz="0" w:space="0" w:color="auto"/>
            <w:bottom w:val="none" w:sz="0" w:space="0" w:color="auto"/>
            <w:right w:val="none" w:sz="0" w:space="0" w:color="auto"/>
          </w:divBdr>
        </w:div>
        <w:div w:id="1006638718">
          <w:blockQuote w:val="1"/>
          <w:marLeft w:val="720"/>
          <w:marRight w:val="720"/>
          <w:marTop w:val="100"/>
          <w:marBottom w:val="100"/>
          <w:divBdr>
            <w:top w:val="none" w:sz="0" w:space="0" w:color="auto"/>
            <w:left w:val="none" w:sz="0" w:space="0" w:color="auto"/>
            <w:bottom w:val="none" w:sz="0" w:space="0" w:color="auto"/>
            <w:right w:val="none" w:sz="0" w:space="0" w:color="auto"/>
          </w:divBdr>
        </w:div>
        <w:div w:id="1710837715">
          <w:blockQuote w:val="1"/>
          <w:marLeft w:val="720"/>
          <w:marRight w:val="720"/>
          <w:marTop w:val="100"/>
          <w:marBottom w:val="100"/>
          <w:divBdr>
            <w:top w:val="none" w:sz="0" w:space="0" w:color="auto"/>
            <w:left w:val="none" w:sz="0" w:space="0" w:color="auto"/>
            <w:bottom w:val="none" w:sz="0" w:space="0" w:color="auto"/>
            <w:right w:val="none" w:sz="0" w:space="0" w:color="auto"/>
          </w:divBdr>
        </w:div>
        <w:div w:id="2011638762">
          <w:blockQuote w:val="1"/>
          <w:marLeft w:val="720"/>
          <w:marRight w:val="720"/>
          <w:marTop w:val="100"/>
          <w:marBottom w:val="100"/>
          <w:divBdr>
            <w:top w:val="none" w:sz="0" w:space="0" w:color="auto"/>
            <w:left w:val="none" w:sz="0" w:space="0" w:color="auto"/>
            <w:bottom w:val="none" w:sz="0" w:space="0" w:color="auto"/>
            <w:right w:val="none" w:sz="0" w:space="0" w:color="auto"/>
          </w:divBdr>
        </w:div>
        <w:div w:id="1286428448">
          <w:blockQuote w:val="1"/>
          <w:marLeft w:val="720"/>
          <w:marRight w:val="720"/>
          <w:marTop w:val="100"/>
          <w:marBottom w:val="100"/>
          <w:divBdr>
            <w:top w:val="none" w:sz="0" w:space="0" w:color="auto"/>
            <w:left w:val="none" w:sz="0" w:space="0" w:color="auto"/>
            <w:bottom w:val="none" w:sz="0" w:space="0" w:color="auto"/>
            <w:right w:val="none" w:sz="0" w:space="0" w:color="auto"/>
          </w:divBdr>
        </w:div>
        <w:div w:id="2012171320">
          <w:blockQuote w:val="1"/>
          <w:marLeft w:val="720"/>
          <w:marRight w:val="720"/>
          <w:marTop w:val="100"/>
          <w:marBottom w:val="100"/>
          <w:divBdr>
            <w:top w:val="none" w:sz="0" w:space="0" w:color="auto"/>
            <w:left w:val="none" w:sz="0" w:space="0" w:color="auto"/>
            <w:bottom w:val="none" w:sz="0" w:space="0" w:color="auto"/>
            <w:right w:val="none" w:sz="0" w:space="0" w:color="auto"/>
          </w:divBdr>
        </w:div>
        <w:div w:id="662319618">
          <w:blockQuote w:val="1"/>
          <w:marLeft w:val="720"/>
          <w:marRight w:val="720"/>
          <w:marTop w:val="100"/>
          <w:marBottom w:val="100"/>
          <w:divBdr>
            <w:top w:val="none" w:sz="0" w:space="0" w:color="auto"/>
            <w:left w:val="none" w:sz="0" w:space="0" w:color="auto"/>
            <w:bottom w:val="none" w:sz="0" w:space="0" w:color="auto"/>
            <w:right w:val="none" w:sz="0" w:space="0" w:color="auto"/>
          </w:divBdr>
        </w:div>
        <w:div w:id="302121957">
          <w:blockQuote w:val="1"/>
          <w:marLeft w:val="720"/>
          <w:marRight w:val="720"/>
          <w:marTop w:val="100"/>
          <w:marBottom w:val="100"/>
          <w:divBdr>
            <w:top w:val="none" w:sz="0" w:space="0" w:color="auto"/>
            <w:left w:val="none" w:sz="0" w:space="0" w:color="auto"/>
            <w:bottom w:val="none" w:sz="0" w:space="0" w:color="auto"/>
            <w:right w:val="none" w:sz="0" w:space="0" w:color="auto"/>
          </w:divBdr>
        </w:div>
        <w:div w:id="1696038598">
          <w:blockQuote w:val="1"/>
          <w:marLeft w:val="720"/>
          <w:marRight w:val="720"/>
          <w:marTop w:val="100"/>
          <w:marBottom w:val="100"/>
          <w:divBdr>
            <w:top w:val="none" w:sz="0" w:space="0" w:color="auto"/>
            <w:left w:val="none" w:sz="0" w:space="0" w:color="auto"/>
            <w:bottom w:val="none" w:sz="0" w:space="0" w:color="auto"/>
            <w:right w:val="none" w:sz="0" w:space="0" w:color="auto"/>
          </w:divBdr>
        </w:div>
        <w:div w:id="651955210">
          <w:blockQuote w:val="1"/>
          <w:marLeft w:val="720"/>
          <w:marRight w:val="720"/>
          <w:marTop w:val="100"/>
          <w:marBottom w:val="100"/>
          <w:divBdr>
            <w:top w:val="none" w:sz="0" w:space="0" w:color="auto"/>
            <w:left w:val="none" w:sz="0" w:space="0" w:color="auto"/>
            <w:bottom w:val="none" w:sz="0" w:space="0" w:color="auto"/>
            <w:right w:val="none" w:sz="0" w:space="0" w:color="auto"/>
          </w:divBdr>
        </w:div>
        <w:div w:id="1802305639">
          <w:blockQuote w:val="1"/>
          <w:marLeft w:val="720"/>
          <w:marRight w:val="720"/>
          <w:marTop w:val="100"/>
          <w:marBottom w:val="100"/>
          <w:divBdr>
            <w:top w:val="none" w:sz="0" w:space="0" w:color="auto"/>
            <w:left w:val="none" w:sz="0" w:space="0" w:color="auto"/>
            <w:bottom w:val="none" w:sz="0" w:space="0" w:color="auto"/>
            <w:right w:val="none" w:sz="0" w:space="0" w:color="auto"/>
          </w:divBdr>
        </w:div>
        <w:div w:id="2073961201">
          <w:blockQuote w:val="1"/>
          <w:marLeft w:val="720"/>
          <w:marRight w:val="720"/>
          <w:marTop w:val="100"/>
          <w:marBottom w:val="100"/>
          <w:divBdr>
            <w:top w:val="none" w:sz="0" w:space="0" w:color="auto"/>
            <w:left w:val="none" w:sz="0" w:space="0" w:color="auto"/>
            <w:bottom w:val="none" w:sz="0" w:space="0" w:color="auto"/>
            <w:right w:val="none" w:sz="0" w:space="0" w:color="auto"/>
          </w:divBdr>
        </w:div>
        <w:div w:id="2067144602">
          <w:blockQuote w:val="1"/>
          <w:marLeft w:val="720"/>
          <w:marRight w:val="720"/>
          <w:marTop w:val="100"/>
          <w:marBottom w:val="100"/>
          <w:divBdr>
            <w:top w:val="none" w:sz="0" w:space="0" w:color="auto"/>
            <w:left w:val="none" w:sz="0" w:space="0" w:color="auto"/>
            <w:bottom w:val="none" w:sz="0" w:space="0" w:color="auto"/>
            <w:right w:val="none" w:sz="0" w:space="0" w:color="auto"/>
          </w:divBdr>
        </w:div>
        <w:div w:id="1485465261">
          <w:blockQuote w:val="1"/>
          <w:marLeft w:val="720"/>
          <w:marRight w:val="720"/>
          <w:marTop w:val="100"/>
          <w:marBottom w:val="100"/>
          <w:divBdr>
            <w:top w:val="none" w:sz="0" w:space="0" w:color="auto"/>
            <w:left w:val="none" w:sz="0" w:space="0" w:color="auto"/>
            <w:bottom w:val="none" w:sz="0" w:space="0" w:color="auto"/>
            <w:right w:val="none" w:sz="0" w:space="0" w:color="auto"/>
          </w:divBdr>
        </w:div>
        <w:div w:id="520242838">
          <w:blockQuote w:val="1"/>
          <w:marLeft w:val="720"/>
          <w:marRight w:val="720"/>
          <w:marTop w:val="100"/>
          <w:marBottom w:val="100"/>
          <w:divBdr>
            <w:top w:val="none" w:sz="0" w:space="0" w:color="auto"/>
            <w:left w:val="none" w:sz="0" w:space="0" w:color="auto"/>
            <w:bottom w:val="none" w:sz="0" w:space="0" w:color="auto"/>
            <w:right w:val="none" w:sz="0" w:space="0" w:color="auto"/>
          </w:divBdr>
        </w:div>
        <w:div w:id="117798893">
          <w:blockQuote w:val="1"/>
          <w:marLeft w:val="720"/>
          <w:marRight w:val="720"/>
          <w:marTop w:val="100"/>
          <w:marBottom w:val="100"/>
          <w:divBdr>
            <w:top w:val="none" w:sz="0" w:space="0" w:color="auto"/>
            <w:left w:val="none" w:sz="0" w:space="0" w:color="auto"/>
            <w:bottom w:val="none" w:sz="0" w:space="0" w:color="auto"/>
            <w:right w:val="none" w:sz="0" w:space="0" w:color="auto"/>
          </w:divBdr>
        </w:div>
        <w:div w:id="1618292922">
          <w:blockQuote w:val="1"/>
          <w:marLeft w:val="720"/>
          <w:marRight w:val="720"/>
          <w:marTop w:val="100"/>
          <w:marBottom w:val="100"/>
          <w:divBdr>
            <w:top w:val="none" w:sz="0" w:space="0" w:color="auto"/>
            <w:left w:val="none" w:sz="0" w:space="0" w:color="auto"/>
            <w:bottom w:val="none" w:sz="0" w:space="0" w:color="auto"/>
            <w:right w:val="none" w:sz="0" w:space="0" w:color="auto"/>
          </w:divBdr>
        </w:div>
        <w:div w:id="2012948248">
          <w:blockQuote w:val="1"/>
          <w:marLeft w:val="720"/>
          <w:marRight w:val="720"/>
          <w:marTop w:val="100"/>
          <w:marBottom w:val="100"/>
          <w:divBdr>
            <w:top w:val="none" w:sz="0" w:space="0" w:color="auto"/>
            <w:left w:val="none" w:sz="0" w:space="0" w:color="auto"/>
            <w:bottom w:val="none" w:sz="0" w:space="0" w:color="auto"/>
            <w:right w:val="none" w:sz="0" w:space="0" w:color="auto"/>
          </w:divBdr>
        </w:div>
        <w:div w:id="1429501468">
          <w:blockQuote w:val="1"/>
          <w:marLeft w:val="720"/>
          <w:marRight w:val="720"/>
          <w:marTop w:val="100"/>
          <w:marBottom w:val="100"/>
          <w:divBdr>
            <w:top w:val="none" w:sz="0" w:space="0" w:color="auto"/>
            <w:left w:val="none" w:sz="0" w:space="0" w:color="auto"/>
            <w:bottom w:val="none" w:sz="0" w:space="0" w:color="auto"/>
            <w:right w:val="none" w:sz="0" w:space="0" w:color="auto"/>
          </w:divBdr>
        </w:div>
        <w:div w:id="1016810012">
          <w:blockQuote w:val="1"/>
          <w:marLeft w:val="720"/>
          <w:marRight w:val="720"/>
          <w:marTop w:val="100"/>
          <w:marBottom w:val="100"/>
          <w:divBdr>
            <w:top w:val="none" w:sz="0" w:space="0" w:color="auto"/>
            <w:left w:val="none" w:sz="0" w:space="0" w:color="auto"/>
            <w:bottom w:val="none" w:sz="0" w:space="0" w:color="auto"/>
            <w:right w:val="none" w:sz="0" w:space="0" w:color="auto"/>
          </w:divBdr>
        </w:div>
        <w:div w:id="696153713">
          <w:blockQuote w:val="1"/>
          <w:marLeft w:val="720"/>
          <w:marRight w:val="720"/>
          <w:marTop w:val="100"/>
          <w:marBottom w:val="100"/>
          <w:divBdr>
            <w:top w:val="none" w:sz="0" w:space="0" w:color="auto"/>
            <w:left w:val="none" w:sz="0" w:space="0" w:color="auto"/>
            <w:bottom w:val="none" w:sz="0" w:space="0" w:color="auto"/>
            <w:right w:val="none" w:sz="0" w:space="0" w:color="auto"/>
          </w:divBdr>
        </w:div>
        <w:div w:id="2129622589">
          <w:blockQuote w:val="1"/>
          <w:marLeft w:val="720"/>
          <w:marRight w:val="720"/>
          <w:marTop w:val="100"/>
          <w:marBottom w:val="100"/>
          <w:divBdr>
            <w:top w:val="none" w:sz="0" w:space="0" w:color="auto"/>
            <w:left w:val="none" w:sz="0" w:space="0" w:color="auto"/>
            <w:bottom w:val="none" w:sz="0" w:space="0" w:color="auto"/>
            <w:right w:val="none" w:sz="0" w:space="0" w:color="auto"/>
          </w:divBdr>
        </w:div>
        <w:div w:id="953444125">
          <w:blockQuote w:val="1"/>
          <w:marLeft w:val="720"/>
          <w:marRight w:val="720"/>
          <w:marTop w:val="100"/>
          <w:marBottom w:val="100"/>
          <w:divBdr>
            <w:top w:val="none" w:sz="0" w:space="0" w:color="auto"/>
            <w:left w:val="none" w:sz="0" w:space="0" w:color="auto"/>
            <w:bottom w:val="none" w:sz="0" w:space="0" w:color="auto"/>
            <w:right w:val="none" w:sz="0" w:space="0" w:color="auto"/>
          </w:divBdr>
        </w:div>
        <w:div w:id="2043506410">
          <w:blockQuote w:val="1"/>
          <w:marLeft w:val="720"/>
          <w:marRight w:val="720"/>
          <w:marTop w:val="100"/>
          <w:marBottom w:val="100"/>
          <w:divBdr>
            <w:top w:val="none" w:sz="0" w:space="0" w:color="auto"/>
            <w:left w:val="none" w:sz="0" w:space="0" w:color="auto"/>
            <w:bottom w:val="none" w:sz="0" w:space="0" w:color="auto"/>
            <w:right w:val="none" w:sz="0" w:space="0" w:color="auto"/>
          </w:divBdr>
        </w:div>
        <w:div w:id="572202687">
          <w:blockQuote w:val="1"/>
          <w:marLeft w:val="720"/>
          <w:marRight w:val="720"/>
          <w:marTop w:val="100"/>
          <w:marBottom w:val="100"/>
          <w:divBdr>
            <w:top w:val="none" w:sz="0" w:space="0" w:color="auto"/>
            <w:left w:val="none" w:sz="0" w:space="0" w:color="auto"/>
            <w:bottom w:val="none" w:sz="0" w:space="0" w:color="auto"/>
            <w:right w:val="none" w:sz="0" w:space="0" w:color="auto"/>
          </w:divBdr>
        </w:div>
        <w:div w:id="97990185">
          <w:blockQuote w:val="1"/>
          <w:marLeft w:val="720"/>
          <w:marRight w:val="720"/>
          <w:marTop w:val="100"/>
          <w:marBottom w:val="100"/>
          <w:divBdr>
            <w:top w:val="none" w:sz="0" w:space="0" w:color="auto"/>
            <w:left w:val="none" w:sz="0" w:space="0" w:color="auto"/>
            <w:bottom w:val="none" w:sz="0" w:space="0" w:color="auto"/>
            <w:right w:val="none" w:sz="0" w:space="0" w:color="auto"/>
          </w:divBdr>
        </w:div>
        <w:div w:id="1563178732">
          <w:blockQuote w:val="1"/>
          <w:marLeft w:val="720"/>
          <w:marRight w:val="720"/>
          <w:marTop w:val="100"/>
          <w:marBottom w:val="100"/>
          <w:divBdr>
            <w:top w:val="none" w:sz="0" w:space="0" w:color="auto"/>
            <w:left w:val="none" w:sz="0" w:space="0" w:color="auto"/>
            <w:bottom w:val="none" w:sz="0" w:space="0" w:color="auto"/>
            <w:right w:val="none" w:sz="0" w:space="0" w:color="auto"/>
          </w:divBdr>
        </w:div>
        <w:div w:id="598216345">
          <w:blockQuote w:val="1"/>
          <w:marLeft w:val="720"/>
          <w:marRight w:val="720"/>
          <w:marTop w:val="100"/>
          <w:marBottom w:val="100"/>
          <w:divBdr>
            <w:top w:val="none" w:sz="0" w:space="0" w:color="auto"/>
            <w:left w:val="none" w:sz="0" w:space="0" w:color="auto"/>
            <w:bottom w:val="none" w:sz="0" w:space="0" w:color="auto"/>
            <w:right w:val="none" w:sz="0" w:space="0" w:color="auto"/>
          </w:divBdr>
        </w:div>
        <w:div w:id="2104842094">
          <w:blockQuote w:val="1"/>
          <w:marLeft w:val="720"/>
          <w:marRight w:val="720"/>
          <w:marTop w:val="100"/>
          <w:marBottom w:val="100"/>
          <w:divBdr>
            <w:top w:val="none" w:sz="0" w:space="0" w:color="auto"/>
            <w:left w:val="none" w:sz="0" w:space="0" w:color="auto"/>
            <w:bottom w:val="none" w:sz="0" w:space="0" w:color="auto"/>
            <w:right w:val="none" w:sz="0" w:space="0" w:color="auto"/>
          </w:divBdr>
        </w:div>
        <w:div w:id="998264309">
          <w:blockQuote w:val="1"/>
          <w:marLeft w:val="720"/>
          <w:marRight w:val="720"/>
          <w:marTop w:val="100"/>
          <w:marBottom w:val="100"/>
          <w:divBdr>
            <w:top w:val="none" w:sz="0" w:space="0" w:color="auto"/>
            <w:left w:val="none" w:sz="0" w:space="0" w:color="auto"/>
            <w:bottom w:val="none" w:sz="0" w:space="0" w:color="auto"/>
            <w:right w:val="none" w:sz="0" w:space="0" w:color="auto"/>
          </w:divBdr>
        </w:div>
        <w:div w:id="1231647615">
          <w:blockQuote w:val="1"/>
          <w:marLeft w:val="720"/>
          <w:marRight w:val="720"/>
          <w:marTop w:val="100"/>
          <w:marBottom w:val="100"/>
          <w:divBdr>
            <w:top w:val="none" w:sz="0" w:space="0" w:color="auto"/>
            <w:left w:val="none" w:sz="0" w:space="0" w:color="auto"/>
            <w:bottom w:val="none" w:sz="0" w:space="0" w:color="auto"/>
            <w:right w:val="none" w:sz="0" w:space="0" w:color="auto"/>
          </w:divBdr>
        </w:div>
        <w:div w:id="89981030">
          <w:blockQuote w:val="1"/>
          <w:marLeft w:val="720"/>
          <w:marRight w:val="720"/>
          <w:marTop w:val="100"/>
          <w:marBottom w:val="100"/>
          <w:divBdr>
            <w:top w:val="none" w:sz="0" w:space="0" w:color="auto"/>
            <w:left w:val="none" w:sz="0" w:space="0" w:color="auto"/>
            <w:bottom w:val="none" w:sz="0" w:space="0" w:color="auto"/>
            <w:right w:val="none" w:sz="0" w:space="0" w:color="auto"/>
          </w:divBdr>
        </w:div>
        <w:div w:id="1337610901">
          <w:blockQuote w:val="1"/>
          <w:marLeft w:val="720"/>
          <w:marRight w:val="720"/>
          <w:marTop w:val="100"/>
          <w:marBottom w:val="100"/>
          <w:divBdr>
            <w:top w:val="none" w:sz="0" w:space="0" w:color="auto"/>
            <w:left w:val="none" w:sz="0" w:space="0" w:color="auto"/>
            <w:bottom w:val="none" w:sz="0" w:space="0" w:color="auto"/>
            <w:right w:val="none" w:sz="0" w:space="0" w:color="auto"/>
          </w:divBdr>
        </w:div>
        <w:div w:id="857934319">
          <w:blockQuote w:val="1"/>
          <w:marLeft w:val="720"/>
          <w:marRight w:val="720"/>
          <w:marTop w:val="100"/>
          <w:marBottom w:val="100"/>
          <w:divBdr>
            <w:top w:val="none" w:sz="0" w:space="0" w:color="auto"/>
            <w:left w:val="none" w:sz="0" w:space="0" w:color="auto"/>
            <w:bottom w:val="none" w:sz="0" w:space="0" w:color="auto"/>
            <w:right w:val="none" w:sz="0" w:space="0" w:color="auto"/>
          </w:divBdr>
        </w:div>
        <w:div w:id="820268236">
          <w:blockQuote w:val="1"/>
          <w:marLeft w:val="720"/>
          <w:marRight w:val="720"/>
          <w:marTop w:val="100"/>
          <w:marBottom w:val="100"/>
          <w:divBdr>
            <w:top w:val="none" w:sz="0" w:space="0" w:color="auto"/>
            <w:left w:val="none" w:sz="0" w:space="0" w:color="auto"/>
            <w:bottom w:val="none" w:sz="0" w:space="0" w:color="auto"/>
            <w:right w:val="none" w:sz="0" w:space="0" w:color="auto"/>
          </w:divBdr>
        </w:div>
        <w:div w:id="1583102518">
          <w:blockQuote w:val="1"/>
          <w:marLeft w:val="720"/>
          <w:marRight w:val="720"/>
          <w:marTop w:val="100"/>
          <w:marBottom w:val="100"/>
          <w:divBdr>
            <w:top w:val="none" w:sz="0" w:space="0" w:color="auto"/>
            <w:left w:val="none" w:sz="0" w:space="0" w:color="auto"/>
            <w:bottom w:val="none" w:sz="0" w:space="0" w:color="auto"/>
            <w:right w:val="none" w:sz="0" w:space="0" w:color="auto"/>
          </w:divBdr>
        </w:div>
        <w:div w:id="1225096632">
          <w:blockQuote w:val="1"/>
          <w:marLeft w:val="720"/>
          <w:marRight w:val="720"/>
          <w:marTop w:val="100"/>
          <w:marBottom w:val="100"/>
          <w:divBdr>
            <w:top w:val="none" w:sz="0" w:space="0" w:color="auto"/>
            <w:left w:val="none" w:sz="0" w:space="0" w:color="auto"/>
            <w:bottom w:val="none" w:sz="0" w:space="0" w:color="auto"/>
            <w:right w:val="none" w:sz="0" w:space="0" w:color="auto"/>
          </w:divBdr>
        </w:div>
        <w:div w:id="954285832">
          <w:blockQuote w:val="1"/>
          <w:marLeft w:val="720"/>
          <w:marRight w:val="720"/>
          <w:marTop w:val="100"/>
          <w:marBottom w:val="100"/>
          <w:divBdr>
            <w:top w:val="none" w:sz="0" w:space="0" w:color="auto"/>
            <w:left w:val="none" w:sz="0" w:space="0" w:color="auto"/>
            <w:bottom w:val="none" w:sz="0" w:space="0" w:color="auto"/>
            <w:right w:val="none" w:sz="0" w:space="0" w:color="auto"/>
          </w:divBdr>
        </w:div>
        <w:div w:id="608009353">
          <w:blockQuote w:val="1"/>
          <w:marLeft w:val="720"/>
          <w:marRight w:val="720"/>
          <w:marTop w:val="100"/>
          <w:marBottom w:val="100"/>
          <w:divBdr>
            <w:top w:val="none" w:sz="0" w:space="0" w:color="auto"/>
            <w:left w:val="none" w:sz="0" w:space="0" w:color="auto"/>
            <w:bottom w:val="none" w:sz="0" w:space="0" w:color="auto"/>
            <w:right w:val="none" w:sz="0" w:space="0" w:color="auto"/>
          </w:divBdr>
        </w:div>
        <w:div w:id="926690797">
          <w:blockQuote w:val="1"/>
          <w:marLeft w:val="720"/>
          <w:marRight w:val="720"/>
          <w:marTop w:val="100"/>
          <w:marBottom w:val="100"/>
          <w:divBdr>
            <w:top w:val="none" w:sz="0" w:space="0" w:color="auto"/>
            <w:left w:val="none" w:sz="0" w:space="0" w:color="auto"/>
            <w:bottom w:val="none" w:sz="0" w:space="0" w:color="auto"/>
            <w:right w:val="none" w:sz="0" w:space="0" w:color="auto"/>
          </w:divBdr>
        </w:div>
        <w:div w:id="2029018459">
          <w:blockQuote w:val="1"/>
          <w:marLeft w:val="720"/>
          <w:marRight w:val="720"/>
          <w:marTop w:val="100"/>
          <w:marBottom w:val="100"/>
          <w:divBdr>
            <w:top w:val="none" w:sz="0" w:space="0" w:color="auto"/>
            <w:left w:val="none" w:sz="0" w:space="0" w:color="auto"/>
            <w:bottom w:val="none" w:sz="0" w:space="0" w:color="auto"/>
            <w:right w:val="none" w:sz="0" w:space="0" w:color="auto"/>
          </w:divBdr>
        </w:div>
        <w:div w:id="2129623315">
          <w:blockQuote w:val="1"/>
          <w:marLeft w:val="720"/>
          <w:marRight w:val="720"/>
          <w:marTop w:val="100"/>
          <w:marBottom w:val="100"/>
          <w:divBdr>
            <w:top w:val="none" w:sz="0" w:space="0" w:color="auto"/>
            <w:left w:val="none" w:sz="0" w:space="0" w:color="auto"/>
            <w:bottom w:val="none" w:sz="0" w:space="0" w:color="auto"/>
            <w:right w:val="none" w:sz="0" w:space="0" w:color="auto"/>
          </w:divBdr>
        </w:div>
        <w:div w:id="43062346">
          <w:blockQuote w:val="1"/>
          <w:marLeft w:val="720"/>
          <w:marRight w:val="720"/>
          <w:marTop w:val="100"/>
          <w:marBottom w:val="100"/>
          <w:divBdr>
            <w:top w:val="none" w:sz="0" w:space="0" w:color="auto"/>
            <w:left w:val="none" w:sz="0" w:space="0" w:color="auto"/>
            <w:bottom w:val="none" w:sz="0" w:space="0" w:color="auto"/>
            <w:right w:val="none" w:sz="0" w:space="0" w:color="auto"/>
          </w:divBdr>
        </w:div>
        <w:div w:id="1693188887">
          <w:blockQuote w:val="1"/>
          <w:marLeft w:val="720"/>
          <w:marRight w:val="720"/>
          <w:marTop w:val="100"/>
          <w:marBottom w:val="100"/>
          <w:divBdr>
            <w:top w:val="none" w:sz="0" w:space="0" w:color="auto"/>
            <w:left w:val="none" w:sz="0" w:space="0" w:color="auto"/>
            <w:bottom w:val="none" w:sz="0" w:space="0" w:color="auto"/>
            <w:right w:val="none" w:sz="0" w:space="0" w:color="auto"/>
          </w:divBdr>
        </w:div>
        <w:div w:id="349573984">
          <w:blockQuote w:val="1"/>
          <w:marLeft w:val="720"/>
          <w:marRight w:val="720"/>
          <w:marTop w:val="100"/>
          <w:marBottom w:val="100"/>
          <w:divBdr>
            <w:top w:val="none" w:sz="0" w:space="0" w:color="auto"/>
            <w:left w:val="none" w:sz="0" w:space="0" w:color="auto"/>
            <w:bottom w:val="none" w:sz="0" w:space="0" w:color="auto"/>
            <w:right w:val="none" w:sz="0" w:space="0" w:color="auto"/>
          </w:divBdr>
        </w:div>
        <w:div w:id="1290622179">
          <w:blockQuote w:val="1"/>
          <w:marLeft w:val="720"/>
          <w:marRight w:val="720"/>
          <w:marTop w:val="100"/>
          <w:marBottom w:val="100"/>
          <w:divBdr>
            <w:top w:val="none" w:sz="0" w:space="0" w:color="auto"/>
            <w:left w:val="none" w:sz="0" w:space="0" w:color="auto"/>
            <w:bottom w:val="none" w:sz="0" w:space="0" w:color="auto"/>
            <w:right w:val="none" w:sz="0" w:space="0" w:color="auto"/>
          </w:divBdr>
        </w:div>
        <w:div w:id="49618709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5109282">
          <w:blockQuote w:val="1"/>
          <w:marLeft w:val="720"/>
          <w:marRight w:val="720"/>
          <w:marTop w:val="100"/>
          <w:marBottom w:val="100"/>
          <w:divBdr>
            <w:top w:val="none" w:sz="0" w:space="0" w:color="auto"/>
            <w:left w:val="none" w:sz="0" w:space="0" w:color="auto"/>
            <w:bottom w:val="none" w:sz="0" w:space="0" w:color="auto"/>
            <w:right w:val="none" w:sz="0" w:space="0" w:color="auto"/>
          </w:divBdr>
        </w:div>
        <w:div w:id="575171879">
          <w:blockQuote w:val="1"/>
          <w:marLeft w:val="720"/>
          <w:marRight w:val="720"/>
          <w:marTop w:val="100"/>
          <w:marBottom w:val="100"/>
          <w:divBdr>
            <w:top w:val="none" w:sz="0" w:space="0" w:color="auto"/>
            <w:left w:val="none" w:sz="0" w:space="0" w:color="auto"/>
            <w:bottom w:val="none" w:sz="0" w:space="0" w:color="auto"/>
            <w:right w:val="none" w:sz="0" w:space="0" w:color="auto"/>
          </w:divBdr>
        </w:div>
        <w:div w:id="552233416">
          <w:blockQuote w:val="1"/>
          <w:marLeft w:val="720"/>
          <w:marRight w:val="720"/>
          <w:marTop w:val="100"/>
          <w:marBottom w:val="100"/>
          <w:divBdr>
            <w:top w:val="none" w:sz="0" w:space="0" w:color="auto"/>
            <w:left w:val="none" w:sz="0" w:space="0" w:color="auto"/>
            <w:bottom w:val="none" w:sz="0" w:space="0" w:color="auto"/>
            <w:right w:val="none" w:sz="0" w:space="0" w:color="auto"/>
          </w:divBdr>
        </w:div>
        <w:div w:id="840314933">
          <w:blockQuote w:val="1"/>
          <w:marLeft w:val="720"/>
          <w:marRight w:val="720"/>
          <w:marTop w:val="100"/>
          <w:marBottom w:val="100"/>
          <w:divBdr>
            <w:top w:val="none" w:sz="0" w:space="0" w:color="auto"/>
            <w:left w:val="none" w:sz="0" w:space="0" w:color="auto"/>
            <w:bottom w:val="none" w:sz="0" w:space="0" w:color="auto"/>
            <w:right w:val="none" w:sz="0" w:space="0" w:color="auto"/>
          </w:divBdr>
        </w:div>
        <w:div w:id="1697926422">
          <w:blockQuote w:val="1"/>
          <w:marLeft w:val="720"/>
          <w:marRight w:val="720"/>
          <w:marTop w:val="100"/>
          <w:marBottom w:val="100"/>
          <w:divBdr>
            <w:top w:val="none" w:sz="0" w:space="0" w:color="auto"/>
            <w:left w:val="none" w:sz="0" w:space="0" w:color="auto"/>
            <w:bottom w:val="none" w:sz="0" w:space="0" w:color="auto"/>
            <w:right w:val="none" w:sz="0" w:space="0" w:color="auto"/>
          </w:divBdr>
        </w:div>
        <w:div w:id="16680482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57184412">
      <w:bodyDiv w:val="1"/>
      <w:marLeft w:val="0"/>
      <w:marRight w:val="0"/>
      <w:marTop w:val="0"/>
      <w:marBottom w:val="0"/>
      <w:divBdr>
        <w:top w:val="none" w:sz="0" w:space="0" w:color="auto"/>
        <w:left w:val="none" w:sz="0" w:space="0" w:color="auto"/>
        <w:bottom w:val="none" w:sz="0" w:space="0" w:color="auto"/>
        <w:right w:val="none" w:sz="0" w:space="0" w:color="auto"/>
      </w:divBdr>
    </w:div>
    <w:div w:id="1916814110">
      <w:bodyDiv w:val="1"/>
      <w:marLeft w:val="0"/>
      <w:marRight w:val="0"/>
      <w:marTop w:val="0"/>
      <w:marBottom w:val="0"/>
      <w:divBdr>
        <w:top w:val="none" w:sz="0" w:space="0" w:color="auto"/>
        <w:left w:val="none" w:sz="0" w:space="0" w:color="auto"/>
        <w:bottom w:val="none" w:sz="0" w:space="0" w:color="auto"/>
        <w:right w:val="none" w:sz="0" w:space="0" w:color="auto"/>
      </w:divBdr>
    </w:div>
    <w:div w:id="2138641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Relationships xmlns="http://schemas.openxmlformats.org/package/2006/relationships"><Relationship Target="endnotes.xml" Type="http://schemas.openxmlformats.org/officeDocument/2006/relationships/endnotes" Id="rId8"/><Relationship Target="styles.xml" Type="http://schemas.openxmlformats.org/officeDocument/2006/relationships/styles" Id="rId3"/><Relationship Target="footnotes.xml" Type="http://schemas.openxmlformats.org/officeDocument/2006/relationships/footnotes" Id="rId7"/><Relationship Target="theme/theme1.xml" Type="http://schemas.openxmlformats.org/officeDocument/2006/relationships/theme" Id="rId12"/><Relationship Target="numbering.xml" Type="http://schemas.openxmlformats.org/officeDocument/2006/relationships/numbering" Id="rId2"/><Relationship Target="../customXml/item1.xml" Type="http://schemas.openxmlformats.org/officeDocument/2006/relationships/customXml" Id="rId1"/><Relationship Target="webSettings.xml" Type="http://schemas.openxmlformats.org/officeDocument/2006/relationships/webSettings" Id="rId6"/><Relationship Target="glossary/document.xml" Type="http://schemas.openxmlformats.org/officeDocument/2006/relationships/glossaryDocument" Id="rId11"/><Relationship Target="settings.xml" Type="http://schemas.openxmlformats.org/officeDocument/2006/relationships/settings" Id="rId5"/><Relationship Target="fontTable.xml" Type="http://schemas.openxmlformats.org/officeDocument/2006/relationships/fontTable" Id="rId10"/><Relationship Target="stylesWithEffects.xml" Type="http://schemas.microsoft.com/office/2007/relationships/stylesWithEffects" Id="rId4"/><Relationship Target="media/image1.gif" Type="http://schemas.openxmlformats.org/officeDocument/2006/relationships/image" Id="rId9"/></Relationships>
</file>

<file path=word/glossary/_rels/document.xml.rels><?xml version="1.0" encoding="UTF-8" standalone="yes"?><Relationships xmlns="http://schemas.openxmlformats.org/package/2006/relationships"><Relationship Target="settings.xml" Type="http://schemas.openxmlformats.org/officeDocument/2006/relationships/settings" Id="rId3"/><Relationship Target="stylesWithEffects.xml" Type="http://schemas.microsoft.com/office/2007/relationships/stylesWithEffects" Id="rId2"/><Relationship Target="styles.xml" Type="http://schemas.openxmlformats.org/officeDocument/2006/relationships/styles" Id="rId1"/><Relationship Target="fontTable.xml" Type="http://schemas.openxmlformats.org/officeDocument/2006/relationships/fontTable" Id="rId5"/><Relationship Target="webSettings.xml" Type="http://schemas.openxmlformats.org/officeDocument/2006/relationships/webSettings" Id="rId4"/></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2287E3D7A5999C449F68774214E87459"/>
        <w:category>
          <w:name w:val="General"/>
          <w:gallery w:val="placeholder"/>
        </w:category>
        <w:types>
          <w:type w:val="bbPlcHdr"/>
        </w:types>
        <w:behaviors>
          <w:behavior w:val="content"/>
        </w:behaviors>
        <w:guid w:val="{0537D08B-F94C-044D-835A-2BC092447721}"/>
      </w:docPartPr>
      <w:docPartBody>
        <w:p w:rsidR="007F094C" w:rsidRDefault="007F094C">
          <w:pPr>
            <w:pStyle w:val="2287E3D7A5999C449F68774214E87459"/>
          </w:pPr>
          <w:r w:rsidRPr="007D6BF3">
            <w:rPr>
              <w:rStyle w:val="PlaceholderText"/>
            </w:rPr>
            <w:t>Click here to enter text.</w:t>
          </w:r>
        </w:p>
      </w:docPartBody>
    </w:docPart>
    <w:docPart>
      <w:docPartPr>
        <w:name w:val="23714A54DE1C5349A32215100E23C70C"/>
        <w:category>
          <w:name w:val="General"/>
          <w:gallery w:val="placeholder"/>
        </w:category>
        <w:types>
          <w:type w:val="bbPlcHdr"/>
        </w:types>
        <w:behaviors>
          <w:behavior w:val="content"/>
        </w:behaviors>
        <w:guid w:val="{E29D3CFA-BB34-C948-A790-3C397D74A74D}"/>
      </w:docPartPr>
      <w:docPartBody>
        <w:p w:rsidR="007F094C" w:rsidRDefault="00CC11D7">
          <w:pPr>
            <w:pStyle w:val="23714A54DE1C5349A32215100E23C70C"/>
          </w:pPr>
          <w:r w:rsidRPr="00B078D6">
            <w:t xml:space="preserve"> </w:t>
          </w:r>
        </w:p>
      </w:docPartBody>
    </w:docPart>
    <w:docPart>
      <w:docPartPr>
        <w:name w:val="CEA0958D29B321449DAA1A3408663E44"/>
        <w:category>
          <w:name w:val="General"/>
          <w:gallery w:val="placeholder"/>
        </w:category>
        <w:types>
          <w:type w:val="bbPlcHdr"/>
        </w:types>
        <w:behaviors>
          <w:behavior w:val="content"/>
        </w:behaviors>
        <w:guid w:val="{036767BC-DC7D-5C41-8639-44AB00F097D0}"/>
      </w:docPartPr>
      <w:docPartBody>
        <w:p w:rsidR="007F094C" w:rsidRDefault="00CC11D7">
          <w:pPr>
            <w:pStyle w:val="CEA0958D29B321449DAA1A3408663E44"/>
          </w:pPr>
          <w:r>
            <w:t xml:space="preserve"> </w:t>
          </w:r>
        </w:p>
      </w:docPartBody>
    </w:docPart>
    <w:docPart>
      <w:docPartPr>
        <w:name w:val="9CA603291F38E74C952F4F0686E7F43F"/>
        <w:category>
          <w:name w:val="General"/>
          <w:gallery w:val="placeholder"/>
        </w:category>
        <w:types>
          <w:type w:val="bbPlcHdr"/>
        </w:types>
        <w:behaviors>
          <w:behavior w:val="content"/>
        </w:behaviors>
        <w:guid w:val="{1B21091D-1056-0A40-8911-B11446567541}"/>
      </w:docPartPr>
      <w:docPartBody>
        <w:p w:rsidR="007F094C" w:rsidRDefault="00CC11D7">
          <w:pPr>
            <w:pStyle w:val="9CA603291F38E74C952F4F0686E7F43F"/>
          </w:pPr>
          <w:r w:rsidRPr="00B078D6">
            <w:t xml:space="preserve"> </w:t>
          </w:r>
        </w:p>
      </w:docPartBody>
    </w:docPart>
    <w:docPart>
      <w:docPartPr>
        <w:name w:val="6457288971B39E4CA9B911AD82732253"/>
        <w:category>
          <w:name w:val="General"/>
          <w:gallery w:val="placeholder"/>
        </w:category>
        <w:types>
          <w:type w:val="bbPlcHdr"/>
        </w:types>
        <w:behaviors>
          <w:behavior w:val="content"/>
        </w:behaviors>
        <w:guid w:val="{C03967DB-C583-6243-9BBB-914394D42E0D}"/>
      </w:docPartPr>
      <w:docPartBody>
        <w:p w:rsidR="007F094C" w:rsidRDefault="00CC11D7">
          <w:pPr>
            <w:pStyle w:val="6457288971B39E4CA9B911AD82732253"/>
          </w:pPr>
          <w:r w:rsidRPr="00B078D6">
            <w:t xml:space="preserve"> </w:t>
          </w:r>
        </w:p>
      </w:docPartBody>
    </w:docPart>
    <w:docPart>
      <w:docPartPr>
        <w:name w:val="49E1DA3C6A1E71459A736F86010B5AED"/>
        <w:category>
          <w:name w:val="General"/>
          <w:gallery w:val="placeholder"/>
        </w:category>
        <w:types>
          <w:type w:val="bbPlcHdr"/>
        </w:types>
        <w:behaviors>
          <w:behavior w:val="content"/>
        </w:behaviors>
        <w:guid w:val="{D3EB71CC-499A-254B-88E7-CFA1CC78C65F}"/>
      </w:docPartPr>
      <w:docPartBody>
        <w:p w:rsidR="007F094C" w:rsidRDefault="00CC11D7">
          <w:pPr>
            <w:pStyle w:val="49E1DA3C6A1E71459A736F86010B5AED"/>
          </w:pPr>
          <w:r w:rsidRPr="00B078D6">
            <w:t xml:space="preserve"> </w:t>
          </w:r>
        </w:p>
      </w:docPartBody>
    </w:docPart>
    <w:docPart>
      <w:docPartPr>
        <w:name w:val="5D455C8DB3370C429E683BD45AAD2263"/>
        <w:category>
          <w:name w:val="General"/>
          <w:gallery w:val="placeholder"/>
        </w:category>
        <w:types>
          <w:type w:val="bbPlcHdr"/>
        </w:types>
        <w:behaviors>
          <w:behavior w:val="content"/>
        </w:behaviors>
        <w:guid w:val="{1B0155DF-46F7-CB47-BBFC-843A778954FB}"/>
      </w:docPartPr>
      <w:docPartBody>
        <w:p w:rsidR="007F094C" w:rsidRDefault="00CC11D7">
          <w:pPr>
            <w:pStyle w:val="5D455C8DB3370C429E683BD45AAD2263"/>
          </w:pPr>
          <w:r>
            <w:t xml:space="preserve"> </w:t>
          </w:r>
        </w:p>
      </w:docPartBody>
    </w:docPart>
    <w:docPart>
      <w:docPartPr>
        <w:name w:val="8E1FCF9D9BCC7544965FEDDA8E4336E8"/>
        <w:category>
          <w:name w:val="General"/>
          <w:gallery w:val="placeholder"/>
        </w:category>
        <w:types>
          <w:type w:val="bbPlcHdr"/>
        </w:types>
        <w:behaviors>
          <w:behavior w:val="content"/>
        </w:behaviors>
        <w:guid w:val="{E0E948F2-5A4A-C845-B5B7-0280CF55CDFB}"/>
      </w:docPartPr>
      <w:docPartBody>
        <w:p w:rsidR="007F094C" w:rsidRDefault="00CC11D7">
          <w:pPr>
            <w:pStyle w:val="8E1FCF9D9BCC7544965FEDDA8E4336E8"/>
          </w:pPr>
          <w:r>
            <w:t xml:space="preserve"> </w:t>
          </w:r>
        </w:p>
      </w:docPartBody>
    </w:docPart>
    <w:docPart>
      <w:docPartPr>
        <w:name w:val="BB94B27A1B38FB49AA2427CB2341BFF9"/>
        <w:category>
          <w:name w:val="General"/>
          <w:gallery w:val="placeholder"/>
        </w:category>
        <w:types>
          <w:type w:val="bbPlcHdr"/>
        </w:types>
        <w:behaviors>
          <w:behavior w:val="content"/>
        </w:behaviors>
        <w:guid w:val="{F3C10B63-67C7-CB49-A633-14B42706E0D9}"/>
      </w:docPartPr>
      <w:docPartBody>
        <w:p w:rsidR="007F094C" w:rsidRDefault="00CC11D7">
          <w:pPr>
            <w:pStyle w:val="BB94B27A1B38FB49AA2427CB2341BFF9"/>
          </w:pPr>
          <w:r>
            <w:t xml:space="preserve"> </w:t>
          </w:r>
        </w:p>
      </w:docPartBody>
    </w:docPart>
    <w:docPart>
      <w:docPartPr>
        <w:name w:val="9628263C21A0F347B1037F8B6E2E16E6"/>
        <w:category>
          <w:name w:val="General"/>
          <w:gallery w:val="placeholder"/>
        </w:category>
        <w:types>
          <w:type w:val="bbPlcHdr"/>
        </w:types>
        <w:behaviors>
          <w:behavior w:val="content"/>
        </w:behaviors>
        <w:guid w:val="{92E82AAD-5512-8D45-AE98-4CC62B3E9470}"/>
      </w:docPartPr>
      <w:docPartBody>
        <w:p w:rsidR="007F094C" w:rsidRDefault="00CC11D7">
          <w:pPr>
            <w:pStyle w:val="9628263C21A0F347B1037F8B6E2E16E6"/>
          </w:pPr>
          <w:r>
            <w:t xml:space="preserve"> </w:t>
          </w:r>
        </w:p>
      </w:docPartBody>
    </w:docPart>
    <w:docPart>
      <w:docPartPr>
        <w:name w:val="5A00766E1BC20A46B675FA54E3371F87"/>
        <w:category>
          <w:name w:val="General"/>
          <w:gallery w:val="placeholder"/>
        </w:category>
        <w:types>
          <w:type w:val="bbPlcHdr"/>
        </w:types>
        <w:behaviors>
          <w:behavior w:val="content"/>
        </w:behaviors>
        <w:guid w:val="{6C6BB8E0-C4BF-B441-879B-A1E0E9E70456}"/>
      </w:docPartPr>
      <w:docPartBody>
        <w:p w:rsidR="007F094C" w:rsidRDefault="00CC11D7">
          <w:pPr>
            <w:pStyle w:val="5A00766E1BC20A46B675FA54E3371F87"/>
          </w:pPr>
          <w:r w:rsidRPr="00B078D6">
            <w:t xml:space="preserve"> </w:t>
          </w:r>
        </w:p>
      </w:docPartBody>
    </w:docPart>
    <w:docPart>
      <w:docPartPr>
        <w:name w:val="A23E6993E6A8F64D83520CA63B49071B"/>
        <w:category>
          <w:name w:val="General"/>
          <w:gallery w:val="placeholder"/>
        </w:category>
        <w:types>
          <w:type w:val="bbPlcHdr"/>
        </w:types>
        <w:behaviors>
          <w:behavior w:val="content"/>
        </w:behaviors>
        <w:guid w:val="{8D486C68-67A9-ED40-990D-ABF9DFAFEB43}"/>
      </w:docPartPr>
      <w:docPartBody>
        <w:p w:rsidR="007F094C" w:rsidRDefault="00CC11D7">
          <w:pPr>
            <w:pStyle w:val="A23E6993E6A8F64D83520CA63B49071B"/>
          </w:pPr>
          <w:r>
            <w:t xml:space="preserve"> </w:t>
          </w:r>
        </w:p>
      </w:docPartBody>
    </w:docPart>
    <w:docPart>
      <w:docPartPr>
        <w:name w:val="060452A863326F40B8E9CC07DB6917FD"/>
        <w:category>
          <w:name w:val="General"/>
          <w:gallery w:val="placeholder"/>
        </w:category>
        <w:types>
          <w:type w:val="bbPlcHdr"/>
        </w:types>
        <w:behaviors>
          <w:behavior w:val="content"/>
        </w:behaviors>
        <w:guid w:val="{F6206FBE-4217-7544-895C-D388963981AC}"/>
      </w:docPartPr>
      <w:docPartBody>
        <w:p w:rsidR="007F094C" w:rsidRDefault="00CC11D7">
          <w:pPr>
            <w:pStyle w:val="060452A863326F40B8E9CC07DB6917FD"/>
          </w:pPr>
          <w:r>
            <w:t xml:space="preserve"> </w:t>
          </w:r>
        </w:p>
      </w:docPartBody>
    </w:docPart>
    <w:docPart>
      <w:docPartPr>
        <w:name w:val="6628CDE8242ABE4A8E58F2768A081E0C"/>
        <w:category>
          <w:name w:val="General"/>
          <w:gallery w:val="placeholder"/>
        </w:category>
        <w:types>
          <w:type w:val="bbPlcHdr"/>
        </w:types>
        <w:behaviors>
          <w:behavior w:val="content"/>
        </w:behaviors>
        <w:guid w:val="{1FE18A0F-DB3B-FD4A-A40D-520FD74D3C25}"/>
      </w:docPartPr>
      <w:docPartBody>
        <w:p w:rsidR="007F094C" w:rsidRDefault="00CC11D7">
          <w:pPr>
            <w:pStyle w:val="6628CDE8242ABE4A8E58F2768A081E0C"/>
          </w:pPr>
          <w:r w:rsidRPr="00B078D6">
            <w:t xml:space="preserve"> </w:t>
          </w:r>
        </w:p>
      </w:docPartBody>
    </w:docPart>
    <w:docPart>
      <w:docPartPr>
        <w:name w:val="B3EE222B3A0F7C449BC3F6E77D0B866B"/>
        <w:category>
          <w:name w:val="General"/>
          <w:gallery w:val="placeholder"/>
        </w:category>
        <w:types>
          <w:type w:val="bbPlcHdr"/>
        </w:types>
        <w:behaviors>
          <w:behavior w:val="content"/>
        </w:behaviors>
        <w:guid w:val="{DEAAB4C5-9614-2A45-AF4E-33C616ADCC96}"/>
      </w:docPartPr>
      <w:docPartBody>
        <w:p w:rsidR="007F094C" w:rsidRDefault="00CC11D7">
          <w:pPr>
            <w:pStyle w:val="B3EE222B3A0F7C449BC3F6E77D0B866B"/>
          </w:pPr>
          <w:r>
            <w:t xml:space="preserve"> </w:t>
          </w:r>
        </w:p>
      </w:docPartBody>
    </w:docPart>
    <w:docPart>
      <w:docPartPr>
        <w:name w:val="1A38A171EF11A54DB21B83C7D4CB0CBA"/>
        <w:category>
          <w:name w:val="General"/>
          <w:gallery w:val="placeholder"/>
        </w:category>
        <w:types>
          <w:type w:val="bbPlcHdr"/>
        </w:types>
        <w:behaviors>
          <w:behavior w:val="content"/>
        </w:behaviors>
        <w:guid w:val="{59702FA5-1039-BC44-B78A-B01E172DC7B0}"/>
      </w:docPartPr>
      <w:docPartBody>
        <w:p w:rsidR="007F094C" w:rsidRDefault="00CC11D7">
          <w:pPr>
            <w:pStyle w:val="1A38A171EF11A54DB21B83C7D4CB0CBA"/>
          </w:pPr>
          <w:r>
            <w:t xml:space="preserve"> </w:t>
          </w:r>
        </w:p>
      </w:docPartBody>
    </w:docPart>
    <w:docPart>
      <w:docPartPr>
        <w:name w:val="C38290365A6BEE4A83D8CA3C9A53E9A8"/>
        <w:category>
          <w:name w:val="General"/>
          <w:gallery w:val="placeholder"/>
        </w:category>
        <w:types>
          <w:type w:val="bbPlcHdr"/>
        </w:types>
        <w:behaviors>
          <w:behavior w:val="content"/>
        </w:behaviors>
        <w:guid w:val="{3C535162-8843-2740-B4C8-12ABBD23F239}"/>
      </w:docPartPr>
      <w:docPartBody>
        <w:p w:rsidR="007F094C" w:rsidRDefault="00CC11D7">
          <w:pPr>
            <w:pStyle w:val="C38290365A6BEE4A83D8CA3C9A53E9A8"/>
          </w:pPr>
          <w:r>
            <w:t xml:space="preserve"> </w:t>
          </w:r>
        </w:p>
      </w:docPartBody>
    </w:docPart>
    <w:docPart>
      <w:docPartPr>
        <w:name w:val="A7B47E2D68429748B46F94DAB4579B86"/>
        <w:category>
          <w:name w:val="General"/>
          <w:gallery w:val="placeholder"/>
        </w:category>
        <w:types>
          <w:type w:val="bbPlcHdr"/>
        </w:types>
        <w:behaviors>
          <w:behavior w:val="content"/>
        </w:behaviors>
        <w:guid w:val="{4C59AF83-1241-3E48-884F-52147C7AC1DC}"/>
      </w:docPartPr>
      <w:docPartBody>
        <w:p w:rsidR="007F094C" w:rsidRDefault="00CC11D7">
          <w:pPr>
            <w:pStyle w:val="A7B47E2D68429748B46F94DAB4579B86"/>
          </w:pPr>
          <w:r>
            <w:t xml:space="preserve"> </w:t>
          </w:r>
        </w:p>
      </w:docPartBody>
    </w:docPart>
    <w:docPart>
      <w:docPartPr>
        <w:name w:val="E8B7626A71E1B64AB957DAADD4528E61"/>
        <w:category>
          <w:name w:val="General"/>
          <w:gallery w:val="placeholder"/>
        </w:category>
        <w:types>
          <w:type w:val="bbPlcHdr"/>
        </w:types>
        <w:behaviors>
          <w:behavior w:val="content"/>
        </w:behaviors>
        <w:guid w:val="{F6FF1757-727B-5F46-B297-7C222A873B84}"/>
      </w:docPartPr>
      <w:docPartBody>
        <w:p w:rsidR="007F094C" w:rsidRDefault="00CC11D7">
          <w:pPr>
            <w:pStyle w:val="E8B7626A71E1B64AB957DAADD4528E61"/>
          </w:pPr>
          <w:r>
            <w:t xml:space="preserve"> </w:t>
          </w:r>
        </w:p>
      </w:docPartBody>
    </w:docPart>
    <w:docPart>
      <w:docPartPr>
        <w:name w:val="217D38CADD01B94283F7C310F9E5BE50"/>
        <w:category>
          <w:name w:val="General"/>
          <w:gallery w:val="placeholder"/>
        </w:category>
        <w:types>
          <w:type w:val="bbPlcHdr"/>
        </w:types>
        <w:behaviors>
          <w:behavior w:val="content"/>
        </w:behaviors>
        <w:guid w:val="{1B3EF63B-9AE2-EF4F-9034-60D6F8919FC9}"/>
      </w:docPartPr>
      <w:docPartBody>
        <w:p w:rsidR="007F094C" w:rsidRDefault="00CC11D7">
          <w:pPr>
            <w:pStyle w:val="217D38CADD01B94283F7C310F9E5BE50"/>
          </w:pPr>
          <w:r>
            <w:t xml:space="preserve"> </w:t>
          </w:r>
        </w:p>
      </w:docPartBody>
    </w:docPart>
    <w:docPart>
      <w:docPartPr>
        <w:name w:val="2FBB1D739F997A4C9851874ABC8B0AC1"/>
        <w:category>
          <w:name w:val="General"/>
          <w:gallery w:val="placeholder"/>
        </w:category>
        <w:types>
          <w:type w:val="bbPlcHdr"/>
        </w:types>
        <w:behaviors>
          <w:behavior w:val="content"/>
        </w:behaviors>
        <w:guid w:val="{C758149D-25F4-9348-8BE5-D48EC9AC86CA}"/>
      </w:docPartPr>
      <w:docPartBody>
        <w:p w:rsidR="007F094C" w:rsidRDefault="00CC11D7">
          <w:pPr>
            <w:pStyle w:val="2FBB1D739F997A4C9851874ABC8B0AC1"/>
          </w:pPr>
          <w:r>
            <w:t xml:space="preserve"> </w:t>
          </w:r>
        </w:p>
      </w:docPartBody>
    </w:docPart>
    <w:docPart>
      <w:docPartPr>
        <w:name w:val="F09835F13B8F9844838CACDD8B96763F"/>
        <w:category>
          <w:name w:val="General"/>
          <w:gallery w:val="placeholder"/>
        </w:category>
        <w:types>
          <w:type w:val="bbPlcHdr"/>
        </w:types>
        <w:behaviors>
          <w:behavior w:val="content"/>
        </w:behaviors>
        <w:guid w:val="{4D3115AC-1E93-1146-AE15-23519131424C}"/>
      </w:docPartPr>
      <w:docPartBody>
        <w:p w:rsidR="007F094C" w:rsidRDefault="00CC11D7">
          <w:pPr>
            <w:pStyle w:val="F09835F13B8F9844838CACDD8B96763F"/>
          </w:pPr>
          <w:r w:rsidRPr="00F822F4">
            <w:t xml:space="preserve"> </w:t>
          </w:r>
        </w:p>
      </w:docPartBody>
    </w:docPart>
    <w:docPart>
      <w:docPartPr>
        <w:name w:val="4D4B4D2BC735494E88685FCB1B11F7E2"/>
        <w:category>
          <w:name w:val="General"/>
          <w:gallery w:val="placeholder"/>
        </w:category>
        <w:types>
          <w:type w:val="bbPlcHdr"/>
        </w:types>
        <w:behaviors>
          <w:behavior w:val="content"/>
        </w:behaviors>
        <w:guid w:val="{EB8C9ADF-3140-4244-8D17-9EA5E5BDBBB6}"/>
      </w:docPartPr>
      <w:docPartBody>
        <w:p w:rsidR="007F094C" w:rsidRDefault="00CC11D7">
          <w:pPr>
            <w:pStyle w:val="4D4B4D2BC735494E88685FCB1B11F7E2"/>
          </w:pPr>
          <w:r>
            <w:t xml:space="preserve"> </w:t>
          </w:r>
        </w:p>
      </w:docPartBody>
    </w:docPart>
    <w:docPart>
      <w:docPartPr>
        <w:name w:val="001534073BC94C468D9A6C5C3502283B"/>
        <w:category>
          <w:name w:val="General"/>
          <w:gallery w:val="placeholder"/>
        </w:category>
        <w:types>
          <w:type w:val="bbPlcHdr"/>
        </w:types>
        <w:behaviors>
          <w:behavior w:val="content"/>
        </w:behaviors>
        <w:guid w:val="{8B93A6E6-188E-4556-A8FE-9082511EB03C}"/>
      </w:docPartPr>
      <w:docPartBody>
        <w:p w:rsidR="00CC11D7" w:rsidRDefault="00CC11D7" w:rsidP="00757FAD">
          <w:pPr>
            <w:pStyle w:val="001534073BC94C468D9A6C5C3502283B"/>
          </w:pPr>
          <w:r w:rsidRPr="00B078D6">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0000012" w:usb3="00000000" w:csb0="0002009F" w:csb1="00000000"/>
  </w:font>
  <w:font w:name="Arial(W1)">
    <w:panose1 w:val="00000000000000000000"/>
    <w:charset w:val="00"/>
    <w:family w:val="swiss"/>
    <w:notTrueType/>
    <w:pitch w:val="variable"/>
    <w:sig w:usb0="00000003" w:usb1="00000000" w:usb2="00000000" w:usb3="00000000" w:csb0="00000001" w:csb1="00000000"/>
  </w:font>
  <w:font w:name="Arial (W1)">
    <w:altName w:val="Arial"/>
    <w:charset w:val="00"/>
    <w:family w:val="swiss"/>
    <w:pitch w:val="variable"/>
    <w:sig w:usb0="00000000" w:usb1="80000000" w:usb2="00000008" w:usb3="00000000" w:csb0="000001FF" w:csb1="00000000"/>
  </w:font>
  <w:font w:name="Arial Bold">
    <w:panose1 w:val="020B0704020202020204"/>
    <w:charset w:val="00"/>
    <w:family w:val="swiss"/>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094C"/>
    <w:rsid w:val="00160E2F"/>
    <w:rsid w:val="00377260"/>
    <w:rsid w:val="003D17F5"/>
    <w:rsid w:val="003E00C7"/>
    <w:rsid w:val="006E4039"/>
    <w:rsid w:val="00757FAD"/>
    <w:rsid w:val="007F094C"/>
    <w:rsid w:val="00834DB5"/>
    <w:rsid w:val="00972566"/>
    <w:rsid w:val="00A032F9"/>
    <w:rsid w:val="00A8140D"/>
    <w:rsid w:val="00B5169D"/>
    <w:rsid w:val="00B62839"/>
    <w:rsid w:val="00CC11D7"/>
    <w:rsid w:val="00CF7259"/>
    <w:rsid w:val="00DF4988"/>
    <w:rsid w:val="00EA5C35"/>
    <w:rsid w:val="00ED273B"/>
    <w:rsid w:val="00F67B6D"/>
    <w:rsid w:val="00FE4881"/>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AU"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C11D7"/>
    <w:rPr>
      <w:color w:val="808080"/>
    </w:rPr>
  </w:style>
  <w:style w:type="paragraph" w:customStyle="1" w:styleId="2287E3D7A5999C449F68774214E87459">
    <w:name w:val="2287E3D7A5999C449F68774214E87459"/>
  </w:style>
  <w:style w:type="paragraph" w:customStyle="1" w:styleId="23714A54DE1C5349A32215100E23C70C">
    <w:name w:val="23714A54DE1C5349A32215100E23C70C"/>
  </w:style>
  <w:style w:type="paragraph" w:customStyle="1" w:styleId="CEA0958D29B321449DAA1A3408663E44">
    <w:name w:val="CEA0958D29B321449DAA1A3408663E44"/>
  </w:style>
  <w:style w:type="paragraph" w:customStyle="1" w:styleId="9CA603291F38E74C952F4F0686E7F43F">
    <w:name w:val="9CA603291F38E74C952F4F0686E7F43F"/>
  </w:style>
  <w:style w:type="paragraph" w:customStyle="1" w:styleId="6457288971B39E4CA9B911AD82732253">
    <w:name w:val="6457288971B39E4CA9B911AD82732253"/>
  </w:style>
  <w:style w:type="paragraph" w:customStyle="1" w:styleId="49E1DA3C6A1E71459A736F86010B5AED">
    <w:name w:val="49E1DA3C6A1E71459A736F86010B5AED"/>
  </w:style>
  <w:style w:type="paragraph" w:customStyle="1" w:styleId="5D455C8DB3370C429E683BD45AAD2263">
    <w:name w:val="5D455C8DB3370C429E683BD45AAD2263"/>
  </w:style>
  <w:style w:type="paragraph" w:customStyle="1" w:styleId="8E1FCF9D9BCC7544965FEDDA8E4336E8">
    <w:name w:val="8E1FCF9D9BCC7544965FEDDA8E4336E8"/>
  </w:style>
  <w:style w:type="paragraph" w:customStyle="1" w:styleId="BB94B27A1B38FB49AA2427CB2341BFF9">
    <w:name w:val="BB94B27A1B38FB49AA2427CB2341BFF9"/>
  </w:style>
  <w:style w:type="paragraph" w:customStyle="1" w:styleId="9628263C21A0F347B1037F8B6E2E16E6">
    <w:name w:val="9628263C21A0F347B1037F8B6E2E16E6"/>
  </w:style>
  <w:style w:type="paragraph" w:customStyle="1" w:styleId="5A00766E1BC20A46B675FA54E3371F87">
    <w:name w:val="5A00766E1BC20A46B675FA54E3371F87"/>
  </w:style>
  <w:style w:type="paragraph" w:customStyle="1" w:styleId="A23E6993E6A8F64D83520CA63B49071B">
    <w:name w:val="A23E6993E6A8F64D83520CA63B49071B"/>
  </w:style>
  <w:style w:type="paragraph" w:customStyle="1" w:styleId="060452A863326F40B8E9CC07DB6917FD">
    <w:name w:val="060452A863326F40B8E9CC07DB6917FD"/>
  </w:style>
  <w:style w:type="paragraph" w:customStyle="1" w:styleId="6628CDE8242ABE4A8E58F2768A081E0C">
    <w:name w:val="6628CDE8242ABE4A8E58F2768A081E0C"/>
  </w:style>
  <w:style w:type="paragraph" w:customStyle="1" w:styleId="B3EE222B3A0F7C449BC3F6E77D0B866B">
    <w:name w:val="B3EE222B3A0F7C449BC3F6E77D0B866B"/>
  </w:style>
  <w:style w:type="paragraph" w:customStyle="1" w:styleId="1A38A171EF11A54DB21B83C7D4CB0CBA">
    <w:name w:val="1A38A171EF11A54DB21B83C7D4CB0CBA"/>
  </w:style>
  <w:style w:type="paragraph" w:customStyle="1" w:styleId="C38290365A6BEE4A83D8CA3C9A53E9A8">
    <w:name w:val="C38290365A6BEE4A83D8CA3C9A53E9A8"/>
  </w:style>
  <w:style w:type="paragraph" w:customStyle="1" w:styleId="A7B47E2D68429748B46F94DAB4579B86">
    <w:name w:val="A7B47E2D68429748B46F94DAB4579B86"/>
  </w:style>
  <w:style w:type="paragraph" w:customStyle="1" w:styleId="E8B7626A71E1B64AB957DAADD4528E61">
    <w:name w:val="E8B7626A71E1B64AB957DAADD4528E61"/>
  </w:style>
  <w:style w:type="paragraph" w:customStyle="1" w:styleId="217D38CADD01B94283F7C310F9E5BE50">
    <w:name w:val="217D38CADD01B94283F7C310F9E5BE50"/>
  </w:style>
  <w:style w:type="paragraph" w:customStyle="1" w:styleId="2FBB1D739F997A4C9851874ABC8B0AC1">
    <w:name w:val="2FBB1D739F997A4C9851874ABC8B0AC1"/>
  </w:style>
  <w:style w:type="paragraph" w:customStyle="1" w:styleId="F09835F13B8F9844838CACDD8B96763F">
    <w:name w:val="F09835F13B8F9844838CACDD8B96763F"/>
  </w:style>
  <w:style w:type="paragraph" w:customStyle="1" w:styleId="4D4B4D2BC735494E88685FCB1B11F7E2">
    <w:name w:val="4D4B4D2BC735494E88685FCB1B11F7E2"/>
  </w:style>
  <w:style w:type="paragraph" w:customStyle="1" w:styleId="6DD604F3D83441E0ACFB8E524F030D05">
    <w:name w:val="6DD604F3D83441E0ACFB8E524F030D05"/>
    <w:rsid w:val="00CF7259"/>
    <w:pPr>
      <w:spacing w:after="200" w:line="276" w:lineRule="auto"/>
    </w:pPr>
    <w:rPr>
      <w:sz w:val="22"/>
      <w:szCs w:val="22"/>
      <w:lang w:eastAsia="en-AU"/>
    </w:rPr>
  </w:style>
  <w:style w:type="paragraph" w:customStyle="1" w:styleId="001534073BC94C468D9A6C5C3502283B">
    <w:name w:val="001534073BC94C468D9A6C5C3502283B"/>
    <w:rsid w:val="00757FAD"/>
    <w:pPr>
      <w:spacing w:after="200" w:line="276" w:lineRule="auto"/>
    </w:pPr>
    <w:rPr>
      <w:sz w:val="22"/>
      <w:szCs w:val="22"/>
      <w:lang w:eastAsia="en-AU"/>
    </w:rPr>
  </w:style>
</w:styles>
</file>

<file path=word/glossary/stylesWithEffects.xml><?xml version="1.0" encoding="utf-8"?>
<w:styles xmlns:w="http://schemas.openxmlformats.org/wordprocessingml/2006/main" xmlns:mc="http://schemas.openxmlformats.org/markup-compatibility/2006" xmlns:m="http://schemas.openxmlformats.org/officeDocument/2006/math" xmlns:o="urn:schemas-microsoft-com:office:office" xmlns:r="http://schemas.openxmlformats.org/officeDocument/2006/relationships" xmlns:v="urn:schemas-microsoft-com:vml"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docDefaults>
    <w:rPrDefault>
      <w:rPr>
        <w:rFonts w:asciiTheme="minorHAnsi" w:cstheme="minorBidi" w:eastAsiaTheme="minorEastAsia" w:hAnsiTheme="minorHAnsi"/>
        <w:sz w:val="24"/>
        <w:szCs w:val="24"/>
        <w:lang w:bidi="ar-SA" w:eastAsia="ja-JP" w:val="en-AU"/>
      </w:rPr>
    </w:rPrDefault>
    <w:pPrDefault/>
  </w:docDefaults>
  <w:latentStyles w:count="267"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styleId="PlaceholderText" w:type="character">
    <w:name w:val="Placeholder Text"/>
    <w:basedOn w:val="DefaultParagraphFont"/>
    <w:uiPriority w:val="99"/>
    <w:semiHidden/>
    <w:rsid w:val="00CC11D7"/>
    <w:rPr>
      <w:color w:val="808080"/>
    </w:rPr>
  </w:style>
  <w:style w:customStyle="1" w:styleId="2287E3D7A5999C449F68774214E87459" w:type="paragraph">
    <w:name w:val="2287E3D7A5999C449F68774214E87459"/>
  </w:style>
  <w:style w:customStyle="1" w:styleId="23714A54DE1C5349A32215100E23C70C" w:type="paragraph">
    <w:name w:val="23714A54DE1C5349A32215100E23C70C"/>
  </w:style>
  <w:style w:customStyle="1" w:styleId="CEA0958D29B321449DAA1A3408663E44" w:type="paragraph">
    <w:name w:val="CEA0958D29B321449DAA1A3408663E44"/>
  </w:style>
  <w:style w:customStyle="1" w:styleId="9CA603291F38E74C952F4F0686E7F43F" w:type="paragraph">
    <w:name w:val="9CA603291F38E74C952F4F0686E7F43F"/>
  </w:style>
  <w:style w:customStyle="1" w:styleId="6457288971B39E4CA9B911AD82732253" w:type="paragraph">
    <w:name w:val="6457288971B39E4CA9B911AD82732253"/>
  </w:style>
  <w:style w:customStyle="1" w:styleId="49E1DA3C6A1E71459A736F86010B5AED" w:type="paragraph">
    <w:name w:val="49E1DA3C6A1E71459A736F86010B5AED"/>
  </w:style>
  <w:style w:customStyle="1" w:styleId="5D455C8DB3370C429E683BD45AAD2263" w:type="paragraph">
    <w:name w:val="5D455C8DB3370C429E683BD45AAD2263"/>
  </w:style>
  <w:style w:customStyle="1" w:styleId="8E1FCF9D9BCC7544965FEDDA8E4336E8" w:type="paragraph">
    <w:name w:val="8E1FCF9D9BCC7544965FEDDA8E4336E8"/>
  </w:style>
  <w:style w:customStyle="1" w:styleId="BB94B27A1B38FB49AA2427CB2341BFF9" w:type="paragraph">
    <w:name w:val="BB94B27A1B38FB49AA2427CB2341BFF9"/>
  </w:style>
  <w:style w:customStyle="1" w:styleId="9628263C21A0F347B1037F8B6E2E16E6" w:type="paragraph">
    <w:name w:val="9628263C21A0F347B1037F8B6E2E16E6"/>
  </w:style>
  <w:style w:customStyle="1" w:styleId="5A00766E1BC20A46B675FA54E3371F87" w:type="paragraph">
    <w:name w:val="5A00766E1BC20A46B675FA54E3371F87"/>
  </w:style>
  <w:style w:customStyle="1" w:styleId="A23E6993E6A8F64D83520CA63B49071B" w:type="paragraph">
    <w:name w:val="A23E6993E6A8F64D83520CA63B49071B"/>
  </w:style>
  <w:style w:customStyle="1" w:styleId="060452A863326F40B8E9CC07DB6917FD" w:type="paragraph">
    <w:name w:val="060452A863326F40B8E9CC07DB6917FD"/>
  </w:style>
  <w:style w:customStyle="1" w:styleId="6628CDE8242ABE4A8E58F2768A081E0C" w:type="paragraph">
    <w:name w:val="6628CDE8242ABE4A8E58F2768A081E0C"/>
  </w:style>
  <w:style w:customStyle="1" w:styleId="B3EE222B3A0F7C449BC3F6E77D0B866B" w:type="paragraph">
    <w:name w:val="B3EE222B3A0F7C449BC3F6E77D0B866B"/>
  </w:style>
  <w:style w:customStyle="1" w:styleId="1A38A171EF11A54DB21B83C7D4CB0CBA" w:type="paragraph">
    <w:name w:val="1A38A171EF11A54DB21B83C7D4CB0CBA"/>
  </w:style>
  <w:style w:customStyle="1" w:styleId="C38290365A6BEE4A83D8CA3C9A53E9A8" w:type="paragraph">
    <w:name w:val="C38290365A6BEE4A83D8CA3C9A53E9A8"/>
  </w:style>
  <w:style w:customStyle="1" w:styleId="A7B47E2D68429748B46F94DAB4579B86" w:type="paragraph">
    <w:name w:val="A7B47E2D68429748B46F94DAB4579B86"/>
  </w:style>
  <w:style w:customStyle="1" w:styleId="E8B7626A71E1B64AB957DAADD4528E61" w:type="paragraph">
    <w:name w:val="E8B7626A71E1B64AB957DAADD4528E61"/>
  </w:style>
  <w:style w:customStyle="1" w:styleId="217D38CADD01B94283F7C310F9E5BE50" w:type="paragraph">
    <w:name w:val="217D38CADD01B94283F7C310F9E5BE50"/>
  </w:style>
  <w:style w:customStyle="1" w:styleId="2FBB1D739F997A4C9851874ABC8B0AC1" w:type="paragraph">
    <w:name w:val="2FBB1D739F997A4C9851874ABC8B0AC1"/>
  </w:style>
  <w:style w:customStyle="1" w:styleId="F09835F13B8F9844838CACDD8B96763F" w:type="paragraph">
    <w:name w:val="F09835F13B8F9844838CACDD8B96763F"/>
  </w:style>
  <w:style w:customStyle="1" w:styleId="4D4B4D2BC735494E88685FCB1B11F7E2" w:type="paragraph">
    <w:name w:val="4D4B4D2BC735494E88685FCB1B11F7E2"/>
  </w:style>
  <w:style w:customStyle="1" w:styleId="6DD604F3D83441E0ACFB8E524F030D05" w:type="paragraph">
    <w:name w:val="6DD604F3D83441E0ACFB8E524F030D05"/>
    <w:rsid w:val="00CF7259"/>
    <w:pPr>
      <w:spacing w:after="200" w:line="276" w:lineRule="auto"/>
    </w:pPr>
    <w:rPr>
      <w:sz w:val="22"/>
      <w:szCs w:val="22"/>
      <w:lang w:eastAsia="en-AU"/>
    </w:rPr>
  </w:style>
  <w:style w:customStyle="1" w:styleId="001534073BC94C468D9A6C5C3502283B" w:type="paragraph">
    <w:name w:val="001534073BC94C468D9A6C5C3502283B"/>
    <w:rsid w:val="00757FAD"/>
    <w:pPr>
      <w:spacing w:after="200" w:line="276" w:lineRule="auto"/>
    </w:pPr>
    <w:rPr>
      <w:sz w:val="22"/>
      <w:szCs w:val="22"/>
      <w:lang w:eastAsia="en-AU"/>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Target="itemProps1.xml" Type="http://schemas.openxmlformats.org/officeDocument/2006/relationships/customXmlProps" Id="rId1"/></Relationships>
</file>

<file path=customXml/item1.xml><?xml version="1.0" encoding="utf-8"?>
<b:Sources xmlns:w="http://schemas.openxmlformats.org/wordprocessingml/2006/main" xmlns:r="http://schemas.openxmlformats.org/officeDocument/2006/relationships" xmlns:m="http://schemas.openxmlformats.org/officeDocument/2006/math" xmlns:w14="http://schemas.microsoft.com/office/word/2010/wordml" xmlns:w15="http://schemas.microsoft.com/office/word/2012/wordml"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SelectedStyle="\APA.XSL" StyleName="APA"/>
</file>

<file path=customXml/itemProps1.xml><?xml version="1.0" encoding="utf-8"?>
<ds:datastoreItem xmlns:ds="http://schemas.openxmlformats.org/officeDocument/2006/customXml" ds:itemID="{EBD6D699-177F-43CA-B73F-02C38C2B7F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TotalTime>
  <Pages>1</Pages>
  <Words>234</Words>
  <Characters>1338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Department of Attorney General &amp; Justice</Company>
  <LinksUpToDate>false</LinksUpToDate>
  <CharactersWithSpaces>1569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Xabi Errotabehere</dc:creator>
  <cp:lastModifiedBy>Thomas Bui</cp:lastModifiedBy>
  <cp:revision>29</cp:revision>
  <cp:lastPrinted>2014-09-01T05:35:00Z</cp:lastPrinted>
  <dcterms:created xsi:type="dcterms:W3CDTF">2014-10-03T02:54:00Z</dcterms:created>
  <dcterms:modified xsi:type="dcterms:W3CDTF">2015-02-25T06:52:00Z</dcterms:modified>
</cp:coreProperties>
</file>