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Court of Appeal</w:t>
                </w:r>
                <w:r>
                  <w:br/>
                </w:r>
                <w:r>
                  <w:t xml:space="preserve">Supreme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Kudrynski v Orange City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NSWCA 33</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15 February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22 February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22 February 2024</w:t>
                </w:r>
              </w:sdtContent>
            </w:sdt>
          </w:p>
        </w:tc>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Meagher JA at [1];</w:t>
                </w:r>
                <w:r>
                  <w:br/>
                </w:r>
                <w:r>
                  <w:t xml:space="preserve">Kirk JA at [2];</w:t>
                </w:r>
                <w:r>
                  <w:br/>
                </w:r>
                <w:r>
                  <w:t xml:space="preserve">Griffiths AJA at [3]</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appeal is dismissed, with costs.</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APPEALS – s 57(1) Land and Environment Court Act 1979 (NSW) – requirement for appeal to be from an order or decision on a question of law – deficiencies in the notice of appeal – whether any of the 24 grounds met this requirement </w:t>
                </w:r>
                <w:r>
                  <w:br/>
                </w:r>
                <w:r>
                  <w:t xml:space="preserve"> </w:t>
                </w:r>
                <w:r>
                  <w:br/>
                </w:r>
                <w:r>
                  <w:t xml:space="preserve">COMPULSORY ACQUISITION – Compensation – vacant land acquired by local council for public purpose of stormwater harvesting project – highest and best use of land for rural residential development – appellants sought $160 million compensation below and on appeal</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Criminal Appeal Act 1912 (NSW) Pt 3</w:t>
                </w:r>
                <w:r>
                  <w:br/>
                </w:r>
                <w:r>
                  <w:t xml:space="preserve">Land Acquisition (Just Terms Compensation) Act 1991 (NSW) ss 56(1)(a), 66</w:t>
                </w:r>
                <w:r>
                  <w:br/>
                </w:r>
                <w:r>
                  <w:t xml:space="preserve">Land and Environment Court Act 1979 (NSW) ss 56A, 57</w:t>
                </w:r>
                <w:r>
                  <w:br/>
                </w:r>
                <w:r>
                  <w:t xml:space="preserve">Local Court Act 2007 (NSW) ss 39, 40</w:t>
                </w:r>
                <w:r>
                  <w:br/>
                </w:r>
                <w:r>
                  <w:t xml:space="preserve">Orange Development Control Plan 2004</w:t>
                </w:r>
                <w:r>
                  <w:br/>
                </w:r>
                <w:r>
                  <w:t xml:space="preserve">Orange Local Environmental Plan 2011</w:t>
                </w:r>
                <w:r>
                  <w:br/>
                </w:r>
                <w:r>
                  <w:t xml:space="preserve">Uniform Civil Procedure Rules 2005 (NSW)</w:t>
                </w:r>
                <w:r>
                  <w:br/>
                </w:r>
                <w:r>
                  <w:t xml:space="preserve">Water Management Act 2000 (NSW) s 52</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Avetmiss Easy Pty Ltd v Australian Skills Qualifications Authority [2014] FCA 314</w:t>
                </w:r>
                <w:r>
                  <w:br/>
                </w:r>
                <w:r>
                  <w:t xml:space="preserve">B&amp;L Linings v Chief Commissioner of State Revenue (2008) 74 NSWLR 481; [2008] NSWCA 187</w:t>
                </w:r>
                <w:r>
                  <w:br/>
                </w:r>
                <w:r>
                  <w:t xml:space="preserve">Crawford v Demertjis &amp; Ruhs Pty Ltd [2024] NSWSC 48</w:t>
                </w:r>
                <w:r>
                  <w:br/>
                </w:r>
                <w:r>
                  <w:t xml:space="preserve">Damjanovic v Maley (2002) 55 NSWLR 149; [2002] NSWCA 230</w:t>
                </w:r>
                <w:r>
                  <w:br/>
                </w:r>
                <w:r>
                  <w:t xml:space="preserve">Dial A Dump Industries Pty Ltd v Roads and Maritime Services (2017) 94 NSWLR 554; [2017] NSWCA 73</w:t>
                </w:r>
                <w:r>
                  <w:br/>
                </w:r>
                <w:r>
                  <w:t xml:space="preserve">Edyp v Brazbuild Pty Ltd [2011] NSWCA 218</w:t>
                </w:r>
                <w:r>
                  <w:br/>
                </w:r>
                <w:r>
                  <w:t xml:space="preserve">Haritos v Commissioner of Taxation (2015) 233 FCR 315; [2015] FCAFC 92</w:t>
                </w:r>
                <w:r>
                  <w:br/>
                </w:r>
                <w:r>
                  <w:t xml:space="preserve">ISPT Pty Ltd v Valuer General [2009] NSWCA 31; (2009) 165 LGERA 25</w:t>
                </w:r>
                <w:r>
                  <w:br/>
                </w:r>
                <w:r>
                  <w:t xml:space="preserve">Kostas v HIA Insurance Services Pty Ltd t/as Home Owners Warranty (2010) 241 CLR 390; [2010] HCA 32</w:t>
                </w:r>
                <w:r>
                  <w:br/>
                </w:r>
                <w:r>
                  <w:t xml:space="preserve">Kudrynski v Orange City Council [2023] NSWLEC 9</w:t>
                </w:r>
                <w:r>
                  <w:br/>
                </w:r>
                <w:r>
                  <w:t xml:space="preserve">Maurici v Chief Commissioner of State Revenue (2003) 212 CLR 111; [2003] HCA 8</w:t>
                </w:r>
                <w:r>
                  <w:br/>
                </w:r>
                <w:r>
                  <w:t xml:space="preserve">Murlan Consulting Pty Ltd v Ku-ring-gai Municipal Council [2009] NSWCA 300; (2009) 170 LGERA 162</w:t>
                </w:r>
                <w:r>
                  <w:br/>
                </w:r>
                <w:r>
                  <w:t xml:space="preserve">Orr v Cobar Management Pty Ltd (2020) 103 NSWLR 36; [2020] NSWCCA 220</w:t>
                </w:r>
                <w:r>
                  <w:br/>
                </w:r>
                <w:r>
                  <w:t xml:space="preserve">R v JS [2007] NSWCCA 272; (2007) 175 A Crim R 108</w:t>
                </w:r>
                <w:r>
                  <w:br/>
                </w:r>
                <w:r>
                  <w:t xml:space="preserve">Roads &amp; Traffic Authority (NSW) v Peak [2007] NSWCA 66</w:t>
                </w:r>
                <w:r>
                  <w:br/>
                </w:r>
                <w:r>
                  <w:t xml:space="preserve">Roads and Traffic Authority of New South Wales v Mosca [2006] NSWCA 159; (2006) 146 LGERA 335</w:t>
                </w:r>
                <w:r>
                  <w:br/>
                </w:r>
                <w:r>
                  <w:t xml:space="preserve">Schwartz Family Co Pty Ltd v Capitol Carpets Pty Ltd [2017] NSWCA 223</w:t>
                </w:r>
                <w:r>
                  <w:br/>
                </w:r>
                <w:r>
                  <w:t xml:space="preserve">Sydney Metro v G&amp;J Drivas Pty Ltd [2024] NSWCA 5</w:t>
                </w:r>
                <w:r>
                  <w:br/>
                </w:r>
                <w:r>
                  <w:t xml:space="preserve">Targeted Property Investments Pty Ltd v Look Up Technologies Pty Ltd (No 2) [2023] NSWSC 416</w:t>
                </w:r>
                <w:r>
                  <w:br/>
                </w:r>
                <w:r>
                  <w:t xml:space="preserve">Thomas and Naaz Pty Ltd v Chief Commissioner of State Revenue [2023] NSWCA 40</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Alexandra (Alicia) Kudrynski (First Appellant)</w:t>
                </w:r>
                <w:r>
                  <w:br/>
                </w:r>
                <w:r>
                  <w:t xml:space="preserve">Julius Kudrynski (Second Appellant)</w:t>
                </w:r>
                <w:r>
                  <w:br/>
                </w:r>
                <w:r>
                  <w:t xml:space="preserve">Orange City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J Kudrynski (First Appellant)</w:t>
                </w:r>
                <w:r>
                  <w:br/>
                </w:r>
                <w:r>
                  <w:t xml:space="preserve">N M Eastman SC/A Richards (Respondent)</w:t>
                </w:r>
                <w:r>
                  <w:br/>
                </w:r>
                <w:r>
                  <w:t xml:space="preserve"/>
                </w:r>
                <w:r>
                  <w:br/>
                </w:r>
                <w:r>
                  <w:t xml:space="preserve">Solicitors:</w:t>
                </w:r>
                <w:r>
                  <w:br/>
                </w:r>
                <w:r>
                  <w:t xml:space="preserve">Marsdens Law Group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2023/71664</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r w:rsidR="00E827DB" w:rsidTr="00AC2B81">
        <w:trPr>
          <w:trHeight w:val="397"/>
        </w:trPr>
        <w:tc>
          <w:tcPr>
            <w:tcW w:w="1669" w:type="pct"/>
          </w:tcPr>
          <w:p w:rsidR="00E827DB" w:rsidP="00E827DB" w:rsidRDefault="00E827DB">
            <w:r>
              <w:t>Decision under appeal</w:t>
            </w:r>
            <w:r w:rsidRPr="00EF4519">
              <w:t>:</w:t>
            </w:r>
            <w:r>
              <w:t xml:space="preserve"> </w:t>
            </w:r>
          </w:p>
        </w:tc>
        <w:tc>
          <w:tcPr>
            <w:tcW w:w="3331" w:type="pct"/>
          </w:tcPr>
          <w:p w:rsidRPr="00EF4519" w:rsidR="00E827DB" w:rsidP="00856777" w:rsidRDefault="00E827DB">
            <w:sdt>
              <w:sdtPr>
                <w:alias w:val="Decision Under Appeal"/>
                <w:tag w:val="appeal"/>
                <w:id w:val="-117772912"/>
                <w:placeholder>
                  <w:docPart w:val="E8B7626A71E1B64AB957DAADD4528E61"/>
                </w:placeholder>
                <w:showingPlcHdr/>
                <w:text w:multiLine="true"/>
              </w:sdtPr>
              <w:sdtEndPr/>
              <w:sdtContent>
                <w:r w:rsidR="00856777">
                  <w:t xml:space="preserve"> </w:t>
                </w:r>
              </w:sdtContent>
            </w:sdt>
            <w:r>
              <w:t xml:space="preserve"> </w:t>
            </w:r>
          </w:p>
        </w:tc>
      </w:tr>
      <w:tr w:rsidR="00251EE4" w:rsidTr="00AC2B81">
        <w:trPr>
          <w:trHeight w:val="284"/>
        </w:trPr>
        <w:tc>
          <w:tcPr>
            <w:tcW w:w="1669" w:type="pct"/>
          </w:tcPr>
          <w:p w:rsidRPr="00EF4519" w:rsidR="00251EE4" w:rsidP="00E827DB" w:rsidRDefault="00277342">
            <w:r>
              <w:t xml:space="preserve"> </w:t>
            </w:r>
            <w:r w:rsidR="003F31CE">
              <w:t>Court or</w:t>
            </w:r>
            <w:r w:rsidRPr="00EF4519" w:rsidR="00ED3424">
              <w:t xml:space="preserve"> Tribunal:</w:t>
            </w:r>
            <w:r w:rsidRPr="00EF4519" w:rsidR="00B914EB">
              <w:t xml:space="preserve"> </w:t>
            </w:r>
          </w:p>
        </w:tc>
        <w:sdt>
          <w:sdtPr>
            <w:alias w:val="Court/Tribunal"/>
            <w:tag w:val="aCourt"/>
            <w:id w:val="816004220"/>
            <w:placeholder>
              <w:docPart w:val="2287E3D7A5999C449F68774214E87459"/>
            </w:placeholder>
            <w:text w:multiLine="true"/>
          </w:sdtPr>
          <w:sdtEndPr/>
          <w:sdtContent>
            <w:tc>
              <w:tcPr>
                <w:tcW w:w="3331" w:type="pct"/>
              </w:tcPr>
              <w:p w:rsidR="00251EE4" w:rsidP="008F3D40" w:rsidRDefault="008F3D40">
                <w:r>
                  <w:t xml:space="preserve">Land and Environment Court</w:t>
                </w:r>
              </w:p>
            </w:tc>
          </w:sdtContent>
        </w:sdt>
      </w:tr>
      <w:tr w:rsidR="00831DA1" w:rsidTr="00AC2B81">
        <w:trPr>
          <w:trHeight w:val="284"/>
        </w:trPr>
        <w:tc>
          <w:tcPr>
            <w:tcW w:w="1669" w:type="pct"/>
          </w:tcPr>
          <w:p w:rsidRPr="00EF4519" w:rsidR="00831DA1" w:rsidP="00E827DB" w:rsidRDefault="00831DA1">
            <w:r>
              <w:t xml:space="preserve">  </w:t>
            </w:r>
            <w:r w:rsidRPr="00EF4519" w:rsidR="000A6DFA">
              <w:t>Jurisdiction</w:t>
            </w:r>
            <w:r w:rsidRPr="00EF4519">
              <w:t>:</w:t>
            </w:r>
            <w:r w:rsidRPr="00EF4519" w:rsidR="00B914EB">
              <w:t xml:space="preserve"> </w:t>
            </w:r>
          </w:p>
        </w:tc>
        <w:sdt>
          <w:sdtPr>
            <w:alias w:val="Jurisdiction"/>
            <w:tag w:val="aJurisdiction"/>
            <w:id w:val="-1888862537"/>
            <w:placeholder>
              <w:docPart w:val="2287E3D7A5999C449F68774214E87459"/>
            </w:placeholder>
            <w:text w:multiLine="true"/>
          </w:sdtPr>
          <w:sdtEndPr/>
          <w:sdtContent>
            <w:tc>
              <w:tcPr>
                <w:tcW w:w="3331" w:type="pct"/>
              </w:tcPr>
              <w:p w:rsidR="00831DA1" w:rsidP="008F3D40" w:rsidRDefault="008F3D40">
                <w:r>
                  <w:t xml:space="preserve">Class 3</w:t>
                </w:r>
              </w:p>
            </w:tc>
          </w:sdtContent>
        </w:sdt>
      </w:tr>
      <w:tr w:rsidR="00162707" w:rsidTr="00AC2B81">
        <w:trPr>
          <w:trHeight w:val="284"/>
        </w:trPr>
        <w:tc>
          <w:tcPr>
            <w:tcW w:w="1669" w:type="pct"/>
          </w:tcPr>
          <w:p w:rsidRPr="00EF4519" w:rsidR="00162707" w:rsidP="00E827DB" w:rsidRDefault="00162707">
            <w:r>
              <w:t xml:space="preserve">  Citation:</w:t>
            </w:r>
            <w:r w:rsidRPr="00EF4519" w:rsidR="00B914EB">
              <w:t xml:space="preserve"> </w:t>
            </w:r>
          </w:p>
        </w:tc>
        <w:tc>
          <w:tcPr>
            <w:tcW w:w="3331" w:type="pct"/>
          </w:tcPr>
          <w:p w:rsidR="00162707" w:rsidP="00856777" w:rsidRDefault="00882F5B">
            <w:sdt>
              <w:sdtPr>
                <w:alias w:val="Appeal Citation"/>
                <w:tag w:val="aCitation"/>
                <w:id w:val="2091963108"/>
                <w:placeholder>
                  <w:docPart w:val="217D38CADD01B94283F7C310F9E5BE50"/>
                </w:placeholder>
                <w:showingPlcHdr/>
                <w:text w:multiLine="true"/>
              </w:sdtPr>
              <w:sdtEndPr/>
              <w:sdtContent>
                <w:r>
                  <w:t xml:space="preserve">[2023] NSWLEC 9</w:t>
                </w:r>
              </w:sdtContent>
            </w:sdt>
          </w:p>
        </w:tc>
      </w:tr>
      <w:tr w:rsidR="00251EE4" w:rsidTr="00AC2B81">
        <w:trPr>
          <w:trHeight w:val="334"/>
        </w:trPr>
        <w:tc>
          <w:tcPr>
            <w:tcW w:w="1669" w:type="pct"/>
          </w:tcPr>
          <w:p w:rsidRPr="00EF4519" w:rsidR="00251EE4" w:rsidP="00E827DB" w:rsidRDefault="00277342">
            <w:r>
              <w:t xml:space="preserve">  </w:t>
            </w:r>
            <w:r w:rsidRPr="00EF4519" w:rsidR="004930AF">
              <w:t>Date of Decision:</w:t>
            </w:r>
            <w:r w:rsidRPr="00EF4519" w:rsidR="00B914EB">
              <w:t xml:space="preserve"> </w:t>
            </w:r>
          </w:p>
        </w:tc>
        <w:tc>
          <w:tcPr>
            <w:tcW w:w="3331" w:type="pct"/>
          </w:tcPr>
          <w:p w:rsidR="00251EE4" w:rsidP="00856777" w:rsidRDefault="00882F5B">
            <w:sdt>
              <w:sdtPr>
                <w:alias w:val="Date of Decision"/>
                <w:tag w:val="aDecisionDate"/>
                <w:id w:val="-1542505353"/>
                <w:placeholder>
                  <w:docPart w:val="2FBB1D739F997A4C9851874ABC8B0AC1"/>
                </w:placeholder>
                <w:showingPlcHdr/>
                <w:date>
                  <w:dateFormat w:val="d MMMM yyyy"/>
                  <w:lid w:val="en-AU"/>
                  <w:storeMappedDataAs w:val="dateTime"/>
                  <w:calendar w:val="gregorian"/>
                </w:date>
              </w:sdtPr>
              <w:sdtEndPr/>
              <w:sdtContent>
                <w:r>
                  <w:t xml:space="preserve">17 February 2023</w:t>
                </w:r>
              </w:sdtContent>
            </w:sdt>
          </w:p>
        </w:tc>
      </w:tr>
      <w:tr w:rsidR="00251EE4" w:rsidTr="00AC2B81">
        <w:trPr>
          <w:trHeight w:val="384"/>
        </w:trPr>
        <w:tc>
          <w:tcPr>
            <w:tcW w:w="1669" w:type="pct"/>
          </w:tcPr>
          <w:p w:rsidRPr="00EF4519" w:rsidR="00251EE4" w:rsidP="00E827DB" w:rsidRDefault="00277342">
            <w:r>
              <w:t xml:space="preserve">  </w:t>
            </w:r>
            <w:r w:rsidRPr="00EF4519" w:rsidR="00162707">
              <w:t>Before</w:t>
            </w:r>
            <w:r w:rsidRPr="00EF4519" w:rsidR="004930AF">
              <w:t>:</w:t>
            </w:r>
            <w:r w:rsidRPr="00EF4519" w:rsidR="00B914EB">
              <w:t xml:space="preserve"> </w:t>
            </w:r>
          </w:p>
        </w:tc>
        <w:tc>
          <w:tcPr>
            <w:tcW w:w="3331" w:type="pct"/>
          </w:tcPr>
          <w:p w:rsidR="00251EE4" w:rsidP="00F822F4" w:rsidRDefault="00882F5B">
            <w:sdt>
              <w:sdtPr>
                <w:alias w:val="Before"/>
                <w:tag w:val="aBefore"/>
                <w:id w:val="-1858493395"/>
                <w:placeholder>
                  <w:docPart w:val="F09835F13B8F9844838CACDD8B96763F"/>
                </w:placeholder>
                <w:showingPlcHdr/>
                <w:text w:multiLine="true"/>
              </w:sdtPr>
              <w:sdtEndPr/>
              <w:sdtContent>
                <w:r>
                  <w:t xml:space="preserve">Pepper J</w:t>
                </w:r>
              </w:sdtContent>
            </w:sdt>
          </w:p>
        </w:tc>
      </w:tr>
      <w:tr w:rsidR="00251EE4" w:rsidTr="00AC2B81">
        <w:trPr>
          <w:trHeight w:val="1015"/>
        </w:trPr>
        <w:tc>
          <w:tcPr>
            <w:tcW w:w="1669" w:type="pct"/>
          </w:tcPr>
          <w:p w:rsidRPr="00EF4519" w:rsidR="00251EE4" w:rsidP="00E827DB" w:rsidRDefault="00277342">
            <w:r>
              <w:t xml:space="preserve">  </w:t>
            </w:r>
            <w:r w:rsidRPr="00EF4519" w:rsidR="004930AF">
              <w:t>File Number</w:t>
            </w:r>
            <w:r w:rsidRPr="00EF4519" w:rsidR="00201CA2">
              <w:t>(s)</w:t>
            </w:r>
            <w:r w:rsidRPr="00EF4519" w:rsidR="004930AF">
              <w:t>:</w:t>
            </w:r>
            <w:r w:rsidRPr="00EF4519" w:rsidR="00B914EB">
              <w:t xml:space="preserve"> </w:t>
            </w:r>
          </w:p>
        </w:tc>
        <w:tc>
          <w:tcPr>
            <w:tcW w:w="3331" w:type="pct"/>
          </w:tcPr>
          <w:p w:rsidR="00251EE4" w:rsidP="00856777" w:rsidRDefault="00882F5B">
            <w:sdt>
              <w:sdtPr>
                <w:alias w:val="File Numbers"/>
                <w:tag w:val="aFileNumbers"/>
                <w:id w:val="1129205698"/>
                <w:placeholder>
                  <w:docPart w:val="4D4B4D2BC735494E88685FCB1B11F7E2"/>
                </w:placeholder>
                <w:showingPlcHdr/>
                <w:text w:multiLine="true"/>
              </w:sdtPr>
              <w:sdtEndPr/>
              <w:sdtContent>
                <w:r>
                  <w:t xml:space="preserve">2020/330687</w:t>
                </w:r>
              </w:sdtContent>
            </w:sdt>
          </w:p>
        </w:tc>
      </w:tr>
    </w:tbl>
    <w:p/>
    <w:p w:rsidRPr="00EF40A6" w:rsidR="00F22B5D" w:rsidP="00575582" w:rsidRDefault="00A2002E">
      <w:pPr>
        <w:shd w:val="clear" w:color="auto" w:fill="FFFFFF"/>
        <w:spacing w:after="0" w:line="240" w:lineRule="auto"/>
        <w:rPr>
          <w:rFonts w:cs="Arial"/>
          <w:i/>
          <w:iCs/>
          <w:color w:val="333333"/>
          <w:shd w:val="clear" w:color="auto" w:fill="FFFFFF"/>
        </w:rPr>
      </w:pPr>
      <w:r w:rsidRPr="00EF40A6">
        <w:rPr>
          <w:rStyle w:val="Emphasis"/>
          <w:rFonts w:cs="Arial"/>
          <w:color w:val="333333"/>
          <w:shd w:val="clear" w:color="auto" w:fill="FFFFFF"/>
        </w:rPr>
        <w:t>[Note: The Uniform Civil Procedure Rules 2005 provide (Rule 36.11) that unless the Court otherwise orders, a judgment or order is taken to be entered when it is recorded in the Court's computerised court record system. Setting aside and variation of judgments or orders is dealt with by Rules 36.15, 36.16, 36.17 and 36.18. Parties should in particular note the time limit of fourteen days in Rule 36.16.]</w:t>
      </w:r>
    </w:p>
    <w:p/>
    <w:p>
      <w:pPr>
        <w:pStyle w:val="CaselawHeading1"/>
        <w:keepNext/>
        <w:spacing w:before="150" w:after="150" w:line="264"/>
        <w:ind w:left="0"/>
      </w:pPr>
      <w:r>
        <w:rPr>
          <w:rFonts w:ascii="Arial"/>
        </w:rPr>
        <w:t>HEADNOTE</w:t>
      </w:r>
    </w:p>
    <w:p>
      <w:pPr>
        <w:pStyle w:val="CaselawNormal"/>
        <w:spacing w:before="150" w:after="150"/>
        <w:ind w:left="600"/>
        <w:jc w:val="left"/>
      </w:pPr>
      <w:r>
        <w:rPr>
          <w:rFonts w:ascii="Arial"/>
          <w:b/>
          <w:color w:val="000000"/>
          <w:sz w:val="24"/>
        </w:rPr>
        <w:t>[This headnote is not to be read as part of the judgment]</w:t>
      </w:r>
    </w:p>
    <w:p>
      <w:pPr>
        <w:pStyle w:val="CaselawNormal"/>
        <w:spacing w:before="150" w:after="150"/>
        <w:ind w:left="600"/>
        <w:jc w:val="left"/>
      </w:pPr>
      <w:r>
        <w:rPr>
          <w:rFonts w:ascii="Arial"/>
          <w:color w:val="000000"/>
          <w:sz w:val="24"/>
        </w:rPr>
        <w:t xml:space="preserve">On 11 September 2020, certain vacant land </w:t>
      </w:r>
      <w:r>
        <w:rPr>
          <w:rFonts w:ascii="Arial"/>
          <w:color w:val="000000"/>
          <w:sz w:val="24"/>
        </w:rPr>
        <w:t>(</w:t>
      </w:r>
      <w:r>
        <w:rPr>
          <w:rFonts w:ascii="Arial"/>
          <w:color w:val="000000"/>
          <w:sz w:val="24"/>
        </w:rPr>
        <w:t xml:space="preserve">the </w:t>
      </w:r>
      <w:r>
        <w:rPr>
          <w:rFonts w:ascii="Arial"/>
          <w:b/>
          <w:color w:val="000000"/>
          <w:sz w:val="24"/>
        </w:rPr>
        <w:t>Land</w:t>
      </w:r>
      <w:r>
        <w:rPr>
          <w:rFonts w:ascii="Arial"/>
          <w:color w:val="000000"/>
          <w:sz w:val="24"/>
        </w:rPr>
        <w:t xml:space="preserve">) </w:t>
      </w:r>
      <w:r>
        <w:rPr>
          <w:rFonts w:ascii="Arial"/>
          <w:color w:val="000000"/>
          <w:sz w:val="24"/>
        </w:rPr>
        <w:t>owned</w:t>
      </w:r>
      <w:r>
        <w:rPr>
          <w:rFonts w:ascii="Arial"/>
          <w:color w:val="000000"/>
          <w:sz w:val="24"/>
        </w:rPr>
        <w:t xml:space="preserve"> by M</w:t>
      </w:r>
      <w:r>
        <w:rPr>
          <w:rFonts w:ascii="Arial"/>
          <w:color w:val="000000"/>
          <w:sz w:val="24"/>
        </w:rPr>
        <w:t>r</w:t>
      </w:r>
      <w:r>
        <w:rPr>
          <w:rFonts w:ascii="Arial"/>
          <w:color w:val="000000"/>
          <w:sz w:val="24"/>
        </w:rPr>
        <w:t xml:space="preserve">s Alexandra (Alicia) Kudrynski was compulsorily acquired by the NSW government for the public purpose of a stormwater harvesting project </w:t>
      </w:r>
      <w:r>
        <w:rPr>
          <w:rFonts w:ascii="Arial"/>
          <w:color w:val="000000"/>
          <w:sz w:val="24"/>
        </w:rPr>
        <w:t>(</w:t>
      </w:r>
      <w:r>
        <w:rPr>
          <w:rFonts w:ascii="Arial"/>
          <w:color w:val="000000"/>
          <w:sz w:val="24"/>
        </w:rPr>
        <w:t xml:space="preserve">the </w:t>
      </w:r>
      <w:r>
        <w:rPr>
          <w:rFonts w:ascii="Arial"/>
          <w:b/>
          <w:color w:val="000000"/>
          <w:sz w:val="24"/>
        </w:rPr>
        <w:t>Project</w:t>
      </w:r>
      <w:r>
        <w:rPr>
          <w:rFonts w:ascii="Arial"/>
          <w:color w:val="000000"/>
          <w:sz w:val="24"/>
        </w:rPr>
        <w:t>). The parties were unable to agree compensation, and the Valuer-General subsequently determined the market value of the Land to be $450,000. Mr</w:t>
      </w:r>
      <w:r>
        <w:rPr>
          <w:rFonts w:ascii="Arial"/>
          <w:color w:val="000000"/>
          <w:sz w:val="24"/>
        </w:rPr>
        <w:t xml:space="preserve">s Kudrynski and her husband, Mr Julius Kudrynski </w:t>
      </w:r>
      <w:r>
        <w:rPr>
          <w:rFonts w:ascii="Arial"/>
          <w:color w:val="000000"/>
          <w:sz w:val="24"/>
        </w:rPr>
        <w:t>(the second applicant and Mr</w:t>
      </w:r>
      <w:r>
        <w:rPr>
          <w:rFonts w:ascii="Arial"/>
          <w:color w:val="000000"/>
          <w:sz w:val="24"/>
        </w:rPr>
        <w:t xml:space="preserve">s Kudrynski’s agent), challenged this determination in the Land and Environment Court </w:t>
      </w:r>
      <w:r>
        <w:rPr>
          <w:rFonts w:ascii="Arial"/>
          <w:color w:val="000000"/>
          <w:sz w:val="24"/>
        </w:rPr>
        <w:t>(</w:t>
      </w:r>
      <w:r>
        <w:rPr>
          <w:rFonts w:ascii="Arial"/>
          <w:b/>
          <w:color w:val="000000"/>
          <w:sz w:val="24"/>
        </w:rPr>
        <w:t>LEC</w:t>
      </w:r>
      <w:r>
        <w:rPr>
          <w:rFonts w:ascii="Arial"/>
          <w:color w:val="000000"/>
          <w:sz w:val="24"/>
        </w:rPr>
        <w:t xml:space="preserve">), claiming that the market value of the Land was $160 million. </w:t>
      </w:r>
    </w:p>
    <w:p>
      <w:pPr>
        <w:pStyle w:val="CaselawNormal"/>
        <w:spacing w:before="150" w:after="150"/>
        <w:ind w:left="600"/>
        <w:jc w:val="left"/>
      </w:pPr>
      <w:r>
        <w:rPr>
          <w:rFonts w:ascii="Arial"/>
          <w:color w:val="000000"/>
          <w:sz w:val="24"/>
        </w:rPr>
        <w:t xml:space="preserve">Before the primary judge, Mr Kudrynski claimed that the Land was to be valued having regard to the value of the water </w:t>
      </w:r>
      <w:r>
        <w:rPr>
          <w:rFonts w:ascii="Arial"/>
          <w:color w:val="000000"/>
          <w:sz w:val="24"/>
        </w:rPr>
        <w:t>for harvesting</w:t>
      </w:r>
      <w:r>
        <w:rPr>
          <w:rFonts w:ascii="Arial"/>
          <w:color w:val="000000"/>
          <w:sz w:val="24"/>
        </w:rPr>
        <w:t xml:space="preserve">. Orange City </w:t>
      </w:r>
      <w:r>
        <w:rPr>
          <w:rFonts w:ascii="Arial"/>
          <w:b/>
          <w:color w:val="000000"/>
          <w:sz w:val="24"/>
        </w:rPr>
        <w:t>Council</w:t>
      </w:r>
      <w:r>
        <w:rPr>
          <w:rFonts w:ascii="Arial"/>
          <w:color w:val="000000"/>
          <w:sz w:val="24"/>
        </w:rPr>
        <w:t xml:space="preserve"> (the respondent) </w:t>
      </w:r>
      <w:r>
        <w:rPr>
          <w:rFonts w:ascii="Arial"/>
          <w:color w:val="000000"/>
          <w:sz w:val="24"/>
        </w:rPr>
        <w:t>contended that, by operation of the statutory disregard in s 56(1)(</w:t>
      </w:r>
      <w:r>
        <w:rPr>
          <w:rFonts w:ascii="Arial"/>
          <w:color w:val="000000"/>
          <w:sz w:val="24"/>
        </w:rPr>
        <w:t xml:space="preserve">a) of the </w:t>
      </w:r>
      <w:r>
        <w:rPr>
          <w:rFonts w:ascii="Arial"/>
          <w:i/>
          <w:color w:val="000000"/>
          <w:sz w:val="24"/>
        </w:rPr>
        <w:t xml:space="preserve">Land Acquisition </w:t>
      </w:r>
      <w:r>
        <w:rPr>
          <w:rFonts w:ascii="Arial"/>
          <w:i/>
          <w:color w:val="000000"/>
          <w:sz w:val="24"/>
        </w:rPr>
        <w:t>(</w:t>
      </w:r>
      <w:r>
        <w:rPr>
          <w:rFonts w:ascii="Arial"/>
          <w:i/>
          <w:color w:val="000000"/>
          <w:sz w:val="24"/>
        </w:rPr>
        <w:t xml:space="preserve">Just Terms Compensation) Act 1991, </w:t>
      </w:r>
      <w:r>
        <w:rPr>
          <w:rFonts w:ascii="Arial"/>
          <w:color w:val="000000"/>
          <w:sz w:val="24"/>
        </w:rPr>
        <w:t xml:space="preserve">any subsequent value derived from the carrying out of the Project had to be excluded from the amount of compensation. The primary judge accepted the Council’s position as correct, and further determined the $160 million figure relied upon by Mr Kudrynski was not supported by any expert evidence, preferring the Council’s expert valuer’s figure of $560,000 </w:t>
      </w:r>
      <w:r>
        <w:rPr>
          <w:rFonts w:ascii="Arial"/>
          <w:color w:val="000000"/>
          <w:sz w:val="24"/>
        </w:rPr>
        <w:t>(</w:t>
      </w:r>
      <w:r>
        <w:rPr>
          <w:rFonts w:ascii="Arial"/>
          <w:color w:val="000000"/>
          <w:sz w:val="24"/>
        </w:rPr>
        <w:t xml:space="preserve">with the highest and best use of the land being a four lot rural residential subdivision). </w:t>
      </w:r>
      <w:r>
        <w:rPr>
          <w:rFonts w:ascii="Arial"/>
          <w:color w:val="000000"/>
          <w:sz w:val="24"/>
        </w:rPr>
        <w:t>This evaluation took into account features</w:t>
      </w:r>
      <w:r>
        <w:rPr>
          <w:rFonts w:ascii="Arial"/>
          <w:color w:val="000000"/>
          <w:sz w:val="24"/>
        </w:rPr>
        <w:t xml:space="preserve"> including </w:t>
      </w:r>
      <w:r>
        <w:rPr>
          <w:rFonts w:ascii="Arial"/>
          <w:color w:val="000000"/>
          <w:sz w:val="24"/>
        </w:rPr>
        <w:t>the Land’s</w:t>
      </w:r>
      <w:r>
        <w:rPr>
          <w:rFonts w:ascii="Arial"/>
          <w:color w:val="000000"/>
          <w:sz w:val="24"/>
        </w:rPr>
        <w:t xml:space="preserve"> liability to flooding, it being affected by easements, and its position opposite public housing. </w:t>
      </w:r>
    </w:p>
    <w:p>
      <w:pPr>
        <w:pStyle w:val="CaselawNormal"/>
        <w:spacing w:before="150" w:after="150"/>
        <w:ind w:left="600"/>
        <w:jc w:val="left"/>
      </w:pPr>
      <w:r>
        <w:rPr>
          <w:rFonts w:ascii="Arial"/>
          <w:color w:val="000000"/>
          <w:sz w:val="24"/>
        </w:rPr>
        <w:t xml:space="preserve">On appeal, two preliminary procedural issues rose for consideration, namely whether Mr Kudrynski had notice of the hearing date and </w:t>
      </w:r>
      <w:r>
        <w:rPr>
          <w:rFonts w:ascii="Arial"/>
          <w:color w:val="000000"/>
          <w:sz w:val="24"/>
        </w:rPr>
        <w:t>the authenticity of the supplementary appeal books. The central substantive issue for determination was whether any of the 24 grounds of appeal disclosed a challenge to a decision or order of the primary judge on a question of law, pursuant to s 57(</w:t>
      </w:r>
      <w:r>
        <w:rPr>
          <w:rFonts w:ascii="Arial"/>
          <w:color w:val="000000"/>
          <w:sz w:val="24"/>
        </w:rPr>
        <w:t xml:space="preserve">1) of the </w:t>
      </w:r>
      <w:r>
        <w:rPr>
          <w:rFonts w:ascii="Arial"/>
          <w:i/>
          <w:color w:val="000000"/>
          <w:sz w:val="24"/>
        </w:rPr>
        <w:t xml:space="preserve">Land and Environment Court Act 1979 </w:t>
      </w:r>
      <w:r>
        <w:rPr>
          <w:rFonts w:ascii="Arial"/>
          <w:color w:val="000000"/>
          <w:sz w:val="24"/>
        </w:rPr>
        <w:t>(</w:t>
      </w:r>
      <w:r>
        <w:rPr>
          <w:rFonts w:ascii="Arial"/>
          <w:color w:val="000000"/>
          <w:sz w:val="24"/>
        </w:rPr>
        <w:t xml:space="preserve">NSW). </w:t>
      </w:r>
    </w:p>
    <w:p>
      <w:pPr>
        <w:pStyle w:val="CaselawNormal"/>
        <w:spacing w:before="150" w:after="150"/>
        <w:ind w:left="600"/>
        <w:jc w:val="left"/>
      </w:pPr>
      <w:r>
        <w:rPr>
          <w:rFonts w:ascii="Arial"/>
          <w:b/>
          <w:color w:val="000000"/>
          <w:sz w:val="24"/>
        </w:rPr>
        <w:t>The Court</w:t>
      </w:r>
      <w:r>
        <w:rPr>
          <w:rFonts w:ascii="Arial"/>
          <w:color w:val="000000"/>
          <w:sz w:val="24"/>
        </w:rPr>
        <w:t xml:space="preserve"> </w:t>
      </w:r>
      <w:r>
        <w:rPr>
          <w:rFonts w:ascii="Arial"/>
          <w:color w:val="000000"/>
          <w:sz w:val="24"/>
        </w:rPr>
        <w:t>(</w:t>
      </w:r>
      <w:r>
        <w:rPr>
          <w:rFonts w:ascii="Arial"/>
          <w:color w:val="000000"/>
          <w:sz w:val="24"/>
        </w:rPr>
        <w:t xml:space="preserve">Griffiths AJA, Meagher and Kirk JJA agreeing) </w:t>
      </w:r>
      <w:r>
        <w:rPr>
          <w:rFonts w:ascii="Arial"/>
          <w:b/>
          <w:color w:val="000000"/>
          <w:sz w:val="24"/>
        </w:rPr>
        <w:t>held, dismissing the appeal, with costs</w:t>
      </w:r>
      <w:r>
        <w:rPr>
          <w:rFonts w:ascii="Arial"/>
          <w:color w:val="000000"/>
          <w:sz w:val="24"/>
        </w:rPr>
        <w:t>:</w:t>
      </w:r>
    </w:p>
    <w:p>
      <w:pPr>
        <w:pStyle w:val="CaselawNormal"/>
        <w:spacing w:before="150" w:after="150"/>
        <w:ind w:left="600"/>
        <w:jc w:val="left"/>
      </w:pPr>
      <w:r>
        <w:rPr>
          <w:rFonts w:ascii="Arial"/>
          <w:i/>
          <w:color w:val="000000"/>
          <w:sz w:val="24"/>
        </w:rPr>
        <w:t>Procedural issues:</w:t>
      </w:r>
    </w:p>
    <w:p>
      <w:pPr>
        <w:pStyle w:val="CaselawNormal"/>
        <w:spacing w:before="150" w:after="150"/>
        <w:ind w:left="600"/>
        <w:jc w:val="left"/>
      </w:pPr>
      <w:r>
        <w:rPr>
          <w:rFonts w:ascii="Arial"/>
          <w:color w:val="000000"/>
          <w:sz w:val="24"/>
        </w:rPr>
        <w:t>(1)</w:t>
      </w:r>
      <w:r>
        <w:rPr>
          <w:rFonts w:ascii="Arial"/>
          <w:color w:val="000000"/>
          <w:sz w:val="24"/>
        </w:rPr>
        <w:t>   </w:t>
      </w:r>
      <w:r>
        <w:rPr>
          <w:rFonts w:ascii="Arial"/>
          <w:color w:val="000000"/>
          <w:sz w:val="24"/>
        </w:rPr>
        <w:t xml:space="preserve">Mr Kudrynski’s procedural complaints were not supported by the evidence or </w:t>
      </w:r>
      <w:r>
        <w:rPr>
          <w:rFonts w:ascii="Arial"/>
          <w:color w:val="000000"/>
          <w:sz w:val="24"/>
        </w:rPr>
        <w:t>Court’s internal records: [1</w:t>
      </w:r>
      <w:r>
        <w:rPr>
          <w:rFonts w:ascii="Arial"/>
          <w:color w:val="000000"/>
          <w:sz w:val="24"/>
        </w:rPr>
        <w:t xml:space="preserve">] </w:t>
      </w:r>
      <w:r>
        <w:rPr>
          <w:rFonts w:ascii="Arial"/>
          <w:color w:val="000000"/>
          <w:sz w:val="24"/>
        </w:rPr>
        <w:t>(Meagher JA), [2</w:t>
      </w:r>
      <w:r>
        <w:rPr>
          <w:rFonts w:ascii="Arial"/>
          <w:color w:val="000000"/>
          <w:sz w:val="24"/>
        </w:rPr>
        <w:t xml:space="preserve">] </w:t>
      </w:r>
      <w:r>
        <w:rPr>
          <w:rFonts w:ascii="Arial"/>
          <w:color w:val="000000"/>
          <w:sz w:val="24"/>
        </w:rPr>
        <w:t>(Kirk JA), [</w:t>
      </w:r>
      <w:hyperlink r:id="rId13">
        <w:r>
          <w:rPr>
            <w:rFonts w:ascii="Arial"/>
            <w:color w:val="000000"/>
            <w:sz w:val="24"/>
            <w:u w:val="single"/>
          </w:rPr>
          <w:t/>
        </w:r>
        <w:r>
          <w:rPr>
            <w:rFonts w:ascii="Arial"/>
            <w:color w:val="000000"/>
            <w:sz w:val="24"/>
          </w:rPr>
          <w:t>15</w:t>
        </w:r>
      </w:hyperlink>
      <w:hyperlink r:id="rId14">
        <w:r>
          <w:rPr>
            <w:rFonts w:ascii="Arial"/>
            <w:color w:val="000000"/>
            <w:sz w:val="24"/>
          </w:rPr>
          <w:t/>
        </w:r>
      </w:hyperlink>
      <w:r>
        <w:rPr>
          <w:rFonts w:ascii="Arial"/>
          <w:color w:val="000000"/>
          <w:sz w:val="24"/>
        </w:rPr>
        <w:t xml:space="preserve">] </w:t>
      </w:r>
      <w:r>
        <w:rPr>
          <w:rFonts w:ascii="Arial"/>
          <w:color w:val="000000"/>
          <w:sz w:val="24"/>
        </w:rPr>
        <w:t>(</w:t>
      </w:r>
      <w:r>
        <w:rPr>
          <w:rFonts w:ascii="Arial"/>
          <w:color w:val="000000"/>
          <w:sz w:val="24"/>
        </w:rPr>
        <w:t xml:space="preserve">Griffiths AJA). </w:t>
      </w:r>
    </w:p>
    <w:p>
      <w:pPr>
        <w:pStyle w:val="CaselawNormal"/>
        <w:spacing w:before="150" w:after="150"/>
        <w:ind w:left="600"/>
        <w:jc w:val="left"/>
      </w:pPr>
      <w:r>
        <w:rPr>
          <w:rFonts w:ascii="Arial"/>
          <w:i/>
          <w:color w:val="000000"/>
          <w:sz w:val="24"/>
        </w:rPr>
        <w:t>Substantive issues:</w:t>
      </w:r>
    </w:p>
    <w:p>
      <w:pPr>
        <w:pStyle w:val="CaselawNormal"/>
        <w:spacing w:before="150" w:after="150"/>
        <w:ind w:left="600"/>
        <w:jc w:val="left"/>
      </w:pPr>
      <w:r>
        <w:rPr>
          <w:rFonts w:ascii="Arial"/>
          <w:color w:val="000000"/>
          <w:sz w:val="24"/>
        </w:rPr>
        <w:t>(1)</w:t>
      </w:r>
      <w:r>
        <w:rPr>
          <w:rFonts w:ascii="Arial"/>
          <w:color w:val="000000"/>
          <w:sz w:val="24"/>
        </w:rPr>
        <w:t>   </w:t>
      </w:r>
      <w:r>
        <w:rPr>
          <w:rFonts w:ascii="Arial"/>
          <w:color w:val="000000"/>
          <w:sz w:val="24"/>
        </w:rPr>
        <w:t>No ground of appeal identified a question of law which was the subject of any order or decision of the primary judge: [1</w:t>
      </w:r>
      <w:r>
        <w:rPr>
          <w:rFonts w:ascii="Arial"/>
          <w:color w:val="000000"/>
          <w:sz w:val="24"/>
        </w:rPr>
        <w:t xml:space="preserve">] </w:t>
      </w:r>
      <w:r>
        <w:rPr>
          <w:rFonts w:ascii="Arial"/>
          <w:color w:val="000000"/>
          <w:sz w:val="24"/>
        </w:rPr>
        <w:t>(Meagher JA), [2</w:t>
      </w:r>
      <w:r>
        <w:rPr>
          <w:rFonts w:ascii="Arial"/>
          <w:color w:val="000000"/>
          <w:sz w:val="24"/>
        </w:rPr>
        <w:t xml:space="preserve">] </w:t>
      </w:r>
      <w:r>
        <w:rPr>
          <w:rFonts w:ascii="Arial"/>
          <w:color w:val="000000"/>
          <w:sz w:val="24"/>
        </w:rPr>
        <w:t>(Kirk JA), [</w:t>
      </w:r>
      <w:hyperlink r:id="rId15">
        <w:r>
          <w:rPr>
            <w:rFonts w:ascii="Arial"/>
            <w:color w:val="000000"/>
            <w:sz w:val="24"/>
            <w:u w:val="single"/>
          </w:rPr>
          <w:t/>
        </w:r>
        <w:r>
          <w:rPr>
            <w:rFonts w:ascii="Arial"/>
            <w:color w:val="000000"/>
            <w:sz w:val="24"/>
          </w:rPr>
          <w:t>99</w:t>
        </w:r>
      </w:hyperlink>
      <w:hyperlink r:id="rId16">
        <w:r>
          <w:rPr>
            <w:rFonts w:ascii="Arial"/>
            <w:color w:val="000000"/>
            <w:sz w:val="24"/>
          </w:rPr>
          <w:t/>
        </w:r>
      </w:hyperlink>
      <w:r>
        <w:rPr>
          <w:rFonts w:ascii="Arial"/>
          <w:color w:val="000000"/>
          <w:sz w:val="24"/>
        </w:rPr>
        <w:t xml:space="preserve">] </w:t>
      </w:r>
      <w:r>
        <w:rPr>
          <w:rFonts w:ascii="Arial"/>
          <w:color w:val="000000"/>
          <w:sz w:val="24"/>
        </w:rPr>
        <w:t>(Griffiths AJA).</w:t>
      </w:r>
      <w:r>
        <w:rPr>
          <w:rFonts w:ascii="Arial"/>
          <w:color w:val="000000"/>
          <w:sz w:val="24"/>
        </w:rPr>
        <w:t>   </w:t>
      </w:r>
    </w:p>
    <w:p>
      <w:pPr>
        <w:pStyle w:val="CaselawNormal"/>
        <w:spacing w:before="150" w:after="150"/>
        <w:ind w:left="600"/>
        <w:jc w:val="left"/>
      </w:pPr>
      <w:r>
        <w:rPr>
          <w:rFonts w:ascii="Arial"/>
          <w:color w:val="000000"/>
          <w:sz w:val="24"/>
        </w:rPr>
        <w:t>(2)</w:t>
      </w:r>
      <w:r>
        <w:rPr>
          <w:rFonts w:ascii="Arial"/>
          <w:color w:val="000000"/>
          <w:sz w:val="24"/>
        </w:rPr>
        <w:t>   </w:t>
      </w:r>
      <w:r>
        <w:rPr>
          <w:rFonts w:ascii="Arial"/>
          <w:color w:val="000000"/>
          <w:sz w:val="24"/>
        </w:rPr>
        <w:t xml:space="preserve">In any event, the substantive issues were without merit. </w:t>
      </w:r>
    </w:p>
    <w:p>
      <w:pPr>
        <w:pStyle w:val="CaselawHeading1"/>
        <w:keepNext/>
        <w:spacing w:before="150" w:after="150" w:line="264"/>
        <w:ind w:left="0"/>
        <w:jc w:val="left"/>
      </w:pPr>
      <w:r>
        <w:rPr>
          <w:rFonts w:ascii="Arial"/>
        </w:rPr>
        <w:t>JUDGMENT</w:t>
      </w:r>
    </w:p>
    <w:p>
      <w:pPr>
        <w:pStyle w:val="CaselawNumbered10"/>
        <w:numPr>
          <w:ilvl w:val="0"/>
          <w:numId w:val="22"/>
        </w:numPr>
        <w:spacing w:before="150" w:after="0"/>
        <w:ind w:left="600" w:hanging="600"/>
      </w:pPr>
      <w:r>
        <w:rPr>
          <w:rFonts w:ascii="Arial"/>
          <w:b/>
          <w:color w:val="000000"/>
          <w:sz w:val="24"/>
        </w:rPr>
        <w:t>MEAGHER JA:</w:t>
      </w:r>
      <w:r>
        <w:rPr>
          <w:rFonts w:ascii="Arial"/>
          <w:b/>
          <w:color w:val="000000"/>
          <w:sz w:val="24"/>
        </w:rPr>
        <w:t xml:space="preserve"> </w:t>
      </w:r>
      <w:r>
        <w:rPr>
          <w:rFonts w:ascii="Arial"/>
          <w:color w:val="000000"/>
          <w:sz w:val="24"/>
        </w:rPr>
        <w:t>I agree with Griffiths AJA.</w:t>
      </w:r>
      <w:r>
        <w:rPr>
          <w:rFonts w:ascii="Arial"/>
          <w:b/>
          <w:color w:val="000000"/>
          <w:sz w:val="24"/>
        </w:rPr>
        <w:t xml:space="preserve"> </w:t>
      </w:r>
    </w:p>
    <w:p>
      <w:pPr>
        <w:pStyle w:val="CaselawNumbered10"/>
        <w:numPr>
          <w:ilvl w:val="0"/>
          <w:numId w:val="22"/>
        </w:numPr>
        <w:spacing w:before="150" w:after="0"/>
        <w:ind w:left="600" w:hanging="600"/>
      </w:pPr>
      <w:r>
        <w:rPr>
          <w:rFonts w:ascii="Arial"/>
          <w:b/>
          <w:color w:val="000000"/>
          <w:sz w:val="24"/>
        </w:rPr>
        <w:t>KIRK JA:</w:t>
      </w:r>
      <w:r>
        <w:rPr>
          <w:rFonts w:ascii="Arial"/>
          <w:color w:val="000000"/>
          <w:sz w:val="24"/>
        </w:rPr>
        <w:t xml:space="preserve"> </w:t>
      </w:r>
      <w:r>
        <w:rPr>
          <w:rFonts w:ascii="Arial"/>
          <w:color w:val="000000"/>
          <w:sz w:val="24"/>
        </w:rPr>
        <w:t>I agree with Griffiths AJA, save</w:t>
      </w:r>
      <w:r>
        <w:rPr>
          <w:rFonts w:ascii="Arial"/>
          <w:color w:val="000000"/>
          <w:sz w:val="24"/>
        </w:rPr>
        <w:t xml:space="preserve"> </w:t>
      </w:r>
      <w:r>
        <w:rPr>
          <w:rFonts w:ascii="Arial"/>
          <w:color w:val="000000"/>
          <w:sz w:val="24"/>
        </w:rPr>
        <w:t>to note that the appropriate construction of s</w:t>
      </w:r>
      <w:r>
        <w:rPr>
          <w:rFonts w:ascii="Arial"/>
          <w:color w:val="000000"/>
          <w:sz w:val="24"/>
        </w:rPr>
        <w:t xml:space="preserve"> 57(1) of the </w:t>
      </w:r>
      <w:r>
        <w:rPr>
          <w:rFonts w:ascii="Arial"/>
          <w:i/>
          <w:color w:val="000000"/>
          <w:sz w:val="24"/>
        </w:rPr>
        <w:t>Land and Environment Court Act 1979</w:t>
      </w:r>
      <w:r>
        <w:rPr>
          <w:rFonts w:ascii="Arial"/>
          <w:color w:val="000000"/>
          <w:sz w:val="24"/>
        </w:rPr>
        <w:t xml:space="preserve"> </w:t>
      </w:r>
      <w:r>
        <w:rPr>
          <w:rFonts w:ascii="Arial"/>
          <w:color w:val="000000"/>
          <w:sz w:val="24"/>
        </w:rPr>
        <w:t>(NSW) w</w:t>
      </w:r>
      <w:r>
        <w:rPr>
          <w:rFonts w:ascii="Arial"/>
          <w:color w:val="000000"/>
          <w:sz w:val="24"/>
        </w:rPr>
        <w:t xml:space="preserve">as </w:t>
      </w:r>
      <w:r>
        <w:rPr>
          <w:rFonts w:ascii="Arial"/>
          <w:color w:val="000000"/>
          <w:sz w:val="24"/>
        </w:rPr>
        <w:t>not the subject of</w:t>
      </w:r>
      <w:r>
        <w:rPr>
          <w:rFonts w:ascii="Arial"/>
          <w:color w:val="000000"/>
          <w:sz w:val="24"/>
        </w:rPr>
        <w:t xml:space="preserve"> </w:t>
      </w:r>
      <w:r>
        <w:rPr>
          <w:rFonts w:ascii="Arial"/>
          <w:color w:val="000000"/>
          <w:sz w:val="24"/>
        </w:rPr>
        <w:t>argument in this matter and</w:t>
      </w:r>
      <w:r>
        <w:rPr>
          <w:rFonts w:ascii="Arial"/>
          <w:color w:val="000000"/>
          <w:sz w:val="24"/>
        </w:rPr>
        <w:t xml:space="preserve"> </w:t>
      </w:r>
      <w:r>
        <w:rPr>
          <w:rFonts w:ascii="Arial"/>
          <w:color w:val="000000"/>
          <w:sz w:val="24"/>
        </w:rPr>
        <w:t xml:space="preserve">it is not necessary to express </w:t>
      </w:r>
      <w:r>
        <w:rPr>
          <w:rFonts w:ascii="Arial"/>
          <w:color w:val="000000"/>
          <w:sz w:val="24"/>
        </w:rPr>
        <w:t>any</w:t>
      </w:r>
      <w:r>
        <w:rPr>
          <w:rFonts w:ascii="Arial"/>
          <w:color w:val="000000"/>
          <w:sz w:val="24"/>
        </w:rPr>
        <w:t xml:space="preserve"> </w:t>
      </w:r>
      <w:r>
        <w:rPr>
          <w:rFonts w:ascii="Arial"/>
          <w:color w:val="000000"/>
          <w:sz w:val="24"/>
        </w:rPr>
        <w:t>concluded view on the issue</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b/>
          <w:color w:val="000000"/>
          <w:sz w:val="24"/>
        </w:rPr>
        <w:t xml:space="preserve">GRIFFITHS AJA: </w:t>
      </w:r>
      <w:r>
        <w:rPr>
          <w:rFonts w:ascii="Arial"/>
          <w:color w:val="000000"/>
          <w:sz w:val="24"/>
        </w:rPr>
        <w:t>This appeal is from orders dated 17 February 2023 made in the Land and Environment Court (</w:t>
      </w:r>
      <w:r>
        <w:rPr>
          <w:rFonts w:ascii="Arial"/>
          <w:b/>
          <w:color w:val="000000"/>
          <w:sz w:val="24"/>
        </w:rPr>
        <w:t>LEC</w:t>
      </w:r>
      <w:r>
        <w:rPr>
          <w:rFonts w:ascii="Arial"/>
          <w:color w:val="000000"/>
          <w:sz w:val="24"/>
        </w:rPr>
        <w:t xml:space="preserve">): see the reasons for judgment of Pepper J in </w:t>
      </w:r>
      <w:r>
        <w:rPr>
          <w:rFonts w:ascii="Arial"/>
          <w:i/>
          <w:color w:val="000000"/>
          <w:sz w:val="24"/>
        </w:rPr>
        <w:t xml:space="preserve">Kudrynski v Orange City Council </w:t>
      </w:r>
      <w:r>
        <w:rPr>
          <w:rFonts w:ascii="Arial"/>
          <w:color w:val="000000"/>
          <w:sz w:val="24"/>
        </w:rPr>
        <w:t>[2023] NSWLEC 9 (</w:t>
      </w:r>
      <w:r>
        <w:rPr>
          <w:rFonts w:ascii="Arial"/>
          <w:b/>
          <w:color w:val="000000"/>
          <w:sz w:val="24"/>
        </w:rPr>
        <w:t>PJ</w:t>
      </w:r>
      <w:r>
        <w:rPr>
          <w:rFonts w:ascii="Arial"/>
          <w:color w:val="000000"/>
          <w:sz w:val="24"/>
        </w:rPr>
        <w:t xml:space="preserve"> </w:t>
      </w:r>
      <w:r>
        <w:rPr>
          <w:rFonts w:ascii="Arial"/>
          <w:color w:val="000000"/>
          <w:sz w:val="24"/>
        </w:rPr>
        <w:t xml:space="preserve">or </w:t>
      </w:r>
      <w:r>
        <w:rPr>
          <w:rFonts w:ascii="Arial"/>
          <w:b/>
          <w:color w:val="000000"/>
          <w:sz w:val="24"/>
        </w:rPr>
        <w:t>primary judgment</w:t>
      </w:r>
      <w:r>
        <w:rPr>
          <w:rFonts w:ascii="Arial"/>
          <w:color w:val="000000"/>
          <w:sz w:val="24"/>
        </w:rPr>
        <w:t xml:space="preserve">). </w:t>
      </w:r>
      <w:r>
        <w:rPr>
          <w:rFonts w:ascii="Arial"/>
          <w:color w:val="000000"/>
          <w:sz w:val="24"/>
        </w:rPr>
        <w:t xml:space="preserve">By s 57 of the </w:t>
      </w:r>
      <w:r>
        <w:rPr>
          <w:rFonts w:ascii="Arial"/>
          <w:b/>
          <w:i/>
          <w:color w:val="000000"/>
          <w:sz w:val="24"/>
        </w:rPr>
        <w:t>Land and Environment Court Act</w:t>
      </w:r>
      <w:r>
        <w:rPr>
          <w:rFonts w:ascii="Arial"/>
          <w:i/>
          <w:color w:val="000000"/>
          <w:sz w:val="24"/>
        </w:rPr>
        <w:t xml:space="preserve"> 1979 </w:t>
      </w:r>
      <w:r>
        <w:rPr>
          <w:rFonts w:ascii="Arial"/>
          <w:color w:val="000000"/>
          <w:sz w:val="24"/>
        </w:rPr>
        <w:t xml:space="preserve">(NSW), the right to appeal is against </w:t>
      </w:r>
      <w:r>
        <w:rPr>
          <w:rFonts w:ascii="Arial"/>
          <w:color w:val="000000"/>
          <w:sz w:val="24"/>
        </w:rPr>
        <w:t>“</w:t>
      </w:r>
      <w:r>
        <w:rPr>
          <w:rFonts w:ascii="Arial"/>
          <w:color w:val="000000"/>
          <w:sz w:val="24"/>
        </w:rPr>
        <w:t>an order or decision</w:t>
      </w:r>
      <w:r>
        <w:rPr>
          <w:rFonts w:ascii="Arial"/>
          <w:color w:val="000000"/>
          <w:sz w:val="24"/>
        </w:rPr>
        <w:t>…</w:t>
      </w:r>
      <w:r>
        <w:rPr>
          <w:rFonts w:ascii="Arial"/>
          <w:color w:val="000000"/>
          <w:sz w:val="24"/>
        </w:rPr>
        <w:t>of the Court on a question of law</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The proceeding below </w:t>
      </w:r>
      <w:r>
        <w:rPr>
          <w:rFonts w:ascii="Arial"/>
          <w:color w:val="000000"/>
          <w:sz w:val="24"/>
        </w:rPr>
        <w:t>invoked</w:t>
      </w:r>
      <w:r>
        <w:rPr>
          <w:rFonts w:ascii="Arial"/>
          <w:color w:val="000000"/>
          <w:sz w:val="24"/>
        </w:rPr>
        <w:t xml:space="preserve"> </w:t>
      </w:r>
      <w:r>
        <w:rPr>
          <w:rFonts w:ascii="Arial"/>
          <w:color w:val="000000"/>
          <w:sz w:val="24"/>
        </w:rPr>
        <w:t>the LEC</w:t>
      </w:r>
      <w:r>
        <w:rPr>
          <w:rFonts w:ascii="Arial"/>
          <w:color w:val="000000"/>
          <w:sz w:val="24"/>
        </w:rPr>
        <w:t>’</w:t>
      </w:r>
      <w:r>
        <w:rPr>
          <w:rFonts w:ascii="Arial"/>
          <w:color w:val="000000"/>
          <w:sz w:val="24"/>
        </w:rPr>
        <w:t xml:space="preserve">s Class 3 jurisdiction. At issue was the amount of compensation to which the owner of certain land in Orange </w:t>
      </w:r>
      <w:r>
        <w:rPr>
          <w:rFonts w:ascii="Arial"/>
          <w:color w:val="000000"/>
          <w:sz w:val="24"/>
        </w:rPr>
        <w:t xml:space="preserve">(the </w:t>
      </w:r>
      <w:r>
        <w:rPr>
          <w:rFonts w:ascii="Arial"/>
          <w:b/>
          <w:color w:val="000000"/>
          <w:sz w:val="24"/>
        </w:rPr>
        <w:t>Land</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 xml:space="preserve">entitled under the </w:t>
      </w:r>
      <w:r>
        <w:rPr>
          <w:rFonts w:ascii="Arial"/>
          <w:i/>
          <w:color w:val="000000"/>
          <w:sz w:val="24"/>
        </w:rPr>
        <w:t xml:space="preserve">Land Acquisition (Just Terms Compensation) Act 1991 </w:t>
      </w:r>
      <w:r>
        <w:rPr>
          <w:rFonts w:ascii="Arial"/>
          <w:color w:val="000000"/>
          <w:sz w:val="24"/>
        </w:rPr>
        <w:t xml:space="preserve">(NSW) </w:t>
      </w:r>
      <w:r>
        <w:rPr>
          <w:rFonts w:ascii="Arial"/>
          <w:color w:val="000000"/>
          <w:sz w:val="24"/>
        </w:rPr>
        <w:t>(</w:t>
      </w:r>
      <w:r>
        <w:rPr>
          <w:rFonts w:ascii="Arial"/>
          <w:b/>
          <w:i/>
          <w:color w:val="000000"/>
          <w:sz w:val="24"/>
        </w:rPr>
        <w:t>Just Terms Act</w:t>
      </w:r>
      <w:r>
        <w:rPr>
          <w:rFonts w:ascii="Arial"/>
          <w:color w:val="000000"/>
          <w:sz w:val="24"/>
        </w:rPr>
        <w:t>)</w:t>
      </w:r>
      <w:r>
        <w:rPr>
          <w:rFonts w:ascii="Arial"/>
          <w:b/>
          <w:i/>
          <w:color w:val="000000"/>
          <w:sz w:val="24"/>
        </w:rPr>
        <w:t xml:space="preserve"> </w:t>
      </w:r>
      <w:r>
        <w:rPr>
          <w:rFonts w:ascii="Arial"/>
          <w:color w:val="000000"/>
          <w:sz w:val="24"/>
        </w:rPr>
        <w:t xml:space="preserve">after the </w:t>
      </w:r>
      <w:r>
        <w:rPr>
          <w:rFonts w:ascii="Arial"/>
          <w:color w:val="000000"/>
          <w:sz w:val="24"/>
        </w:rPr>
        <w:t>L</w:t>
      </w:r>
      <w:r>
        <w:rPr>
          <w:rFonts w:ascii="Arial"/>
          <w:color w:val="000000"/>
          <w:sz w:val="24"/>
        </w:rPr>
        <w:t xml:space="preserve">and was compulsorily acquired by the respondent </w:t>
      </w:r>
      <w:r>
        <w:rPr>
          <w:rFonts w:ascii="Arial"/>
          <w:color w:val="000000"/>
          <w:sz w:val="24"/>
        </w:rPr>
        <w:t xml:space="preserve">(the </w:t>
      </w:r>
      <w:r>
        <w:rPr>
          <w:rFonts w:ascii="Arial"/>
          <w:b/>
          <w:color w:val="000000"/>
          <w:sz w:val="24"/>
        </w:rPr>
        <w:t>Council</w:t>
      </w:r>
      <w:r>
        <w:rPr>
          <w:rFonts w:ascii="Arial"/>
          <w:color w:val="000000"/>
          <w:sz w:val="24"/>
        </w:rPr>
        <w:t>)</w:t>
      </w:r>
      <w:r>
        <w:rPr>
          <w:rFonts w:ascii="Arial"/>
          <w:color w:val="000000"/>
          <w:sz w:val="24"/>
        </w:rPr>
        <w:t xml:space="preserve">. The </w:t>
      </w:r>
      <w:r>
        <w:rPr>
          <w:rFonts w:ascii="Arial"/>
          <w:color w:val="000000"/>
          <w:sz w:val="24"/>
        </w:rPr>
        <w:t>L</w:t>
      </w:r>
      <w:r>
        <w:rPr>
          <w:rFonts w:ascii="Arial"/>
          <w:color w:val="000000"/>
          <w:sz w:val="24"/>
        </w:rPr>
        <w:t xml:space="preserve">and </w:t>
      </w:r>
      <w:r>
        <w:rPr>
          <w:rFonts w:ascii="Arial"/>
          <w:color w:val="000000"/>
          <w:sz w:val="24"/>
        </w:rPr>
        <w:t>(which is vacant land situated at 280-284 Phillip St, Orange and has an area of 7.606</w:t>
      </w:r>
      <w:r>
        <w:rPr>
          <w:rFonts w:ascii="Arial"/>
          <w:color w:val="000000"/>
          <w:sz w:val="24"/>
        </w:rPr>
        <w:t xml:space="preserve"> </w:t>
      </w:r>
      <w:r>
        <w:rPr>
          <w:rFonts w:ascii="Arial"/>
          <w:color w:val="000000"/>
          <w:sz w:val="24"/>
        </w:rPr>
        <w:t xml:space="preserve">ha) </w:t>
      </w:r>
      <w:r>
        <w:rPr>
          <w:rFonts w:ascii="Arial"/>
          <w:color w:val="000000"/>
          <w:sz w:val="24"/>
        </w:rPr>
        <w:t xml:space="preserve">was acquired for the purpose of a </w:t>
      </w:r>
      <w:r>
        <w:rPr>
          <w:rFonts w:ascii="Arial"/>
          <w:color w:val="000000"/>
          <w:sz w:val="24"/>
        </w:rPr>
        <w:t>C</w:t>
      </w:r>
      <w:r>
        <w:rPr>
          <w:rFonts w:ascii="Arial"/>
          <w:color w:val="000000"/>
          <w:sz w:val="24"/>
        </w:rPr>
        <w:t xml:space="preserve">ouncil project, being the Blackmans Swamp Creek Stormwater Harvesting Project (the </w:t>
      </w:r>
      <w:r>
        <w:rPr>
          <w:rFonts w:ascii="Arial"/>
          <w:b/>
          <w:color w:val="000000"/>
          <w:sz w:val="24"/>
        </w:rPr>
        <w:t>Project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The registered proprietor of the </w:t>
      </w:r>
      <w:r>
        <w:rPr>
          <w:rFonts w:ascii="Arial"/>
          <w:color w:val="000000"/>
          <w:sz w:val="24"/>
        </w:rPr>
        <w:t xml:space="preserve">Land </w:t>
      </w:r>
      <w:r>
        <w:rPr>
          <w:rFonts w:ascii="Arial"/>
          <w:color w:val="000000"/>
          <w:sz w:val="24"/>
        </w:rPr>
        <w:t>is M</w:t>
      </w:r>
      <w:r>
        <w:rPr>
          <w:rFonts w:ascii="Arial"/>
          <w:color w:val="000000"/>
          <w:sz w:val="24"/>
        </w:rPr>
        <w:t>r</w:t>
      </w:r>
      <w:r>
        <w:rPr>
          <w:rFonts w:ascii="Arial"/>
          <w:color w:val="000000"/>
          <w:sz w:val="24"/>
        </w:rPr>
        <w:t xml:space="preserve">s Alexandra </w:t>
      </w:r>
      <w:r>
        <w:rPr>
          <w:rFonts w:ascii="Arial"/>
          <w:color w:val="000000"/>
          <w:sz w:val="24"/>
        </w:rPr>
        <w:t xml:space="preserve">(Alicia) </w:t>
      </w:r>
      <w:r>
        <w:rPr>
          <w:rFonts w:ascii="Arial"/>
          <w:color w:val="000000"/>
          <w:sz w:val="24"/>
        </w:rPr>
        <w:t>Kudrynski. Although M</w:t>
      </w:r>
      <w:r>
        <w:rPr>
          <w:rFonts w:ascii="Arial"/>
          <w:color w:val="000000"/>
          <w:sz w:val="24"/>
        </w:rPr>
        <w:t>r</w:t>
      </w:r>
      <w:r>
        <w:rPr>
          <w:rFonts w:ascii="Arial"/>
          <w:color w:val="000000"/>
          <w:sz w:val="24"/>
        </w:rPr>
        <w:t>s Kudrynski</w:t>
      </w:r>
      <w:r>
        <w:rPr>
          <w:rFonts w:ascii="Arial"/>
          <w:color w:val="000000"/>
          <w:sz w:val="24"/>
        </w:rPr>
        <w:t>’</w:t>
      </w:r>
      <w:r>
        <w:rPr>
          <w:rFonts w:ascii="Arial"/>
          <w:color w:val="000000"/>
          <w:sz w:val="24"/>
        </w:rPr>
        <w:t>s husband, Mr Julius Kudrynski, is named as the second applicant and second appellant in the Class 3 application and notice of appeal respectively, as the primary judge noted at PJ[6], he does not hold a proprietary interest in the Land.</w:t>
      </w:r>
      <w:r>
        <w:rPr>
          <w:rFonts w:ascii="Arial"/>
          <w:color w:val="000000"/>
          <w:sz w:val="24"/>
        </w:rPr>
        <w:t xml:space="preserve"> </w:t>
      </w:r>
      <w:r>
        <w:rPr>
          <w:rFonts w:ascii="Arial"/>
          <w:color w:val="000000"/>
          <w:sz w:val="24"/>
        </w:rPr>
        <w:t>T</w:t>
      </w:r>
      <w:r>
        <w:rPr>
          <w:rFonts w:ascii="Arial"/>
          <w:color w:val="000000"/>
          <w:sz w:val="24"/>
        </w:rPr>
        <w:t>he Council made no formal application to have Mr Kudrynski removed as a party to the proceeding below or on appeal.</w:t>
      </w:r>
      <w:r>
        <w:rPr>
          <w:rFonts w:ascii="Arial"/>
          <w:color w:val="000000"/>
          <w:sz w:val="24"/>
        </w:rPr>
        <w:t xml:space="preserve"> </w:t>
      </w:r>
      <w:r>
        <w:rPr>
          <w:rFonts w:ascii="Arial"/>
          <w:color w:val="000000"/>
          <w:sz w:val="24"/>
        </w:rPr>
        <w:t>Moore J gave him leave to act as his wife</w:t>
      </w:r>
      <w:r>
        <w:rPr>
          <w:rFonts w:ascii="Arial"/>
          <w:color w:val="000000"/>
          <w:sz w:val="24"/>
        </w:rPr>
        <w:t>’</w:t>
      </w:r>
      <w:r>
        <w:rPr>
          <w:rFonts w:ascii="Arial"/>
          <w:color w:val="000000"/>
          <w:sz w:val="24"/>
        </w:rPr>
        <w:t xml:space="preserve">s agent in the underlying proceeding. At the commencement of argument on appeal, this Court granted Mr Kudrynski leave to make submissions on behalf of his wife. </w:t>
      </w:r>
    </w:p>
    <w:p>
      <w:pPr>
        <w:pStyle w:val="CaselawNumbered10"/>
        <w:numPr>
          <w:ilvl w:val="0"/>
          <w:numId w:val="22"/>
        </w:numPr>
        <w:spacing w:before="150" w:after="0"/>
        <w:ind w:left="600" w:hanging="600"/>
      </w:pPr>
      <w:r>
        <w:rPr>
          <w:rFonts w:ascii="Arial"/>
          <w:color w:val="000000"/>
          <w:sz w:val="24"/>
        </w:rPr>
        <w:t>These reasons for judgment are structured as follows:</w:t>
      </w:r>
    </w:p>
    <w:p>
      <w:pPr>
        <w:pStyle w:val="CaselawNumbereda"/>
        <w:numPr>
          <w:ilvl w:val="0"/>
          <w:numId w:val="23"/>
        </w:numPr>
        <w:spacing w:before="150" w:after="0"/>
        <w:ind w:left="2100" w:hanging="750"/>
      </w:pPr>
      <w:r>
        <w:rPr>
          <w:rFonts w:ascii="Arial"/>
          <w:color w:val="000000"/>
          <w:sz w:val="24"/>
        </w:rPr>
        <w:t xml:space="preserve">why </w:t>
      </w:r>
      <w:r>
        <w:rPr>
          <w:rFonts w:ascii="Arial"/>
          <w:color w:val="000000"/>
          <w:sz w:val="24"/>
        </w:rPr>
        <w:t xml:space="preserve">Mr Kudrynski </w:t>
      </w:r>
      <w:r>
        <w:rPr>
          <w:rFonts w:ascii="Arial"/>
          <w:color w:val="000000"/>
          <w:sz w:val="24"/>
        </w:rPr>
        <w:t xml:space="preserve">was given leave to make submissions on behalf of </w:t>
      </w:r>
      <w:r>
        <w:rPr>
          <w:rFonts w:ascii="Arial"/>
          <w:color w:val="000000"/>
          <w:sz w:val="24"/>
        </w:rPr>
        <w:t>his wife;</w:t>
      </w:r>
    </w:p>
    <w:p>
      <w:pPr>
        <w:pStyle w:val="CaselawNumbereda"/>
        <w:numPr>
          <w:ilvl w:val="0"/>
          <w:numId w:val="23"/>
        </w:numPr>
        <w:spacing w:before="150" w:after="0"/>
        <w:ind w:left="2100" w:hanging="750"/>
      </w:pPr>
      <w:r>
        <w:rPr>
          <w:rFonts w:ascii="Arial"/>
          <w:color w:val="000000"/>
          <w:sz w:val="24"/>
        </w:rPr>
        <w:t>some preliminary procedural issues;</w:t>
      </w:r>
    </w:p>
    <w:p>
      <w:pPr>
        <w:pStyle w:val="CaselawNumbereda"/>
        <w:numPr>
          <w:ilvl w:val="0"/>
          <w:numId w:val="23"/>
        </w:numPr>
        <w:spacing w:before="150" w:after="0"/>
        <w:ind w:left="2100" w:hanging="750"/>
      </w:pPr>
      <w:r>
        <w:rPr>
          <w:rFonts w:ascii="Arial"/>
          <w:color w:val="000000"/>
          <w:sz w:val="24"/>
        </w:rPr>
        <w:t>summary of background facts;</w:t>
      </w:r>
    </w:p>
    <w:p>
      <w:pPr>
        <w:pStyle w:val="CaselawNumbereda"/>
        <w:numPr>
          <w:ilvl w:val="0"/>
          <w:numId w:val="23"/>
        </w:numPr>
        <w:spacing w:before="150" w:after="0"/>
        <w:ind w:left="2100" w:hanging="750"/>
      </w:pPr>
      <w:r>
        <w:rPr>
          <w:rFonts w:ascii="Arial"/>
          <w:color w:val="000000"/>
          <w:sz w:val="24"/>
        </w:rPr>
        <w:t>the primary judge</w:t>
      </w:r>
      <w:r>
        <w:rPr>
          <w:rFonts w:ascii="Arial"/>
          <w:color w:val="000000"/>
          <w:sz w:val="24"/>
        </w:rPr>
        <w:t>’</w:t>
      </w:r>
      <w:r>
        <w:rPr>
          <w:rFonts w:ascii="Arial"/>
          <w:color w:val="000000"/>
          <w:sz w:val="24"/>
        </w:rPr>
        <w:t>s reasons for judgment summarised;</w:t>
      </w:r>
    </w:p>
    <w:p>
      <w:pPr>
        <w:pStyle w:val="CaselawNumbereda"/>
        <w:numPr>
          <w:ilvl w:val="0"/>
          <w:numId w:val="23"/>
        </w:numPr>
        <w:spacing w:before="150" w:after="0"/>
        <w:ind w:left="2100" w:hanging="750"/>
      </w:pPr>
      <w:r>
        <w:rPr>
          <w:rFonts w:ascii="Arial"/>
          <w:color w:val="000000"/>
          <w:sz w:val="24"/>
        </w:rPr>
        <w:t>some issues with the notice of appeal;</w:t>
      </w:r>
    </w:p>
    <w:p>
      <w:pPr>
        <w:pStyle w:val="CaselawNumbereda"/>
        <w:numPr>
          <w:ilvl w:val="0"/>
          <w:numId w:val="23"/>
        </w:numPr>
        <w:spacing w:before="150" w:after="0"/>
        <w:ind w:left="2100" w:hanging="750"/>
      </w:pPr>
      <w:r>
        <w:rPr>
          <w:rFonts w:ascii="Arial"/>
          <w:color w:val="000000"/>
          <w:sz w:val="24"/>
        </w:rPr>
        <w:t xml:space="preserve">consideration and </w:t>
      </w:r>
      <w:r>
        <w:rPr>
          <w:rFonts w:ascii="Arial"/>
          <w:color w:val="000000"/>
          <w:sz w:val="24"/>
        </w:rPr>
        <w:t xml:space="preserve">disposition </w:t>
      </w:r>
      <w:r>
        <w:rPr>
          <w:rFonts w:ascii="Arial"/>
          <w:color w:val="000000"/>
          <w:sz w:val="24"/>
        </w:rPr>
        <w:t xml:space="preserve">of the appeal; and </w:t>
      </w:r>
    </w:p>
    <w:p>
      <w:pPr>
        <w:pStyle w:val="CaselawNumbereda"/>
        <w:numPr>
          <w:ilvl w:val="0"/>
          <w:numId w:val="23"/>
        </w:numPr>
        <w:spacing w:before="150" w:after="0"/>
        <w:ind w:left="2100" w:hanging="750"/>
      </w:pPr>
      <w:r>
        <w:rPr>
          <w:rFonts w:ascii="Arial"/>
          <w:color w:val="000000"/>
          <w:sz w:val="24"/>
        </w:rPr>
        <w:t>conclusion.</w:t>
      </w:r>
    </w:p>
    <w:p>
      <w:pPr>
        <w:pStyle w:val="CaselawHeading2"/>
        <w:keepNext/>
        <w:spacing w:before="150" w:after="150" w:line="264"/>
        <w:ind w:left="0"/>
        <w:jc w:val="left"/>
      </w:pPr>
      <w:r>
        <w:rPr>
          <w:rFonts w:ascii="Arial"/>
        </w:rPr>
        <w:t>(a)</w:t>
      </w:r>
      <w:r>
        <w:rPr>
          <w:rFonts w:ascii="Arial"/>
        </w:rPr>
        <w:t>   </w:t>
      </w:r>
      <w:r>
        <w:rPr>
          <w:rFonts w:ascii="Arial"/>
        </w:rPr>
        <w:t>Why Mr Kudrynski was given leave to make submissions on behalf of his wife</w:t>
      </w:r>
    </w:p>
    <w:p>
      <w:pPr>
        <w:pStyle w:val="CaselawNumbered10"/>
        <w:numPr>
          <w:ilvl w:val="0"/>
          <w:numId w:val="24"/>
        </w:numPr>
        <w:spacing w:before="150" w:after="0"/>
        <w:ind w:left="600" w:hanging="600"/>
      </w:pPr>
      <w:r>
        <w:rPr>
          <w:rFonts w:ascii="Arial"/>
          <w:color w:val="000000"/>
          <w:sz w:val="24"/>
        </w:rPr>
        <w:t>Mr Kudrynski has no legal or valuation qualifications or expertise</w:t>
      </w:r>
      <w:r>
        <w:rPr>
          <w:rFonts w:ascii="Arial"/>
          <w:color w:val="000000"/>
          <w:sz w:val="24"/>
        </w:rPr>
        <w:t>. He is aged in his late 70s, has suffered at least two strokes</w:t>
      </w:r>
      <w:r>
        <w:rPr>
          <w:rFonts w:ascii="Arial"/>
          <w:color w:val="000000"/>
          <w:sz w:val="24"/>
        </w:rPr>
        <w:t xml:space="preserve"> </w:t>
      </w:r>
      <w:r>
        <w:rPr>
          <w:rFonts w:ascii="Arial"/>
          <w:color w:val="000000"/>
          <w:sz w:val="24"/>
        </w:rPr>
        <w:t>and he says he sometimes has memory issues.</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 xml:space="preserve">No objection was taken by the Council to Mr Kudrynski </w:t>
      </w:r>
      <w:r>
        <w:rPr>
          <w:rFonts w:ascii="Arial"/>
          <w:color w:val="000000"/>
          <w:sz w:val="24"/>
        </w:rPr>
        <w:t>appearing for his wife</w:t>
      </w:r>
      <w:r>
        <w:rPr>
          <w:rFonts w:ascii="Arial"/>
          <w:color w:val="000000"/>
          <w:sz w:val="24"/>
        </w:rPr>
        <w:t xml:space="preserve"> </w:t>
      </w:r>
      <w:r>
        <w:rPr>
          <w:rFonts w:ascii="Arial"/>
          <w:color w:val="000000"/>
          <w:sz w:val="24"/>
        </w:rPr>
        <w:t xml:space="preserve">in the appeal (however, he requires further leave to do so). Many of the principles guiding the exercise of the discretion to grant or refuse leave to an unqualified person to appear on behalf of an unrepresented litigant are summarised in </w:t>
      </w:r>
      <w:r>
        <w:rPr>
          <w:rFonts w:ascii="Arial"/>
          <w:i/>
          <w:color w:val="000000"/>
          <w:sz w:val="24"/>
        </w:rPr>
        <w:t xml:space="preserve">Damjanovic v Maley </w:t>
      </w:r>
      <w:r>
        <w:rPr>
          <w:rFonts w:ascii="Arial"/>
          <w:color w:val="000000"/>
          <w:sz w:val="24"/>
        </w:rPr>
        <w:t xml:space="preserve">(2002) 55 NSWLR 149; [2002] NSWCA 230 at [69]-[86] per Stein JA, with whom Mason P and Sheller JA agreed. As Stein JA stated at [82], the authorities suggest </w:t>
      </w:r>
      <w:r>
        <w:rPr>
          <w:rFonts w:ascii="Arial"/>
          <w:color w:val="000000"/>
          <w:sz w:val="24"/>
        </w:rPr>
        <w:t>“</w:t>
      </w:r>
      <w:r>
        <w:rPr>
          <w:rFonts w:ascii="Arial"/>
          <w:color w:val="000000"/>
          <w:sz w:val="24"/>
        </w:rPr>
        <w:t>that higher courts should be very chary at giving leave</w:t>
      </w:r>
      <w:r>
        <w:rPr>
          <w:rFonts w:ascii="Arial"/>
          <w:color w:val="000000"/>
          <w:sz w:val="24"/>
        </w:rPr>
        <w:t>”</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In my view, in the particular circumstances here, where the appeal is not one of significant complexity,</w:t>
      </w:r>
      <w:r>
        <w:rPr>
          <w:rFonts w:ascii="Arial"/>
          <w:color w:val="000000"/>
          <w:sz w:val="24"/>
        </w:rPr>
        <w:t xml:space="preserve"> </w:t>
      </w:r>
      <w:r>
        <w:rPr>
          <w:rFonts w:ascii="Arial"/>
          <w:color w:val="000000"/>
          <w:sz w:val="24"/>
        </w:rPr>
        <w:t>it was appropriate to grant</w:t>
      </w:r>
      <w:r>
        <w:rPr>
          <w:rFonts w:ascii="Arial"/>
          <w:color w:val="000000"/>
          <w:sz w:val="24"/>
        </w:rPr>
        <w:t xml:space="preserve"> </w:t>
      </w:r>
      <w:r>
        <w:rPr>
          <w:rFonts w:ascii="Arial"/>
          <w:color w:val="000000"/>
          <w:sz w:val="24"/>
        </w:rPr>
        <w:t>leave.</w:t>
      </w:r>
      <w:r>
        <w:rPr>
          <w:rFonts w:ascii="Arial"/>
          <w:color w:val="000000"/>
          <w:sz w:val="24"/>
        </w:rPr>
        <w:t xml:space="preserve"> </w:t>
      </w:r>
      <w:r>
        <w:rPr>
          <w:rFonts w:ascii="Arial"/>
          <w:color w:val="000000"/>
          <w:sz w:val="24"/>
        </w:rPr>
        <w:t xml:space="preserve">As an appellant in his own right, Mr Kudrynski </w:t>
      </w:r>
      <w:r>
        <w:rPr>
          <w:rFonts w:ascii="Arial"/>
          <w:color w:val="000000"/>
          <w:sz w:val="24"/>
        </w:rPr>
        <w:t>is</w:t>
      </w:r>
      <w:r>
        <w:rPr>
          <w:rFonts w:ascii="Arial"/>
          <w:color w:val="000000"/>
          <w:sz w:val="24"/>
        </w:rPr>
        <w:t xml:space="preserve"> </w:t>
      </w:r>
      <w:r>
        <w:rPr>
          <w:rFonts w:ascii="Arial"/>
          <w:color w:val="000000"/>
          <w:sz w:val="24"/>
        </w:rPr>
        <w:t xml:space="preserve">entitled to represent himself without the need for </w:t>
      </w:r>
      <w:r>
        <w:rPr>
          <w:rFonts w:ascii="Arial"/>
          <w:color w:val="000000"/>
          <w:sz w:val="24"/>
        </w:rPr>
        <w:t xml:space="preserve">leave, and in that capacity could speak for his wife, assuming their ownership interests were the same. However, although he is named as an appellant, Mr Kudrynski has no legal interest in the compulsorily acquired land. Nevertheless, it is apparent from the way in which the underlying proceedings and appeal have been conducted that he and his wife treated the property as </w:t>
      </w:r>
      <w:r>
        <w:rPr>
          <w:rFonts w:ascii="Arial"/>
          <w:color w:val="000000"/>
          <w:sz w:val="24"/>
        </w:rPr>
        <w:t>“</w:t>
      </w:r>
      <w:r>
        <w:rPr>
          <w:rFonts w:ascii="Arial"/>
          <w:color w:val="000000"/>
          <w:sz w:val="24"/>
        </w:rPr>
        <w:t>theirs</w:t>
      </w:r>
      <w:r>
        <w:rPr>
          <w:rFonts w:ascii="Arial"/>
          <w:color w:val="000000"/>
          <w:sz w:val="24"/>
        </w:rPr>
        <w:t>”</w:t>
      </w:r>
      <w:r>
        <w:rPr>
          <w:rFonts w:ascii="Arial"/>
          <w:color w:val="000000"/>
          <w:sz w:val="24"/>
        </w:rPr>
        <w:t xml:space="preserve">. In that circumstance, his wife being present at his side during the hearing and consenting to his making argument on her behalf, the Court granted leave for Mr </w:t>
      </w:r>
      <w:r>
        <w:rPr>
          <w:rFonts w:ascii="Arial"/>
          <w:color w:val="000000"/>
          <w:sz w:val="24"/>
        </w:rPr>
        <w:t>Kudrynski</w:t>
      </w:r>
      <w:r>
        <w:rPr>
          <w:rFonts w:ascii="Arial"/>
          <w:color w:val="000000"/>
          <w:sz w:val="24"/>
        </w:rPr>
        <w:t xml:space="preserve"> </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represent his wife</w:t>
      </w:r>
      <w:r>
        <w:rPr>
          <w:rFonts w:ascii="Arial"/>
          <w:color w:val="000000"/>
          <w:sz w:val="24"/>
        </w:rPr>
        <w:t>. The Court also took into account that</w:t>
      </w:r>
      <w:r>
        <w:rPr>
          <w:rFonts w:ascii="Arial"/>
          <w:color w:val="000000"/>
          <w:sz w:val="24"/>
        </w:rPr>
        <w:t xml:space="preserve"> </w:t>
      </w:r>
      <w:r>
        <w:rPr>
          <w:rFonts w:ascii="Arial"/>
          <w:color w:val="000000"/>
          <w:sz w:val="24"/>
        </w:rPr>
        <w:t>the Council did not object to Mr Kudrynski presenting the appeal</w:t>
      </w:r>
      <w:r>
        <w:rPr>
          <w:rFonts w:ascii="Arial"/>
          <w:color w:val="000000"/>
          <w:sz w:val="24"/>
        </w:rPr>
        <w:t xml:space="preserve"> </w:t>
      </w:r>
      <w:r>
        <w:rPr>
          <w:rFonts w:ascii="Arial"/>
          <w:color w:val="000000"/>
          <w:sz w:val="24"/>
        </w:rPr>
        <w:t>on behalf of both himself and his wife</w:t>
      </w:r>
      <w:r>
        <w:rPr>
          <w:rFonts w:ascii="Arial"/>
          <w:color w:val="000000"/>
          <w:sz w:val="24"/>
        </w:rPr>
        <w:t>;</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he had obtained leave to act as agent in the proceeding below; </w:t>
      </w:r>
      <w:r>
        <w:rPr>
          <w:rFonts w:ascii="Arial"/>
          <w:color w:val="000000"/>
          <w:sz w:val="24"/>
        </w:rPr>
        <w:t xml:space="preserve">that </w:t>
      </w:r>
      <w:r>
        <w:rPr>
          <w:rFonts w:ascii="Arial"/>
          <w:color w:val="000000"/>
          <w:sz w:val="24"/>
        </w:rPr>
        <w:t xml:space="preserve">he was </w:t>
      </w:r>
      <w:r>
        <w:rPr>
          <w:rFonts w:ascii="Arial"/>
          <w:color w:val="000000"/>
          <w:sz w:val="24"/>
        </w:rPr>
        <w:t xml:space="preserve">well </w:t>
      </w:r>
      <w:r>
        <w:rPr>
          <w:rFonts w:ascii="Arial"/>
          <w:color w:val="000000"/>
          <w:sz w:val="24"/>
        </w:rPr>
        <w:t>familiar with the background to the matter</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had</w:t>
      </w:r>
      <w:r>
        <w:rPr>
          <w:rFonts w:ascii="Arial"/>
          <w:color w:val="000000"/>
          <w:sz w:val="24"/>
        </w:rPr>
        <w:t xml:space="preserve"> </w:t>
      </w:r>
      <w:r>
        <w:rPr>
          <w:rFonts w:ascii="Arial"/>
          <w:color w:val="000000"/>
          <w:sz w:val="24"/>
        </w:rPr>
        <w:t>prepared both the notice of appeal and written submissions.</w:t>
      </w:r>
      <w:r>
        <w:rPr>
          <w:rFonts w:ascii="Arial"/>
          <w:color w:val="000000"/>
          <w:sz w:val="24"/>
        </w:rPr>
        <w:t xml:space="preserve"> </w:t>
      </w:r>
      <w:r>
        <w:rPr>
          <w:rFonts w:ascii="Arial"/>
          <w:color w:val="000000"/>
          <w:sz w:val="24"/>
        </w:rPr>
        <w:t xml:space="preserve">Although leave to appear </w:t>
      </w:r>
      <w:r>
        <w:rPr>
          <w:rFonts w:ascii="Arial"/>
          <w:color w:val="000000"/>
          <w:sz w:val="24"/>
        </w:rPr>
        <w:t>as a non-legal practitioner for another person</w:t>
      </w:r>
      <w:r>
        <w:rPr>
          <w:rFonts w:ascii="Arial"/>
          <w:color w:val="000000"/>
          <w:sz w:val="24"/>
        </w:rPr>
        <w:t xml:space="preserve"> </w:t>
      </w:r>
      <w:r>
        <w:rPr>
          <w:rFonts w:ascii="Arial"/>
          <w:color w:val="000000"/>
          <w:sz w:val="24"/>
        </w:rPr>
        <w:t xml:space="preserve">should </w:t>
      </w:r>
      <w:r>
        <w:rPr>
          <w:rFonts w:ascii="Arial"/>
          <w:color w:val="000000"/>
          <w:sz w:val="24"/>
        </w:rPr>
        <w:t xml:space="preserve">not be given as a matter of course in a higher court, </w:t>
      </w:r>
      <w:r>
        <w:rPr>
          <w:rFonts w:ascii="Arial"/>
          <w:color w:val="000000"/>
          <w:sz w:val="24"/>
        </w:rPr>
        <w:t>that consideration should not be determinative where</w:t>
      </w:r>
      <w:r>
        <w:rPr>
          <w:rFonts w:ascii="Arial"/>
          <w:color w:val="000000"/>
          <w:sz w:val="24"/>
        </w:rPr>
        <w:t>, as here,</w:t>
      </w:r>
      <w:r>
        <w:rPr>
          <w:rFonts w:ascii="Arial"/>
          <w:color w:val="000000"/>
          <w:sz w:val="24"/>
        </w:rPr>
        <w:t xml:space="preserve"> </w:t>
      </w:r>
      <w:r>
        <w:rPr>
          <w:rFonts w:ascii="Arial"/>
          <w:color w:val="000000"/>
          <w:sz w:val="24"/>
        </w:rPr>
        <w:t xml:space="preserve">the relevant litigant would otherwise remain unrepresented and has consented to </w:t>
      </w:r>
      <w:r>
        <w:rPr>
          <w:rFonts w:ascii="Arial"/>
          <w:color w:val="000000"/>
          <w:sz w:val="24"/>
        </w:rPr>
        <w:t>her spouse</w:t>
      </w:r>
      <w:r>
        <w:rPr>
          <w:rFonts w:ascii="Arial"/>
          <w:color w:val="000000"/>
          <w:sz w:val="24"/>
        </w:rPr>
        <w:t xml:space="preserve"> </w:t>
      </w:r>
      <w:r>
        <w:rPr>
          <w:rFonts w:ascii="Arial"/>
          <w:color w:val="000000"/>
          <w:sz w:val="24"/>
        </w:rPr>
        <w:t>making arguments on her behalf</w:t>
      </w:r>
      <w:r>
        <w:rPr>
          <w:rFonts w:ascii="Arial"/>
          <w:color w:val="000000"/>
          <w:sz w:val="24"/>
        </w:rPr>
        <w:t>,</w:t>
      </w:r>
      <w:r>
        <w:rPr>
          <w:rFonts w:ascii="Arial"/>
          <w:color w:val="000000"/>
          <w:sz w:val="24"/>
        </w:rPr>
        <w:t xml:space="preserve"> </w:t>
      </w:r>
      <w:r>
        <w:rPr>
          <w:rFonts w:ascii="Arial"/>
          <w:color w:val="000000"/>
          <w:sz w:val="24"/>
        </w:rPr>
        <w:t xml:space="preserve">is present when </w:t>
      </w:r>
      <w:r>
        <w:rPr>
          <w:rFonts w:ascii="Arial"/>
          <w:color w:val="000000"/>
          <w:sz w:val="24"/>
        </w:rPr>
        <w:t>this occurs</w:t>
      </w:r>
      <w:r>
        <w:rPr>
          <w:rFonts w:ascii="Arial"/>
          <w:color w:val="000000"/>
          <w:sz w:val="24"/>
        </w:rPr>
        <w:t>, and they have a common interest in the subject</w:t>
      </w:r>
      <w:r>
        <w:rPr>
          <w:rFonts w:ascii="Arial"/>
          <w:color w:val="000000"/>
          <w:sz w:val="24"/>
        </w:rPr>
        <w:t xml:space="preserve"> </w:t>
      </w:r>
      <w:r>
        <w:rPr>
          <w:rFonts w:ascii="Arial"/>
          <w:color w:val="000000"/>
          <w:sz w:val="24"/>
        </w:rPr>
        <w:t>matter and outcome of the proceeding</w:t>
      </w:r>
      <w:r>
        <w:rPr>
          <w:rFonts w:ascii="Arial"/>
          <w:color w:val="000000"/>
          <w:sz w:val="24"/>
        </w:rPr>
        <w:t>.</w:t>
      </w:r>
    </w:p>
    <w:p>
      <w:pPr>
        <w:pStyle w:val="CaselawHeading2"/>
        <w:keepNext/>
        <w:spacing w:before="150" w:after="150" w:line="264"/>
        <w:ind w:left="0"/>
        <w:jc w:val="left"/>
      </w:pPr>
      <w:r>
        <w:rPr>
          <w:rFonts w:ascii="Arial"/>
        </w:rPr>
        <w:t>(b)</w:t>
      </w:r>
      <w:r>
        <w:rPr>
          <w:rFonts w:ascii="Arial"/>
        </w:rPr>
        <w:t xml:space="preserve"> </w:t>
      </w:r>
      <w:r>
        <w:rPr>
          <w:rFonts w:ascii="Arial"/>
        </w:rPr>
        <w:t>   </w:t>
      </w:r>
      <w:r>
        <w:rPr>
          <w:rFonts w:ascii="Arial"/>
        </w:rPr>
        <w:t>Some preliminary procedural issues</w:t>
      </w:r>
    </w:p>
    <w:p>
      <w:pPr>
        <w:pStyle w:val="CaselawNumbered10"/>
        <w:numPr>
          <w:ilvl w:val="0"/>
          <w:numId w:val="25"/>
        </w:numPr>
        <w:spacing w:before="150" w:after="0"/>
        <w:ind w:left="600" w:hanging="600"/>
      </w:pPr>
      <w:r>
        <w:rPr>
          <w:rFonts w:ascii="Arial"/>
          <w:color w:val="000000"/>
          <w:sz w:val="24"/>
        </w:rPr>
        <w:t>On the appeal, Mr Kudrynski appeared by audio-visual link (</w:t>
      </w:r>
      <w:r>
        <w:rPr>
          <w:rFonts w:ascii="Arial"/>
          <w:b/>
          <w:color w:val="000000"/>
          <w:sz w:val="24"/>
        </w:rPr>
        <w:t>AVL</w:t>
      </w:r>
      <w:r>
        <w:rPr>
          <w:rFonts w:ascii="Arial"/>
          <w:color w:val="000000"/>
          <w:sz w:val="24"/>
        </w:rPr>
        <w:t xml:space="preserve">). He complained that he was not aware that the appeal would be heard </w:t>
      </w:r>
      <w:r>
        <w:rPr>
          <w:rFonts w:ascii="Arial"/>
          <w:color w:val="000000"/>
          <w:sz w:val="24"/>
        </w:rPr>
        <w:t>on 15 February 2024</w:t>
      </w:r>
      <w:r>
        <w:rPr>
          <w:rFonts w:ascii="Arial"/>
          <w:color w:val="000000"/>
          <w:sz w:val="24"/>
        </w:rPr>
        <w:t xml:space="preserve">. He also complained that when he tried to file </w:t>
      </w:r>
      <w:r>
        <w:rPr>
          <w:rFonts w:ascii="Arial"/>
          <w:color w:val="000000"/>
          <w:sz w:val="24"/>
        </w:rPr>
        <w:t>some</w:t>
      </w:r>
      <w:r>
        <w:rPr>
          <w:rFonts w:ascii="Arial"/>
          <w:color w:val="000000"/>
          <w:sz w:val="24"/>
        </w:rPr>
        <w:t xml:space="preserve"> </w:t>
      </w:r>
      <w:r>
        <w:rPr>
          <w:rFonts w:ascii="Arial"/>
          <w:color w:val="000000"/>
          <w:sz w:val="24"/>
        </w:rPr>
        <w:t>appeal books on or before 16 October 2023, as directed, they had been rejected</w:t>
      </w:r>
      <w:r>
        <w:rPr>
          <w:rFonts w:ascii="Arial"/>
          <w:color w:val="000000"/>
          <w:sz w:val="24"/>
        </w:rPr>
        <w:t xml:space="preserve"> </w:t>
      </w:r>
      <w:r>
        <w:rPr>
          <w:rFonts w:ascii="Arial"/>
          <w:color w:val="000000"/>
          <w:sz w:val="24"/>
        </w:rPr>
        <w:t xml:space="preserve">by the Court. He acknowledged that the respondent had filed </w:t>
      </w:r>
      <w:r>
        <w:rPr>
          <w:rFonts w:ascii="Arial"/>
          <w:color w:val="000000"/>
          <w:sz w:val="24"/>
        </w:rPr>
        <w:t>supplementary red</w:t>
      </w:r>
      <w:r>
        <w:rPr>
          <w:rFonts w:ascii="Arial"/>
          <w:color w:val="000000"/>
          <w:sz w:val="24"/>
        </w:rPr>
        <w:t xml:space="preserve">, </w:t>
      </w:r>
      <w:r>
        <w:rPr>
          <w:rFonts w:ascii="Arial"/>
          <w:color w:val="000000"/>
          <w:sz w:val="24"/>
        </w:rPr>
        <w:t>blue</w:t>
      </w:r>
      <w:r>
        <w:rPr>
          <w:rFonts w:ascii="Arial"/>
          <w:color w:val="000000"/>
          <w:sz w:val="24"/>
        </w:rPr>
        <w:t xml:space="preserve">, </w:t>
      </w:r>
      <w:r>
        <w:rPr>
          <w:rFonts w:ascii="Arial"/>
          <w:color w:val="000000"/>
          <w:sz w:val="24"/>
        </w:rPr>
        <w:t xml:space="preserve">black </w:t>
      </w:r>
      <w:r>
        <w:rPr>
          <w:rFonts w:ascii="Arial"/>
          <w:color w:val="000000"/>
          <w:sz w:val="24"/>
        </w:rPr>
        <w:t xml:space="preserve">and </w:t>
      </w:r>
      <w:r>
        <w:rPr>
          <w:rFonts w:ascii="Arial"/>
          <w:color w:val="000000"/>
          <w:sz w:val="24"/>
        </w:rPr>
        <w:t xml:space="preserve">orange appeal books </w:t>
      </w:r>
      <w:r>
        <w:rPr>
          <w:rFonts w:ascii="Arial"/>
          <w:color w:val="000000"/>
          <w:sz w:val="24"/>
        </w:rPr>
        <w:t>on 22 January 2024</w:t>
      </w:r>
      <w:r>
        <w:rPr>
          <w:rFonts w:ascii="Arial"/>
          <w:color w:val="000000"/>
          <w:sz w:val="24"/>
        </w:rPr>
        <w:t xml:space="preserve"> </w:t>
      </w:r>
      <w:r>
        <w:rPr>
          <w:rFonts w:ascii="Arial"/>
          <w:color w:val="000000"/>
          <w:sz w:val="24"/>
        </w:rPr>
        <w:t xml:space="preserve">and </w:t>
      </w:r>
      <w:r>
        <w:rPr>
          <w:rFonts w:ascii="Arial"/>
          <w:color w:val="000000"/>
          <w:sz w:val="24"/>
        </w:rPr>
        <w:t>29 January</w:t>
      </w:r>
      <w:r>
        <w:rPr>
          <w:rFonts w:ascii="Arial"/>
          <w:color w:val="000000"/>
          <w:sz w:val="24"/>
        </w:rPr>
        <w:t xml:space="preserve"> </w:t>
      </w:r>
      <w:r>
        <w:rPr>
          <w:rFonts w:ascii="Arial"/>
          <w:color w:val="000000"/>
          <w:sz w:val="24"/>
        </w:rPr>
        <w:t>2024</w:t>
      </w:r>
      <w:r>
        <w:rPr>
          <w:rFonts w:ascii="Arial"/>
          <w:color w:val="000000"/>
          <w:sz w:val="24"/>
        </w:rPr>
        <w:t xml:space="preserve">, and that he had been served with copies of those materials. He submitted, however, that these </w:t>
      </w:r>
      <w:r>
        <w:rPr>
          <w:rFonts w:ascii="Arial"/>
          <w:color w:val="000000"/>
          <w:sz w:val="24"/>
        </w:rPr>
        <w:t xml:space="preserve">supplementary appeal books </w:t>
      </w:r>
      <w:r>
        <w:rPr>
          <w:rFonts w:ascii="Arial"/>
          <w:color w:val="000000"/>
          <w:sz w:val="24"/>
        </w:rPr>
        <w:t>needed to be authenticated</w:t>
      </w:r>
      <w:r>
        <w:rPr>
          <w:rFonts w:ascii="Arial"/>
          <w:color w:val="000000"/>
          <w:sz w:val="24"/>
        </w:rPr>
        <w:t>.</w:t>
      </w:r>
      <w:r>
        <w:rPr>
          <w:rFonts w:ascii="Arial"/>
          <w:color w:val="000000"/>
          <w:sz w:val="24"/>
        </w:rPr>
        <w:t xml:space="preserve"> </w:t>
      </w:r>
      <w:r>
        <w:rPr>
          <w:rFonts w:ascii="Arial"/>
          <w:color w:val="000000"/>
          <w:sz w:val="24"/>
        </w:rPr>
        <w:t>At this point in the appeal, the Court took a brief adjournment</w:t>
      </w:r>
      <w:r>
        <w:rPr>
          <w:rFonts w:ascii="Arial"/>
          <w:color w:val="000000"/>
          <w:sz w:val="24"/>
        </w:rPr>
        <w:t xml:space="preserve">. When </w:t>
      </w:r>
      <w:r>
        <w:rPr>
          <w:rFonts w:ascii="Arial"/>
          <w:color w:val="000000"/>
          <w:sz w:val="24"/>
        </w:rPr>
        <w:t>the hearing resumed</w:t>
      </w:r>
      <w:r>
        <w:rPr>
          <w:rFonts w:ascii="Arial"/>
          <w:color w:val="000000"/>
          <w:sz w:val="24"/>
        </w:rPr>
        <w:t xml:space="preserve">, </w:t>
      </w:r>
      <w:r>
        <w:rPr>
          <w:rFonts w:ascii="Arial"/>
          <w:color w:val="000000"/>
          <w:sz w:val="24"/>
        </w:rPr>
        <w:t>Mr Kudrynski proceeded to make oral submissions</w:t>
      </w:r>
      <w:r>
        <w:rPr>
          <w:rFonts w:ascii="Arial"/>
          <w:color w:val="000000"/>
          <w:sz w:val="24"/>
        </w:rPr>
        <w:t xml:space="preserve"> </w:t>
      </w:r>
      <w:r>
        <w:rPr>
          <w:rFonts w:ascii="Arial"/>
          <w:color w:val="000000"/>
          <w:sz w:val="24"/>
        </w:rPr>
        <w:t>in support of his appeal. He did not seek to have the hearing vacated.</w:t>
      </w:r>
    </w:p>
    <w:p>
      <w:pPr>
        <w:pStyle w:val="CaselawNumbered10"/>
        <w:numPr>
          <w:ilvl w:val="0"/>
          <w:numId w:val="25"/>
        </w:numPr>
        <w:spacing w:before="150" w:after="0"/>
        <w:ind w:left="600" w:hanging="600"/>
      </w:pPr>
      <w:r>
        <w:rPr>
          <w:rFonts w:ascii="Arial"/>
          <w:color w:val="000000"/>
          <w:sz w:val="24"/>
        </w:rPr>
        <w:t xml:space="preserve">In his oral submissions, Mr Kudrynski returned several times to complain that his appeal books had been rejected and that he was not aware until very recently that the hearing would </w:t>
      </w:r>
      <w:r>
        <w:rPr>
          <w:rFonts w:ascii="Arial"/>
          <w:color w:val="000000"/>
          <w:sz w:val="24"/>
        </w:rPr>
        <w:t>proceed as fixed</w:t>
      </w:r>
      <w:r>
        <w:rPr>
          <w:rFonts w:ascii="Arial"/>
          <w:color w:val="000000"/>
          <w:sz w:val="24"/>
        </w:rPr>
        <w:t xml:space="preserve">. The Court then took a further adjournment to allow the parties to review any relevant correspondence and other matters relating to these </w:t>
      </w:r>
      <w:r>
        <w:rPr>
          <w:rFonts w:ascii="Arial"/>
          <w:color w:val="000000"/>
          <w:sz w:val="24"/>
        </w:rPr>
        <w:t>complaints</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 xml:space="preserve">When the hearing resumed </w:t>
      </w:r>
      <w:r>
        <w:rPr>
          <w:rFonts w:ascii="Arial"/>
          <w:color w:val="000000"/>
          <w:sz w:val="24"/>
        </w:rPr>
        <w:t>in the afternoon</w:t>
      </w:r>
      <w:r>
        <w:rPr>
          <w:rFonts w:ascii="Arial"/>
          <w:color w:val="000000"/>
          <w:sz w:val="24"/>
        </w:rPr>
        <w:t xml:space="preserve"> </w:t>
      </w:r>
      <w:r>
        <w:rPr>
          <w:rFonts w:ascii="Arial"/>
          <w:color w:val="000000"/>
          <w:sz w:val="24"/>
        </w:rPr>
        <w:t xml:space="preserve">the </w:t>
      </w:r>
      <w:r>
        <w:rPr>
          <w:rFonts w:ascii="Arial"/>
          <w:color w:val="000000"/>
          <w:sz w:val="24"/>
        </w:rPr>
        <w:t>Council tendered</w:t>
      </w:r>
      <w:r>
        <w:rPr>
          <w:rFonts w:ascii="Arial"/>
          <w:color w:val="000000"/>
          <w:sz w:val="24"/>
        </w:rPr>
        <w:t xml:space="preserve"> </w:t>
      </w:r>
      <w:r>
        <w:rPr>
          <w:rFonts w:ascii="Arial"/>
          <w:color w:val="000000"/>
          <w:sz w:val="24"/>
        </w:rPr>
        <w:t xml:space="preserve">a bundle of correspondence and other </w:t>
      </w:r>
      <w:r>
        <w:rPr>
          <w:rFonts w:ascii="Arial"/>
          <w:color w:val="000000"/>
          <w:sz w:val="24"/>
        </w:rPr>
        <w:t>documents</w:t>
      </w:r>
      <w:r>
        <w:rPr>
          <w:rFonts w:ascii="Arial"/>
          <w:color w:val="000000"/>
          <w:sz w:val="24"/>
        </w:rPr>
        <w:t xml:space="preserve"> </w:t>
      </w:r>
      <w:r>
        <w:rPr>
          <w:rFonts w:ascii="Arial"/>
          <w:color w:val="000000"/>
          <w:sz w:val="24"/>
        </w:rPr>
        <w:t xml:space="preserve">relating to </w:t>
      </w:r>
      <w:r>
        <w:rPr>
          <w:rFonts w:ascii="Arial"/>
          <w:color w:val="000000"/>
          <w:sz w:val="24"/>
        </w:rPr>
        <w:t>whether Mr Kudrynski had sufficient notice in advance of the hearing date. That bundle</w:t>
      </w:r>
      <w:r>
        <w:rPr>
          <w:rFonts w:ascii="Arial"/>
          <w:color w:val="000000"/>
          <w:sz w:val="24"/>
        </w:rPr>
        <w:t xml:space="preserve"> </w:t>
      </w:r>
      <w:r>
        <w:rPr>
          <w:rFonts w:ascii="Arial"/>
          <w:color w:val="000000"/>
          <w:sz w:val="24"/>
        </w:rPr>
        <w:t xml:space="preserve">became </w:t>
      </w:r>
      <w:r>
        <w:rPr>
          <w:rFonts w:ascii="Arial"/>
          <w:color w:val="000000"/>
          <w:sz w:val="24"/>
        </w:rPr>
        <w:t>E</w:t>
      </w:r>
      <w:r>
        <w:rPr>
          <w:rFonts w:ascii="Arial"/>
          <w:color w:val="000000"/>
          <w:sz w:val="24"/>
        </w:rPr>
        <w:t>xhibit A in the appeal. In brief, this material</w:t>
      </w:r>
      <w:r>
        <w:rPr>
          <w:rFonts w:ascii="Arial"/>
          <w:color w:val="000000"/>
          <w:sz w:val="24"/>
        </w:rPr>
        <w:t xml:space="preserve"> </w:t>
      </w:r>
      <w:r>
        <w:rPr>
          <w:rFonts w:ascii="Arial"/>
          <w:color w:val="000000"/>
          <w:sz w:val="24"/>
        </w:rPr>
        <w:t>together with Court records</w:t>
      </w:r>
      <w:r>
        <w:rPr>
          <w:rFonts w:ascii="Arial"/>
          <w:color w:val="000000"/>
          <w:sz w:val="24"/>
        </w:rPr>
        <w:t xml:space="preserve"> </w:t>
      </w:r>
      <w:r>
        <w:rPr>
          <w:rFonts w:ascii="Arial"/>
          <w:color w:val="000000"/>
          <w:sz w:val="24"/>
        </w:rPr>
        <w:t>establishes</w:t>
      </w:r>
      <w:r>
        <w:rPr>
          <w:rFonts w:ascii="Arial"/>
          <w:color w:val="000000"/>
          <w:sz w:val="24"/>
        </w:rPr>
        <w:t xml:space="preserve"> </w:t>
      </w:r>
      <w:r>
        <w:rPr>
          <w:rFonts w:ascii="Arial"/>
          <w:color w:val="000000"/>
          <w:sz w:val="24"/>
        </w:rPr>
        <w:t>that:</w:t>
      </w:r>
    </w:p>
    <w:p>
      <w:pPr>
        <w:pStyle w:val="CaselawNumbered1"/>
        <w:numPr>
          <w:ilvl w:val="0"/>
          <w:numId w:val="26"/>
        </w:numPr>
        <w:spacing w:before="150" w:after="0"/>
        <w:ind w:left="1350" w:hanging="750"/>
      </w:pPr>
      <w:r>
        <w:rPr>
          <w:rFonts w:ascii="Arial"/>
          <w:color w:val="000000"/>
          <w:sz w:val="24"/>
        </w:rPr>
        <w:t>T</w:t>
      </w:r>
      <w:r>
        <w:rPr>
          <w:rFonts w:ascii="Arial"/>
          <w:color w:val="000000"/>
          <w:sz w:val="24"/>
        </w:rPr>
        <w:t xml:space="preserve">here was a directions hearing before the Registrar on </w:t>
      </w:r>
      <w:r>
        <w:rPr>
          <w:rFonts w:ascii="Arial"/>
          <w:color w:val="000000"/>
          <w:sz w:val="24"/>
        </w:rPr>
        <w:t>13 November 2023</w:t>
      </w:r>
      <w:r>
        <w:rPr>
          <w:rFonts w:ascii="Arial"/>
          <w:color w:val="000000"/>
          <w:sz w:val="24"/>
        </w:rPr>
        <w:t xml:space="preserve">, which Mr Kudrynski </w:t>
      </w:r>
      <w:r>
        <w:rPr>
          <w:rFonts w:ascii="Arial"/>
          <w:color w:val="000000"/>
          <w:sz w:val="24"/>
        </w:rPr>
        <w:t>attended</w:t>
      </w:r>
      <w:r>
        <w:rPr>
          <w:rFonts w:ascii="Arial"/>
          <w:color w:val="000000"/>
          <w:sz w:val="24"/>
        </w:rPr>
        <w:t>.</w:t>
      </w:r>
      <w:r>
        <w:rPr>
          <w:rFonts w:ascii="Arial"/>
          <w:color w:val="000000"/>
          <w:sz w:val="24"/>
        </w:rPr>
        <w:t xml:space="preserve"> </w:t>
      </w:r>
      <w:r>
        <w:rPr>
          <w:rFonts w:ascii="Arial"/>
          <w:color w:val="000000"/>
          <w:sz w:val="24"/>
        </w:rPr>
        <w:t>O</w:t>
      </w:r>
      <w:r>
        <w:rPr>
          <w:rFonts w:ascii="Arial"/>
          <w:color w:val="000000"/>
          <w:sz w:val="24"/>
        </w:rPr>
        <w:t>rders were made that day for the service of various materials and the matter was listed for hearing on 15 February 2024</w:t>
      </w:r>
      <w:r>
        <w:rPr>
          <w:rFonts w:ascii="Arial"/>
          <w:color w:val="000000"/>
          <w:sz w:val="24"/>
        </w:rPr>
        <w:t xml:space="preserve">. </w:t>
      </w:r>
      <w:r>
        <w:rPr>
          <w:rFonts w:ascii="Arial"/>
          <w:color w:val="000000"/>
          <w:sz w:val="24"/>
        </w:rPr>
        <w:t>The Court</w:t>
      </w:r>
      <w:r>
        <w:rPr>
          <w:rFonts w:ascii="Arial"/>
          <w:color w:val="000000"/>
          <w:sz w:val="24"/>
        </w:rPr>
        <w:t>’</w:t>
      </w:r>
      <w:r>
        <w:rPr>
          <w:rFonts w:ascii="Arial"/>
          <w:color w:val="000000"/>
          <w:sz w:val="24"/>
        </w:rPr>
        <w:t>s own records</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confirm</w:t>
      </w:r>
      <w:r>
        <w:rPr>
          <w:rFonts w:ascii="Arial"/>
          <w:color w:val="000000"/>
          <w:sz w:val="24"/>
        </w:rPr>
        <w:t xml:space="preserve"> </w:t>
      </w:r>
      <w:r>
        <w:rPr>
          <w:rFonts w:ascii="Arial"/>
          <w:color w:val="000000"/>
          <w:sz w:val="24"/>
        </w:rPr>
        <w:t>that Mr Kudrynski was present on 13 November 2023, when th</w:t>
      </w:r>
      <w:r>
        <w:rPr>
          <w:rFonts w:ascii="Arial"/>
          <w:color w:val="000000"/>
          <w:sz w:val="24"/>
        </w:rPr>
        <w:t>o</w:t>
      </w:r>
      <w:r>
        <w:rPr>
          <w:rFonts w:ascii="Arial"/>
          <w:color w:val="000000"/>
          <w:sz w:val="24"/>
        </w:rPr>
        <w:t>se orders were made</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The Court</w:t>
      </w:r>
      <w:r>
        <w:rPr>
          <w:rFonts w:ascii="Arial"/>
          <w:color w:val="000000"/>
          <w:sz w:val="24"/>
        </w:rPr>
        <w:t>’</w:t>
      </w:r>
      <w:r>
        <w:rPr>
          <w:rFonts w:ascii="Arial"/>
          <w:color w:val="000000"/>
          <w:sz w:val="24"/>
        </w:rPr>
        <w:t>s records also show that on 13 November 2023, a letter was sent to Mr Kudrynski at a West Wollongong address informing him of the orders which were made on 13 November 2023, including the order listing the appeal for a one day hearing on 15 February 2024.</w:t>
      </w:r>
    </w:p>
    <w:p>
      <w:pPr>
        <w:pStyle w:val="CaselawNumbered1"/>
        <w:numPr>
          <w:ilvl w:val="0"/>
          <w:numId w:val="26"/>
        </w:numPr>
        <w:spacing w:before="150" w:after="0"/>
        <w:ind w:left="1350" w:hanging="750"/>
      </w:pPr>
      <w:r>
        <w:rPr>
          <w:rFonts w:ascii="Arial"/>
          <w:color w:val="000000"/>
          <w:sz w:val="24"/>
        </w:rPr>
        <w:t>O</w:t>
      </w:r>
      <w:r>
        <w:rPr>
          <w:rFonts w:ascii="Arial"/>
          <w:color w:val="000000"/>
          <w:sz w:val="24"/>
        </w:rPr>
        <w:t>n 15 November 2023, the Council</w:t>
      </w:r>
      <w:r>
        <w:rPr>
          <w:rFonts w:ascii="Arial"/>
          <w:color w:val="000000"/>
          <w:sz w:val="24"/>
        </w:rPr>
        <w:t>’</w:t>
      </w:r>
      <w:r>
        <w:rPr>
          <w:rFonts w:ascii="Arial"/>
          <w:color w:val="000000"/>
          <w:sz w:val="24"/>
        </w:rPr>
        <w:t>s solicitor emailed Mr Kudrynski and made specific reference to the fact that the matter was listed for hearing on 15 February 2024</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 xml:space="preserve">On </w:t>
      </w:r>
      <w:r>
        <w:rPr>
          <w:rFonts w:ascii="Arial"/>
          <w:color w:val="000000"/>
          <w:sz w:val="24"/>
        </w:rPr>
        <w:t xml:space="preserve">or </w:t>
      </w:r>
      <w:r>
        <w:rPr>
          <w:rFonts w:ascii="Arial"/>
          <w:color w:val="000000"/>
          <w:sz w:val="24"/>
        </w:rPr>
        <w:t>about 30 January 2024, the parties were sent an email</w:t>
      </w:r>
      <w:r>
        <w:rPr>
          <w:rFonts w:ascii="Arial"/>
          <w:color w:val="000000"/>
          <w:sz w:val="24"/>
        </w:rPr>
        <w:t xml:space="preserve"> </w:t>
      </w:r>
      <w:r>
        <w:rPr>
          <w:rFonts w:ascii="Arial"/>
          <w:color w:val="000000"/>
          <w:sz w:val="24"/>
        </w:rPr>
        <w:t>by the Court Registry</w:t>
      </w:r>
      <w:r>
        <w:rPr>
          <w:rFonts w:ascii="Arial"/>
          <w:color w:val="000000"/>
          <w:sz w:val="24"/>
        </w:rPr>
        <w:t xml:space="preserve"> </w:t>
      </w:r>
      <w:r>
        <w:rPr>
          <w:rFonts w:ascii="Arial"/>
          <w:color w:val="000000"/>
          <w:sz w:val="24"/>
        </w:rPr>
        <w:t>informing them that the matter was listed for directions on 31 January 2024 and that if the parties did not appear, the matter could be dealt with in their absence</w:t>
      </w:r>
      <w:r>
        <w:rPr>
          <w:rFonts w:ascii="Arial"/>
          <w:color w:val="000000"/>
          <w:sz w:val="24"/>
        </w:rPr>
        <w:t>.</w:t>
      </w:r>
      <w:r>
        <w:rPr>
          <w:rFonts w:ascii="Arial"/>
          <w:color w:val="000000"/>
          <w:sz w:val="24"/>
        </w:rPr>
        <w:t xml:space="preserve"> </w:t>
      </w:r>
      <w:r>
        <w:rPr>
          <w:rFonts w:ascii="Arial"/>
          <w:color w:val="000000"/>
          <w:sz w:val="24"/>
        </w:rPr>
        <w:t xml:space="preserve">Mr Kudrynski accepted that he had received that email. </w:t>
      </w:r>
    </w:p>
    <w:p>
      <w:pPr>
        <w:pStyle w:val="CaselawNumbered1"/>
        <w:numPr>
          <w:ilvl w:val="0"/>
          <w:numId w:val="26"/>
        </w:numPr>
        <w:spacing w:before="150" w:after="0"/>
        <w:ind w:left="1350" w:hanging="750"/>
      </w:pPr>
      <w:r>
        <w:rPr>
          <w:rFonts w:ascii="Arial"/>
          <w:color w:val="000000"/>
          <w:sz w:val="24"/>
        </w:rPr>
        <w:t xml:space="preserve">Mr Kudrynski did not appear at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directions hearing</w:t>
      </w:r>
      <w:r>
        <w:rPr>
          <w:rFonts w:ascii="Arial"/>
          <w:color w:val="000000"/>
          <w:sz w:val="24"/>
        </w:rPr>
        <w:t xml:space="preserve"> </w:t>
      </w:r>
      <w:r>
        <w:rPr>
          <w:rFonts w:ascii="Arial"/>
          <w:color w:val="000000"/>
          <w:sz w:val="24"/>
        </w:rPr>
        <w:t>on 30 January 2024. However,</w:t>
      </w:r>
      <w:r>
        <w:rPr>
          <w:rFonts w:ascii="Arial"/>
          <w:color w:val="000000"/>
          <w:sz w:val="24"/>
        </w:rPr>
        <w:t xml:space="preserve"> </w:t>
      </w:r>
      <w:r>
        <w:rPr>
          <w:rFonts w:ascii="Arial"/>
          <w:color w:val="000000"/>
          <w:sz w:val="24"/>
        </w:rPr>
        <w:t>at 6.30pm on 31 January 2024 the Council</w:t>
      </w:r>
      <w:r>
        <w:rPr>
          <w:rFonts w:ascii="Arial"/>
          <w:color w:val="000000"/>
          <w:sz w:val="24"/>
        </w:rPr>
        <w:t>’</w:t>
      </w:r>
      <w:r>
        <w:rPr>
          <w:rFonts w:ascii="Arial"/>
          <w:color w:val="000000"/>
          <w:sz w:val="24"/>
        </w:rPr>
        <w:t xml:space="preserve">s solicitor </w:t>
      </w:r>
      <w:r>
        <w:rPr>
          <w:rFonts w:ascii="Arial"/>
          <w:color w:val="000000"/>
          <w:sz w:val="24"/>
        </w:rPr>
        <w:t xml:space="preserve">emailed him and made reference to the fact that the Court was </w:t>
      </w:r>
      <w:r>
        <w:rPr>
          <w:rFonts w:ascii="Arial"/>
          <w:color w:val="000000"/>
          <w:sz w:val="24"/>
        </w:rPr>
        <w:t>“</w:t>
      </w:r>
      <w:r>
        <w:rPr>
          <w:rFonts w:ascii="Arial"/>
          <w:color w:val="000000"/>
          <w:sz w:val="24"/>
        </w:rPr>
        <w:t xml:space="preserve">concerned to ensure that the matter was ready to proceed on 15 February 2024 when </w:t>
      </w:r>
      <w:r>
        <w:rPr>
          <w:rFonts w:ascii="Arial"/>
          <w:color w:val="000000"/>
          <w:sz w:val="24"/>
        </w:rPr>
        <w:t>it is listed for hearing</w:t>
      </w:r>
      <w:r>
        <w:rPr>
          <w:rFonts w:ascii="Arial"/>
          <w:color w:val="000000"/>
          <w:sz w:val="24"/>
        </w:rPr>
        <w: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Having regard to these matters, it</w:t>
      </w:r>
      <w:r>
        <w:rPr>
          <w:rFonts w:ascii="Arial"/>
          <w:color w:val="000000"/>
          <w:sz w:val="24"/>
        </w:rPr>
        <w:t xml:space="preserve"> </w:t>
      </w:r>
      <w:r>
        <w:rPr>
          <w:rFonts w:ascii="Arial"/>
          <w:color w:val="000000"/>
          <w:sz w:val="24"/>
        </w:rPr>
        <w:t>is likely</w:t>
      </w:r>
      <w:r>
        <w:rPr>
          <w:rFonts w:ascii="Arial"/>
          <w:color w:val="000000"/>
          <w:sz w:val="24"/>
        </w:rPr>
        <w:t xml:space="preserve"> </w:t>
      </w:r>
      <w:r>
        <w:rPr>
          <w:rFonts w:ascii="Arial"/>
          <w:color w:val="000000"/>
          <w:sz w:val="24"/>
        </w:rPr>
        <w:t xml:space="preserve">that Mr Kudrynski </w:t>
      </w:r>
      <w:r>
        <w:rPr>
          <w:rFonts w:ascii="Arial"/>
          <w:color w:val="000000"/>
          <w:sz w:val="24"/>
        </w:rPr>
        <w:t xml:space="preserve">was </w:t>
      </w:r>
      <w:r>
        <w:rPr>
          <w:rFonts w:ascii="Arial"/>
          <w:color w:val="000000"/>
          <w:sz w:val="24"/>
        </w:rPr>
        <w:t>confused</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his</w:t>
      </w:r>
      <w:r>
        <w:rPr>
          <w:rFonts w:ascii="Arial"/>
          <w:color w:val="000000"/>
          <w:sz w:val="24"/>
        </w:rPr>
        <w:t xml:space="preserve"> </w:t>
      </w:r>
      <w:r>
        <w:rPr>
          <w:rFonts w:ascii="Arial"/>
          <w:color w:val="000000"/>
          <w:sz w:val="24"/>
        </w:rPr>
        <w:t>recollection of these events</w:t>
      </w:r>
      <w:r>
        <w:rPr>
          <w:rFonts w:ascii="Arial"/>
          <w:color w:val="000000"/>
          <w:sz w:val="24"/>
        </w:rPr>
        <w:t xml:space="preserve">. His procedural complaints are not supported by the evidence or records of the Court. There is overwhelming evidence that he was given ample notice of the fact that the hearing would take place on 15 February 2024. </w:t>
      </w:r>
    </w:p>
    <w:p>
      <w:pPr>
        <w:pStyle w:val="CaselawNumbered10"/>
        <w:numPr>
          <w:ilvl w:val="0"/>
          <w:numId w:val="27"/>
        </w:numPr>
        <w:spacing w:before="150" w:after="0"/>
        <w:ind w:left="600" w:hanging="600"/>
      </w:pPr>
      <w:r>
        <w:rPr>
          <w:rFonts w:ascii="Arial"/>
          <w:color w:val="000000"/>
          <w:sz w:val="24"/>
        </w:rPr>
        <w:t xml:space="preserve">As to his complaints regarding the appeal papers, when Mr Kudrynski was asked to identify any specific document in the </w:t>
      </w:r>
      <w:r>
        <w:rPr>
          <w:rFonts w:ascii="Arial"/>
          <w:color w:val="000000"/>
          <w:sz w:val="24"/>
        </w:rPr>
        <w:t>s</w:t>
      </w:r>
      <w:r>
        <w:rPr>
          <w:rFonts w:ascii="Arial"/>
          <w:color w:val="000000"/>
          <w:sz w:val="24"/>
        </w:rPr>
        <w:t xml:space="preserve">upplementary </w:t>
      </w:r>
      <w:r>
        <w:rPr>
          <w:rFonts w:ascii="Arial"/>
          <w:color w:val="000000"/>
          <w:sz w:val="24"/>
        </w:rPr>
        <w:t>a</w:t>
      </w:r>
      <w:r>
        <w:rPr>
          <w:rFonts w:ascii="Arial"/>
          <w:color w:val="000000"/>
          <w:sz w:val="24"/>
        </w:rPr>
        <w:t xml:space="preserve">ppeal </w:t>
      </w:r>
      <w:r>
        <w:rPr>
          <w:rFonts w:ascii="Arial"/>
          <w:color w:val="000000"/>
          <w:sz w:val="24"/>
        </w:rPr>
        <w:t>b</w:t>
      </w:r>
      <w:r>
        <w:rPr>
          <w:rFonts w:ascii="Arial"/>
          <w:color w:val="000000"/>
          <w:sz w:val="24"/>
        </w:rPr>
        <w:t>ooks which he claimed lacked authenticity, he said that there were none.</w:t>
      </w:r>
      <w:r>
        <w:rPr>
          <w:rFonts w:ascii="Arial"/>
          <w:color w:val="000000"/>
          <w:sz w:val="24"/>
        </w:rPr>
        <w:t xml:space="preserve"> </w:t>
      </w:r>
      <w:r>
        <w:rPr>
          <w:rFonts w:ascii="Arial"/>
          <w:color w:val="000000"/>
          <w:sz w:val="24"/>
        </w:rPr>
        <w:t>There is no evidence to support Mr Kudrynski</w:t>
      </w:r>
      <w:r>
        <w:rPr>
          <w:rFonts w:ascii="Arial"/>
          <w:color w:val="000000"/>
          <w:sz w:val="24"/>
        </w:rPr>
        <w:t>’</w:t>
      </w:r>
      <w:r>
        <w:rPr>
          <w:rFonts w:ascii="Arial"/>
          <w:color w:val="000000"/>
          <w:sz w:val="24"/>
        </w:rPr>
        <w:t xml:space="preserve">s assertions that the </w:t>
      </w:r>
      <w:r>
        <w:rPr>
          <w:rFonts w:ascii="Arial"/>
          <w:color w:val="000000"/>
          <w:sz w:val="24"/>
        </w:rPr>
        <w:t>s</w:t>
      </w:r>
      <w:r>
        <w:rPr>
          <w:rFonts w:ascii="Arial"/>
          <w:color w:val="000000"/>
          <w:sz w:val="24"/>
        </w:rPr>
        <w:t xml:space="preserve">upplementary </w:t>
      </w:r>
      <w:r>
        <w:rPr>
          <w:rFonts w:ascii="Arial"/>
          <w:color w:val="000000"/>
          <w:sz w:val="24"/>
        </w:rPr>
        <w:t>a</w:t>
      </w:r>
      <w:r>
        <w:rPr>
          <w:rFonts w:ascii="Arial"/>
          <w:color w:val="000000"/>
          <w:sz w:val="24"/>
        </w:rPr>
        <w:t xml:space="preserve">ppeal </w:t>
      </w:r>
      <w:r>
        <w:rPr>
          <w:rFonts w:ascii="Arial"/>
          <w:color w:val="000000"/>
          <w:sz w:val="24"/>
        </w:rPr>
        <w:t>b</w:t>
      </w:r>
      <w:r>
        <w:rPr>
          <w:rFonts w:ascii="Arial"/>
          <w:color w:val="000000"/>
          <w:sz w:val="24"/>
        </w:rPr>
        <w:t xml:space="preserve">ooks, as filed, could have been </w:t>
      </w:r>
      <w:r>
        <w:rPr>
          <w:rFonts w:ascii="Arial"/>
          <w:color w:val="000000"/>
          <w:sz w:val="24"/>
        </w:rPr>
        <w:t>“</w:t>
      </w:r>
      <w:r>
        <w:rPr>
          <w:rFonts w:ascii="Arial"/>
          <w:color w:val="000000"/>
          <w:sz w:val="24"/>
        </w:rPr>
        <w:t>tampered with</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doctored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Finally, Mr Kudrynski accepted that all the documents in his appeal books (which were rejected for filing by the Court) were contained in the </w:t>
      </w:r>
      <w:r>
        <w:rPr>
          <w:rFonts w:ascii="Arial"/>
          <w:color w:val="000000"/>
          <w:sz w:val="24"/>
        </w:rPr>
        <w:t xml:space="preserve">supplementary appeal books </w:t>
      </w:r>
      <w:r>
        <w:rPr>
          <w:rFonts w:ascii="Arial"/>
          <w:color w:val="000000"/>
          <w:sz w:val="24"/>
        </w:rPr>
        <w:t xml:space="preserve">subsequently filed by the Council. </w:t>
      </w:r>
    </w:p>
    <w:p>
      <w:pPr>
        <w:pStyle w:val="CaselawNumbered10"/>
        <w:numPr>
          <w:ilvl w:val="0"/>
          <w:numId w:val="27"/>
        </w:numPr>
        <w:spacing w:before="150" w:after="0"/>
        <w:ind w:left="600" w:hanging="600"/>
      </w:pPr>
      <w:r>
        <w:rPr>
          <w:rFonts w:ascii="Arial"/>
          <w:color w:val="000000"/>
          <w:sz w:val="24"/>
        </w:rPr>
        <w:t>For all these reasons, Mr Kudrynski</w:t>
      </w:r>
      <w:r>
        <w:rPr>
          <w:rFonts w:ascii="Arial"/>
          <w:color w:val="000000"/>
          <w:sz w:val="24"/>
        </w:rPr>
        <w:t>’</w:t>
      </w:r>
      <w:r>
        <w:rPr>
          <w:rFonts w:ascii="Arial"/>
          <w:color w:val="000000"/>
          <w:sz w:val="24"/>
        </w:rPr>
        <w:t xml:space="preserve">s procedural complaints concerning the </w:t>
      </w:r>
      <w:r>
        <w:rPr>
          <w:rFonts w:ascii="Arial"/>
          <w:color w:val="000000"/>
          <w:sz w:val="24"/>
        </w:rPr>
        <w:t xml:space="preserve">hearing date of the </w:t>
      </w:r>
      <w:r>
        <w:rPr>
          <w:rFonts w:ascii="Arial"/>
          <w:color w:val="000000"/>
          <w:sz w:val="24"/>
        </w:rPr>
        <w:t>appeal</w:t>
      </w:r>
      <w:r>
        <w:rPr>
          <w:rFonts w:ascii="Arial"/>
          <w:color w:val="000000"/>
          <w:sz w:val="24"/>
        </w:rPr>
        <w:t xml:space="preserve"> </w:t>
      </w:r>
      <w:r>
        <w:rPr>
          <w:rFonts w:ascii="Arial"/>
          <w:color w:val="000000"/>
          <w:sz w:val="24"/>
        </w:rPr>
        <w:t>and the preparation and use of the supplementary appeal books</w:t>
      </w:r>
      <w:r>
        <w:rPr>
          <w:rFonts w:ascii="Arial"/>
          <w:color w:val="000000"/>
          <w:sz w:val="24"/>
        </w:rPr>
        <w:t xml:space="preserve"> </w:t>
      </w:r>
      <w:r>
        <w:rPr>
          <w:rFonts w:ascii="Arial"/>
          <w:color w:val="000000"/>
          <w:sz w:val="24"/>
        </w:rPr>
        <w:t>are rejected.</w:t>
      </w:r>
    </w:p>
    <w:p>
      <w:pPr>
        <w:pStyle w:val="CaselawHeading2"/>
        <w:keepNext/>
        <w:spacing w:before="150" w:after="150" w:line="264"/>
        <w:ind w:left="0"/>
        <w:jc w:val="left"/>
      </w:pPr>
      <w:r>
        <w:rPr>
          <w:rFonts w:ascii="Arial"/>
        </w:rPr>
        <w:t>(c)</w:t>
      </w:r>
      <w:r>
        <w:rPr>
          <w:rFonts w:ascii="Arial"/>
        </w:rPr>
        <w:t>   </w:t>
      </w:r>
      <w:r>
        <w:rPr>
          <w:rFonts w:ascii="Arial"/>
        </w:rPr>
        <w:t>Summary of background facts</w:t>
      </w:r>
    </w:p>
    <w:p>
      <w:pPr>
        <w:pStyle w:val="CaselawNumbered10"/>
        <w:numPr>
          <w:ilvl w:val="0"/>
          <w:numId w:val="28"/>
        </w:numPr>
        <w:spacing w:before="150" w:after="0"/>
        <w:ind w:left="600" w:hanging="600"/>
      </w:pPr>
      <w:r>
        <w:rPr>
          <w:rFonts w:ascii="Arial"/>
          <w:color w:val="000000"/>
          <w:sz w:val="24"/>
        </w:rPr>
        <w:t>By notice published in the NSW Government Gazette on 11 September 2020, the Land</w:t>
      </w:r>
      <w:r>
        <w:rPr>
          <w:rFonts w:ascii="Arial"/>
          <w:color w:val="000000"/>
          <w:sz w:val="24"/>
        </w:rPr>
        <w:t xml:space="preserve"> </w:t>
      </w:r>
      <w:r>
        <w:rPr>
          <w:rFonts w:ascii="Arial"/>
          <w:color w:val="000000"/>
          <w:sz w:val="24"/>
        </w:rPr>
        <w:t xml:space="preserve">was compulsorily acquired for the purpose of the Project. </w:t>
      </w:r>
    </w:p>
    <w:p>
      <w:pPr>
        <w:pStyle w:val="CaselawNumbered10"/>
        <w:numPr>
          <w:ilvl w:val="0"/>
          <w:numId w:val="28"/>
        </w:numPr>
        <w:spacing w:before="150" w:after="0"/>
        <w:ind w:left="600" w:hanging="600"/>
      </w:pPr>
      <w:r>
        <w:rPr>
          <w:rFonts w:ascii="Arial"/>
          <w:color w:val="000000"/>
          <w:sz w:val="24"/>
        </w:rPr>
        <w:t>T</w:t>
      </w:r>
      <w:r>
        <w:rPr>
          <w:rFonts w:ascii="Arial"/>
          <w:color w:val="000000"/>
          <w:sz w:val="24"/>
        </w:rPr>
        <w:t>he parties were unable to agree compensation</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Valuer-General subsequently determined the compensation to be $450,000, representing the market value of the </w:t>
      </w:r>
      <w:r>
        <w:rPr>
          <w:rFonts w:ascii="Arial"/>
          <w:color w:val="000000"/>
          <w:sz w:val="24"/>
        </w:rPr>
        <w:t>L</w:t>
      </w:r>
      <w:r>
        <w:rPr>
          <w:rFonts w:ascii="Arial"/>
          <w:color w:val="000000"/>
          <w:sz w:val="24"/>
        </w:rPr>
        <w:t>and with no additional compensation for disturbance</w:t>
      </w:r>
      <w:r>
        <w:rPr>
          <w:rFonts w:ascii="Arial"/>
          <w:color w:val="000000"/>
          <w:sz w:val="24"/>
        </w:rPr>
        <w:t xml:space="preserve"> </w:t>
      </w:r>
      <w:r>
        <w:rPr>
          <w:rFonts w:ascii="Arial"/>
          <w:color w:val="000000"/>
          <w:sz w:val="24"/>
        </w:rPr>
        <w:t>(and none was sought)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The Kudrynskis</w:t>
      </w:r>
      <w:r>
        <w:rPr>
          <w:rFonts w:ascii="Arial"/>
          <w:color w:val="000000"/>
          <w:sz w:val="24"/>
        </w:rPr>
        <w:t xml:space="preserve"> </w:t>
      </w:r>
      <w:r>
        <w:rPr>
          <w:rFonts w:ascii="Arial"/>
          <w:color w:val="000000"/>
          <w:sz w:val="24"/>
        </w:rPr>
        <w:t>lodged an objection to the amount of compensation awar</w:t>
      </w:r>
      <w:r>
        <w:rPr>
          <w:rFonts w:ascii="Arial"/>
          <w:color w:val="000000"/>
          <w:sz w:val="24"/>
        </w:rPr>
        <w:t>d</w:t>
      </w:r>
      <w:r>
        <w:rPr>
          <w:rFonts w:ascii="Arial"/>
          <w:color w:val="000000"/>
          <w:sz w:val="24"/>
        </w:rPr>
        <w:t xml:space="preserve">ed by this determination pursuant to s 66 of the </w:t>
      </w:r>
      <w:r>
        <w:rPr>
          <w:rFonts w:ascii="Arial"/>
          <w:i/>
          <w:color w:val="000000"/>
          <w:sz w:val="24"/>
        </w:rPr>
        <w:t>Just Terms Act</w:t>
      </w:r>
      <w:r>
        <w:rPr>
          <w:rFonts w:ascii="Arial"/>
          <w:color w:val="000000"/>
          <w:sz w:val="24"/>
        </w:rPr>
        <w:t xml:space="preserve">. </w:t>
      </w:r>
      <w:r>
        <w:rPr>
          <w:rFonts w:ascii="Arial"/>
          <w:color w:val="000000"/>
          <w:sz w:val="24"/>
        </w:rPr>
        <w:t>P</w:t>
      </w:r>
      <w:r>
        <w:rPr>
          <w:rFonts w:ascii="Arial"/>
          <w:color w:val="000000"/>
          <w:sz w:val="24"/>
        </w:rPr>
        <w:t xml:space="preserve">roceedings </w:t>
      </w:r>
      <w:r>
        <w:rPr>
          <w:rFonts w:ascii="Arial"/>
          <w:color w:val="000000"/>
          <w:sz w:val="24"/>
        </w:rPr>
        <w:t>were</w:t>
      </w:r>
      <w:r>
        <w:rPr>
          <w:rFonts w:ascii="Arial"/>
          <w:color w:val="000000"/>
          <w:sz w:val="24"/>
        </w:rPr>
        <w:t xml:space="preserve"> </w:t>
      </w:r>
      <w:r>
        <w:rPr>
          <w:rFonts w:ascii="Arial"/>
          <w:color w:val="000000"/>
          <w:sz w:val="24"/>
        </w:rPr>
        <w:t>therefore commenced</w:t>
      </w:r>
      <w:r>
        <w:rPr>
          <w:rFonts w:ascii="Arial"/>
          <w:color w:val="000000"/>
          <w:sz w:val="24"/>
        </w:rPr>
        <w:t xml:space="preserve"> </w:t>
      </w:r>
      <w:r>
        <w:rPr>
          <w:rFonts w:ascii="Arial"/>
          <w:color w:val="000000"/>
          <w:sz w:val="24"/>
        </w:rPr>
        <w:t>in the LEC</w:t>
      </w:r>
      <w:r>
        <w:rPr>
          <w:rFonts w:ascii="Arial"/>
          <w:i/>
          <w:color w:val="000000"/>
          <w:sz w:val="24"/>
        </w:rPr>
        <w:t xml:space="preserve">, </w:t>
      </w:r>
      <w:r>
        <w:rPr>
          <w:rFonts w:ascii="Arial"/>
          <w:color w:val="000000"/>
          <w:sz w:val="24"/>
        </w:rPr>
        <w:t xml:space="preserve">in which the applicants </w:t>
      </w:r>
      <w:r>
        <w:rPr>
          <w:rFonts w:ascii="Arial"/>
          <w:color w:val="000000"/>
          <w:sz w:val="24"/>
        </w:rPr>
        <w:t xml:space="preserve">claimed that the market value of the </w:t>
      </w:r>
      <w:r>
        <w:rPr>
          <w:rFonts w:ascii="Arial"/>
          <w:color w:val="000000"/>
          <w:sz w:val="24"/>
        </w:rPr>
        <w:t>L</w:t>
      </w:r>
      <w:r>
        <w:rPr>
          <w:rFonts w:ascii="Arial"/>
          <w:color w:val="000000"/>
          <w:sz w:val="24"/>
        </w:rPr>
        <w:t xml:space="preserve">and was $160 million. This figure was not supported by any expert evidence but it reflected a letter written by Mr Kudrynski which is referred to by the primary judge at PJ[5]. The $160 million </w:t>
      </w:r>
      <w:r>
        <w:rPr>
          <w:rFonts w:ascii="Arial"/>
          <w:color w:val="000000"/>
          <w:sz w:val="24"/>
        </w:rPr>
        <w:t xml:space="preserve">figure </w:t>
      </w:r>
      <w:r>
        <w:rPr>
          <w:rFonts w:ascii="Arial"/>
          <w:color w:val="000000"/>
          <w:sz w:val="24"/>
        </w:rPr>
        <w:t>was the amount arrived at by</w:t>
      </w:r>
      <w:r>
        <w:rPr>
          <w:rFonts w:ascii="Arial"/>
          <w:color w:val="000000"/>
          <w:sz w:val="24"/>
        </w:rPr>
        <w:t xml:space="preserve"> </w:t>
      </w:r>
      <w:r>
        <w:rPr>
          <w:rFonts w:ascii="Arial"/>
          <w:color w:val="000000"/>
          <w:sz w:val="24"/>
        </w:rPr>
        <w:t>Mr Kudrynski</w:t>
      </w:r>
      <w:r>
        <w:rPr>
          <w:rFonts w:ascii="Arial"/>
          <w:color w:val="000000"/>
          <w:sz w:val="24"/>
        </w:rPr>
        <w:t>’</w:t>
      </w:r>
      <w:r>
        <w:rPr>
          <w:rFonts w:ascii="Arial"/>
          <w:color w:val="000000"/>
          <w:sz w:val="24"/>
        </w:rPr>
        <w:t>s personal valuation of the Land</w:t>
      </w:r>
      <w:r>
        <w:rPr>
          <w:rFonts w:ascii="Arial"/>
          <w:color w:val="000000"/>
          <w:sz w:val="24"/>
        </w:rPr>
        <w:t xml:space="preserve">. The basis for that valuation was </w:t>
      </w:r>
      <w:r>
        <w:rPr>
          <w:rFonts w:ascii="Arial"/>
          <w:color w:val="000000"/>
          <w:sz w:val="24"/>
        </w:rPr>
        <w:t xml:space="preserve">that the Land would be used by the Council for the harvesting of water. </w:t>
      </w:r>
      <w:r>
        <w:rPr>
          <w:rFonts w:ascii="Arial"/>
          <w:color w:val="000000"/>
          <w:sz w:val="24"/>
        </w:rPr>
        <w:t xml:space="preserve">Thus, Mr Kudrynski </w:t>
      </w:r>
      <w:r>
        <w:rPr>
          <w:rFonts w:ascii="Arial"/>
          <w:color w:val="000000"/>
          <w:sz w:val="24"/>
        </w:rPr>
        <w:t xml:space="preserve">arrived at his valuation with reference to the amount and value of the water that the Council would be able to harvest from the Land for the purposes of the Project. </w:t>
      </w:r>
    </w:p>
    <w:p>
      <w:pPr>
        <w:pStyle w:val="CaselawNumbered10"/>
        <w:numPr>
          <w:ilvl w:val="0"/>
          <w:numId w:val="28"/>
        </w:numPr>
        <w:spacing w:before="150" w:after="0"/>
        <w:ind w:left="600" w:hanging="600"/>
      </w:pPr>
      <w:r>
        <w:rPr>
          <w:rFonts w:ascii="Arial"/>
          <w:color w:val="000000"/>
          <w:sz w:val="24"/>
        </w:rPr>
        <w:t>As will emerge, the primary judge accepted the Council</w:t>
      </w:r>
      <w:r>
        <w:rPr>
          <w:rFonts w:ascii="Arial"/>
          <w:color w:val="000000"/>
          <w:sz w:val="24"/>
        </w:rPr>
        <w:t>’</w:t>
      </w:r>
      <w:r>
        <w:rPr>
          <w:rFonts w:ascii="Arial"/>
          <w:color w:val="000000"/>
          <w:sz w:val="24"/>
        </w:rPr>
        <w:t xml:space="preserve">s submission that the effect of the statutory disregard in s 56(1)(a) of the </w:t>
      </w:r>
      <w:r>
        <w:rPr>
          <w:rFonts w:ascii="Arial"/>
          <w:i/>
          <w:color w:val="000000"/>
          <w:sz w:val="24"/>
        </w:rPr>
        <w:t xml:space="preserve">Just Terms Act </w:t>
      </w:r>
      <w:r>
        <w:rPr>
          <w:rFonts w:ascii="Arial"/>
          <w:color w:val="000000"/>
          <w:sz w:val="24"/>
        </w:rPr>
        <w:t xml:space="preserve">meant that any increase in the value of the Land resulting from the carrying out of the public purpose </w:t>
      </w:r>
      <w:r>
        <w:rPr>
          <w:rFonts w:ascii="Arial"/>
          <w:color w:val="000000"/>
          <w:sz w:val="24"/>
        </w:rPr>
        <w:t xml:space="preserve">for which it was acquired </w:t>
      </w:r>
      <w:r>
        <w:rPr>
          <w:rFonts w:ascii="Arial"/>
          <w:color w:val="000000"/>
          <w:sz w:val="24"/>
        </w:rPr>
        <w:t>was not to be taken into account.</w:t>
      </w:r>
    </w:p>
    <w:p>
      <w:pPr>
        <w:pStyle w:val="CaselawHeading2"/>
        <w:keepNext/>
        <w:spacing w:before="150" w:after="150" w:line="264"/>
        <w:ind w:left="0"/>
        <w:jc w:val="left"/>
      </w:pPr>
      <w:r>
        <w:rPr>
          <w:rFonts w:ascii="Arial"/>
        </w:rPr>
        <w:t>(d)</w:t>
      </w:r>
      <w:r>
        <w:rPr>
          <w:rFonts w:ascii="Arial"/>
        </w:rPr>
        <w:t>   </w:t>
      </w:r>
      <w:r>
        <w:rPr>
          <w:rFonts w:ascii="Arial"/>
        </w:rPr>
        <w:t>The primary judge’s reasons for judgment summarised</w:t>
      </w:r>
    </w:p>
    <w:p>
      <w:pPr>
        <w:pStyle w:val="CaselawNumbered10"/>
        <w:numPr>
          <w:ilvl w:val="0"/>
          <w:numId w:val="29"/>
        </w:numPr>
        <w:spacing w:before="150" w:after="0"/>
        <w:ind w:left="600" w:hanging="600"/>
      </w:pPr>
      <w:r>
        <w:rPr>
          <w:rFonts w:ascii="Arial"/>
          <w:color w:val="000000"/>
          <w:sz w:val="24"/>
        </w:rPr>
        <w:t>I will focus upon those parts of the primary judgment which are relevant to the appeal.</w:t>
      </w:r>
    </w:p>
    <w:p>
      <w:pPr>
        <w:pStyle w:val="CaselawNumbered10"/>
        <w:numPr>
          <w:ilvl w:val="0"/>
          <w:numId w:val="29"/>
        </w:numPr>
        <w:spacing w:before="150" w:after="0"/>
        <w:ind w:left="600" w:hanging="600"/>
      </w:pPr>
      <w:r>
        <w:rPr>
          <w:rFonts w:ascii="Arial"/>
          <w:color w:val="000000"/>
          <w:sz w:val="24"/>
        </w:rPr>
        <w:t>The primary judge referred to two preliminary issues at PJ[11] and [12]. The first concerned Mr Kudrynski</w:t>
      </w:r>
      <w:r>
        <w:rPr>
          <w:rFonts w:ascii="Arial"/>
          <w:color w:val="000000"/>
          <w:sz w:val="24"/>
        </w:rPr>
        <w:t>’</w:t>
      </w:r>
      <w:r>
        <w:rPr>
          <w:rFonts w:ascii="Arial"/>
          <w:color w:val="000000"/>
          <w:sz w:val="24"/>
        </w:rPr>
        <w:t>s complaint that there had been no site visit to the Land. Her Honour noted that no party had requested a site visit</w:t>
      </w:r>
      <w:r>
        <w:rPr>
          <w:rFonts w:ascii="Arial"/>
          <w:color w:val="000000"/>
          <w:sz w:val="24"/>
        </w:rPr>
        <w:t xml:space="preserve"> </w:t>
      </w:r>
      <w:r>
        <w:rPr>
          <w:rFonts w:ascii="Arial"/>
          <w:color w:val="000000"/>
          <w:sz w:val="24"/>
        </w:rPr>
        <w:t>as far as her Honour was aware</w:t>
      </w:r>
      <w:r>
        <w:rPr>
          <w:rFonts w:ascii="Arial"/>
          <w:color w:val="000000"/>
          <w:sz w:val="24"/>
        </w:rPr>
        <w:t>.</w:t>
      </w:r>
      <w:r>
        <w:rPr>
          <w:rFonts w:ascii="Arial"/>
          <w:color w:val="000000"/>
          <w:sz w:val="24"/>
        </w:rPr>
        <w:t xml:space="preserve"> </w:t>
      </w:r>
      <w:r>
        <w:rPr>
          <w:rFonts w:ascii="Arial"/>
          <w:color w:val="000000"/>
          <w:sz w:val="24"/>
        </w:rPr>
        <w:t>It may be interpolated that in the course of case management Moore J</w:t>
      </w:r>
      <w:r>
        <w:rPr>
          <w:rFonts w:ascii="Arial"/>
          <w:color w:val="000000"/>
          <w:sz w:val="24"/>
        </w:rPr>
        <w:t>’</w:t>
      </w:r>
      <w:r>
        <w:rPr>
          <w:rFonts w:ascii="Arial"/>
          <w:color w:val="000000"/>
          <w:sz w:val="24"/>
        </w:rPr>
        <w:t xml:space="preserve">s associate informed the parties that the hearing could be held in Sydney </w:t>
      </w:r>
      <w:r>
        <w:rPr>
          <w:rFonts w:ascii="Arial"/>
          <w:color w:val="000000"/>
          <w:sz w:val="24"/>
        </w:rPr>
        <w:t>“</w:t>
      </w:r>
      <w:r>
        <w:rPr>
          <w:rFonts w:ascii="Arial"/>
          <w:color w:val="000000"/>
          <w:sz w:val="24"/>
        </w:rPr>
        <w:t>as a site inspection in Orange does not appear to be necessary, given that air photos would be available of the land and of any other sites needed to be considered for valuation purposes</w:t>
      </w:r>
      <w:r>
        <w:rPr>
          <w:rFonts w:ascii="Arial"/>
          <w:color w:val="000000"/>
          <w:sz w:val="24"/>
        </w:rPr>
        <w:t>”</w:t>
      </w:r>
      <w:r>
        <w:rPr>
          <w:rFonts w:ascii="Arial"/>
          <w:color w:val="000000"/>
          <w:sz w:val="24"/>
        </w:rPr>
        <w:t xml:space="preserve">. </w:t>
      </w:r>
      <w:r>
        <w:rPr>
          <w:rFonts w:ascii="Arial"/>
          <w:color w:val="000000"/>
          <w:sz w:val="24"/>
        </w:rPr>
        <w:t>The</w:t>
      </w:r>
      <w:r>
        <w:rPr>
          <w:rFonts w:ascii="Arial"/>
          <w:b/>
          <w:color w:val="000000"/>
          <w:sz w:val="24"/>
        </w:rPr>
        <w:t xml:space="preserve"> </w:t>
      </w:r>
      <w:r>
        <w:rPr>
          <w:rFonts w:ascii="Arial"/>
          <w:color w:val="000000"/>
          <w:sz w:val="24"/>
        </w:rPr>
        <w:t>primary</w:t>
      </w:r>
      <w:r>
        <w:rPr>
          <w:rFonts w:ascii="Arial"/>
          <w:b/>
          <w:color w:val="000000"/>
          <w:sz w:val="24"/>
        </w:rPr>
        <w:t xml:space="preserve"> </w:t>
      </w:r>
      <w:r>
        <w:rPr>
          <w:rFonts w:ascii="Arial"/>
          <w:color w:val="000000"/>
          <w:sz w:val="24"/>
        </w:rPr>
        <w:t>judge al</w:t>
      </w:r>
      <w:r>
        <w:rPr>
          <w:rFonts w:ascii="Arial"/>
          <w:color w:val="000000"/>
          <w:sz w:val="24"/>
        </w:rPr>
        <w:t xml:space="preserve">so referred </w:t>
      </w:r>
      <w:r>
        <w:rPr>
          <w:rFonts w:ascii="Arial"/>
          <w:color w:val="000000"/>
          <w:sz w:val="24"/>
        </w:rPr>
        <w:t xml:space="preserve">to the fact that the initial hearing date </w:t>
      </w:r>
      <w:r>
        <w:rPr>
          <w:rFonts w:ascii="Arial"/>
          <w:color w:val="000000"/>
          <w:sz w:val="24"/>
        </w:rPr>
        <w:t xml:space="preserve">in the LEC </w:t>
      </w:r>
      <w:r>
        <w:rPr>
          <w:rFonts w:ascii="Arial"/>
          <w:color w:val="000000"/>
          <w:sz w:val="24"/>
        </w:rPr>
        <w:t>had to be vacated in October 2021 because of Mr Kudrynski</w:t>
      </w:r>
      <w:r>
        <w:rPr>
          <w:rFonts w:ascii="Arial"/>
          <w:color w:val="000000"/>
          <w:sz w:val="24"/>
        </w:rPr>
        <w:t>’</w:t>
      </w:r>
      <w:r>
        <w:rPr>
          <w:rFonts w:ascii="Arial"/>
          <w:color w:val="000000"/>
          <w:sz w:val="24"/>
        </w:rPr>
        <w:t>s ill-health.</w:t>
      </w:r>
      <w:r>
        <w:rPr>
          <w:rFonts w:ascii="Arial"/>
          <w:color w:val="000000"/>
          <w:sz w:val="24"/>
        </w:rPr>
        <w:t xml:space="preserve"> </w:t>
      </w:r>
      <w:r>
        <w:rPr>
          <w:rFonts w:ascii="Arial"/>
          <w:color w:val="000000"/>
          <w:sz w:val="24"/>
        </w:rPr>
        <w:t>It was further noted that, w</w:t>
      </w:r>
      <w:r>
        <w:rPr>
          <w:rFonts w:ascii="Arial"/>
          <w:color w:val="000000"/>
          <w:sz w:val="24"/>
        </w:rPr>
        <w:t xml:space="preserve">hen a new hearing date was allocated, Mr Kudrynski successfully requested that the hearing occur via </w:t>
      </w:r>
      <w:r>
        <w:rPr>
          <w:rFonts w:ascii="Arial"/>
          <w:color w:val="000000"/>
          <w:sz w:val="24"/>
        </w:rPr>
        <w:t xml:space="preserve">AVL </w:t>
      </w:r>
      <w:r>
        <w:rPr>
          <w:rFonts w:ascii="Arial"/>
          <w:color w:val="000000"/>
          <w:sz w:val="24"/>
        </w:rPr>
        <w:t xml:space="preserve">on the basis that he was incapable of leaving home. Accordingly, the hearing occurred virtually and, unsurprisingly, there was no site inspection. Her Honour also noted at PJ[11] that there were </w:t>
      </w:r>
      <w:r>
        <w:rPr>
          <w:rFonts w:ascii="Arial"/>
          <w:color w:val="000000"/>
          <w:sz w:val="24"/>
        </w:rPr>
        <w:t xml:space="preserve">in evidence </w:t>
      </w:r>
      <w:r>
        <w:rPr>
          <w:rFonts w:ascii="Arial"/>
          <w:color w:val="000000"/>
          <w:sz w:val="24"/>
        </w:rPr>
        <w:t xml:space="preserve">aerial photographs and contour diagrams which Mr Kudrynski conceded in oral submissions were relevant to the valuation task. </w:t>
      </w:r>
    </w:p>
    <w:p>
      <w:pPr>
        <w:pStyle w:val="CaselawNumbered10"/>
        <w:numPr>
          <w:ilvl w:val="0"/>
          <w:numId w:val="29"/>
        </w:numPr>
        <w:spacing w:before="150" w:after="0"/>
        <w:ind w:left="600" w:hanging="600"/>
      </w:pPr>
      <w:r>
        <w:rPr>
          <w:rFonts w:ascii="Arial"/>
          <w:color w:val="000000"/>
          <w:sz w:val="24"/>
        </w:rPr>
        <w:t>The second preliminary matter concerned Mr Kudrynski</w:t>
      </w:r>
      <w:r>
        <w:rPr>
          <w:rFonts w:ascii="Arial"/>
          <w:color w:val="000000"/>
          <w:sz w:val="24"/>
        </w:rPr>
        <w:t>’</w:t>
      </w:r>
      <w:r>
        <w:rPr>
          <w:rFonts w:ascii="Arial"/>
          <w:color w:val="000000"/>
          <w:sz w:val="24"/>
        </w:rPr>
        <w:t xml:space="preserve">s complaint that his preparation for the hearing had been </w:t>
      </w:r>
      <w:r>
        <w:rPr>
          <w:rFonts w:ascii="Arial"/>
          <w:color w:val="000000"/>
          <w:sz w:val="24"/>
        </w:rPr>
        <w:t>“</w:t>
      </w:r>
      <w:r>
        <w:rPr>
          <w:rFonts w:ascii="Arial"/>
          <w:color w:val="000000"/>
          <w:sz w:val="24"/>
        </w:rPr>
        <w:t>sprung on</w:t>
      </w:r>
      <w:r>
        <w:rPr>
          <w:rFonts w:ascii="Arial"/>
          <w:color w:val="000000"/>
          <w:sz w:val="24"/>
        </w:rPr>
        <w:t xml:space="preserve">” </w:t>
      </w:r>
      <w:r>
        <w:rPr>
          <w:rFonts w:ascii="Arial"/>
          <w:color w:val="000000"/>
          <w:sz w:val="24"/>
        </w:rPr>
        <w:t>him. Her Honour pointed to the fact that the original hearing was vacated at Mr Kudrynski</w:t>
      </w:r>
      <w:r>
        <w:rPr>
          <w:rFonts w:ascii="Arial"/>
          <w:color w:val="000000"/>
          <w:sz w:val="24"/>
        </w:rPr>
        <w:t>’</w:t>
      </w:r>
      <w:r>
        <w:rPr>
          <w:rFonts w:ascii="Arial"/>
          <w:color w:val="000000"/>
          <w:sz w:val="24"/>
        </w:rPr>
        <w:t xml:space="preserve">s request because of his ill-health and, on 12 October 2021, the hearing was set down to occur some five months later. Moreover, in February 2022, Mr Kudrynski </w:t>
      </w:r>
      <w:r>
        <w:rPr>
          <w:rFonts w:ascii="Arial"/>
          <w:color w:val="000000"/>
          <w:sz w:val="24"/>
        </w:rPr>
        <w:t xml:space="preserve">successfully </w:t>
      </w:r>
      <w:r>
        <w:rPr>
          <w:rFonts w:ascii="Arial"/>
          <w:color w:val="000000"/>
          <w:sz w:val="24"/>
        </w:rPr>
        <w:t>asked that the hearing proceed by AVL</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three day hearing subsequently commenced </w:t>
      </w:r>
      <w:r>
        <w:rPr>
          <w:rFonts w:ascii="Arial"/>
          <w:color w:val="000000"/>
          <w:sz w:val="24"/>
        </w:rPr>
        <w:t xml:space="preserve">in that manner </w:t>
      </w:r>
      <w:r>
        <w:rPr>
          <w:rFonts w:ascii="Arial"/>
          <w:color w:val="000000"/>
          <w:sz w:val="24"/>
        </w:rPr>
        <w:t xml:space="preserve">on 14 March 2022. </w:t>
      </w:r>
    </w:p>
    <w:p>
      <w:pPr>
        <w:pStyle w:val="CaselawNumbered10"/>
        <w:numPr>
          <w:ilvl w:val="0"/>
          <w:numId w:val="29"/>
        </w:numPr>
        <w:spacing w:before="150" w:after="0"/>
        <w:ind w:left="600" w:hanging="600"/>
      </w:pPr>
      <w:r>
        <w:rPr>
          <w:rFonts w:ascii="Arial"/>
          <w:color w:val="000000"/>
          <w:sz w:val="24"/>
        </w:rPr>
        <w:t xml:space="preserve">Turning </w:t>
      </w:r>
      <w:r>
        <w:rPr>
          <w:rFonts w:ascii="Arial"/>
          <w:color w:val="000000"/>
          <w:sz w:val="24"/>
        </w:rPr>
        <w:t xml:space="preserve">now </w:t>
      </w:r>
      <w:r>
        <w:rPr>
          <w:rFonts w:ascii="Arial"/>
          <w:color w:val="000000"/>
          <w:sz w:val="24"/>
        </w:rPr>
        <w:t>to</w:t>
      </w:r>
      <w:r>
        <w:rPr>
          <w:rFonts w:ascii="Arial"/>
          <w:color w:val="000000"/>
          <w:sz w:val="24"/>
        </w:rPr>
        <w:t xml:space="preserve"> </w:t>
      </w:r>
      <w:r>
        <w:rPr>
          <w:rFonts w:ascii="Arial"/>
          <w:color w:val="000000"/>
          <w:sz w:val="24"/>
        </w:rPr>
        <w:t>the primary judge</w:t>
      </w:r>
      <w:r>
        <w:rPr>
          <w:rFonts w:ascii="Arial"/>
          <w:color w:val="000000"/>
          <w:sz w:val="24"/>
        </w:rPr>
        <w:t>’</w:t>
      </w:r>
      <w:r>
        <w:rPr>
          <w:rFonts w:ascii="Arial"/>
          <w:color w:val="000000"/>
          <w:sz w:val="24"/>
        </w:rPr>
        <w:t>s reasons concerning more</w:t>
      </w:r>
      <w:r>
        <w:rPr>
          <w:rFonts w:ascii="Arial"/>
          <w:color w:val="000000"/>
          <w:sz w:val="24"/>
        </w:rPr>
        <w:t xml:space="preserve"> </w:t>
      </w:r>
      <w:r>
        <w:rPr>
          <w:rFonts w:ascii="Arial"/>
          <w:color w:val="000000"/>
          <w:sz w:val="24"/>
        </w:rPr>
        <w:t>substantive issues,</w:t>
      </w:r>
      <w:r>
        <w:rPr>
          <w:rFonts w:ascii="Arial"/>
          <w:color w:val="000000"/>
          <w:sz w:val="24"/>
        </w:rPr>
        <w:t xml:space="preserve"> </w:t>
      </w:r>
      <w:r>
        <w:rPr>
          <w:rFonts w:ascii="Arial"/>
          <w:color w:val="000000"/>
          <w:sz w:val="24"/>
        </w:rPr>
        <w:t>her Honour</w:t>
      </w:r>
      <w:r>
        <w:rPr>
          <w:rFonts w:ascii="Arial"/>
          <w:color w:val="000000"/>
          <w:sz w:val="24"/>
        </w:rPr>
        <w:t xml:space="preserve"> </w:t>
      </w:r>
      <w:r>
        <w:rPr>
          <w:rFonts w:ascii="Arial"/>
          <w:color w:val="000000"/>
          <w:sz w:val="24"/>
        </w:rPr>
        <w:t xml:space="preserve">identified the Land, summarised the statutory framework for compensation under the </w:t>
      </w:r>
      <w:r>
        <w:rPr>
          <w:rFonts w:ascii="Arial"/>
          <w:i/>
          <w:color w:val="000000"/>
          <w:sz w:val="24"/>
        </w:rPr>
        <w:t>Just Terms Act,</w:t>
      </w:r>
      <w:r>
        <w:rPr>
          <w:rFonts w:ascii="Arial"/>
          <w:i/>
          <w:color w:val="000000"/>
          <w:sz w:val="24"/>
        </w:rPr>
        <w:t xml:space="preserve"> </w:t>
      </w:r>
      <w:r>
        <w:rPr>
          <w:rFonts w:ascii="Arial"/>
          <w:color w:val="000000"/>
          <w:sz w:val="24"/>
        </w:rPr>
        <w:t>and then</w:t>
      </w:r>
      <w:r>
        <w:rPr>
          <w:rFonts w:ascii="Arial"/>
          <w:i/>
          <w:color w:val="000000"/>
          <w:sz w:val="24"/>
        </w:rPr>
        <w:t xml:space="preserve"> </w:t>
      </w:r>
      <w:r>
        <w:rPr>
          <w:rFonts w:ascii="Arial"/>
          <w:color w:val="000000"/>
          <w:sz w:val="24"/>
        </w:rPr>
        <w:t>summarised relevant parts of the Orange Local Environmental Plan</w:t>
      </w:r>
      <w:r>
        <w:rPr>
          <w:rFonts w:ascii="Arial"/>
          <w:color w:val="000000"/>
          <w:sz w:val="24"/>
        </w:rPr>
        <w:t xml:space="preserve"> </w:t>
      </w:r>
      <w:r>
        <w:rPr>
          <w:rFonts w:ascii="Arial"/>
          <w:color w:val="000000"/>
          <w:sz w:val="24"/>
        </w:rPr>
        <w:t xml:space="preserve">2011 </w:t>
      </w:r>
      <w:r>
        <w:rPr>
          <w:rFonts w:ascii="Arial"/>
          <w:color w:val="000000"/>
          <w:sz w:val="24"/>
        </w:rPr>
        <w:t>(</w:t>
      </w:r>
      <w:r>
        <w:rPr>
          <w:rFonts w:ascii="Arial"/>
          <w:color w:val="000000"/>
          <w:sz w:val="24"/>
        </w:rPr>
        <w:t>which recorded</w:t>
      </w:r>
      <w:r>
        <w:rPr>
          <w:rFonts w:ascii="Arial"/>
          <w:color w:val="000000"/>
          <w:sz w:val="24"/>
        </w:rPr>
        <w:t xml:space="preserve"> </w:t>
      </w:r>
      <w:r>
        <w:rPr>
          <w:rFonts w:ascii="Arial"/>
          <w:color w:val="000000"/>
          <w:sz w:val="24"/>
        </w:rPr>
        <w:t xml:space="preserve">that the Land was zoned R5 Large Lot Residential) and the Orange Development Control Plan 2004 </w:t>
      </w:r>
      <w:r>
        <w:rPr>
          <w:rFonts w:ascii="Arial"/>
          <w:color w:val="000000"/>
          <w:sz w:val="24"/>
        </w:rPr>
        <w:t>(</w:t>
      </w:r>
      <w:r>
        <w:rPr>
          <w:rFonts w:ascii="Arial"/>
          <w:color w:val="000000"/>
          <w:sz w:val="24"/>
        </w:rPr>
        <w:t>which recorded</w:t>
      </w:r>
      <w:r>
        <w:rPr>
          <w:rFonts w:ascii="Arial"/>
          <w:color w:val="000000"/>
          <w:sz w:val="24"/>
        </w:rPr>
        <w:t xml:space="preserve"> </w:t>
      </w:r>
      <w:r>
        <w:rPr>
          <w:rFonts w:ascii="Arial"/>
          <w:color w:val="000000"/>
          <w:sz w:val="24"/>
        </w:rPr>
        <w:t xml:space="preserve">that the Land was flood affected). </w:t>
      </w:r>
    </w:p>
    <w:p>
      <w:pPr>
        <w:pStyle w:val="CaselawNumbered10"/>
        <w:numPr>
          <w:ilvl w:val="0"/>
          <w:numId w:val="29"/>
        </w:numPr>
        <w:spacing w:before="150" w:after="0"/>
        <w:ind w:left="600" w:hanging="600"/>
      </w:pPr>
      <w:r>
        <w:rPr>
          <w:rFonts w:ascii="Arial"/>
          <w:color w:val="000000"/>
          <w:sz w:val="24"/>
        </w:rPr>
        <w:t>Her Honour noted that</w:t>
      </w:r>
      <w:r>
        <w:rPr>
          <w:rFonts w:ascii="Arial"/>
          <w:color w:val="000000"/>
          <w:sz w:val="24"/>
        </w:rPr>
        <w:t>, unlike the Council,</w:t>
      </w:r>
      <w:r>
        <w:rPr>
          <w:rFonts w:ascii="Arial"/>
          <w:color w:val="000000"/>
          <w:sz w:val="24"/>
        </w:rPr>
        <w:t xml:space="preserve"> </w:t>
      </w:r>
      <w:r>
        <w:rPr>
          <w:rFonts w:ascii="Arial"/>
          <w:color w:val="000000"/>
          <w:sz w:val="24"/>
        </w:rPr>
        <w:t>M</w:t>
      </w:r>
      <w:r>
        <w:rPr>
          <w:rFonts w:ascii="Arial"/>
          <w:color w:val="000000"/>
          <w:sz w:val="24"/>
        </w:rPr>
        <w:t>r</w:t>
      </w:r>
      <w:r>
        <w:rPr>
          <w:rFonts w:ascii="Arial"/>
          <w:color w:val="000000"/>
          <w:sz w:val="24"/>
        </w:rPr>
        <w:t xml:space="preserve">s </w:t>
      </w:r>
      <w:r>
        <w:rPr>
          <w:rFonts w:ascii="Arial"/>
          <w:color w:val="000000"/>
          <w:sz w:val="24"/>
        </w:rPr>
        <w:t xml:space="preserve">Kudrynski did not rely on any expert town planning evidence. </w:t>
      </w:r>
      <w:r>
        <w:rPr>
          <w:rFonts w:ascii="Arial"/>
          <w:color w:val="000000"/>
          <w:sz w:val="24"/>
        </w:rPr>
        <w:t>The</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town planning expert</w:t>
      </w:r>
      <w:r>
        <w:rPr>
          <w:rFonts w:ascii="Arial"/>
          <w:color w:val="000000"/>
          <w:sz w:val="24"/>
        </w:rPr>
        <w:t>,</w:t>
      </w:r>
      <w:r>
        <w:rPr>
          <w:rFonts w:ascii="Arial"/>
          <w:color w:val="000000"/>
          <w:sz w:val="24"/>
        </w:rPr>
        <w:t xml:space="preserve"> </w:t>
      </w:r>
      <w:r>
        <w:rPr>
          <w:rFonts w:ascii="Arial"/>
          <w:color w:val="000000"/>
          <w:sz w:val="24"/>
        </w:rPr>
        <w:t xml:space="preserve">Mr Nick Juradowitch, prepared </w:t>
      </w:r>
      <w:r>
        <w:rPr>
          <w:rFonts w:ascii="Arial"/>
          <w:color w:val="000000"/>
          <w:sz w:val="24"/>
        </w:rPr>
        <w:t>a report dated July 2021.</w:t>
      </w:r>
      <w:r>
        <w:rPr>
          <w:rFonts w:ascii="Arial"/>
          <w:color w:val="000000"/>
          <w:sz w:val="24"/>
        </w:rPr>
        <w:t xml:space="preserve"> </w:t>
      </w:r>
      <w:r>
        <w:rPr>
          <w:rFonts w:ascii="Arial"/>
          <w:color w:val="000000"/>
          <w:sz w:val="24"/>
        </w:rPr>
        <w:t xml:space="preserve">Mr Juradowitch </w:t>
      </w:r>
      <w:r>
        <w:rPr>
          <w:rFonts w:ascii="Arial"/>
          <w:color w:val="000000"/>
          <w:sz w:val="24"/>
        </w:rPr>
        <w:t>opined</w:t>
      </w:r>
      <w:r>
        <w:rPr>
          <w:rFonts w:ascii="Arial"/>
          <w:color w:val="000000"/>
          <w:sz w:val="24"/>
        </w:rPr>
        <w:t xml:space="preserve"> </w:t>
      </w:r>
      <w:r>
        <w:rPr>
          <w:rFonts w:ascii="Arial"/>
          <w:color w:val="000000"/>
          <w:sz w:val="24"/>
        </w:rPr>
        <w:t>that under the R5 zone,</w:t>
      </w:r>
      <w:r>
        <w:rPr>
          <w:rFonts w:ascii="Arial"/>
          <w:color w:val="000000"/>
          <w:sz w:val="24"/>
        </w:rPr>
        <w:t xml:space="preserve"> </w:t>
      </w:r>
      <w:r>
        <w:rPr>
          <w:rFonts w:ascii="Arial"/>
          <w:color w:val="000000"/>
          <w:sz w:val="24"/>
        </w:rPr>
        <w:t>which included water supply systems as a use</w:t>
      </w:r>
      <w:r>
        <w:rPr>
          <w:rFonts w:ascii="Arial"/>
          <w:color w:val="000000"/>
          <w:sz w:val="24"/>
        </w:rPr>
        <w:t xml:space="preserve"> </w:t>
      </w:r>
      <w:r>
        <w:rPr>
          <w:rFonts w:ascii="Arial"/>
          <w:color w:val="000000"/>
          <w:sz w:val="24"/>
        </w:rPr>
        <w:t>permitted with consent</w:t>
      </w:r>
      <w:r>
        <w:rPr>
          <w:rFonts w:ascii="Arial"/>
          <w:color w:val="000000"/>
          <w:sz w:val="24"/>
        </w:rPr>
        <w:t>,</w:t>
      </w:r>
      <w:r>
        <w:rPr>
          <w:rFonts w:ascii="Arial"/>
          <w:color w:val="000000"/>
          <w:sz w:val="24"/>
        </w:rPr>
        <w:t xml:space="preserve"> </w:t>
      </w:r>
      <w:r>
        <w:rPr>
          <w:rFonts w:ascii="Arial"/>
          <w:color w:val="000000"/>
          <w:sz w:val="24"/>
        </w:rPr>
        <w:t>the highest and best use of the Land</w:t>
      </w:r>
      <w:r>
        <w:rPr>
          <w:rFonts w:ascii="Arial"/>
          <w:color w:val="000000"/>
          <w:sz w:val="24"/>
        </w:rPr>
        <w:t xml:space="preserve"> </w:t>
      </w:r>
      <w:r>
        <w:rPr>
          <w:rFonts w:ascii="Arial"/>
          <w:color w:val="000000"/>
          <w:sz w:val="24"/>
        </w:rPr>
        <w:t>(</w:t>
      </w:r>
      <w:r>
        <w:rPr>
          <w:rFonts w:ascii="Arial"/>
          <w:color w:val="000000"/>
          <w:sz w:val="24"/>
        </w:rPr>
        <w:t>ignoring the public purpose</w:t>
      </w:r>
      <w:r>
        <w:rPr>
          <w:rFonts w:ascii="Arial"/>
          <w:color w:val="000000"/>
          <w:sz w:val="24"/>
        </w:rPr>
        <w:t>)</w:t>
      </w:r>
      <w:r>
        <w:rPr>
          <w:rFonts w:ascii="Arial"/>
          <w:color w:val="000000"/>
          <w:sz w:val="24"/>
        </w:rPr>
        <w:t xml:space="preserve"> </w:t>
      </w:r>
      <w:r>
        <w:rPr>
          <w:rFonts w:ascii="Arial"/>
          <w:color w:val="000000"/>
          <w:sz w:val="24"/>
        </w:rPr>
        <w:t xml:space="preserve">was </w:t>
      </w:r>
      <w:r>
        <w:rPr>
          <w:rFonts w:ascii="Arial"/>
          <w:color w:val="000000"/>
          <w:sz w:val="24"/>
        </w:rPr>
        <w:t xml:space="preserve">for rural residential subdivision. </w:t>
      </w:r>
    </w:p>
    <w:p>
      <w:pPr>
        <w:pStyle w:val="CaselawNumbered10"/>
        <w:numPr>
          <w:ilvl w:val="0"/>
          <w:numId w:val="29"/>
        </w:numPr>
        <w:spacing w:before="150" w:after="0"/>
        <w:ind w:left="600" w:hanging="600"/>
      </w:pPr>
      <w:r>
        <w:rPr>
          <w:rFonts w:ascii="Arial"/>
          <w:color w:val="000000"/>
          <w:sz w:val="24"/>
        </w:rPr>
        <w:t>Her Honour then noted at PJ[40] various site development constrain</w:t>
      </w:r>
      <w:r>
        <w:rPr>
          <w:rFonts w:ascii="Arial"/>
          <w:color w:val="000000"/>
          <w:sz w:val="24"/>
        </w:rPr>
        <w:t>t</w:t>
      </w:r>
      <w:r>
        <w:rPr>
          <w:rFonts w:ascii="Arial"/>
          <w:color w:val="000000"/>
          <w:sz w:val="24"/>
        </w:rPr>
        <w:t xml:space="preserve">s which materially affected the development potential of the Land. These included the fact that 54% of the Land was impacted by a 1:100 year flood level, the presence of easements, problems with the topography of the Land, the need for a riparian corridor along Blackmans Swamp Creek (which </w:t>
      </w:r>
      <w:r>
        <w:rPr>
          <w:rFonts w:ascii="Arial"/>
          <w:color w:val="000000"/>
          <w:sz w:val="24"/>
        </w:rPr>
        <w:t xml:space="preserve">bisected </w:t>
      </w:r>
      <w:r>
        <w:rPr>
          <w:rFonts w:ascii="Arial"/>
          <w:color w:val="000000"/>
          <w:sz w:val="24"/>
        </w:rPr>
        <w:t xml:space="preserve">the Land), and traffic noise. </w:t>
      </w:r>
    </w:p>
    <w:p>
      <w:pPr>
        <w:pStyle w:val="CaselawNumbered10"/>
        <w:numPr>
          <w:ilvl w:val="0"/>
          <w:numId w:val="29"/>
        </w:numPr>
        <w:spacing w:before="150" w:after="0"/>
        <w:ind w:left="600" w:hanging="600"/>
      </w:pPr>
      <w:r>
        <w:rPr>
          <w:rFonts w:ascii="Arial"/>
          <w:color w:val="000000"/>
          <w:sz w:val="24"/>
        </w:rPr>
        <w:t>Mr Juradowitch (who was cross-examined</w:t>
      </w:r>
      <w:r>
        <w:rPr>
          <w:rFonts w:ascii="Arial"/>
          <w:color w:val="000000"/>
          <w:sz w:val="24"/>
        </w:rPr>
        <w:t xml:space="preserve"> </w:t>
      </w:r>
      <w:r>
        <w:rPr>
          <w:rFonts w:ascii="Arial"/>
          <w:color w:val="000000"/>
          <w:sz w:val="24"/>
        </w:rPr>
        <w:t>at considerable length</w:t>
      </w:r>
      <w:r>
        <w:rPr>
          <w:rFonts w:ascii="Arial"/>
          <w:color w:val="000000"/>
          <w:sz w:val="24"/>
        </w:rPr>
        <w:t xml:space="preserve">) opined that </w:t>
      </w:r>
      <w:r>
        <w:rPr>
          <w:rFonts w:ascii="Arial"/>
          <w:color w:val="000000"/>
          <w:sz w:val="24"/>
        </w:rPr>
        <w:t>M</w:t>
      </w:r>
      <w:r>
        <w:rPr>
          <w:rFonts w:ascii="Arial"/>
          <w:color w:val="000000"/>
          <w:sz w:val="24"/>
        </w:rPr>
        <w:t>r</w:t>
      </w:r>
      <w:r>
        <w:rPr>
          <w:rFonts w:ascii="Arial"/>
          <w:color w:val="000000"/>
          <w:sz w:val="24"/>
        </w:rPr>
        <w:t xml:space="preserve">s </w:t>
      </w:r>
      <w:r>
        <w:rPr>
          <w:rFonts w:ascii="Arial"/>
          <w:color w:val="000000"/>
          <w:sz w:val="24"/>
        </w:rPr>
        <w:t xml:space="preserve">Kudrynski </w:t>
      </w:r>
      <w:r>
        <w:rPr>
          <w:rFonts w:ascii="Arial"/>
          <w:color w:val="000000"/>
          <w:sz w:val="24"/>
        </w:rPr>
        <w:t xml:space="preserve">might </w:t>
      </w:r>
      <w:r>
        <w:rPr>
          <w:rFonts w:ascii="Arial"/>
          <w:color w:val="000000"/>
          <w:sz w:val="24"/>
        </w:rPr>
        <w:t xml:space="preserve">likely be granted consent for a four lot subdivision, but any </w:t>
      </w:r>
      <w:r>
        <w:rPr>
          <w:rFonts w:ascii="Arial"/>
          <w:color w:val="000000"/>
          <w:sz w:val="24"/>
        </w:rPr>
        <w:t xml:space="preserve">such subdivision would involve development costs </w:t>
      </w:r>
      <w:r>
        <w:rPr>
          <w:rFonts w:ascii="Arial"/>
          <w:color w:val="000000"/>
          <w:sz w:val="24"/>
        </w:rPr>
        <w:t>for</w:t>
      </w:r>
      <w:r>
        <w:rPr>
          <w:rFonts w:ascii="Arial"/>
          <w:color w:val="000000"/>
          <w:sz w:val="24"/>
        </w:rPr>
        <w:t xml:space="preserve"> </w:t>
      </w:r>
      <w:r>
        <w:rPr>
          <w:rFonts w:ascii="Arial"/>
          <w:color w:val="000000"/>
          <w:sz w:val="24"/>
        </w:rPr>
        <w:t xml:space="preserve">items such as </w:t>
      </w:r>
      <w:r>
        <w:rPr>
          <w:rFonts w:ascii="Arial"/>
          <w:color w:val="000000"/>
          <w:sz w:val="24"/>
        </w:rPr>
        <w:t xml:space="preserve">the connection of services, vehicle access, land filling etc. Her Honour summarised at PJ[46]ff </w:t>
      </w:r>
      <w:r>
        <w:rPr>
          <w:rFonts w:ascii="Arial"/>
          <w:color w:val="000000"/>
          <w:sz w:val="24"/>
        </w:rPr>
        <w:t>Mr Juradowitch</w:t>
      </w:r>
      <w:r>
        <w:rPr>
          <w:rFonts w:ascii="Arial"/>
          <w:color w:val="000000"/>
          <w:sz w:val="24"/>
        </w:rPr>
        <w:t>’</w:t>
      </w:r>
      <w:r>
        <w:rPr>
          <w:rFonts w:ascii="Arial"/>
          <w:color w:val="000000"/>
          <w:sz w:val="24"/>
        </w:rPr>
        <w:t xml:space="preserve">s </w:t>
      </w:r>
      <w:r>
        <w:rPr>
          <w:rFonts w:ascii="Arial"/>
          <w:color w:val="000000"/>
          <w:sz w:val="24"/>
        </w:rPr>
        <w:t xml:space="preserve">cross-examination. </w:t>
      </w:r>
    </w:p>
    <w:p>
      <w:pPr>
        <w:pStyle w:val="CaselawNumbered10"/>
        <w:numPr>
          <w:ilvl w:val="0"/>
          <w:numId w:val="29"/>
        </w:numPr>
        <w:spacing w:before="150" w:after="0"/>
        <w:ind w:left="600" w:hanging="600"/>
      </w:pPr>
      <w:r>
        <w:rPr>
          <w:rFonts w:ascii="Arial"/>
          <w:color w:val="000000"/>
          <w:sz w:val="24"/>
        </w:rPr>
        <w:t xml:space="preserve">As far as valuation evidence is concerned, the primary judge noted that </w:t>
      </w:r>
      <w:r>
        <w:rPr>
          <w:rFonts w:ascii="Arial"/>
          <w:color w:val="000000"/>
          <w:sz w:val="24"/>
        </w:rPr>
        <w:t>M</w:t>
      </w:r>
      <w:r>
        <w:rPr>
          <w:rFonts w:ascii="Arial"/>
          <w:color w:val="000000"/>
          <w:sz w:val="24"/>
        </w:rPr>
        <w:t>r</w:t>
      </w:r>
      <w:r>
        <w:rPr>
          <w:rFonts w:ascii="Arial"/>
          <w:color w:val="000000"/>
          <w:sz w:val="24"/>
        </w:rPr>
        <w:t xml:space="preserve">s </w:t>
      </w:r>
      <w:r>
        <w:rPr>
          <w:rFonts w:ascii="Arial"/>
          <w:color w:val="000000"/>
          <w:sz w:val="24"/>
        </w:rPr>
        <w:t xml:space="preserve">Kudrynski initially sought to rely on two reports, with only the first </w:t>
      </w:r>
      <w:r>
        <w:rPr>
          <w:rFonts w:ascii="Arial"/>
          <w:color w:val="000000"/>
          <w:sz w:val="24"/>
        </w:rPr>
        <w:t xml:space="preserve">having been </w:t>
      </w:r>
      <w:r>
        <w:rPr>
          <w:rFonts w:ascii="Arial"/>
          <w:color w:val="000000"/>
          <w:sz w:val="24"/>
        </w:rPr>
        <w:t>prepared by a registered valuer. T</w:t>
      </w:r>
      <w:r>
        <w:rPr>
          <w:rFonts w:ascii="Arial"/>
          <w:color w:val="000000"/>
          <w:sz w:val="24"/>
        </w:rPr>
        <w:t xml:space="preserve">he tender of </w:t>
      </w:r>
      <w:r>
        <w:rPr>
          <w:rFonts w:ascii="Arial"/>
          <w:color w:val="000000"/>
          <w:sz w:val="24"/>
        </w:rPr>
        <w:t>t</w:t>
      </w:r>
      <w:r>
        <w:rPr>
          <w:rFonts w:ascii="Arial"/>
          <w:color w:val="000000"/>
          <w:sz w:val="24"/>
        </w:rPr>
        <w:t xml:space="preserve">hat report was later withdrawn by </w:t>
      </w:r>
      <w:r>
        <w:rPr>
          <w:rFonts w:ascii="Arial"/>
          <w:color w:val="000000"/>
          <w:sz w:val="24"/>
        </w:rPr>
        <w:t>M</w:t>
      </w:r>
      <w:r>
        <w:rPr>
          <w:rFonts w:ascii="Arial"/>
          <w:color w:val="000000"/>
          <w:sz w:val="24"/>
        </w:rPr>
        <w:t>r</w:t>
      </w:r>
      <w:r>
        <w:rPr>
          <w:rFonts w:ascii="Arial"/>
          <w:color w:val="000000"/>
          <w:sz w:val="24"/>
        </w:rPr>
        <w:t xml:space="preserve"> </w:t>
      </w:r>
      <w:r>
        <w:rPr>
          <w:rFonts w:ascii="Arial"/>
          <w:color w:val="000000"/>
          <w:sz w:val="24"/>
        </w:rPr>
        <w:t>Kudrynski</w:t>
      </w:r>
      <w:r>
        <w:rPr>
          <w:rFonts w:ascii="Arial"/>
          <w:color w:val="000000"/>
          <w:sz w:val="24"/>
        </w:rPr>
        <w:t xml:space="preserve"> </w:t>
      </w:r>
      <w:r>
        <w:rPr>
          <w:rFonts w:ascii="Arial"/>
          <w:color w:val="000000"/>
          <w:sz w:val="24"/>
        </w:rPr>
        <w:t>and nothing more needs to be said about it. This left as</w:t>
      </w:r>
      <w:r>
        <w:rPr>
          <w:rFonts w:ascii="Arial"/>
          <w:color w:val="000000"/>
          <w:sz w:val="24"/>
        </w:rPr>
        <w:t xml:space="preserve"> </w:t>
      </w:r>
      <w:r>
        <w:rPr>
          <w:rFonts w:ascii="Arial"/>
          <w:color w:val="000000"/>
          <w:sz w:val="24"/>
        </w:rPr>
        <w:t xml:space="preserve">the only valuation evidence </w:t>
      </w:r>
      <w:r>
        <w:rPr>
          <w:rFonts w:ascii="Arial"/>
          <w:color w:val="000000"/>
          <w:sz w:val="24"/>
        </w:rPr>
        <w:t>relied upon by M</w:t>
      </w:r>
      <w:r>
        <w:rPr>
          <w:rFonts w:ascii="Arial"/>
          <w:color w:val="000000"/>
          <w:sz w:val="24"/>
        </w:rPr>
        <w:t>r</w:t>
      </w:r>
      <w:r>
        <w:rPr>
          <w:rFonts w:ascii="Arial"/>
          <w:color w:val="000000"/>
          <w:sz w:val="24"/>
        </w:rPr>
        <w:t xml:space="preserve">s Kudrynski </w:t>
      </w:r>
      <w:r>
        <w:rPr>
          <w:rFonts w:ascii="Arial"/>
          <w:color w:val="000000"/>
          <w:sz w:val="24"/>
        </w:rPr>
        <w:t xml:space="preserve">a report entitled </w:t>
      </w:r>
      <w:r>
        <w:rPr>
          <w:rFonts w:ascii="Arial"/>
          <w:i/>
          <w:color w:val="000000"/>
          <w:sz w:val="24"/>
        </w:rPr>
        <w:t>Comparative</w:t>
      </w:r>
      <w:r>
        <w:rPr>
          <w:rFonts w:ascii="Arial"/>
          <w:i/>
          <w:color w:val="000000"/>
          <w:sz w:val="24"/>
        </w:rPr>
        <w:t xml:space="preserve"> Analysis Summary 280-284 Phillip Street, Orange NSW 2800</w:t>
      </w:r>
      <w:r>
        <w:rPr>
          <w:rFonts w:ascii="Arial"/>
          <w:i/>
          <w:color w:val="000000"/>
          <w:sz w:val="24"/>
        </w:rPr>
        <w:t>.</w:t>
      </w:r>
      <w:r>
        <w:rPr>
          <w:rFonts w:ascii="Arial"/>
          <w:color w:val="000000"/>
          <w:sz w:val="24"/>
        </w:rPr>
        <w:t xml:space="preserve"> </w:t>
      </w:r>
      <w:r>
        <w:rPr>
          <w:rFonts w:ascii="Arial"/>
          <w:color w:val="000000"/>
          <w:sz w:val="24"/>
        </w:rPr>
        <w:t>The report i</w:t>
      </w:r>
      <w:r>
        <w:rPr>
          <w:rFonts w:ascii="Arial"/>
          <w:color w:val="000000"/>
          <w:sz w:val="24"/>
        </w:rPr>
        <w:t xml:space="preserve">s dated 23 October 2012 and </w:t>
      </w:r>
      <w:r>
        <w:rPr>
          <w:rFonts w:ascii="Arial"/>
          <w:color w:val="000000"/>
          <w:sz w:val="24"/>
        </w:rPr>
        <w:t xml:space="preserve">was </w:t>
      </w:r>
      <w:r>
        <w:rPr>
          <w:rFonts w:ascii="Arial"/>
          <w:color w:val="000000"/>
          <w:sz w:val="24"/>
        </w:rPr>
        <w:t xml:space="preserve">prepared by </w:t>
      </w:r>
      <w:r>
        <w:rPr>
          <w:rFonts w:ascii="Arial"/>
          <w:color w:val="000000"/>
          <w:sz w:val="24"/>
        </w:rPr>
        <w:t xml:space="preserve">Mr </w:t>
      </w:r>
      <w:r>
        <w:rPr>
          <w:rFonts w:ascii="Arial"/>
          <w:color w:val="000000"/>
          <w:sz w:val="24"/>
        </w:rPr>
        <w:t xml:space="preserve">Nigel Strutt from PRD </w:t>
      </w:r>
      <w:r>
        <w:rPr>
          <w:rFonts w:ascii="Arial"/>
          <w:color w:val="000000"/>
          <w:sz w:val="24"/>
        </w:rPr>
        <w:t>N</w:t>
      </w:r>
      <w:r>
        <w:rPr>
          <w:rFonts w:ascii="Arial"/>
          <w:color w:val="000000"/>
          <w:sz w:val="24"/>
        </w:rPr>
        <w:t>ationwide</w:t>
      </w:r>
      <w:r>
        <w:rPr>
          <w:rFonts w:ascii="Arial"/>
          <w:color w:val="000000"/>
          <w:sz w:val="24"/>
        </w:rPr>
        <w:t xml:space="preserve"> </w:t>
      </w:r>
      <w:r>
        <w:rPr>
          <w:rFonts w:ascii="Arial"/>
          <w:color w:val="000000"/>
          <w:sz w:val="24"/>
        </w:rPr>
        <w:t>(</w:t>
      </w:r>
      <w:r>
        <w:rPr>
          <w:rFonts w:ascii="Arial"/>
          <w:b/>
          <w:color w:val="000000"/>
          <w:sz w:val="24"/>
        </w:rPr>
        <w:t>PRD</w:t>
      </w:r>
      <w:r>
        <w:rPr>
          <w:rFonts w:ascii="Arial"/>
          <w:color w:val="000000"/>
          <w:sz w:val="24"/>
        </w:rPr>
        <w:t xml:space="preserve"> </w:t>
      </w:r>
      <w:r>
        <w:rPr>
          <w:rFonts w:ascii="Arial"/>
          <w:b/>
          <w:color w:val="000000"/>
          <w:sz w:val="24"/>
        </w:rPr>
        <w:t>report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Her Honour noted at PJ[50] that this report was admitted into evidence notwithstanding that the author was not a registered valuer and </w:t>
      </w:r>
      <w:r>
        <w:rPr>
          <w:rFonts w:ascii="Arial"/>
          <w:color w:val="000000"/>
          <w:sz w:val="24"/>
        </w:rPr>
        <w:t xml:space="preserve">that </w:t>
      </w:r>
      <w:r>
        <w:rPr>
          <w:rFonts w:ascii="Arial"/>
          <w:color w:val="000000"/>
          <w:sz w:val="24"/>
        </w:rPr>
        <w:t>the report was dated some eight years prior to the Land being acquired. Moreover, the report did not comply with the requirements concerning expert reports set out in the Uniform Civil Procedure Rules 2005 (NSW).</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Her Honour explained at PJ[52] why she gave th</w:t>
      </w:r>
      <w:r>
        <w:rPr>
          <w:rFonts w:ascii="Arial"/>
          <w:color w:val="000000"/>
          <w:sz w:val="24"/>
        </w:rPr>
        <w:t>e PDR</w:t>
      </w:r>
      <w:r>
        <w:rPr>
          <w:rFonts w:ascii="Arial"/>
          <w:color w:val="000000"/>
          <w:sz w:val="24"/>
        </w:rPr>
        <w:t xml:space="preserve"> </w:t>
      </w:r>
      <w:r>
        <w:rPr>
          <w:rFonts w:ascii="Arial"/>
          <w:color w:val="000000"/>
          <w:sz w:val="24"/>
        </w:rPr>
        <w:t xml:space="preserve">report </w:t>
      </w:r>
      <w:r>
        <w:rPr>
          <w:rFonts w:ascii="Arial"/>
          <w:color w:val="000000"/>
          <w:sz w:val="24"/>
        </w:rPr>
        <w:t>“</w:t>
      </w:r>
      <w:r>
        <w:rPr>
          <w:rFonts w:ascii="Arial"/>
          <w:color w:val="000000"/>
          <w:sz w:val="24"/>
        </w:rPr>
        <w:t>very limited weight</w:t>
      </w:r>
      <w:r>
        <w:rPr>
          <w:rFonts w:ascii="Arial"/>
          <w:color w:val="000000"/>
          <w:sz w:val="24"/>
        </w:rPr>
        <w:t>”</w:t>
      </w:r>
      <w:r>
        <w:rPr>
          <w:rFonts w:ascii="Arial"/>
          <w:color w:val="000000"/>
          <w:sz w:val="24"/>
        </w:rPr>
        <w:t xml:space="preserve">. In addition to the deficiencies described </w:t>
      </w:r>
      <w:r>
        <w:rPr>
          <w:rFonts w:ascii="Arial"/>
          <w:color w:val="000000"/>
          <w:sz w:val="24"/>
        </w:rPr>
        <w:t>immediately above</w:t>
      </w:r>
      <w:r>
        <w:rPr>
          <w:rFonts w:ascii="Arial"/>
          <w:color w:val="000000"/>
          <w:sz w:val="24"/>
        </w:rPr>
        <w:t xml:space="preserve">, </w:t>
      </w:r>
      <w:r>
        <w:rPr>
          <w:rFonts w:ascii="Arial"/>
          <w:color w:val="000000"/>
          <w:sz w:val="24"/>
        </w:rPr>
        <w:t>the primary judge</w:t>
      </w:r>
      <w:r>
        <w:rPr>
          <w:rFonts w:ascii="Arial"/>
          <w:color w:val="000000"/>
          <w:sz w:val="24"/>
        </w:rPr>
        <w:t xml:space="preserve"> </w:t>
      </w:r>
      <w:r>
        <w:rPr>
          <w:rFonts w:ascii="Arial"/>
          <w:color w:val="000000"/>
          <w:sz w:val="24"/>
        </w:rPr>
        <w:t xml:space="preserve">also noted that </w:t>
      </w:r>
      <w:r>
        <w:rPr>
          <w:rFonts w:ascii="Arial"/>
          <w:color w:val="000000"/>
          <w:sz w:val="24"/>
        </w:rPr>
        <w:t xml:space="preserve">Mr Strutt </w:t>
      </w:r>
      <w:r>
        <w:rPr>
          <w:rFonts w:ascii="Arial"/>
          <w:color w:val="000000"/>
          <w:sz w:val="24"/>
        </w:rPr>
        <w:t>had made no adjustments to the</w:t>
      </w:r>
      <w:r>
        <w:rPr>
          <w:rFonts w:ascii="Arial"/>
          <w:color w:val="000000"/>
          <w:sz w:val="24"/>
        </w:rPr>
        <w:t xml:space="preserve"> </w:t>
      </w:r>
      <w:r>
        <w:rPr>
          <w:rFonts w:ascii="Arial"/>
          <w:color w:val="000000"/>
          <w:sz w:val="24"/>
        </w:rPr>
        <w:t xml:space="preserve">comparative </w:t>
      </w:r>
      <w:r>
        <w:rPr>
          <w:rFonts w:ascii="Arial"/>
          <w:color w:val="000000"/>
          <w:sz w:val="24"/>
        </w:rPr>
        <w:t xml:space="preserve">sales. </w:t>
      </w:r>
      <w:r>
        <w:rPr>
          <w:rFonts w:ascii="Arial"/>
          <w:color w:val="000000"/>
          <w:sz w:val="24"/>
        </w:rPr>
        <w:t>More significantly</w:t>
      </w:r>
      <w:r>
        <w:rPr>
          <w:rFonts w:ascii="Arial"/>
          <w:color w:val="000000"/>
          <w:sz w:val="24"/>
        </w:rPr>
        <w:t xml:space="preserve">, the valuation </w:t>
      </w:r>
      <w:r>
        <w:rPr>
          <w:rFonts w:ascii="Arial"/>
          <w:color w:val="000000"/>
          <w:sz w:val="24"/>
        </w:rPr>
        <w:t>provided in that report was in the amount of $540,000 to $560,000, which was no higher than the Council</w:t>
      </w:r>
      <w:r>
        <w:rPr>
          <w:rFonts w:ascii="Arial"/>
          <w:color w:val="000000"/>
          <w:sz w:val="24"/>
        </w:rPr>
        <w:t>’</w:t>
      </w:r>
      <w:r>
        <w:rPr>
          <w:rFonts w:ascii="Arial"/>
          <w:color w:val="000000"/>
          <w:sz w:val="24"/>
        </w:rPr>
        <w:t xml:space="preserve">s compensation figure of $560,000. </w:t>
      </w:r>
    </w:p>
    <w:p>
      <w:pPr>
        <w:pStyle w:val="CaselawNumbered10"/>
        <w:numPr>
          <w:ilvl w:val="0"/>
          <w:numId w:val="29"/>
        </w:numPr>
        <w:spacing w:before="150" w:after="0"/>
        <w:ind w:left="600" w:hanging="600"/>
      </w:pPr>
      <w:r>
        <w:rPr>
          <w:rFonts w:ascii="Arial"/>
          <w:color w:val="000000"/>
          <w:sz w:val="24"/>
        </w:rPr>
        <w:t xml:space="preserve">The primary judge described at PJ[54]ff </w:t>
      </w:r>
      <w:r>
        <w:rPr>
          <w:rFonts w:ascii="Arial"/>
          <w:color w:val="000000"/>
          <w:sz w:val="24"/>
        </w:rPr>
        <w:t xml:space="preserve">oral </w:t>
      </w:r>
      <w:r>
        <w:rPr>
          <w:rFonts w:ascii="Arial"/>
          <w:color w:val="000000"/>
          <w:sz w:val="24"/>
        </w:rPr>
        <w:t>evidence given by the Council</w:t>
      </w:r>
      <w:r>
        <w:rPr>
          <w:rFonts w:ascii="Arial"/>
          <w:color w:val="000000"/>
          <w:sz w:val="24"/>
        </w:rPr>
        <w:t>’</w:t>
      </w:r>
      <w:r>
        <w:rPr>
          <w:rFonts w:ascii="Arial"/>
          <w:color w:val="000000"/>
          <w:sz w:val="24"/>
        </w:rPr>
        <w:t xml:space="preserve">s </w:t>
      </w:r>
      <w:r>
        <w:rPr>
          <w:rFonts w:ascii="Arial"/>
          <w:color w:val="000000"/>
          <w:sz w:val="24"/>
        </w:rPr>
        <w:t>c</w:t>
      </w:r>
      <w:r>
        <w:rPr>
          <w:rFonts w:ascii="Arial"/>
          <w:color w:val="000000"/>
          <w:sz w:val="24"/>
        </w:rPr>
        <w:t xml:space="preserve">hief </w:t>
      </w:r>
      <w:r>
        <w:rPr>
          <w:rFonts w:ascii="Arial"/>
          <w:color w:val="000000"/>
          <w:sz w:val="24"/>
        </w:rPr>
        <w:t>e</w:t>
      </w:r>
      <w:r>
        <w:rPr>
          <w:rFonts w:ascii="Arial"/>
          <w:color w:val="000000"/>
          <w:sz w:val="24"/>
        </w:rPr>
        <w:t xml:space="preserve">xecutive </w:t>
      </w:r>
      <w:r>
        <w:rPr>
          <w:rFonts w:ascii="Arial"/>
          <w:color w:val="000000"/>
          <w:sz w:val="24"/>
        </w:rPr>
        <w:t>o</w:t>
      </w:r>
      <w:r>
        <w:rPr>
          <w:rFonts w:ascii="Arial"/>
          <w:color w:val="000000"/>
          <w:sz w:val="24"/>
        </w:rPr>
        <w:t xml:space="preserve">fficer, Mr Timothy Waddell, </w:t>
      </w:r>
      <w:r>
        <w:rPr>
          <w:rFonts w:ascii="Arial"/>
          <w:color w:val="000000"/>
          <w:sz w:val="24"/>
        </w:rPr>
        <w:t>who had been subpoenaed by the applicants,</w:t>
      </w:r>
      <w:r>
        <w:rPr>
          <w:rFonts w:ascii="Arial"/>
          <w:color w:val="000000"/>
          <w:sz w:val="24"/>
        </w:rPr>
        <w:t xml:space="preserve"> </w:t>
      </w:r>
      <w:r>
        <w:rPr>
          <w:rFonts w:ascii="Arial"/>
          <w:color w:val="000000"/>
          <w:sz w:val="24"/>
        </w:rPr>
        <w:t>and Mr Waddell</w:t>
      </w:r>
      <w:r>
        <w:rPr>
          <w:rFonts w:ascii="Arial"/>
          <w:color w:val="000000"/>
          <w:sz w:val="24"/>
        </w:rPr>
        <w:t>’</w:t>
      </w:r>
      <w:r>
        <w:rPr>
          <w:rFonts w:ascii="Arial"/>
          <w:color w:val="000000"/>
          <w:sz w:val="24"/>
        </w:rPr>
        <w:t xml:space="preserve">s written answers to </w:t>
      </w:r>
      <w:r>
        <w:rPr>
          <w:rFonts w:ascii="Arial"/>
          <w:color w:val="000000"/>
          <w:sz w:val="24"/>
        </w:rPr>
        <w:t>two</w:t>
      </w:r>
      <w:r>
        <w:rPr>
          <w:rFonts w:ascii="Arial"/>
          <w:color w:val="000000"/>
          <w:sz w:val="24"/>
        </w:rPr>
        <w:t xml:space="preserve"> </w:t>
      </w:r>
      <w:r>
        <w:rPr>
          <w:rFonts w:ascii="Arial"/>
          <w:color w:val="000000"/>
          <w:sz w:val="24"/>
        </w:rPr>
        <w:t>questions which were sent to him after the hearing (see at PJ[57]).</w:t>
      </w:r>
    </w:p>
    <w:p>
      <w:pPr>
        <w:pStyle w:val="CaselawNumbered10"/>
        <w:numPr>
          <w:ilvl w:val="0"/>
          <w:numId w:val="29"/>
        </w:numPr>
        <w:spacing w:before="150" w:after="0"/>
        <w:ind w:left="600" w:hanging="600"/>
      </w:pPr>
      <w:r>
        <w:rPr>
          <w:rFonts w:ascii="Arial"/>
          <w:color w:val="000000"/>
          <w:sz w:val="24"/>
        </w:rPr>
        <w:t xml:space="preserve">At PJ[58]ff, the primary judge summarised at some length </w:t>
      </w:r>
      <w:r>
        <w:rPr>
          <w:rFonts w:ascii="Arial"/>
          <w:color w:val="000000"/>
          <w:sz w:val="24"/>
        </w:rPr>
        <w:t>the</w:t>
      </w:r>
      <w:r>
        <w:rPr>
          <w:rFonts w:ascii="Arial"/>
          <w:color w:val="000000"/>
          <w:sz w:val="24"/>
        </w:rPr>
        <w:t xml:space="preserve"> </w:t>
      </w:r>
      <w:r>
        <w:rPr>
          <w:rFonts w:ascii="Arial"/>
          <w:color w:val="000000"/>
          <w:sz w:val="24"/>
        </w:rPr>
        <w:t>expert valuation report dated 11 August 2021 by the Council</w:t>
      </w:r>
      <w:r>
        <w:rPr>
          <w:rFonts w:ascii="Arial"/>
          <w:color w:val="000000"/>
          <w:sz w:val="24"/>
        </w:rPr>
        <w:t>’</w:t>
      </w:r>
      <w:r>
        <w:rPr>
          <w:rFonts w:ascii="Arial"/>
          <w:color w:val="000000"/>
          <w:sz w:val="24"/>
        </w:rPr>
        <w:t>s expert valuer, Mr Geoff McGuirk</w:t>
      </w:r>
      <w:r>
        <w:rPr>
          <w:rFonts w:ascii="Arial"/>
          <w:color w:val="000000"/>
          <w:sz w:val="24"/>
        </w:rPr>
        <w:t>, who also underwent a lengthy cross-examination</w:t>
      </w:r>
      <w:r>
        <w:rPr>
          <w:rFonts w:ascii="Arial"/>
          <w:color w:val="000000"/>
          <w:sz w:val="24"/>
        </w:rPr>
        <w:t xml:space="preserve">. </w:t>
      </w:r>
      <w:r>
        <w:rPr>
          <w:rFonts w:ascii="Arial"/>
          <w:color w:val="000000"/>
          <w:sz w:val="24"/>
        </w:rPr>
        <w:t>Mr McGuirk valued the land at $560,000 based on the highest and best use of the land being as a four lot rural residential subdivision</w:t>
      </w:r>
      <w:r>
        <w:rPr>
          <w:rFonts w:ascii="Arial"/>
          <w:color w:val="000000"/>
          <w:sz w:val="24"/>
        </w:rPr>
        <w:t xml:space="preserve"> </w:t>
      </w:r>
      <w:r>
        <w:rPr>
          <w:rFonts w:ascii="Arial"/>
          <w:color w:val="000000"/>
          <w:sz w:val="24"/>
        </w:rPr>
        <w:t xml:space="preserve">with each allotment having frontage </w:t>
      </w:r>
      <w:r>
        <w:rPr>
          <w:rFonts w:ascii="Arial"/>
          <w:color w:val="000000"/>
          <w:sz w:val="24"/>
        </w:rPr>
        <w:t xml:space="preserve">to </w:t>
      </w:r>
      <w:r>
        <w:rPr>
          <w:rFonts w:ascii="Arial"/>
          <w:color w:val="000000"/>
          <w:sz w:val="24"/>
        </w:rPr>
        <w:t>Jilba</w:t>
      </w:r>
      <w:r>
        <w:rPr>
          <w:rFonts w:ascii="Arial"/>
          <w:color w:val="000000"/>
          <w:sz w:val="24"/>
        </w:rPr>
        <w:t xml:space="preserve"> </w:t>
      </w:r>
      <w:r>
        <w:rPr>
          <w:rFonts w:ascii="Arial"/>
          <w:color w:val="000000"/>
          <w:sz w:val="24"/>
        </w:rPr>
        <w:t>Street</w:t>
      </w:r>
      <w:r>
        <w:rPr>
          <w:rFonts w:ascii="Arial"/>
          <w:color w:val="000000"/>
          <w:sz w:val="24"/>
        </w:rPr>
        <w:t>.</w:t>
      </w:r>
      <w:r>
        <w:rPr>
          <w:rFonts w:ascii="Arial"/>
          <w:color w:val="000000"/>
          <w:sz w:val="24"/>
        </w:rPr>
        <w:t xml:space="preserve"> </w:t>
      </w:r>
      <w:r>
        <w:rPr>
          <w:rFonts w:ascii="Arial"/>
          <w:color w:val="000000"/>
          <w:sz w:val="24"/>
        </w:rPr>
        <w:t>Mr</w:t>
      </w:r>
      <w:r>
        <w:rPr>
          <w:rFonts w:ascii="Arial"/>
          <w:color w:val="000000"/>
          <w:sz w:val="24"/>
        </w:rPr>
        <w:t xml:space="preserve"> </w:t>
      </w:r>
      <w:r>
        <w:rPr>
          <w:rFonts w:ascii="Arial"/>
          <w:color w:val="000000"/>
          <w:sz w:val="24"/>
        </w:rPr>
        <w:t>McGuirk</w:t>
      </w:r>
      <w:r>
        <w:rPr>
          <w:rFonts w:ascii="Arial"/>
          <w:color w:val="000000"/>
          <w:sz w:val="24"/>
        </w:rPr>
        <w:t>’</w:t>
      </w:r>
      <w:r>
        <w:rPr>
          <w:rFonts w:ascii="Arial"/>
          <w:color w:val="000000"/>
          <w:sz w:val="24"/>
        </w:rPr>
        <w:t>s valuation also took into account that the Land was</w:t>
      </w:r>
      <w:r>
        <w:rPr>
          <w:rFonts w:ascii="Arial"/>
          <w:color w:val="000000"/>
          <w:sz w:val="24"/>
        </w:rPr>
        <w:t xml:space="preserve"> </w:t>
      </w:r>
      <w:r>
        <w:rPr>
          <w:rFonts w:ascii="Arial"/>
          <w:color w:val="000000"/>
          <w:sz w:val="24"/>
        </w:rPr>
        <w:t>liable to</w:t>
      </w:r>
      <w:r>
        <w:rPr>
          <w:rFonts w:ascii="Arial"/>
          <w:color w:val="000000"/>
          <w:sz w:val="24"/>
        </w:rPr>
        <w:t xml:space="preserve"> </w:t>
      </w:r>
      <w:r>
        <w:rPr>
          <w:rFonts w:ascii="Arial"/>
          <w:color w:val="000000"/>
          <w:sz w:val="24"/>
        </w:rPr>
        <w:t xml:space="preserve">flood, affected by transmission line easements and located directly opposite public housing. </w:t>
      </w:r>
      <w:r>
        <w:rPr>
          <w:rFonts w:ascii="Arial"/>
          <w:color w:val="000000"/>
          <w:sz w:val="24"/>
        </w:rPr>
        <w:t xml:space="preserve">Her Honour noted at PJ[67] evidence given by Mr McGuirk under cross-examination, </w:t>
      </w:r>
      <w:r>
        <w:rPr>
          <w:rFonts w:ascii="Arial"/>
          <w:color w:val="000000"/>
          <w:sz w:val="24"/>
        </w:rPr>
        <w:t>which included</w:t>
      </w:r>
      <w:r>
        <w:rPr>
          <w:rFonts w:ascii="Arial"/>
          <w:color w:val="000000"/>
          <w:sz w:val="24"/>
        </w:rPr>
        <w:t xml:space="preserve"> </w:t>
      </w:r>
      <w:r>
        <w:rPr>
          <w:rFonts w:ascii="Arial"/>
          <w:color w:val="000000"/>
          <w:sz w:val="24"/>
        </w:rPr>
        <w:t>his confirmation that his valuation disregarded the public purpose, being the Project. The primary judge also noted Mr McGuirk</w:t>
      </w:r>
      <w:r>
        <w:rPr>
          <w:rFonts w:ascii="Arial"/>
          <w:color w:val="000000"/>
          <w:sz w:val="24"/>
        </w:rPr>
        <w:t>’</w:t>
      </w:r>
      <w:r>
        <w:rPr>
          <w:rFonts w:ascii="Arial"/>
          <w:color w:val="000000"/>
          <w:sz w:val="24"/>
        </w:rPr>
        <w:t xml:space="preserve">s evidence that a water licence </w:t>
      </w:r>
      <w:r>
        <w:rPr>
          <w:rFonts w:ascii="Arial"/>
          <w:color w:val="000000"/>
          <w:sz w:val="24"/>
        </w:rPr>
        <w:t xml:space="preserve">was </w:t>
      </w:r>
      <w:r>
        <w:rPr>
          <w:rFonts w:ascii="Arial"/>
          <w:color w:val="000000"/>
          <w:sz w:val="24"/>
        </w:rPr>
        <w:t xml:space="preserve">required in order </w:t>
      </w:r>
      <w:r>
        <w:rPr>
          <w:rFonts w:ascii="Arial"/>
          <w:color w:val="000000"/>
          <w:sz w:val="24"/>
        </w:rPr>
        <w:t>to extract water from the Land</w:t>
      </w:r>
      <w:r>
        <w:rPr>
          <w:rFonts w:ascii="Arial"/>
          <w:color w:val="000000"/>
          <w:sz w:val="24"/>
        </w:rPr>
        <w:t xml:space="preserve"> </w:t>
      </w:r>
      <w:r>
        <w:rPr>
          <w:rFonts w:ascii="Arial"/>
          <w:color w:val="000000"/>
          <w:sz w:val="24"/>
        </w:rPr>
        <w:t xml:space="preserve">for purposes other than domestic consumption and stock watering (see s 52 of the </w:t>
      </w:r>
      <w:r>
        <w:rPr>
          <w:rFonts w:ascii="Arial"/>
          <w:i/>
          <w:color w:val="000000"/>
          <w:sz w:val="24"/>
        </w:rPr>
        <w:t>Water Management Act 2000</w:t>
      </w:r>
      <w:r>
        <w:rPr>
          <w:rFonts w:ascii="Arial"/>
          <w:color w:val="000000"/>
          <w:sz w:val="24"/>
        </w:rPr>
        <w:t xml:space="preserve"> </w:t>
      </w:r>
      <w:r>
        <w:rPr>
          <w:rFonts w:ascii="Arial"/>
          <w:color w:val="000000"/>
          <w:sz w:val="24"/>
        </w:rPr>
        <w:t>(NSW)</w:t>
      </w:r>
      <w:r>
        <w:rPr>
          <w:rFonts w:ascii="Arial"/>
          <w:color w:val="000000"/>
          <w:sz w:val="24"/>
        </w:rPr>
        <w:t>)</w:t>
      </w:r>
      <w:r>
        <w:rPr>
          <w:rFonts w:ascii="Arial"/>
          <w:color w:val="000000"/>
          <w:sz w:val="24"/>
        </w:rPr>
        <w:t xml:space="preserve">, and there was no development approval or licence to extract water from the creek when his valuation </w:t>
      </w:r>
      <w:r>
        <w:rPr>
          <w:rFonts w:ascii="Arial"/>
          <w:color w:val="000000"/>
          <w:sz w:val="24"/>
        </w:rPr>
        <w:t>was done</w:t>
      </w:r>
      <w:r>
        <w:rPr>
          <w:rFonts w:ascii="Arial"/>
          <w:color w:val="000000"/>
          <w:sz w:val="24"/>
        </w:rPr>
        <w:t>.</w:t>
      </w:r>
      <w:r>
        <w:rPr>
          <w:rFonts w:ascii="Arial"/>
          <w:color w:val="000000"/>
          <w:sz w:val="24"/>
        </w:rPr>
        <w:t xml:space="preserve"> </w:t>
      </w:r>
      <w:r>
        <w:rPr>
          <w:rFonts w:ascii="Arial"/>
          <w:color w:val="000000"/>
          <w:sz w:val="24"/>
        </w:rPr>
        <w:t xml:space="preserve">Nor was there any suggestion that </w:t>
      </w:r>
      <w:r>
        <w:rPr>
          <w:rFonts w:ascii="Arial"/>
          <w:color w:val="000000"/>
          <w:sz w:val="24"/>
        </w:rPr>
        <w:t xml:space="preserve">Mrs Kudrynski </w:t>
      </w:r>
      <w:r>
        <w:rPr>
          <w:rFonts w:ascii="Arial"/>
          <w:color w:val="000000"/>
          <w:sz w:val="24"/>
        </w:rPr>
        <w:t xml:space="preserve">could get a licence to extract water for the purpose of selling to the Council. </w:t>
      </w:r>
    </w:p>
    <w:p>
      <w:pPr>
        <w:pStyle w:val="CaselawNumbered10"/>
        <w:numPr>
          <w:ilvl w:val="0"/>
          <w:numId w:val="29"/>
        </w:numPr>
        <w:spacing w:before="150" w:after="0"/>
        <w:ind w:left="600" w:hanging="600"/>
      </w:pPr>
      <w:r>
        <w:rPr>
          <w:rFonts w:ascii="Arial"/>
          <w:color w:val="000000"/>
          <w:sz w:val="24"/>
        </w:rPr>
        <w:t>After summarising the parties</w:t>
      </w:r>
      <w:r>
        <w:rPr>
          <w:rFonts w:ascii="Arial"/>
          <w:color w:val="000000"/>
          <w:sz w:val="24"/>
        </w:rPr>
        <w:t xml:space="preserve">’ </w:t>
      </w:r>
      <w:r>
        <w:rPr>
          <w:rFonts w:ascii="Arial"/>
          <w:color w:val="000000"/>
          <w:sz w:val="24"/>
        </w:rPr>
        <w:t>respective submissions, her Honour explained why she accepted the Council</w:t>
      </w:r>
      <w:r>
        <w:rPr>
          <w:rFonts w:ascii="Arial"/>
          <w:color w:val="000000"/>
          <w:sz w:val="24"/>
        </w:rPr>
        <w:t>’</w:t>
      </w:r>
      <w:r>
        <w:rPr>
          <w:rFonts w:ascii="Arial"/>
          <w:color w:val="000000"/>
          <w:sz w:val="24"/>
        </w:rPr>
        <w:t xml:space="preserve">s valuation of $560,000 and rejected the $160 million figure claimed by </w:t>
      </w:r>
      <w:r>
        <w:rPr>
          <w:rFonts w:ascii="Arial"/>
          <w:color w:val="000000"/>
          <w:sz w:val="24"/>
        </w:rPr>
        <w:t>M</w:t>
      </w:r>
      <w:r>
        <w:rPr>
          <w:rFonts w:ascii="Arial"/>
          <w:color w:val="000000"/>
          <w:sz w:val="24"/>
        </w:rPr>
        <w:t>r</w:t>
      </w:r>
      <w:r>
        <w:rPr>
          <w:rFonts w:ascii="Arial"/>
          <w:color w:val="000000"/>
          <w:sz w:val="24"/>
        </w:rPr>
        <w:t xml:space="preserve">s </w:t>
      </w:r>
      <w:r>
        <w:rPr>
          <w:rFonts w:ascii="Arial"/>
          <w:color w:val="000000"/>
          <w:sz w:val="24"/>
        </w:rPr>
        <w:t>Kudrynski. It is well to set out PJ[70] which contain</w:t>
      </w:r>
      <w:r>
        <w:rPr>
          <w:rFonts w:ascii="Arial"/>
          <w:color w:val="000000"/>
          <w:sz w:val="24"/>
        </w:rPr>
        <w:t>s</w:t>
      </w:r>
      <w:r>
        <w:rPr>
          <w:rFonts w:ascii="Arial"/>
          <w:color w:val="000000"/>
          <w:sz w:val="24"/>
        </w:rPr>
        <w:t xml:space="preserve"> </w:t>
      </w:r>
      <w:r>
        <w:rPr>
          <w:rFonts w:ascii="Arial"/>
          <w:color w:val="000000"/>
          <w:sz w:val="24"/>
        </w:rPr>
        <w:t>those reasons (without alteration):</w:t>
      </w:r>
    </w:p>
    <w:p>
      <w:pPr>
        <w:pStyle w:val="CaselawQuote"/>
        <w:spacing w:before="150" w:after="150"/>
        <w:ind w:left="1350"/>
        <w:jc w:val="left"/>
      </w:pPr>
      <w:r>
        <w:rPr>
          <w:rFonts w:ascii="Arial"/>
          <w:color w:val="000000"/>
          <w:sz w:val="22"/>
        </w:rPr>
        <w:t>My reasons for rejecting Julius Kudrynski’s submissions are as follows:</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first, as explained to Julius Kudrynski, the Court cannot have regard to the public purpose, that is, the reason why the land was acquired, namely, for the purpose of harvesting stormwater. The value of any stormwater harvest or to be harvested from the land must be ignored by the Court in assessing the market value of the land. Similarly, because the Court must ignore the public purpose, the feasibility of the stormwater harvesting project is not a matter that I can take into consideration in determining the compensation payable.</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 xml:space="preserve">second, in any event, as Waddell stated in his oral evidence, the water </w:t>
      </w:r>
      <w:r>
        <w:rPr>
          <w:rFonts w:ascii="Arial"/>
          <w:color w:val="000000"/>
          <w:sz w:val="22"/>
        </w:rPr>
        <w:t> </w:t>
      </w:r>
      <w:r>
        <w:rPr>
          <w:rFonts w:ascii="Arial"/>
          <w:color w:val="000000"/>
          <w:sz w:val="22"/>
        </w:rPr>
        <w:t xml:space="preserve">coming onto the land did not comprise only rain or water from </w:t>
      </w:r>
      <w:r>
        <w:rPr>
          <w:rFonts w:ascii="Arial"/>
          <w:color w:val="000000"/>
          <w:sz w:val="22"/>
        </w:rPr>
        <w:t> </w:t>
      </w:r>
      <w:r>
        <w:rPr>
          <w:rFonts w:ascii="Arial"/>
          <w:color w:val="000000"/>
          <w:sz w:val="22"/>
        </w:rPr>
        <w:t xml:space="preserve">the </w:t>
      </w:r>
      <w:r>
        <w:rPr>
          <w:rFonts w:ascii="Arial"/>
          <w:color w:val="000000"/>
          <w:sz w:val="22"/>
        </w:rPr>
        <w:t> </w:t>
      </w:r>
      <w:r>
        <w:rPr>
          <w:rFonts w:ascii="Arial"/>
          <w:color w:val="000000"/>
          <w:sz w:val="22"/>
        </w:rPr>
        <w:t xml:space="preserve">creek on the land. It also included water emanating from </w:t>
      </w:r>
      <w:r>
        <w:rPr>
          <w:rFonts w:ascii="Arial"/>
          <w:color w:val="000000"/>
          <w:sz w:val="22"/>
        </w:rPr>
        <w:t> </w:t>
      </w:r>
      <w:r>
        <w:rPr>
          <w:rFonts w:ascii="Arial"/>
          <w:color w:val="000000"/>
          <w:sz w:val="22"/>
        </w:rPr>
        <w:t xml:space="preserve">upstream </w:t>
      </w:r>
      <w:r>
        <w:rPr>
          <w:rFonts w:ascii="Arial"/>
          <w:color w:val="000000"/>
          <w:sz w:val="22"/>
        </w:rPr>
        <w:t> washing across the land. In other words, as Julius Kudrynski acknowledged,</w:t>
      </w:r>
      <w:r>
        <w:rPr>
          <w:rFonts w:ascii="Arial"/>
          <w:color w:val="000000"/>
          <w:sz w:val="22"/>
        </w:rPr>
        <w:t xml:space="preserve"> it was not all of Kudrynski’s water that would be harvested (T154:01-03);</w:t>
      </w:r>
    </w:p>
    <w:p>
      <w:pPr>
        <w:pStyle w:val="CaselawQuote"/>
        <w:spacing w:before="150" w:after="150"/>
        <w:ind w:left="1350"/>
        <w:jc w:val="left"/>
      </w:pPr>
      <w:r>
        <w:rPr>
          <w:rFonts w:ascii="Arial"/>
          <w:color w:val="000000"/>
          <w:sz w:val="22"/>
        </w:rPr>
        <w:t>(c)</w:t>
      </w:r>
      <w:r>
        <w:rPr>
          <w:rFonts w:ascii="Arial"/>
          <w:color w:val="000000"/>
          <w:sz w:val="22"/>
        </w:rPr>
        <w:t>   </w:t>
      </w:r>
      <w:r>
        <w:rPr>
          <w:rFonts w:ascii="Arial"/>
          <w:color w:val="000000"/>
          <w:sz w:val="22"/>
        </w:rPr>
        <w:t>third, as at the date of the acquisition, no water was being harvested or pumped from Kudrynski land. The stormwater harvesting projects in existence at that time were not located on the land;</w:t>
      </w:r>
    </w:p>
    <w:p>
      <w:pPr>
        <w:pStyle w:val="CaselawQuote"/>
        <w:spacing w:before="150" w:after="150"/>
        <w:ind w:left="1350"/>
        <w:jc w:val="left"/>
      </w:pPr>
      <w:r>
        <w:rPr>
          <w:rFonts w:ascii="Arial"/>
          <w:color w:val="000000"/>
          <w:sz w:val="22"/>
        </w:rPr>
        <w:t>(d)</w:t>
      </w:r>
      <w:r>
        <w:rPr>
          <w:rFonts w:ascii="Arial"/>
          <w:color w:val="000000"/>
          <w:sz w:val="22"/>
        </w:rPr>
        <w:t>   </w:t>
      </w:r>
      <w:r>
        <w:rPr>
          <w:rFonts w:ascii="Arial"/>
          <w:color w:val="000000"/>
          <w:sz w:val="22"/>
        </w:rPr>
        <w:t>fourth, there was no, or no cogent, evidence before the Court to support a valuation of the land of $160 million (T154:50-155:10);</w:t>
      </w:r>
    </w:p>
    <w:p>
      <w:pPr>
        <w:pStyle w:val="CaselawQuote"/>
        <w:spacing w:before="150" w:after="150"/>
        <w:ind w:left="1350"/>
        <w:jc w:val="left"/>
      </w:pPr>
      <w:r>
        <w:rPr>
          <w:rFonts w:ascii="Arial"/>
          <w:color w:val="000000"/>
          <w:sz w:val="22"/>
        </w:rPr>
        <w:t>(e)</w:t>
      </w:r>
      <w:r>
        <w:rPr>
          <w:rFonts w:ascii="Arial"/>
          <w:color w:val="000000"/>
          <w:sz w:val="22"/>
        </w:rPr>
        <w:t>   </w:t>
      </w:r>
      <w:r>
        <w:rPr>
          <w:rFonts w:ascii="Arial"/>
          <w:color w:val="000000"/>
          <w:sz w:val="22"/>
        </w:rPr>
        <w:t xml:space="preserve">fifth, the Court did not have regard to the $450,000 valuation by the Valuer-General. Rather, the value arrived at by the Court is based upon the evidence adduced by the parties, in particular the PRD report, </w:t>
      </w:r>
      <w:r>
        <w:rPr>
          <w:rFonts w:ascii="Arial"/>
          <w:color w:val="000000"/>
          <w:sz w:val="22"/>
        </w:rPr>
        <w:t>the Juradowitch report and the McGuirk report, and the cross-examination</w:t>
      </w:r>
      <w:r>
        <w:rPr>
          <w:rFonts w:ascii="Arial"/>
          <w:color w:val="000000"/>
          <w:sz w:val="22"/>
        </w:rPr>
        <w:t xml:space="preserve"> of the latter two witnesses and Waddell. Importantly, McGuirk did not base his valuation of the land on the Valuer-General’s determination; </w:t>
      </w:r>
    </w:p>
    <w:p>
      <w:pPr>
        <w:pStyle w:val="CaselawQuote"/>
        <w:spacing w:before="150" w:after="150"/>
        <w:ind w:left="1350"/>
        <w:jc w:val="left"/>
      </w:pPr>
      <w:r>
        <w:rPr>
          <w:rFonts w:ascii="Arial"/>
          <w:color w:val="000000"/>
          <w:sz w:val="22"/>
        </w:rPr>
        <w:t>(f)</w:t>
      </w:r>
      <w:r>
        <w:rPr>
          <w:rFonts w:ascii="Arial"/>
          <w:color w:val="000000"/>
          <w:sz w:val="22"/>
        </w:rPr>
        <w:t>   </w:t>
      </w:r>
      <w:r>
        <w:rPr>
          <w:rFonts w:ascii="Arial"/>
          <w:color w:val="000000"/>
          <w:sz w:val="22"/>
        </w:rPr>
        <w:t>sixth, for the reasons explained by McGuirk, which I accept, the land could not, particularly for reasons relating to zoning and the fact that the land was flood affected, be subdivided into 30 lots. Even if the land were able to be rezoned to accommodate a subdivision of that size, this would not occur in the foreseeable future;</w:t>
      </w:r>
    </w:p>
    <w:p>
      <w:pPr>
        <w:pStyle w:val="CaselawQuote"/>
        <w:spacing w:before="150" w:after="150"/>
        <w:ind w:left="1350"/>
        <w:jc w:val="left"/>
      </w:pPr>
      <w:r>
        <w:rPr>
          <w:rFonts w:ascii="Arial"/>
          <w:color w:val="000000"/>
          <w:sz w:val="22"/>
        </w:rPr>
        <w:t>(g)</w:t>
      </w:r>
      <w:r>
        <w:rPr>
          <w:rFonts w:ascii="Arial"/>
          <w:color w:val="000000"/>
          <w:sz w:val="22"/>
        </w:rPr>
        <w:t>   </w:t>
      </w:r>
      <w:r>
        <w:rPr>
          <w:rFonts w:ascii="Arial"/>
          <w:color w:val="000000"/>
          <w:sz w:val="22"/>
        </w:rPr>
        <w:t>seventh, nowhere was a $4 million dollar bridge proposed in any valuation calculation. On the contrary, access to Jilba St by way of a property purchased by the developer was part of the consideration highest and best use of the land as proposed by McGuirk;</w:t>
      </w:r>
    </w:p>
    <w:p>
      <w:pPr>
        <w:pStyle w:val="CaselawQuote"/>
        <w:spacing w:before="150" w:after="150"/>
        <w:ind w:left="1350"/>
        <w:jc w:val="left"/>
      </w:pPr>
      <w:r>
        <w:rPr>
          <w:rFonts w:ascii="Arial"/>
          <w:color w:val="000000"/>
          <w:sz w:val="22"/>
        </w:rPr>
        <w:t>(h)</w:t>
      </w:r>
      <w:r>
        <w:rPr>
          <w:rFonts w:ascii="Arial"/>
          <w:color w:val="000000"/>
          <w:sz w:val="22"/>
        </w:rPr>
        <w:t>   </w:t>
      </w:r>
      <w:r>
        <w:rPr>
          <w:rFonts w:ascii="Arial"/>
          <w:color w:val="000000"/>
          <w:sz w:val="22"/>
        </w:rPr>
        <w:t>eighth, McGuirk did not accept that the land had a favourable outlook for the reasons that he gave, which I accept;</w:t>
      </w:r>
    </w:p>
    <w:p>
      <w:pPr>
        <w:pStyle w:val="CaselawQuote"/>
        <w:spacing w:before="150" w:after="150"/>
        <w:ind w:left="1350"/>
        <w:jc w:val="left"/>
      </w:pPr>
      <w:r>
        <w:rPr>
          <w:rFonts w:ascii="Arial"/>
          <w:color w:val="000000"/>
          <w:sz w:val="22"/>
        </w:rPr>
        <w:t>(i)</w:t>
      </w:r>
      <w:r>
        <w:rPr>
          <w:rFonts w:ascii="Arial"/>
          <w:color w:val="000000"/>
          <w:sz w:val="22"/>
        </w:rPr>
        <w:t>   </w:t>
      </w:r>
      <w:r>
        <w:rPr>
          <w:rFonts w:ascii="Arial"/>
          <w:color w:val="000000"/>
          <w:sz w:val="22"/>
        </w:rPr>
        <w:t>nineth, the land was constrained by sewerage and electricity easements, traffic noise requiring attenuation, and its proximity to public housing. It was also flood affected. These constraints had the effect of depressing the value of the land, especially compared to the other sales that McGuirk analysed;</w:t>
      </w:r>
    </w:p>
    <w:p>
      <w:pPr>
        <w:pStyle w:val="CaselawQuote"/>
        <w:spacing w:before="150" w:after="150"/>
        <w:ind w:left="1350"/>
        <w:jc w:val="left"/>
      </w:pPr>
      <w:r>
        <w:rPr>
          <w:rFonts w:ascii="Arial"/>
          <w:color w:val="000000"/>
          <w:sz w:val="22"/>
        </w:rPr>
        <w:t>(j)</w:t>
      </w:r>
      <w:r>
        <w:rPr>
          <w:rFonts w:ascii="Arial"/>
          <w:color w:val="000000"/>
          <w:sz w:val="22"/>
        </w:rPr>
        <w:t>   </w:t>
      </w:r>
      <w:r>
        <w:rPr>
          <w:rFonts w:ascii="Arial"/>
          <w:color w:val="000000"/>
          <w:sz w:val="22"/>
        </w:rPr>
        <w:t xml:space="preserve">tenth, there was no evidence before the Court that the land had been acquired for anything other than the stated public purpose of stormwater harvesting in order to, as Waddell gave evidence of, </w:t>
      </w:r>
      <w:r>
        <w:rPr>
          <w:rFonts w:ascii="Arial"/>
          <w:color w:val="000000"/>
          <w:sz w:val="22"/>
        </w:rPr>
        <w:t> drought-proof Orange. There was no evidence that the Council acquired the land to subdivide and sell it for a profit. Waddell’s evidence was to the contrary. Likewise, there was no evidence that the harvested water would be sold by the Council. Again, Waddell’s evidence was to the contrary;</w:t>
      </w:r>
    </w:p>
    <w:p>
      <w:pPr>
        <w:pStyle w:val="CaselawQuote"/>
        <w:spacing w:before="150" w:after="150"/>
        <w:ind w:left="1350"/>
        <w:jc w:val="left"/>
      </w:pPr>
      <w:r>
        <w:rPr>
          <w:rFonts w:ascii="Arial"/>
          <w:color w:val="000000"/>
          <w:sz w:val="22"/>
        </w:rPr>
        <w:t>(k)</w:t>
      </w:r>
      <w:r>
        <w:rPr>
          <w:rFonts w:ascii="Arial"/>
          <w:color w:val="000000"/>
          <w:sz w:val="22"/>
        </w:rPr>
        <w:t>   </w:t>
      </w:r>
      <w:r>
        <w:rPr>
          <w:rFonts w:ascii="Arial"/>
          <w:color w:val="000000"/>
          <w:sz w:val="22"/>
        </w:rPr>
        <w:t>eleventh, there was no evidence before the Court that the stormwater harvesting project was not technically possible or was unfeasible by reason on the topography of the land or otherwise. In any event, this was not a relevant consideration in determining the amount of compensation to be paid for the acquired land;</w:t>
      </w:r>
    </w:p>
    <w:p>
      <w:pPr>
        <w:pStyle w:val="CaselawQuote"/>
        <w:spacing w:before="150" w:after="150"/>
        <w:ind w:left="1350"/>
        <w:jc w:val="left"/>
      </w:pPr>
      <w:r>
        <w:rPr>
          <w:rFonts w:ascii="Arial"/>
          <w:color w:val="000000"/>
          <w:sz w:val="22"/>
        </w:rPr>
        <w:t>(l)</w:t>
      </w:r>
      <w:r>
        <w:rPr>
          <w:rFonts w:ascii="Arial"/>
          <w:color w:val="000000"/>
          <w:sz w:val="22"/>
        </w:rPr>
        <w:t>   </w:t>
      </w:r>
      <w:r>
        <w:rPr>
          <w:rFonts w:ascii="Arial"/>
          <w:color w:val="000000"/>
          <w:sz w:val="22"/>
        </w:rPr>
        <w:t>twelfth, Waddell’s evidence was emphatic, namely, that no part of the grant money from the State for the stormwater harvesting project could be used to acquire land;</w:t>
      </w:r>
    </w:p>
    <w:p>
      <w:pPr>
        <w:pStyle w:val="CaselawQuote"/>
        <w:spacing w:before="150" w:after="150"/>
        <w:ind w:left="1350"/>
        <w:jc w:val="left"/>
      </w:pPr>
      <w:r>
        <w:rPr>
          <w:rFonts w:ascii="Arial"/>
          <w:color w:val="000000"/>
          <w:sz w:val="22"/>
        </w:rPr>
        <w:t>(m)</w:t>
      </w:r>
      <w:r>
        <w:rPr>
          <w:rFonts w:ascii="Arial"/>
          <w:color w:val="000000"/>
          <w:sz w:val="22"/>
        </w:rPr>
        <w:t>   </w:t>
      </w:r>
      <w:r>
        <w:rPr>
          <w:rFonts w:ascii="Arial"/>
          <w:color w:val="000000"/>
          <w:sz w:val="22"/>
        </w:rPr>
        <w:t>thirteenth, the land was not zoned for mining purposes and could not be valued as such;</w:t>
      </w:r>
    </w:p>
    <w:p>
      <w:pPr>
        <w:pStyle w:val="CaselawQuote"/>
        <w:spacing w:before="150" w:after="150"/>
        <w:ind w:left="1350"/>
        <w:jc w:val="left"/>
      </w:pPr>
      <w:r>
        <w:rPr>
          <w:rFonts w:ascii="Arial"/>
          <w:color w:val="000000"/>
          <w:sz w:val="22"/>
        </w:rPr>
        <w:t>(n)</w:t>
      </w:r>
      <w:r>
        <w:rPr>
          <w:rFonts w:ascii="Arial"/>
          <w:color w:val="000000"/>
          <w:sz w:val="22"/>
        </w:rPr>
        <w:t>   </w:t>
      </w:r>
      <w:r>
        <w:rPr>
          <w:rFonts w:ascii="Arial"/>
          <w:color w:val="000000"/>
          <w:sz w:val="22"/>
        </w:rPr>
        <w:t>fourteenth, from a valuation perspective, as both McGuirk and Juradowitch indicated, there was no example that they could locate within Australia of where a private individual was harvesting stormwater and selling it to a local government entity such as the Council; and</w:t>
      </w:r>
    </w:p>
    <w:p>
      <w:pPr>
        <w:pStyle w:val="CaselawQuote"/>
        <w:spacing w:before="150" w:after="150"/>
        <w:ind w:left="1350"/>
        <w:jc w:val="left"/>
      </w:pPr>
      <w:r>
        <w:rPr>
          <w:rFonts w:ascii="Arial"/>
          <w:color w:val="000000"/>
          <w:sz w:val="22"/>
        </w:rPr>
        <w:t>(o)</w:t>
      </w:r>
      <w:r>
        <w:rPr>
          <w:rFonts w:ascii="Arial"/>
          <w:color w:val="000000"/>
          <w:sz w:val="22"/>
        </w:rPr>
        <w:t>   </w:t>
      </w:r>
      <w:r>
        <w:rPr>
          <w:rFonts w:ascii="Arial"/>
          <w:color w:val="000000"/>
          <w:sz w:val="22"/>
        </w:rPr>
        <w:t xml:space="preserve">fifteenth, as explained to Julius Kudrynski at the pre-trial directions on 3 March 2022, Class 3 of the Court’s jurisdiction to hear and determine </w:t>
      </w:r>
      <w:r>
        <w:rPr>
          <w:rFonts w:ascii="Arial"/>
          <w:color w:val="000000"/>
          <w:sz w:val="22"/>
        </w:rPr>
        <w:t>claims for compensation does not extend to the judicial review of administrative decision made under the Just Terms Act (see s 20(2) of the LEC Act).</w:t>
      </w:r>
    </w:p>
    <w:p>
      <w:pPr>
        <w:pStyle w:val="CaselawNumbered10"/>
        <w:numPr>
          <w:ilvl w:val="0"/>
          <w:numId w:val="30"/>
        </w:numPr>
        <w:spacing w:before="150" w:after="0"/>
        <w:ind w:left="600" w:hanging="600"/>
      </w:pPr>
      <w:r>
        <w:rPr>
          <w:rFonts w:ascii="Arial"/>
          <w:color w:val="000000"/>
          <w:sz w:val="24"/>
        </w:rPr>
        <w:t xml:space="preserve">The primary judge explained at PJ[71] why she gave only limited weight (if any) to </w:t>
      </w:r>
      <w:r>
        <w:rPr>
          <w:rFonts w:ascii="Arial"/>
          <w:color w:val="000000"/>
          <w:sz w:val="24"/>
        </w:rPr>
        <w:t>the PRD report</w:t>
      </w:r>
      <w:r>
        <w:rPr>
          <w:rFonts w:ascii="Arial"/>
          <w:color w:val="000000"/>
          <w:sz w:val="24"/>
        </w:rPr>
        <w:t xml:space="preserve">, which </w:t>
      </w:r>
      <w:r>
        <w:rPr>
          <w:rFonts w:ascii="Arial"/>
          <w:color w:val="000000"/>
          <w:sz w:val="24"/>
        </w:rPr>
        <w:t xml:space="preserve">suffered from </w:t>
      </w:r>
      <w:r>
        <w:rPr>
          <w:rFonts w:ascii="Arial"/>
          <w:color w:val="000000"/>
          <w:sz w:val="24"/>
        </w:rPr>
        <w:t>the three deficiencies referred to at [</w:t>
      </w:r>
      <w:hyperlink r:id="rId17">
        <w:r>
          <w:rPr>
            <w:rFonts w:ascii="Arial"/>
            <w:color w:val="000000"/>
            <w:sz w:val="24"/>
            <w:u w:val="single"/>
          </w:rPr>
          <w:t/>
        </w:r>
        <w:r>
          <w:rPr>
            <w:rFonts w:ascii="Arial"/>
            <w:color w:val="000000"/>
            <w:sz w:val="24"/>
          </w:rPr>
          <w:t>27</w:t>
        </w:r>
      </w:hyperlink>
      <w:hyperlink r:id="rId18">
        <w:r>
          <w:rPr>
            <w:rFonts w:ascii="Arial"/>
            <w:color w:val="000000"/>
            <w:sz w:val="24"/>
          </w:rPr>
          <w:t/>
        </w:r>
      </w:hyperlink>
      <w:r>
        <w:rPr>
          <w:rFonts w:ascii="Arial"/>
          <w:color w:val="000000"/>
          <w:sz w:val="24"/>
        </w:rPr>
        <w:t xml:space="preserve">] above. </w:t>
      </w:r>
    </w:p>
    <w:p>
      <w:pPr>
        <w:pStyle w:val="CaselawNumbered10"/>
        <w:numPr>
          <w:ilvl w:val="0"/>
          <w:numId w:val="30"/>
        </w:numPr>
        <w:spacing w:before="150" w:after="0"/>
        <w:ind w:left="600" w:hanging="600"/>
      </w:pPr>
      <w:r>
        <w:rPr>
          <w:rFonts w:ascii="Arial"/>
          <w:color w:val="000000"/>
          <w:sz w:val="24"/>
        </w:rPr>
        <w:t xml:space="preserve">Finally, on the issue of costs, the primary judge ordered the Council to pay </w:t>
      </w:r>
      <w:r>
        <w:rPr>
          <w:rFonts w:ascii="Arial"/>
          <w:color w:val="000000"/>
          <w:sz w:val="24"/>
        </w:rPr>
        <w:t>the applicants</w:t>
      </w:r>
      <w:r>
        <w:rPr>
          <w:rFonts w:ascii="Arial"/>
          <w:color w:val="000000"/>
          <w:sz w:val="24"/>
        </w:rPr>
        <w:t>’</w:t>
      </w:r>
      <w:r>
        <w:rPr>
          <w:rFonts w:ascii="Arial"/>
          <w:color w:val="000000"/>
          <w:sz w:val="24"/>
        </w:rPr>
        <w:t xml:space="preserve"> </w:t>
      </w:r>
      <w:r>
        <w:rPr>
          <w:rFonts w:ascii="Arial"/>
          <w:color w:val="000000"/>
          <w:sz w:val="24"/>
        </w:rPr>
        <w:t xml:space="preserve">legal costs, if any, noting that </w:t>
      </w:r>
      <w:r>
        <w:rPr>
          <w:rFonts w:ascii="Arial"/>
          <w:color w:val="000000"/>
          <w:sz w:val="24"/>
        </w:rPr>
        <w:t>they</w:t>
      </w:r>
      <w:r>
        <w:rPr>
          <w:rFonts w:ascii="Arial"/>
          <w:color w:val="000000"/>
          <w:sz w:val="24"/>
        </w:rPr>
        <w:t xml:space="preserve"> </w:t>
      </w:r>
      <w:r>
        <w:rPr>
          <w:rFonts w:ascii="Arial"/>
          <w:color w:val="000000"/>
          <w:sz w:val="24"/>
        </w:rPr>
        <w:t>w</w:t>
      </w:r>
      <w:r>
        <w:rPr>
          <w:rFonts w:ascii="Arial"/>
          <w:color w:val="000000"/>
          <w:sz w:val="24"/>
        </w:rPr>
        <w:t>ere</w:t>
      </w:r>
      <w:r>
        <w:rPr>
          <w:rFonts w:ascii="Arial"/>
          <w:color w:val="000000"/>
          <w:sz w:val="24"/>
        </w:rPr>
        <w:t xml:space="preserve"> </w:t>
      </w:r>
      <w:r>
        <w:rPr>
          <w:rFonts w:ascii="Arial"/>
          <w:color w:val="000000"/>
          <w:sz w:val="24"/>
        </w:rPr>
        <w:t xml:space="preserve">not legally represented. </w:t>
      </w:r>
    </w:p>
    <w:p>
      <w:pPr>
        <w:pStyle w:val="CaselawHeading2"/>
        <w:keepNext/>
        <w:spacing w:before="150" w:after="150" w:line="264"/>
        <w:ind w:left="0"/>
        <w:jc w:val="left"/>
      </w:pPr>
      <w:r>
        <w:rPr>
          <w:rFonts w:ascii="Arial"/>
        </w:rPr>
        <w:t>(e)</w:t>
      </w:r>
      <w:r>
        <w:rPr>
          <w:rFonts w:ascii="Arial"/>
        </w:rPr>
        <w:t>   </w:t>
      </w:r>
      <w:r>
        <w:rPr>
          <w:rFonts w:ascii="Arial"/>
        </w:rPr>
        <w:t>Some issues with the notice of appeal</w:t>
      </w:r>
    </w:p>
    <w:p>
      <w:pPr>
        <w:pStyle w:val="CaselawNumbered10"/>
        <w:numPr>
          <w:ilvl w:val="0"/>
          <w:numId w:val="31"/>
        </w:numPr>
        <w:spacing w:before="150" w:after="0"/>
        <w:ind w:left="600" w:hanging="600"/>
      </w:pPr>
      <w:r>
        <w:rPr>
          <w:rFonts w:ascii="Arial"/>
          <w:color w:val="000000"/>
          <w:sz w:val="24"/>
        </w:rPr>
        <w:t xml:space="preserve">Without disrespect, the notice of appeal </w:t>
      </w:r>
      <w:r>
        <w:rPr>
          <w:rFonts w:ascii="Arial"/>
          <w:color w:val="000000"/>
          <w:sz w:val="24"/>
        </w:rPr>
        <w:t>is</w:t>
      </w:r>
      <w:r>
        <w:rPr>
          <w:rFonts w:ascii="Arial"/>
          <w:color w:val="000000"/>
          <w:sz w:val="24"/>
        </w:rPr>
        <w:t xml:space="preserve"> </w:t>
      </w:r>
      <w:r>
        <w:rPr>
          <w:rFonts w:ascii="Arial"/>
          <w:color w:val="000000"/>
          <w:sz w:val="24"/>
        </w:rPr>
        <w:t xml:space="preserve">seriously deficient in several ways. These deficiencies stem from an apparent failure </w:t>
      </w:r>
      <w:r>
        <w:rPr>
          <w:rFonts w:ascii="Arial"/>
          <w:color w:val="000000"/>
          <w:sz w:val="24"/>
        </w:rPr>
        <w:t xml:space="preserve">by Mr Kudrynski </w:t>
      </w:r>
      <w:r>
        <w:rPr>
          <w:rFonts w:ascii="Arial"/>
          <w:color w:val="000000"/>
          <w:sz w:val="24"/>
        </w:rPr>
        <w:t xml:space="preserve">to appreciate the nature and extent of an appeal brought under s 57 of the </w:t>
      </w:r>
      <w:r>
        <w:rPr>
          <w:rFonts w:ascii="Arial"/>
          <w:i/>
          <w:color w:val="000000"/>
          <w:sz w:val="24"/>
        </w:rPr>
        <w:t>Land and Environment Court Act</w:t>
      </w:r>
      <w:r>
        <w:rPr>
          <w:rFonts w:ascii="Arial"/>
          <w:i/>
          <w:color w:val="000000"/>
          <w:sz w:val="24"/>
        </w:rPr>
        <w:t xml:space="preserve">, </w:t>
      </w:r>
      <w:r>
        <w:rPr>
          <w:rFonts w:ascii="Arial"/>
          <w:color w:val="000000"/>
          <w:sz w:val="24"/>
        </w:rPr>
        <w:t xml:space="preserve">which </w:t>
      </w:r>
      <w:r>
        <w:rPr>
          <w:rFonts w:ascii="Arial"/>
          <w:color w:val="000000"/>
          <w:sz w:val="24"/>
        </w:rPr>
        <w:t xml:space="preserve">relevantly </w:t>
      </w:r>
      <w:r>
        <w:rPr>
          <w:rFonts w:ascii="Arial"/>
          <w:color w:val="000000"/>
          <w:sz w:val="24"/>
        </w:rPr>
        <w:t>provides:</w:t>
      </w:r>
    </w:p>
    <w:p>
      <w:pPr>
        <w:pStyle w:val="CaselawQuote"/>
        <w:spacing w:before="150" w:after="150"/>
        <w:ind w:left="1350"/>
        <w:jc w:val="left"/>
      </w:pPr>
      <w:r>
        <w:rPr>
          <w:rFonts w:ascii="Arial"/>
          <w:b/>
          <w:color w:val="000000"/>
          <w:sz w:val="22"/>
        </w:rPr>
        <w:t>57</w:t>
      </w:r>
      <w:r>
        <w:rPr>
          <w:rFonts w:ascii="Arial"/>
          <w:color w:val="000000"/>
          <w:sz w:val="22"/>
        </w:rPr>
        <w:t>   </w:t>
      </w:r>
      <w:r>
        <w:rPr>
          <w:rFonts w:ascii="Arial"/>
          <w:b/>
          <w:color w:val="000000"/>
          <w:sz w:val="22"/>
        </w:rPr>
        <w:t>Class 1, 2, 3 and 8 proceedings—appeals</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   </w:t>
      </w:r>
      <w:r>
        <w:rPr>
          <w:rFonts w:ascii="Arial"/>
          <w:color w:val="000000"/>
          <w:sz w:val="22"/>
        </w:rPr>
        <w:t>A party to proceedings in Class 1, 2, 3 or 8 of the Court’s jurisdiction may appeal to the Supreme Court against an order or decision (including an interlocutory order or decision) of the Court on a question of law.</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On the hearing of an appeal under subsection (1), the Supreme Court shall—</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remit the matter to the Court for determination by the Court in accordance with the decision of the Supreme Court, or</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make such other order in relation to the appeal as seems fit.</w:t>
      </w:r>
    </w:p>
    <w:p>
      <w:pPr>
        <w:pStyle w:val="CaselawQuote"/>
        <w:spacing w:before="150" w:after="150"/>
        <w:ind w:left="1350"/>
        <w:jc w:val="left"/>
      </w:pPr>
      <w:r>
        <w:rPr>
          <w:rFonts w:ascii="Arial"/>
          <w:color w:val="000000"/>
          <w:sz w:val="22"/>
        </w:rPr>
        <w:t>…</w:t>
      </w:r>
    </w:p>
    <w:p>
      <w:pPr>
        <w:pStyle w:val="CaselawNumbered10"/>
        <w:numPr>
          <w:ilvl w:val="0"/>
          <w:numId w:val="32"/>
        </w:numPr>
        <w:spacing w:before="150" w:after="0"/>
        <w:ind w:left="600" w:hanging="600"/>
      </w:pPr>
      <w:r>
        <w:rPr>
          <w:rFonts w:ascii="Arial"/>
          <w:color w:val="000000"/>
          <w:sz w:val="24"/>
        </w:rPr>
        <w:t>A</w:t>
      </w:r>
      <w:r>
        <w:rPr>
          <w:rFonts w:ascii="Arial"/>
          <w:color w:val="000000"/>
          <w:sz w:val="24"/>
        </w:rPr>
        <w:t xml:space="preserve"> </w:t>
      </w:r>
      <w:r>
        <w:rPr>
          <w:rFonts w:ascii="Arial"/>
          <w:color w:val="000000"/>
          <w:sz w:val="24"/>
        </w:rPr>
        <w:t>notable</w:t>
      </w:r>
      <w:r>
        <w:rPr>
          <w:rFonts w:ascii="Arial"/>
          <w:color w:val="000000"/>
          <w:sz w:val="24"/>
        </w:rPr>
        <w:t xml:space="preserve"> </w:t>
      </w:r>
      <w:r>
        <w:rPr>
          <w:rFonts w:ascii="Arial"/>
          <w:color w:val="000000"/>
          <w:sz w:val="24"/>
        </w:rPr>
        <w:t>deficiency with the notice of appeal is that it fail</w:t>
      </w:r>
      <w:r>
        <w:rPr>
          <w:rFonts w:ascii="Arial"/>
          <w:color w:val="000000"/>
          <w:sz w:val="24"/>
        </w:rPr>
        <w:t>s</w:t>
      </w:r>
      <w:r>
        <w:rPr>
          <w:rFonts w:ascii="Arial"/>
          <w:color w:val="000000"/>
          <w:sz w:val="24"/>
        </w:rPr>
        <w:t xml:space="preserve"> </w:t>
      </w:r>
      <w:r>
        <w:rPr>
          <w:rFonts w:ascii="Arial"/>
          <w:color w:val="000000"/>
          <w:sz w:val="24"/>
        </w:rPr>
        <w:t xml:space="preserve">to identify </w:t>
      </w:r>
      <w:r>
        <w:rPr>
          <w:rFonts w:ascii="Arial"/>
          <w:b/>
          <w:color w:val="000000"/>
          <w:sz w:val="24"/>
        </w:rPr>
        <w:t xml:space="preserve">any </w:t>
      </w:r>
      <w:r>
        <w:rPr>
          <w:rFonts w:ascii="Arial"/>
          <w:b/>
          <w:color w:val="000000"/>
          <w:sz w:val="24"/>
        </w:rPr>
        <w:t xml:space="preserve">question of law which is the subject of </w:t>
      </w:r>
      <w:r>
        <w:rPr>
          <w:rFonts w:ascii="Arial"/>
          <w:b/>
          <w:color w:val="000000"/>
          <w:sz w:val="24"/>
        </w:rPr>
        <w:t>order or decision of the LEC</w:t>
      </w:r>
      <w:r>
        <w:rPr>
          <w:rFonts w:ascii="Arial"/>
          <w:color w:val="000000"/>
          <w:sz w:val="24"/>
        </w:rPr>
        <w:t>.</w:t>
      </w:r>
      <w:r>
        <w:rPr>
          <w:rFonts w:ascii="Arial"/>
          <w:color w:val="000000"/>
          <w:sz w:val="24"/>
        </w:rPr>
        <w:t xml:space="preserve"> </w:t>
      </w:r>
      <w:r>
        <w:rPr>
          <w:rFonts w:ascii="Arial"/>
          <w:color w:val="000000"/>
          <w:sz w:val="24"/>
        </w:rPr>
        <w:t>These concepts are</w:t>
      </w:r>
      <w:r>
        <w:rPr>
          <w:rFonts w:ascii="Arial"/>
          <w:color w:val="000000"/>
          <w:sz w:val="24"/>
        </w:rPr>
        <w:t xml:space="preserve"> </w:t>
      </w:r>
      <w:r>
        <w:rPr>
          <w:rFonts w:ascii="Arial"/>
          <w:color w:val="000000"/>
          <w:sz w:val="24"/>
        </w:rPr>
        <w:t>fundamental to this Court</w:t>
      </w:r>
      <w:r>
        <w:rPr>
          <w:rFonts w:ascii="Arial"/>
          <w:color w:val="000000"/>
          <w:sz w:val="24"/>
        </w:rPr>
        <w:t>’</w:t>
      </w:r>
      <w:r>
        <w:rPr>
          <w:rFonts w:ascii="Arial"/>
          <w:color w:val="000000"/>
          <w:sz w:val="24"/>
        </w:rPr>
        <w:t xml:space="preserve">s jurisdiction to entertain an appeal from Class 3 proceedings in the LEC. I will return to discuss this important matter shortly. </w:t>
      </w:r>
    </w:p>
    <w:p>
      <w:pPr>
        <w:pStyle w:val="CaselawNumbered10"/>
        <w:numPr>
          <w:ilvl w:val="0"/>
          <w:numId w:val="32"/>
        </w:numPr>
        <w:spacing w:before="150" w:after="0"/>
        <w:ind w:left="600" w:hanging="600"/>
      </w:pPr>
      <w:r>
        <w:rPr>
          <w:rFonts w:ascii="Arial"/>
          <w:color w:val="000000"/>
          <w:sz w:val="24"/>
        </w:rPr>
        <w:t xml:space="preserve">A related deficiency is the failure to articulate clear grounds of appeal. </w:t>
      </w:r>
      <w:r>
        <w:rPr>
          <w:rFonts w:ascii="Arial"/>
          <w:color w:val="000000"/>
          <w:sz w:val="24"/>
        </w:rPr>
        <w:t>T</w:t>
      </w:r>
      <w:r>
        <w:rPr>
          <w:rFonts w:ascii="Arial"/>
          <w:color w:val="000000"/>
          <w:sz w:val="24"/>
        </w:rPr>
        <w:t xml:space="preserve">he notice of appeal refers to an attached sheet which </w:t>
      </w:r>
      <w:r>
        <w:rPr>
          <w:rFonts w:ascii="Arial"/>
          <w:color w:val="000000"/>
          <w:sz w:val="24"/>
        </w:rPr>
        <w:t>purports</w:t>
      </w:r>
      <w:r>
        <w:rPr>
          <w:rFonts w:ascii="Arial"/>
          <w:color w:val="000000"/>
          <w:sz w:val="24"/>
        </w:rPr>
        <w:t xml:space="preserve"> </w:t>
      </w:r>
      <w:r>
        <w:rPr>
          <w:rFonts w:ascii="Arial"/>
          <w:color w:val="000000"/>
          <w:sz w:val="24"/>
        </w:rPr>
        <w:t>to identify 24 grounds of appeal. The last three page</w:t>
      </w:r>
      <w:r>
        <w:rPr>
          <w:rFonts w:ascii="Arial"/>
          <w:color w:val="000000"/>
          <w:sz w:val="24"/>
        </w:rPr>
        <w:t>s</w:t>
      </w:r>
      <w:r>
        <w:rPr>
          <w:rFonts w:ascii="Arial"/>
          <w:color w:val="000000"/>
          <w:sz w:val="24"/>
        </w:rPr>
        <w:t xml:space="preserve"> </w:t>
      </w:r>
      <w:r>
        <w:rPr>
          <w:rFonts w:ascii="Arial"/>
          <w:color w:val="000000"/>
          <w:sz w:val="24"/>
        </w:rPr>
        <w:t>of that document comprise submissions in support of the appeal</w:t>
      </w:r>
      <w:r>
        <w:rPr>
          <w:rFonts w:ascii="Arial"/>
          <w:color w:val="000000"/>
          <w:sz w:val="24"/>
        </w:rPr>
        <w:t>, not grounds of appeal</w:t>
      </w:r>
      <w:r>
        <w:rPr>
          <w:rFonts w:ascii="Arial"/>
          <w:color w:val="000000"/>
          <w:sz w:val="24"/>
        </w:rPr>
        <w:t xml:space="preserve">. </w:t>
      </w:r>
      <w:r>
        <w:rPr>
          <w:rFonts w:ascii="Arial"/>
          <w:color w:val="000000"/>
          <w:sz w:val="24"/>
        </w:rPr>
        <w:t xml:space="preserve">These three pages </w:t>
      </w:r>
      <w:r>
        <w:rPr>
          <w:rFonts w:ascii="Arial"/>
          <w:color w:val="000000"/>
          <w:sz w:val="24"/>
        </w:rPr>
        <w:t xml:space="preserve">are identical to an outline of </w:t>
      </w:r>
      <w:r>
        <w:rPr>
          <w:rFonts w:ascii="Arial"/>
          <w:color w:val="000000"/>
          <w:sz w:val="24"/>
        </w:rPr>
        <w:t>the appellants</w:t>
      </w:r>
      <w:r>
        <w:rPr>
          <w:rFonts w:ascii="Arial"/>
          <w:color w:val="000000"/>
          <w:sz w:val="24"/>
        </w:rPr>
        <w:t xml:space="preserve">’ </w:t>
      </w:r>
      <w:r>
        <w:rPr>
          <w:rFonts w:ascii="Arial"/>
          <w:color w:val="000000"/>
          <w:sz w:val="24"/>
        </w:rPr>
        <w:t xml:space="preserve">written submissions filed </w:t>
      </w:r>
      <w:r>
        <w:rPr>
          <w:rFonts w:ascii="Arial"/>
          <w:color w:val="000000"/>
          <w:sz w:val="24"/>
        </w:rPr>
        <w:t xml:space="preserve">on </w:t>
      </w:r>
      <w:r>
        <w:rPr>
          <w:rFonts w:ascii="Arial"/>
          <w:color w:val="000000"/>
          <w:sz w:val="24"/>
        </w:rPr>
        <w:t>12 September 2023</w:t>
      </w:r>
      <w:r>
        <w:rPr>
          <w:rFonts w:ascii="Arial"/>
          <w:color w:val="000000"/>
          <w:sz w:val="24"/>
        </w:rPr>
        <w:t>, which is</w:t>
      </w:r>
      <w:r>
        <w:rPr>
          <w:rFonts w:ascii="Arial"/>
          <w:color w:val="000000"/>
          <w:sz w:val="24"/>
        </w:rPr>
        <w:t xml:space="preserve"> </w:t>
      </w:r>
      <w:r>
        <w:rPr>
          <w:rFonts w:ascii="Arial"/>
          <w:color w:val="000000"/>
          <w:sz w:val="24"/>
        </w:rPr>
        <w:t>included in the appellants</w:t>
      </w:r>
      <w:r>
        <w:rPr>
          <w:rFonts w:ascii="Arial"/>
          <w:color w:val="000000"/>
          <w:sz w:val="24"/>
        </w:rPr>
        <w:t>’</w:t>
      </w:r>
      <w:r>
        <w:rPr>
          <w:rFonts w:ascii="Arial"/>
          <w:color w:val="000000"/>
          <w:sz w:val="24"/>
        </w:rPr>
        <w:t xml:space="preserve"> </w:t>
      </w:r>
      <w:r>
        <w:rPr>
          <w:rFonts w:ascii="Arial"/>
          <w:color w:val="000000"/>
          <w:sz w:val="24"/>
        </w:rPr>
        <w:t xml:space="preserve">Red </w:t>
      </w:r>
      <w:r>
        <w:rPr>
          <w:rFonts w:ascii="Arial"/>
          <w:color w:val="000000"/>
          <w:sz w:val="24"/>
        </w:rPr>
        <w:t>Book</w:t>
      </w:r>
      <w:r>
        <w:rPr>
          <w:rFonts w:ascii="Arial"/>
          <w:color w:val="000000"/>
          <w:sz w:val="24"/>
        </w:rPr>
        <w:t xml:space="preserve">. </w:t>
      </w:r>
      <w:r>
        <w:rPr>
          <w:rFonts w:ascii="Arial"/>
          <w:color w:val="000000"/>
          <w:sz w:val="24"/>
        </w:rPr>
        <w:t xml:space="preserve">The so-called grounds of appeal on the first page of the </w:t>
      </w:r>
      <w:r>
        <w:rPr>
          <w:rFonts w:ascii="Arial"/>
          <w:color w:val="000000"/>
          <w:sz w:val="24"/>
        </w:rPr>
        <w:t xml:space="preserve">attached </w:t>
      </w:r>
      <w:r>
        <w:rPr>
          <w:rFonts w:ascii="Arial"/>
          <w:color w:val="000000"/>
          <w:sz w:val="24"/>
        </w:rPr>
        <w:t xml:space="preserve">sheet bear reproduction without </w:t>
      </w:r>
      <w:r>
        <w:rPr>
          <w:rFonts w:ascii="Arial"/>
          <w:color w:val="000000"/>
          <w:sz w:val="24"/>
        </w:rPr>
        <w:t>correction</w:t>
      </w:r>
      <w:r>
        <w:rPr>
          <w:rFonts w:ascii="Arial"/>
          <w:color w:val="000000"/>
          <w:sz w:val="24"/>
        </w:rPr>
        <w:t xml:space="preserve"> </w:t>
      </w:r>
      <w:r>
        <w:rPr>
          <w:rFonts w:ascii="Arial"/>
          <w:color w:val="000000"/>
          <w:sz w:val="24"/>
        </w:rPr>
        <w:t xml:space="preserve">in order to reveal their </w:t>
      </w:r>
      <w:r>
        <w:rPr>
          <w:rFonts w:ascii="Arial"/>
          <w:color w:val="000000"/>
          <w:sz w:val="24"/>
        </w:rPr>
        <w:t>significant</w:t>
      </w:r>
      <w:r>
        <w:rPr>
          <w:rFonts w:ascii="Arial"/>
          <w:color w:val="000000"/>
          <w:sz w:val="24"/>
        </w:rPr>
        <w:t xml:space="preserve"> </w:t>
      </w:r>
      <w:r>
        <w:rPr>
          <w:rFonts w:ascii="Arial"/>
          <w:color w:val="000000"/>
          <w:sz w:val="24"/>
        </w:rPr>
        <w:t xml:space="preserve">shortcomings: </w:t>
      </w:r>
    </w:p>
    <w:p>
      <w:pPr>
        <w:pStyle w:val="CaselawQuote"/>
        <w:spacing w:before="150" w:after="150"/>
        <w:ind w:left="1350"/>
        <w:jc w:val="left"/>
      </w:pPr>
      <w:r>
        <w:rPr>
          <w:rFonts w:ascii="Arial"/>
          <w:color w:val="000000"/>
          <w:sz w:val="22"/>
        </w:rPr>
        <w:t>Ground of appeal</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No price comparison was allowed. The Judge should not have allowed any other values’</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The only evaluation which was sought was the current valuation of $160 million.</w:t>
      </w:r>
    </w:p>
    <w:p>
      <w:pPr>
        <w:pStyle w:val="CaselawQuote"/>
        <w:spacing w:before="150" w:after="150"/>
        <w:ind w:left="1350"/>
        <w:jc w:val="left"/>
      </w:pPr>
      <w:r>
        <w:rPr>
          <w:rFonts w:ascii="Arial"/>
          <w:color w:val="000000"/>
          <w:sz w:val="22"/>
        </w:rPr>
        <w:t>3.</w:t>
      </w:r>
      <w:r>
        <w:rPr>
          <w:rFonts w:ascii="Arial"/>
          <w:color w:val="000000"/>
          <w:sz w:val="22"/>
        </w:rPr>
        <w:t>   </w:t>
      </w:r>
      <w:r>
        <w:rPr>
          <w:rFonts w:ascii="Arial"/>
          <w:color w:val="000000"/>
          <w:sz w:val="22"/>
        </w:rPr>
        <w:t>This valuation wasn’t considered. This valuation is only one judge should have considered.</w:t>
      </w:r>
    </w:p>
    <w:p>
      <w:pPr>
        <w:pStyle w:val="CaselawQuote"/>
        <w:spacing w:before="150" w:after="150"/>
        <w:ind w:left="1350"/>
        <w:jc w:val="left"/>
      </w:pPr>
      <w:r>
        <w:rPr>
          <w:rFonts w:ascii="Arial"/>
          <w:color w:val="000000"/>
          <w:sz w:val="22"/>
        </w:rPr>
        <w:t>4.</w:t>
      </w:r>
      <w:r>
        <w:rPr>
          <w:rFonts w:ascii="Arial"/>
          <w:color w:val="000000"/>
          <w:sz w:val="22"/>
        </w:rPr>
        <w:t>   </w:t>
      </w:r>
      <w:r>
        <w:rPr>
          <w:rFonts w:ascii="Arial"/>
          <w:color w:val="000000"/>
          <w:sz w:val="22"/>
        </w:rPr>
        <w:t>Questions which tried to establish the current value when address to the CEO of Orange Council were met with contempt; “I don’t know and I can’t remember”</w:t>
      </w:r>
    </w:p>
    <w:p>
      <w:pPr>
        <w:pStyle w:val="CaselawQuote"/>
        <w:spacing w:before="150" w:after="150"/>
        <w:ind w:left="1350"/>
        <w:jc w:val="left"/>
      </w:pPr>
      <w:r>
        <w:rPr>
          <w:rFonts w:ascii="Arial"/>
          <w:color w:val="000000"/>
          <w:sz w:val="22"/>
        </w:rPr>
        <w:t>5.</w:t>
      </w:r>
      <w:r>
        <w:rPr>
          <w:rFonts w:ascii="Arial"/>
          <w:color w:val="000000"/>
          <w:sz w:val="22"/>
        </w:rPr>
        <w:t>   </w:t>
      </w:r>
      <w:r>
        <w:rPr>
          <w:rFonts w:ascii="Arial"/>
          <w:color w:val="000000"/>
          <w:sz w:val="22"/>
        </w:rPr>
        <w:t>the PRD report used here for comparison was not so intended and was only used against Council when they refused to increase their original offer of $300,000 and would not discuss the matter further. The JUDGE should have ordered the CEO to answer the prepared questions</w:t>
      </w:r>
    </w:p>
    <w:p>
      <w:pPr>
        <w:pStyle w:val="CaselawQuote"/>
        <w:spacing w:before="150" w:after="150"/>
        <w:ind w:left="1350"/>
        <w:jc w:val="left"/>
      </w:pPr>
      <w:r>
        <w:rPr>
          <w:rFonts w:ascii="Arial"/>
          <w:color w:val="000000"/>
          <w:sz w:val="22"/>
        </w:rPr>
        <w:t>6.</w:t>
      </w:r>
      <w:r>
        <w:rPr>
          <w:rFonts w:ascii="Arial"/>
          <w:color w:val="000000"/>
          <w:sz w:val="22"/>
        </w:rPr>
        <w:t>   </w:t>
      </w:r>
      <w:r>
        <w:rPr>
          <w:rFonts w:ascii="Arial"/>
          <w:color w:val="000000"/>
          <w:sz w:val="22"/>
        </w:rPr>
        <w:t>We had no choice but to appeal the matter to this court.</w:t>
      </w:r>
    </w:p>
    <w:p>
      <w:pPr>
        <w:pStyle w:val="CaselawQuote"/>
        <w:spacing w:before="150" w:after="150"/>
        <w:ind w:left="1350"/>
        <w:jc w:val="left"/>
      </w:pPr>
      <w:r>
        <w:rPr>
          <w:rFonts w:ascii="Arial"/>
          <w:color w:val="000000"/>
          <w:sz w:val="22"/>
        </w:rPr>
        <w:t>7.</w:t>
      </w:r>
      <w:r>
        <w:rPr>
          <w:rFonts w:ascii="Arial"/>
          <w:color w:val="000000"/>
          <w:sz w:val="22"/>
        </w:rPr>
        <w:t>   </w:t>
      </w:r>
      <w:r>
        <w:rPr>
          <w:rFonts w:ascii="Arial"/>
          <w:color w:val="000000"/>
          <w:sz w:val="22"/>
        </w:rPr>
        <w:t>The question of the electricity and easements not allowed and should have been allowed by the Judge.</w:t>
      </w:r>
    </w:p>
    <w:p>
      <w:pPr>
        <w:pStyle w:val="CaselawQuote"/>
        <w:spacing w:before="150" w:after="150"/>
        <w:ind w:left="1350"/>
        <w:jc w:val="left"/>
      </w:pPr>
      <w:r>
        <w:rPr>
          <w:rFonts w:ascii="Arial"/>
          <w:color w:val="000000"/>
          <w:sz w:val="22"/>
        </w:rPr>
        <w:t>8.</w:t>
      </w:r>
      <w:r>
        <w:rPr>
          <w:rFonts w:ascii="Arial"/>
          <w:color w:val="000000"/>
          <w:sz w:val="22"/>
        </w:rPr>
        <w:t>   </w:t>
      </w:r>
      <w:r>
        <w:rPr>
          <w:rFonts w:ascii="Arial"/>
          <w:color w:val="000000"/>
          <w:sz w:val="22"/>
        </w:rPr>
        <w:t>The PRD report was a number of valuations which were used in negotiations and was the lowest number ever submitted and should not be allowed by the judge on the age of the report and the qualifications of the person making it. It was 10 years old.</w:t>
      </w:r>
    </w:p>
    <w:p>
      <w:pPr>
        <w:pStyle w:val="CaselawQuote"/>
        <w:spacing w:before="150" w:after="150"/>
        <w:ind w:left="1350"/>
        <w:jc w:val="left"/>
      </w:pPr>
      <w:r>
        <w:rPr>
          <w:rFonts w:ascii="Arial"/>
          <w:color w:val="000000"/>
          <w:sz w:val="22"/>
        </w:rPr>
        <w:t>9.</w:t>
      </w:r>
      <w:r>
        <w:rPr>
          <w:rFonts w:ascii="Arial"/>
          <w:color w:val="000000"/>
          <w:sz w:val="22"/>
        </w:rPr>
        <w:t>   </w:t>
      </w:r>
      <w:r>
        <w:rPr>
          <w:rFonts w:ascii="Arial"/>
          <w:color w:val="000000"/>
          <w:sz w:val="22"/>
        </w:rPr>
        <w:t>The land being resumed, connects two adjacent Council properties and should have been factored in.</w:t>
      </w:r>
    </w:p>
    <w:p>
      <w:pPr>
        <w:pStyle w:val="CaselawQuote"/>
        <w:spacing w:before="150" w:after="150"/>
        <w:ind w:left="1350"/>
        <w:jc w:val="left"/>
      </w:pPr>
      <w:r>
        <w:rPr>
          <w:rFonts w:ascii="Arial"/>
          <w:color w:val="000000"/>
          <w:sz w:val="22"/>
        </w:rPr>
        <w:t>10.</w:t>
      </w:r>
      <w:r>
        <w:rPr>
          <w:rFonts w:ascii="Arial"/>
          <w:color w:val="000000"/>
          <w:sz w:val="22"/>
        </w:rPr>
        <w:t>   </w:t>
      </w:r>
      <w:r>
        <w:rPr>
          <w:rFonts w:ascii="Arial"/>
          <w:color w:val="000000"/>
          <w:sz w:val="22"/>
        </w:rPr>
        <w:t>The hillside cannot be used for the purpose of water storage but can be used for subdividing into 30 blocks of land. With the addition of 70 blocks belonging to Council would make this a valuable proposition.</w:t>
      </w:r>
    </w:p>
    <w:p>
      <w:pPr>
        <w:pStyle w:val="CaselawQuote"/>
        <w:spacing w:before="150" w:after="150"/>
        <w:ind w:left="1350"/>
        <w:jc w:val="left"/>
      </w:pPr>
      <w:r>
        <w:rPr>
          <w:rFonts w:ascii="Arial"/>
          <w:color w:val="000000"/>
          <w:sz w:val="22"/>
        </w:rPr>
        <w:t>11.</w:t>
      </w:r>
      <w:r>
        <w:rPr>
          <w:rFonts w:ascii="Arial"/>
          <w:color w:val="000000"/>
          <w:sz w:val="22"/>
        </w:rPr>
        <w:t>   </w:t>
      </w:r>
      <w:r>
        <w:rPr>
          <w:rFonts w:ascii="Arial"/>
          <w:color w:val="000000"/>
          <w:sz w:val="22"/>
        </w:rPr>
        <w:t>The $4 million Road is just a distraction as access to this property is already available through public land.</w:t>
      </w:r>
    </w:p>
    <w:p>
      <w:pPr>
        <w:pStyle w:val="CaselawQuote"/>
        <w:spacing w:before="150" w:after="150"/>
        <w:ind w:left="1350"/>
        <w:jc w:val="left"/>
      </w:pPr>
      <w:r>
        <w:rPr>
          <w:rFonts w:ascii="Arial"/>
          <w:color w:val="000000"/>
          <w:sz w:val="22"/>
        </w:rPr>
        <w:t>12.</w:t>
      </w:r>
      <w:r>
        <w:rPr>
          <w:rFonts w:ascii="Arial"/>
          <w:color w:val="000000"/>
          <w:sz w:val="22"/>
        </w:rPr>
        <w:t>   </w:t>
      </w:r>
      <w:r>
        <w:rPr>
          <w:rFonts w:ascii="Arial"/>
          <w:color w:val="000000"/>
          <w:sz w:val="22"/>
        </w:rPr>
        <w:t xml:space="preserve">Council was only putting up a smoke screen to hide the real value of the land they were compulsory acquiring. </w:t>
      </w:r>
    </w:p>
    <w:p>
      <w:pPr>
        <w:pStyle w:val="CaselawQuote"/>
        <w:spacing w:before="150" w:after="150"/>
        <w:ind w:left="1350"/>
        <w:jc w:val="left"/>
      </w:pPr>
      <w:r>
        <w:rPr>
          <w:rFonts w:ascii="Arial"/>
          <w:color w:val="000000"/>
          <w:sz w:val="22"/>
        </w:rPr>
        <w:t>13.</w:t>
      </w:r>
      <w:r>
        <w:rPr>
          <w:rFonts w:ascii="Arial"/>
          <w:color w:val="000000"/>
          <w:sz w:val="22"/>
        </w:rPr>
        <w:t>   </w:t>
      </w:r>
      <w:r>
        <w:rPr>
          <w:rFonts w:ascii="Arial"/>
          <w:color w:val="000000"/>
          <w:sz w:val="22"/>
        </w:rPr>
        <w:t>The only question that was allowed concerning water levels shows the project is just a pipe dream.</w:t>
      </w:r>
    </w:p>
    <w:p>
      <w:pPr>
        <w:pStyle w:val="CaselawQuote"/>
        <w:spacing w:before="150" w:after="150"/>
        <w:ind w:left="1350"/>
        <w:jc w:val="left"/>
      </w:pPr>
      <w:r>
        <w:rPr>
          <w:rFonts w:ascii="Arial"/>
          <w:color w:val="000000"/>
          <w:sz w:val="22"/>
        </w:rPr>
        <w:t>14.</w:t>
      </w:r>
      <w:r>
        <w:rPr>
          <w:rFonts w:ascii="Arial"/>
          <w:color w:val="000000"/>
          <w:sz w:val="22"/>
        </w:rPr>
        <w:t>   </w:t>
      </w:r>
      <w:r>
        <w:rPr>
          <w:rFonts w:ascii="Arial"/>
          <w:color w:val="000000"/>
          <w:sz w:val="22"/>
        </w:rPr>
        <w:t>From the time the Judge removed himself from the case until the next directions hearing and then for the case to resume under another judge was seven days. Seven days is not long enough for me to prepare for a three-day hearing.</w:t>
      </w:r>
    </w:p>
    <w:p>
      <w:pPr>
        <w:pStyle w:val="CaselawQuote"/>
        <w:spacing w:before="150" w:after="150"/>
        <w:ind w:left="1350"/>
        <w:jc w:val="left"/>
      </w:pPr>
      <w:r>
        <w:rPr>
          <w:rFonts w:ascii="Arial"/>
          <w:color w:val="000000"/>
          <w:sz w:val="22"/>
        </w:rPr>
        <w:t>15.</w:t>
      </w:r>
      <w:r>
        <w:rPr>
          <w:rFonts w:ascii="Arial"/>
          <w:color w:val="000000"/>
          <w:sz w:val="22"/>
        </w:rPr>
        <w:t>   </w:t>
      </w:r>
      <w:r>
        <w:rPr>
          <w:rFonts w:ascii="Arial"/>
          <w:color w:val="000000"/>
          <w:sz w:val="22"/>
        </w:rPr>
        <w:t>Orange City Council prepared the case for me and including material which was against me including the PRD report which was some 10 years old.</w:t>
      </w:r>
    </w:p>
    <w:p>
      <w:pPr>
        <w:pStyle w:val="CaselawQuote"/>
        <w:spacing w:before="150" w:after="150"/>
        <w:ind w:left="1350"/>
        <w:jc w:val="left"/>
      </w:pPr>
      <w:r>
        <w:rPr>
          <w:rFonts w:ascii="Arial"/>
          <w:color w:val="000000"/>
          <w:sz w:val="22"/>
        </w:rPr>
        <w:t>16.</w:t>
      </w:r>
      <w:r>
        <w:rPr>
          <w:rFonts w:ascii="Arial"/>
          <w:color w:val="000000"/>
          <w:sz w:val="22"/>
        </w:rPr>
        <w:t>   </w:t>
      </w:r>
      <w:r>
        <w:rPr>
          <w:rFonts w:ascii="Arial"/>
          <w:color w:val="000000"/>
          <w:sz w:val="22"/>
        </w:rPr>
        <w:t>I was no shown the final submissions of counsel nor given any chance of responding to them. She should have done so.</w:t>
      </w:r>
    </w:p>
    <w:p>
      <w:pPr>
        <w:pStyle w:val="CaselawQuote"/>
        <w:spacing w:before="150" w:after="150"/>
        <w:ind w:left="1350"/>
        <w:jc w:val="left"/>
      </w:pPr>
      <w:r>
        <w:rPr>
          <w:rFonts w:ascii="Arial"/>
          <w:color w:val="000000"/>
          <w:sz w:val="22"/>
        </w:rPr>
        <w:t>17.</w:t>
      </w:r>
      <w:r>
        <w:rPr>
          <w:rFonts w:ascii="Arial"/>
          <w:color w:val="000000"/>
          <w:sz w:val="22"/>
        </w:rPr>
        <w:t>   </w:t>
      </w:r>
      <w:r>
        <w:rPr>
          <w:rFonts w:ascii="Arial"/>
          <w:color w:val="000000"/>
          <w:sz w:val="22"/>
        </w:rPr>
        <w:t>I did not make any final submissions myself and the judge should have allowed it. All</w:t>
      </w:r>
    </w:p>
    <w:p>
      <w:pPr>
        <w:pStyle w:val="CaselawQuote"/>
        <w:spacing w:before="150" w:after="150"/>
        <w:ind w:left="1350"/>
        <w:jc w:val="left"/>
      </w:pPr>
      <w:r>
        <w:rPr>
          <w:rFonts w:ascii="Arial"/>
          <w:color w:val="000000"/>
          <w:sz w:val="22"/>
        </w:rPr>
        <w:t>18.</w:t>
      </w:r>
      <w:r>
        <w:rPr>
          <w:rFonts w:ascii="Arial"/>
          <w:color w:val="000000"/>
          <w:sz w:val="22"/>
        </w:rPr>
        <w:t>   </w:t>
      </w:r>
      <w:r>
        <w:rPr>
          <w:rFonts w:ascii="Arial"/>
          <w:color w:val="000000"/>
          <w:sz w:val="22"/>
        </w:rPr>
        <w:t>the Judge should have ordered the CEO to answer the prepared questions.</w:t>
      </w:r>
    </w:p>
    <w:p>
      <w:pPr>
        <w:pStyle w:val="CaselawQuote"/>
        <w:spacing w:before="150" w:after="150"/>
        <w:ind w:left="1350"/>
        <w:jc w:val="left"/>
      </w:pPr>
      <w:r>
        <w:rPr>
          <w:rFonts w:ascii="Arial"/>
          <w:color w:val="000000"/>
          <w:sz w:val="22"/>
        </w:rPr>
        <w:t>19.</w:t>
      </w:r>
      <w:r>
        <w:rPr>
          <w:rFonts w:ascii="Arial"/>
          <w:color w:val="000000"/>
          <w:sz w:val="22"/>
        </w:rPr>
        <w:t>   </w:t>
      </w:r>
      <w:r>
        <w:rPr>
          <w:rFonts w:ascii="Arial"/>
          <w:color w:val="000000"/>
          <w:sz w:val="22"/>
        </w:rPr>
        <w:t>by answering the prepared questions that had been given to the CEO he was giving tacit approval to my submission.</w:t>
      </w:r>
    </w:p>
    <w:p>
      <w:pPr>
        <w:pStyle w:val="CaselawQuote"/>
        <w:spacing w:before="150" w:after="150"/>
        <w:ind w:left="1350"/>
        <w:jc w:val="left"/>
      </w:pPr>
      <w:r>
        <w:rPr>
          <w:rFonts w:ascii="Arial"/>
          <w:color w:val="000000"/>
          <w:sz w:val="22"/>
        </w:rPr>
        <w:t>20.</w:t>
      </w:r>
      <w:r>
        <w:rPr>
          <w:rFonts w:ascii="Arial"/>
          <w:color w:val="000000"/>
          <w:sz w:val="22"/>
        </w:rPr>
        <w:t>   </w:t>
      </w:r>
      <w:r>
        <w:rPr>
          <w:rFonts w:ascii="Arial"/>
          <w:color w:val="000000"/>
          <w:sz w:val="22"/>
        </w:rPr>
        <w:t>The judge should have at least delayed the trial when she was shown I had not received their emails on which this trial depended’.</w:t>
      </w:r>
    </w:p>
    <w:p>
      <w:pPr>
        <w:pStyle w:val="CaselawQuote"/>
        <w:spacing w:before="150" w:after="150"/>
        <w:ind w:left="1350"/>
        <w:jc w:val="left"/>
      </w:pPr>
      <w:r>
        <w:rPr>
          <w:rFonts w:ascii="Arial"/>
          <w:color w:val="000000"/>
          <w:sz w:val="22"/>
        </w:rPr>
        <w:t>21.</w:t>
      </w:r>
      <w:r>
        <w:rPr>
          <w:rFonts w:ascii="Arial"/>
          <w:color w:val="000000"/>
          <w:sz w:val="22"/>
        </w:rPr>
        <w:t>   </w:t>
      </w:r>
      <w:r>
        <w:rPr>
          <w:rFonts w:ascii="Arial"/>
          <w:color w:val="000000"/>
          <w:sz w:val="22"/>
        </w:rPr>
        <w:t>By default the judge should have allowed these calculations submitted by me.</w:t>
      </w:r>
    </w:p>
    <w:p>
      <w:pPr>
        <w:pStyle w:val="CaselawQuote"/>
        <w:spacing w:before="150" w:after="150"/>
        <w:ind w:left="1350"/>
        <w:jc w:val="left"/>
      </w:pPr>
      <w:r>
        <w:rPr>
          <w:rFonts w:ascii="Arial"/>
          <w:color w:val="000000"/>
          <w:sz w:val="22"/>
        </w:rPr>
        <w:t>22.</w:t>
      </w:r>
      <w:r>
        <w:rPr>
          <w:rFonts w:ascii="Arial"/>
          <w:color w:val="000000"/>
          <w:sz w:val="22"/>
        </w:rPr>
        <w:t>   </w:t>
      </w:r>
      <w:r>
        <w:rPr>
          <w:rFonts w:ascii="Arial"/>
          <w:color w:val="000000"/>
          <w:sz w:val="22"/>
        </w:rPr>
        <w:t>Because of the boundaries that have been crossed in this judgment I should not have costs awarded against me but council should.</w:t>
      </w:r>
    </w:p>
    <w:p>
      <w:pPr>
        <w:pStyle w:val="CaselawQuote"/>
        <w:spacing w:before="150" w:after="150"/>
        <w:ind w:left="1350"/>
        <w:jc w:val="left"/>
      </w:pPr>
      <w:r>
        <w:rPr>
          <w:rFonts w:ascii="Arial"/>
          <w:color w:val="000000"/>
          <w:sz w:val="22"/>
        </w:rPr>
        <w:t>23.</w:t>
      </w:r>
      <w:r>
        <w:rPr>
          <w:rFonts w:ascii="Arial"/>
          <w:color w:val="000000"/>
          <w:sz w:val="22"/>
        </w:rPr>
        <w:t>   </w:t>
      </w:r>
      <w:r>
        <w:rPr>
          <w:rFonts w:ascii="Arial"/>
          <w:color w:val="000000"/>
          <w:sz w:val="22"/>
        </w:rPr>
        <w:t>Under the previous judge water levels were the main issue but were not allowed under present judge and should have been.</w:t>
      </w:r>
    </w:p>
    <w:p>
      <w:pPr>
        <w:pStyle w:val="CaselawQuote"/>
        <w:spacing w:before="150" w:after="150"/>
        <w:ind w:left="1350"/>
        <w:jc w:val="left"/>
      </w:pPr>
      <w:r>
        <w:rPr>
          <w:rFonts w:ascii="Arial"/>
          <w:color w:val="000000"/>
          <w:sz w:val="22"/>
        </w:rPr>
        <w:t>24.</w:t>
      </w:r>
      <w:r>
        <w:rPr>
          <w:rFonts w:ascii="Arial"/>
          <w:color w:val="000000"/>
          <w:sz w:val="22"/>
        </w:rPr>
        <w:t>   </w:t>
      </w:r>
      <w:r>
        <w:rPr>
          <w:rFonts w:ascii="Arial"/>
          <w:color w:val="000000"/>
          <w:sz w:val="22"/>
        </w:rPr>
        <w:t>By connecting those three parcels of land this now constitutes a mining area.</w:t>
      </w:r>
    </w:p>
    <w:p>
      <w:pPr>
        <w:pStyle w:val="CaselawNumbered10"/>
        <w:numPr>
          <w:ilvl w:val="0"/>
          <w:numId w:val="33"/>
        </w:numPr>
        <w:spacing w:before="150" w:after="0"/>
        <w:ind w:left="600" w:hanging="600"/>
      </w:pPr>
      <w:r>
        <w:rPr>
          <w:rFonts w:ascii="Arial"/>
          <w:color w:val="000000"/>
          <w:sz w:val="24"/>
        </w:rPr>
        <w:t>The problems presented by the notice of appeal include the following matters:</w:t>
      </w:r>
    </w:p>
    <w:p>
      <w:pPr>
        <w:pStyle w:val="CaselawNumbereda"/>
        <w:numPr>
          <w:ilvl w:val="0"/>
          <w:numId w:val="34"/>
        </w:numPr>
        <w:spacing w:before="150" w:after="0"/>
        <w:ind w:left="2100" w:hanging="750"/>
      </w:pPr>
      <w:r>
        <w:rPr>
          <w:rFonts w:ascii="Arial"/>
          <w:color w:val="000000"/>
          <w:sz w:val="24"/>
        </w:rPr>
        <w:t xml:space="preserve">Some of the </w:t>
      </w:r>
      <w:r>
        <w:rPr>
          <w:rFonts w:ascii="Arial"/>
          <w:color w:val="000000"/>
          <w:sz w:val="24"/>
        </w:rPr>
        <w:t>grounds</w:t>
      </w:r>
      <w:r>
        <w:rPr>
          <w:rFonts w:ascii="Arial"/>
          <w:color w:val="000000"/>
          <w:sz w:val="24"/>
        </w:rPr>
        <w:t xml:space="preserve"> </w:t>
      </w:r>
      <w:r>
        <w:rPr>
          <w:rFonts w:ascii="Arial"/>
          <w:color w:val="000000"/>
          <w:sz w:val="24"/>
        </w:rPr>
        <w:t>are argumentative and opaque (e.g., 5, 7, 12, 13, 19, 21 and 23).</w:t>
      </w:r>
    </w:p>
    <w:p>
      <w:pPr>
        <w:pStyle w:val="CaselawNumbereda"/>
        <w:numPr>
          <w:ilvl w:val="0"/>
          <w:numId w:val="34"/>
        </w:numPr>
        <w:spacing w:before="150" w:after="0"/>
        <w:ind w:left="2100" w:hanging="750"/>
      </w:pPr>
      <w:r>
        <w:rPr>
          <w:rFonts w:ascii="Arial"/>
          <w:color w:val="000000"/>
          <w:sz w:val="24"/>
        </w:rPr>
        <w:t xml:space="preserve">At least one of the </w:t>
      </w:r>
      <w:r>
        <w:rPr>
          <w:rFonts w:ascii="Arial"/>
          <w:color w:val="000000"/>
          <w:sz w:val="24"/>
        </w:rPr>
        <w:t>grounds</w:t>
      </w:r>
      <w:r>
        <w:rPr>
          <w:rFonts w:ascii="Arial"/>
          <w:color w:val="000000"/>
          <w:sz w:val="24"/>
        </w:rPr>
        <w:t xml:space="preserve"> </w:t>
      </w:r>
      <w:r>
        <w:rPr>
          <w:rFonts w:ascii="Arial"/>
          <w:color w:val="000000"/>
          <w:sz w:val="24"/>
        </w:rPr>
        <w:t xml:space="preserve">(6) does not state any ground of appeal at all. </w:t>
      </w:r>
    </w:p>
    <w:p>
      <w:pPr>
        <w:pStyle w:val="CaselawNumbereda"/>
        <w:numPr>
          <w:ilvl w:val="0"/>
          <w:numId w:val="34"/>
        </w:numPr>
        <w:spacing w:before="150" w:after="0"/>
        <w:ind w:left="2100" w:hanging="750"/>
      </w:pPr>
      <w:r>
        <w:rPr>
          <w:rFonts w:ascii="Arial"/>
          <w:color w:val="000000"/>
          <w:sz w:val="24"/>
        </w:rPr>
        <w:t xml:space="preserve">Some of the grounds are patently inconsistent with the facts (e.g., 3, 14, 16, 18 and 22). </w:t>
      </w:r>
    </w:p>
    <w:p>
      <w:pPr>
        <w:pStyle w:val="CaselawNumbered10"/>
        <w:numPr>
          <w:ilvl w:val="0"/>
          <w:numId w:val="35"/>
        </w:numPr>
        <w:spacing w:before="150" w:after="0"/>
        <w:ind w:left="600" w:hanging="600"/>
      </w:pPr>
      <w:r>
        <w:rPr>
          <w:rFonts w:ascii="Arial"/>
          <w:color w:val="000000"/>
          <w:sz w:val="24"/>
        </w:rPr>
        <w:t>T</w:t>
      </w:r>
      <w:r>
        <w:rPr>
          <w:rFonts w:ascii="Arial"/>
          <w:color w:val="000000"/>
          <w:sz w:val="24"/>
        </w:rPr>
        <w:t>he Council raised no form</w:t>
      </w:r>
      <w:r>
        <w:rPr>
          <w:rFonts w:ascii="Arial"/>
          <w:color w:val="000000"/>
          <w:sz w:val="24"/>
        </w:rPr>
        <w:t xml:space="preserve">al </w:t>
      </w:r>
      <w:r>
        <w:rPr>
          <w:rFonts w:ascii="Arial"/>
          <w:color w:val="000000"/>
          <w:sz w:val="24"/>
        </w:rPr>
        <w:t>objection to the notice of appeal</w:t>
      </w:r>
      <w:r>
        <w:rPr>
          <w:rFonts w:ascii="Arial"/>
          <w:color w:val="000000"/>
          <w:sz w:val="24"/>
        </w:rPr>
        <w:t>. It was</w:t>
      </w:r>
      <w:r>
        <w:rPr>
          <w:rFonts w:ascii="Arial"/>
          <w:color w:val="000000"/>
          <w:sz w:val="24"/>
        </w:rPr>
        <w:t xml:space="preserve"> </w:t>
      </w:r>
      <w:r>
        <w:rPr>
          <w:rFonts w:ascii="Arial"/>
          <w:color w:val="000000"/>
          <w:sz w:val="24"/>
        </w:rPr>
        <w:t xml:space="preserve">evidently content to respond on the basis that the notice of appeal be read as raising 24 grounds of appeal which </w:t>
      </w:r>
      <w:r>
        <w:rPr>
          <w:rFonts w:ascii="Arial"/>
          <w:color w:val="000000"/>
          <w:sz w:val="24"/>
        </w:rPr>
        <w:t xml:space="preserve">it suggested </w:t>
      </w:r>
      <w:r>
        <w:rPr>
          <w:rFonts w:ascii="Arial"/>
          <w:color w:val="000000"/>
          <w:sz w:val="24"/>
        </w:rPr>
        <w:t xml:space="preserve">fall largely within two categories, namely challenges to evidentiary findings and procedural fairness complaints. </w:t>
      </w:r>
    </w:p>
    <w:p>
      <w:pPr>
        <w:pStyle w:val="CaselawNumbered10"/>
        <w:numPr>
          <w:ilvl w:val="0"/>
          <w:numId w:val="35"/>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appellants</w:t>
      </w:r>
      <w:r>
        <w:rPr>
          <w:rFonts w:ascii="Arial"/>
          <w:color w:val="000000"/>
          <w:sz w:val="24"/>
        </w:rPr>
        <w:t>’</w:t>
      </w:r>
      <w:r>
        <w:rPr>
          <w:rFonts w:ascii="Arial"/>
          <w:color w:val="000000"/>
          <w:sz w:val="24"/>
        </w:rPr>
        <w:t xml:space="preserve"> </w:t>
      </w:r>
      <w:r>
        <w:rPr>
          <w:rFonts w:ascii="Arial"/>
          <w:color w:val="000000"/>
          <w:sz w:val="24"/>
        </w:rPr>
        <w:t xml:space="preserve">failure to identify one or more questions of law, as required by s 57(1) of the </w:t>
      </w:r>
      <w:r>
        <w:rPr>
          <w:rFonts w:ascii="Arial"/>
          <w:i/>
          <w:color w:val="000000"/>
          <w:sz w:val="24"/>
        </w:rPr>
        <w:t>Land and Environment Court Act</w:t>
      </w:r>
      <w:r>
        <w:rPr>
          <w:rFonts w:ascii="Arial"/>
          <w:color w:val="000000"/>
          <w:sz w:val="24"/>
        </w:rPr>
        <w:t>, is more fundamental. That is because it goes to the very heart of this Court</w:t>
      </w:r>
      <w:r>
        <w:rPr>
          <w:rFonts w:ascii="Arial"/>
          <w:color w:val="000000"/>
          <w:sz w:val="24"/>
        </w:rPr>
        <w:t>’</w:t>
      </w:r>
      <w:r>
        <w:rPr>
          <w:rFonts w:ascii="Arial"/>
          <w:color w:val="000000"/>
          <w:sz w:val="24"/>
        </w:rPr>
        <w:t xml:space="preserve">s jurisdiction to entertain the appeal, a matter which cannot be avoided simply because the parties may agree to proceed on a different basis. </w:t>
      </w:r>
    </w:p>
    <w:p>
      <w:pPr>
        <w:pStyle w:val="CaselawNumbered10"/>
        <w:numPr>
          <w:ilvl w:val="0"/>
          <w:numId w:val="35"/>
        </w:numPr>
        <w:spacing w:before="150" w:after="0"/>
        <w:ind w:left="600" w:hanging="600"/>
      </w:pPr>
      <w:r>
        <w:rPr>
          <w:rFonts w:ascii="Arial"/>
          <w:color w:val="000000"/>
          <w:sz w:val="24"/>
        </w:rPr>
        <w:t xml:space="preserve">The </w:t>
      </w:r>
      <w:r>
        <w:rPr>
          <w:rFonts w:ascii="Arial"/>
          <w:color w:val="000000"/>
          <w:sz w:val="24"/>
        </w:rPr>
        <w:t xml:space="preserve">relevant parts </w:t>
      </w:r>
      <w:r>
        <w:rPr>
          <w:rFonts w:ascii="Arial"/>
          <w:color w:val="000000"/>
          <w:sz w:val="24"/>
        </w:rPr>
        <w:t xml:space="preserve">of s 57 of the </w:t>
      </w:r>
      <w:r>
        <w:rPr>
          <w:rFonts w:ascii="Arial"/>
          <w:i/>
          <w:color w:val="000000"/>
          <w:sz w:val="24"/>
        </w:rPr>
        <w:t xml:space="preserve">Land and Environment Court Act </w:t>
      </w:r>
      <w:r>
        <w:rPr>
          <w:rFonts w:ascii="Arial"/>
          <w:color w:val="000000"/>
          <w:sz w:val="24"/>
        </w:rPr>
        <w:t>are set out at [</w:t>
      </w:r>
      <w:hyperlink r:id="rId19">
        <w:r>
          <w:rPr>
            <w:rFonts w:ascii="Arial"/>
            <w:color w:val="000000"/>
            <w:sz w:val="24"/>
            <w:u w:val="single"/>
          </w:rPr>
          <w:t/>
        </w:r>
        <w:r>
          <w:rPr>
            <w:rFonts w:ascii="Arial"/>
            <w:color w:val="000000"/>
            <w:sz w:val="24"/>
          </w:rPr>
          <w:t>34</w:t>
        </w:r>
      </w:hyperlink>
      <w:hyperlink r:id="rId20">
        <w:r>
          <w:rPr>
            <w:rFonts w:ascii="Arial"/>
            <w:color w:val="000000"/>
            <w:sz w:val="24"/>
          </w:rPr>
          <w:t/>
        </w:r>
      </w:hyperlink>
      <w:r>
        <w:rPr>
          <w:rFonts w:ascii="Arial"/>
          <w:color w:val="000000"/>
          <w:sz w:val="24"/>
        </w:rPr>
        <w:t xml:space="preserve">] above. </w:t>
      </w:r>
      <w:r>
        <w:rPr>
          <w:rFonts w:ascii="Arial"/>
          <w:color w:val="000000"/>
          <w:sz w:val="24"/>
        </w:rPr>
        <w:t xml:space="preserve">Importantly, this </w:t>
      </w:r>
      <w:r>
        <w:rPr>
          <w:rFonts w:ascii="Arial"/>
          <w:color w:val="000000"/>
          <w:sz w:val="24"/>
        </w:rPr>
        <w:t>section</w:t>
      </w:r>
      <w:r>
        <w:rPr>
          <w:rFonts w:ascii="Arial"/>
          <w:color w:val="000000"/>
          <w:sz w:val="24"/>
        </w:rPr>
        <w:t xml:space="preserve"> </w:t>
      </w:r>
      <w:r>
        <w:rPr>
          <w:rFonts w:ascii="Arial"/>
          <w:color w:val="000000"/>
          <w:sz w:val="24"/>
        </w:rPr>
        <w:t xml:space="preserve">provides for an appeal to this Court against an </w:t>
      </w:r>
      <w:r>
        <w:rPr>
          <w:rFonts w:ascii="Arial"/>
          <w:color w:val="000000"/>
          <w:sz w:val="24"/>
        </w:rPr>
        <w:t>“</w:t>
      </w:r>
      <w:r>
        <w:rPr>
          <w:rFonts w:ascii="Arial"/>
          <w:color w:val="000000"/>
          <w:sz w:val="24"/>
        </w:rPr>
        <w:t>order or decision</w:t>
      </w:r>
      <w:r>
        <w:rPr>
          <w:rFonts w:ascii="Arial"/>
          <w:color w:val="000000"/>
          <w:sz w:val="24"/>
        </w:rPr>
        <w:t xml:space="preserve">” </w:t>
      </w:r>
      <w:r>
        <w:rPr>
          <w:rFonts w:ascii="Arial"/>
          <w:color w:val="000000"/>
          <w:sz w:val="24"/>
        </w:rPr>
        <w:t xml:space="preserve">of the LEC on a question of law. Thus it is the order or decision of that </w:t>
      </w:r>
      <w:r>
        <w:rPr>
          <w:rFonts w:ascii="Arial"/>
          <w:color w:val="000000"/>
          <w:sz w:val="24"/>
        </w:rPr>
        <w:t>C</w:t>
      </w:r>
      <w:r>
        <w:rPr>
          <w:rFonts w:ascii="Arial"/>
          <w:color w:val="000000"/>
          <w:sz w:val="24"/>
        </w:rPr>
        <w:t xml:space="preserve">ourt, and not the appeal, which must be on a question of law (see </w:t>
      </w:r>
      <w:r>
        <w:rPr>
          <w:rFonts w:ascii="Arial"/>
          <w:i/>
          <w:color w:val="000000"/>
          <w:sz w:val="24"/>
        </w:rPr>
        <w:t xml:space="preserve">Roads </w:t>
      </w:r>
      <w:r>
        <w:rPr>
          <w:rFonts w:ascii="Arial"/>
          <w:i/>
          <w:color w:val="000000"/>
          <w:sz w:val="24"/>
        </w:rPr>
        <w:t xml:space="preserve">&amp; Traffic Authority (NSW) v Peak </w:t>
      </w:r>
      <w:r>
        <w:rPr>
          <w:rFonts w:ascii="Arial"/>
          <w:color w:val="000000"/>
          <w:sz w:val="24"/>
        </w:rPr>
        <w:t>[2007] NSWCA 66</w:t>
      </w:r>
      <w:r>
        <w:rPr>
          <w:rFonts w:ascii="Arial"/>
          <w:color w:val="000000"/>
          <w:sz w:val="24"/>
        </w:rPr>
        <w:t xml:space="preserve"> </w:t>
      </w:r>
      <w:r>
        <w:rPr>
          <w:rFonts w:ascii="Arial"/>
          <w:color w:val="000000"/>
          <w:sz w:val="24"/>
        </w:rPr>
        <w:t xml:space="preserve">at [139] per Basten JA; </w:t>
      </w:r>
      <w:r>
        <w:rPr>
          <w:rFonts w:ascii="Arial"/>
          <w:b/>
          <w:i/>
          <w:color w:val="000000"/>
          <w:sz w:val="24"/>
        </w:rPr>
        <w:t>B&amp;L Linings</w:t>
      </w:r>
      <w:r>
        <w:rPr>
          <w:rFonts w:ascii="Arial"/>
          <w:i/>
          <w:color w:val="000000"/>
          <w:sz w:val="24"/>
        </w:rPr>
        <w:t xml:space="preserve"> v Chief Commissioner of State Revenue </w:t>
      </w:r>
      <w:r>
        <w:rPr>
          <w:rFonts w:ascii="Arial"/>
          <w:color w:val="000000"/>
          <w:sz w:val="24"/>
        </w:rPr>
        <w:t>(2008) 74 NSWLR 481</w:t>
      </w:r>
      <w:r>
        <w:rPr>
          <w:rFonts w:ascii="Arial"/>
          <w:color w:val="000000"/>
          <w:sz w:val="24"/>
        </w:rPr>
        <w:t xml:space="preserve">; </w:t>
      </w:r>
      <w:r>
        <w:rPr>
          <w:rFonts w:ascii="Arial"/>
          <w:color w:val="000000"/>
          <w:sz w:val="24"/>
        </w:rPr>
        <w:t>[2008] NSWCA 187 at [</w:t>
      </w:r>
      <w:r>
        <w:rPr>
          <w:rFonts w:ascii="Arial"/>
          <w:color w:val="000000"/>
          <w:sz w:val="24"/>
        </w:rPr>
        <w:t>70</w:t>
      </w:r>
      <w:r>
        <w:rPr>
          <w:rFonts w:ascii="Arial"/>
          <w:color w:val="000000"/>
          <w:sz w:val="24"/>
        </w:rPr>
        <w:t>]</w:t>
      </w:r>
      <w:r>
        <w:rPr>
          <w:rFonts w:ascii="Arial"/>
          <w:color w:val="000000"/>
          <w:sz w:val="24"/>
        </w:rPr>
        <w:t xml:space="preserve"> </w:t>
      </w:r>
      <w:r>
        <w:rPr>
          <w:rFonts w:ascii="Arial"/>
          <w:color w:val="000000"/>
          <w:sz w:val="24"/>
        </w:rPr>
        <w:t xml:space="preserve">(Allsop P, Giles and Basten JJA agreeing); </w:t>
      </w:r>
      <w:r>
        <w:rPr>
          <w:rFonts w:ascii="Arial"/>
          <w:i/>
          <w:color w:val="000000"/>
          <w:sz w:val="24"/>
        </w:rPr>
        <w:t>ISPT Pty Ltd v Valuer General</w:t>
      </w:r>
      <w:r>
        <w:rPr>
          <w:rFonts w:ascii="Arial"/>
          <w:color w:val="000000"/>
          <w:sz w:val="24"/>
        </w:rPr>
        <w:t xml:space="preserve"> </w:t>
      </w:r>
      <w:r>
        <w:rPr>
          <w:rFonts w:ascii="Arial"/>
          <w:color w:val="000000"/>
          <w:sz w:val="24"/>
        </w:rPr>
        <w:t>[2009] NSWCA 31; (2009) 165 LGERA 25 at [3] (Allsop P)</w:t>
      </w:r>
      <w:r>
        <w:rPr>
          <w:rFonts w:ascii="Arial"/>
          <w:color w:val="000000"/>
          <w:sz w:val="24"/>
        </w:rPr>
        <w:t xml:space="preserve">; </w:t>
      </w:r>
      <w:r>
        <w:rPr>
          <w:rFonts w:ascii="Arial"/>
          <w:i/>
          <w:color w:val="000000"/>
          <w:sz w:val="24"/>
        </w:rPr>
        <w:t>Dial A Dump</w:t>
      </w:r>
      <w:r>
        <w:rPr>
          <w:rFonts w:ascii="Arial"/>
          <w:i/>
          <w:color w:val="000000"/>
          <w:sz w:val="24"/>
        </w:rPr>
        <w:t xml:space="preserve"> Industries Pty Ltd v Roads and Maritime Services</w:t>
      </w:r>
      <w:r>
        <w:rPr>
          <w:rFonts w:ascii="Arial"/>
          <w:color w:val="000000"/>
          <w:sz w:val="24"/>
        </w:rPr>
        <w:t xml:space="preserve"> </w:t>
      </w:r>
      <w:r>
        <w:rPr>
          <w:rFonts w:ascii="Arial"/>
          <w:color w:val="000000"/>
          <w:sz w:val="24"/>
        </w:rPr>
        <w:t>(2017) 94 NSWLR 554; [2017] NSWCA 73 at [6] (Beazley</w:t>
      </w:r>
      <w:r>
        <w:rPr>
          <w:rFonts w:ascii="Arial"/>
          <w:color w:val="000000"/>
          <w:sz w:val="24"/>
        </w:rPr>
        <w:t> </w:t>
      </w:r>
      <w:r>
        <w:rPr>
          <w:rFonts w:ascii="Arial"/>
          <w:color w:val="000000"/>
          <w:sz w:val="24"/>
        </w:rPr>
        <w:t>P), at [165] (McColl JA)</w:t>
      </w:r>
      <w:r>
        <w:rPr>
          <w:rFonts w:ascii="Arial"/>
          <w:color w:val="000000"/>
          <w:sz w:val="24"/>
        </w:rPr>
        <w:t>).</w:t>
      </w:r>
      <w:r>
        <w:rPr>
          <w:rFonts w:ascii="Arial"/>
          <w:color w:val="000000"/>
          <w:sz w:val="24"/>
        </w:rPr>
        <w:t xml:space="preserve"> </w:t>
      </w:r>
    </w:p>
    <w:p>
      <w:pPr>
        <w:pStyle w:val="CaselawNumbered10"/>
        <w:numPr>
          <w:ilvl w:val="0"/>
          <w:numId w:val="35"/>
        </w:numPr>
        <w:spacing w:before="150" w:after="0"/>
        <w:ind w:left="600" w:hanging="600"/>
      </w:pPr>
      <w:r>
        <w:rPr>
          <w:rFonts w:ascii="Arial"/>
          <w:color w:val="000000"/>
          <w:sz w:val="24"/>
        </w:rPr>
        <w:t xml:space="preserve">The structure </w:t>
      </w:r>
      <w:r>
        <w:rPr>
          <w:rFonts w:ascii="Arial"/>
          <w:color w:val="000000"/>
          <w:sz w:val="24"/>
        </w:rPr>
        <w:t xml:space="preserve">and terms </w:t>
      </w:r>
      <w:r>
        <w:rPr>
          <w:rFonts w:ascii="Arial"/>
          <w:color w:val="000000"/>
          <w:sz w:val="24"/>
        </w:rPr>
        <w:t xml:space="preserve">of s 57 </w:t>
      </w:r>
      <w:r>
        <w:rPr>
          <w:rFonts w:ascii="Arial"/>
          <w:color w:val="000000"/>
          <w:sz w:val="24"/>
        </w:rPr>
        <w:t xml:space="preserve">are </w:t>
      </w:r>
      <w:r>
        <w:rPr>
          <w:rFonts w:ascii="Arial"/>
          <w:color w:val="000000"/>
          <w:sz w:val="24"/>
        </w:rPr>
        <w:t>different from other statutory provisions which</w:t>
      </w:r>
      <w:r>
        <w:rPr>
          <w:rFonts w:ascii="Arial"/>
          <w:color w:val="000000"/>
          <w:sz w:val="24"/>
        </w:rPr>
        <w:t>, for example,</w:t>
      </w:r>
      <w:r>
        <w:rPr>
          <w:rFonts w:ascii="Arial"/>
          <w:color w:val="000000"/>
          <w:sz w:val="24"/>
        </w:rPr>
        <w:t xml:space="preserve"> </w:t>
      </w:r>
      <w:r>
        <w:rPr>
          <w:rFonts w:ascii="Arial"/>
          <w:color w:val="000000"/>
          <w:sz w:val="24"/>
        </w:rPr>
        <w:t xml:space="preserve">provide for </w:t>
      </w:r>
      <w:r>
        <w:rPr>
          <w:rFonts w:ascii="Arial"/>
          <w:color w:val="000000"/>
          <w:sz w:val="24"/>
        </w:rPr>
        <w:t xml:space="preserve">an appeal </w:t>
      </w:r>
      <w:r>
        <w:rPr>
          <w:rFonts w:ascii="Arial"/>
          <w:color w:val="000000"/>
          <w:sz w:val="24"/>
        </w:rPr>
        <w:t>“</w:t>
      </w:r>
      <w:r>
        <w:rPr>
          <w:rFonts w:ascii="Arial"/>
          <w:color w:val="000000"/>
          <w:sz w:val="24"/>
        </w:rPr>
        <w:t>on a question of law</w:t>
      </w:r>
      <w:r>
        <w:rPr>
          <w:rFonts w:ascii="Arial"/>
          <w:color w:val="000000"/>
          <w:sz w:val="24"/>
        </w:rPr>
        <w:t>”</w:t>
      </w:r>
      <w:r>
        <w:rPr>
          <w:rFonts w:ascii="Arial"/>
          <w:color w:val="000000"/>
          <w:sz w:val="24"/>
        </w:rPr>
        <w:t xml:space="preserve">, or </w:t>
      </w:r>
      <w:r>
        <w:rPr>
          <w:rFonts w:ascii="Arial"/>
          <w:color w:val="000000"/>
          <w:sz w:val="24"/>
        </w:rPr>
        <w:t>“</w:t>
      </w:r>
      <w:r>
        <w:rPr>
          <w:rFonts w:ascii="Arial"/>
          <w:color w:val="000000"/>
          <w:sz w:val="24"/>
        </w:rPr>
        <w:t>on a ground involving a question of law</w:t>
      </w:r>
      <w:r>
        <w:rPr>
          <w:rFonts w:ascii="Arial"/>
          <w:color w:val="000000"/>
          <w:sz w:val="24"/>
        </w:rPr>
        <w:t>”</w:t>
      </w:r>
      <w:r>
        <w:rPr>
          <w:rFonts w:ascii="Arial"/>
          <w:color w:val="000000"/>
          <w:sz w:val="24"/>
        </w:rPr>
        <w:t xml:space="preserve"> </w:t>
      </w:r>
      <w:r>
        <w:rPr>
          <w:rFonts w:ascii="Arial"/>
          <w:color w:val="000000"/>
          <w:sz w:val="24"/>
        </w:rPr>
        <w:t xml:space="preserve">(see, e.g., </w:t>
      </w:r>
      <w:r>
        <w:rPr>
          <w:rFonts w:ascii="Arial"/>
          <w:i/>
          <w:color w:val="000000"/>
          <w:sz w:val="24"/>
        </w:rPr>
        <w:t>Thoma</w:t>
      </w:r>
      <w:r>
        <w:rPr>
          <w:rFonts w:ascii="Arial"/>
          <w:i/>
          <w:color w:val="000000"/>
          <w:sz w:val="24"/>
        </w:rPr>
        <w:t>s</w:t>
      </w:r>
      <w:r>
        <w:rPr>
          <w:rFonts w:ascii="Arial"/>
          <w:i/>
          <w:color w:val="000000"/>
          <w:sz w:val="24"/>
        </w:rPr>
        <w:t xml:space="preserve"> and Naaz Pty Ltd v Chief Commissioner of State Revenue</w:t>
      </w:r>
      <w:r>
        <w:rPr>
          <w:rFonts w:ascii="Arial"/>
          <w:color w:val="000000"/>
          <w:sz w:val="24"/>
        </w:rPr>
        <w:t xml:space="preserve"> </w:t>
      </w:r>
      <w:r>
        <w:rPr>
          <w:rFonts w:ascii="Arial"/>
          <w:color w:val="000000"/>
          <w:sz w:val="24"/>
        </w:rPr>
        <w:t>[2023] NSWCA 40</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i/>
          <w:color w:val="000000"/>
          <w:sz w:val="24"/>
        </w:rPr>
        <w:t>Targeted Property Investments</w:t>
      </w:r>
      <w:r>
        <w:rPr>
          <w:rFonts w:ascii="Arial"/>
          <w:i/>
          <w:color w:val="000000"/>
          <w:sz w:val="24"/>
        </w:rPr>
        <w:t xml:space="preserve"> Pty Ltd v Look Up Technologies Pty Ltd (No 2)</w:t>
      </w:r>
      <w:r>
        <w:rPr>
          <w:rFonts w:ascii="Arial"/>
          <w:color w:val="000000"/>
          <w:sz w:val="24"/>
        </w:rPr>
        <w:t xml:space="preserve"> </w:t>
      </w:r>
      <w:r>
        <w:rPr>
          <w:rFonts w:ascii="Arial"/>
          <w:color w:val="000000"/>
          <w:sz w:val="24"/>
        </w:rPr>
        <w:t>[2023] NSWSC 416</w:t>
      </w:r>
      <w:r>
        <w:rPr>
          <w:rFonts w:ascii="Arial"/>
          <w:color w:val="000000"/>
          <w:sz w:val="24"/>
        </w:rPr>
        <w:t>)</w:t>
      </w:r>
      <w:r>
        <w:rPr>
          <w:rFonts w:ascii="Arial"/>
          <w:color w:val="000000"/>
          <w:sz w:val="24"/>
        </w:rPr>
        <w:t xml:space="preserve">. </w:t>
      </w:r>
      <w:r>
        <w:rPr>
          <w:rFonts w:ascii="Arial"/>
          <w:color w:val="000000"/>
          <w:sz w:val="24"/>
        </w:rPr>
        <w:t xml:space="preserve">It is also notably different from relevant provisions in Pt 3 of the </w:t>
      </w:r>
      <w:r>
        <w:rPr>
          <w:rFonts w:ascii="Arial"/>
          <w:i/>
          <w:color w:val="000000"/>
          <w:sz w:val="24"/>
        </w:rPr>
        <w:t xml:space="preserve">Criminal Appeal Act 1912 </w:t>
      </w:r>
      <w:r>
        <w:rPr>
          <w:rFonts w:ascii="Arial"/>
          <w:color w:val="000000"/>
          <w:sz w:val="24"/>
        </w:rPr>
        <w:t>(NSW) (which, for example, provide</w:t>
      </w:r>
      <w:r>
        <w:rPr>
          <w:rFonts w:ascii="Arial"/>
          <w:color w:val="000000"/>
          <w:sz w:val="24"/>
        </w:rPr>
        <w:t>s</w:t>
      </w:r>
      <w:r>
        <w:rPr>
          <w:rFonts w:ascii="Arial"/>
          <w:color w:val="000000"/>
          <w:sz w:val="24"/>
        </w:rPr>
        <w:t xml:space="preserve"> </w:t>
      </w:r>
      <w:r>
        <w:rPr>
          <w:rFonts w:ascii="Arial"/>
          <w:color w:val="000000"/>
          <w:sz w:val="24"/>
        </w:rPr>
        <w:t xml:space="preserve">in s 5(1)(a) for an appeal on </w:t>
      </w:r>
      <w:r>
        <w:rPr>
          <w:rFonts w:ascii="Arial"/>
          <w:color w:val="000000"/>
          <w:sz w:val="24"/>
        </w:rPr>
        <w:t>“</w:t>
      </w:r>
      <w:r>
        <w:rPr>
          <w:rFonts w:ascii="Arial"/>
          <w:color w:val="000000"/>
          <w:sz w:val="24"/>
        </w:rPr>
        <w:t>a question of law alone</w:t>
      </w:r>
      <w:r>
        <w:rPr>
          <w:rFonts w:ascii="Arial"/>
          <w:color w:val="000000"/>
          <w:sz w:val="24"/>
        </w:rPr>
        <w:t>”</w:t>
      </w:r>
      <w:r>
        <w:rPr>
          <w:rFonts w:ascii="Arial"/>
          <w:color w:val="000000"/>
          <w:sz w:val="24"/>
        </w:rPr>
        <w:t xml:space="preserve">, as to which see </w:t>
      </w:r>
      <w:r>
        <w:rPr>
          <w:rFonts w:ascii="Arial"/>
          <w:i/>
          <w:color w:val="000000"/>
          <w:sz w:val="24"/>
        </w:rPr>
        <w:t>Orr v Cobar Management</w:t>
      </w:r>
      <w:r>
        <w:rPr>
          <w:rFonts w:ascii="Arial"/>
          <w:i/>
          <w:color w:val="000000"/>
          <w:sz w:val="24"/>
        </w:rPr>
        <w:t xml:space="preserve"> Pty Ltd </w:t>
      </w:r>
      <w:r>
        <w:rPr>
          <w:rFonts w:ascii="Arial"/>
          <w:color w:val="000000"/>
          <w:sz w:val="24"/>
        </w:rPr>
        <w:t>(2020) 103 NSWLR 36; [2020] NSWCCA 220</w:t>
      </w:r>
      <w:r>
        <w:rPr>
          <w:rFonts w:ascii="Arial"/>
          <w:i/>
          <w:color w:val="000000"/>
          <w:sz w:val="24"/>
        </w:rPr>
        <w:t xml:space="preserve"> </w:t>
      </w:r>
      <w:r>
        <w:rPr>
          <w:rFonts w:ascii="Arial"/>
          <w:color w:val="000000"/>
          <w:sz w:val="24"/>
        </w:rPr>
        <w:t xml:space="preserve">at [31]ff per Bathurst CJ and Bell P). Similarly, ss 39 and 40 of the </w:t>
      </w:r>
      <w:r>
        <w:rPr>
          <w:rFonts w:ascii="Arial"/>
          <w:i/>
          <w:color w:val="000000"/>
          <w:sz w:val="24"/>
        </w:rPr>
        <w:t xml:space="preserve">Local Court Act 2007 </w:t>
      </w:r>
      <w:r>
        <w:rPr>
          <w:rFonts w:ascii="Arial"/>
          <w:color w:val="000000"/>
          <w:sz w:val="24"/>
        </w:rPr>
        <w:t xml:space="preserve">(NSW) draw a distinction between an appeal </w:t>
      </w:r>
      <w:r>
        <w:rPr>
          <w:rFonts w:ascii="Arial"/>
          <w:color w:val="000000"/>
          <w:sz w:val="24"/>
        </w:rPr>
        <w:t xml:space="preserve">as of right </w:t>
      </w:r>
      <w:r>
        <w:rPr>
          <w:rFonts w:ascii="Arial"/>
          <w:color w:val="000000"/>
          <w:sz w:val="24"/>
        </w:rPr>
        <w:t xml:space="preserve">from the Local Court to the Supreme Court </w:t>
      </w:r>
      <w:r>
        <w:rPr>
          <w:rFonts w:ascii="Arial"/>
          <w:color w:val="000000"/>
          <w:sz w:val="24"/>
        </w:rPr>
        <w:t>“</w:t>
      </w:r>
      <w:r>
        <w:rPr>
          <w:rFonts w:ascii="Arial"/>
          <w:color w:val="000000"/>
          <w:sz w:val="24"/>
        </w:rPr>
        <w:t>but only on a question of law</w:t>
      </w:r>
      <w:r>
        <w:rPr>
          <w:rFonts w:ascii="Arial"/>
          <w:color w:val="000000"/>
          <w:sz w:val="24"/>
        </w:rPr>
        <w:t xml:space="preserve">” </w:t>
      </w:r>
      <w:r>
        <w:rPr>
          <w:rFonts w:ascii="Arial"/>
          <w:color w:val="000000"/>
          <w:sz w:val="24"/>
        </w:rPr>
        <w:t>as opposed to an appeal</w:t>
      </w:r>
      <w:r>
        <w:rPr>
          <w:rFonts w:ascii="Arial"/>
          <w:color w:val="000000"/>
          <w:sz w:val="24"/>
        </w:rPr>
        <w:t xml:space="preserve"> </w:t>
      </w:r>
      <w:r>
        <w:rPr>
          <w:rFonts w:ascii="Arial"/>
          <w:color w:val="000000"/>
          <w:sz w:val="24"/>
        </w:rPr>
        <w:t xml:space="preserve">on </w:t>
      </w:r>
      <w:r>
        <w:rPr>
          <w:rFonts w:ascii="Arial"/>
          <w:color w:val="000000"/>
          <w:sz w:val="24"/>
        </w:rPr>
        <w:t>“</w:t>
      </w:r>
      <w:r>
        <w:rPr>
          <w:rFonts w:ascii="Arial"/>
          <w:color w:val="000000"/>
          <w:sz w:val="24"/>
        </w:rPr>
        <w:t>a ground that involves a question of mixed fact and law</w:t>
      </w:r>
      <w:r>
        <w:rPr>
          <w:rFonts w:ascii="Arial"/>
          <w:color w:val="000000"/>
          <w:sz w:val="24"/>
        </w:rPr>
        <w:t>”</w:t>
      </w:r>
      <w:r>
        <w:rPr>
          <w:rFonts w:ascii="Arial"/>
          <w:color w:val="000000"/>
          <w:sz w:val="24"/>
        </w:rPr>
        <w:t xml:space="preserve">, for which leave is required (see </w:t>
      </w:r>
      <w:r>
        <w:rPr>
          <w:rFonts w:ascii="Arial"/>
          <w:i/>
          <w:color w:val="000000"/>
          <w:sz w:val="24"/>
        </w:rPr>
        <w:t xml:space="preserve">Crawford v Demertjis &amp; Ruhs Pty Ltd </w:t>
      </w:r>
      <w:r>
        <w:rPr>
          <w:rFonts w:ascii="Arial"/>
          <w:color w:val="000000"/>
          <w:sz w:val="24"/>
        </w:rPr>
        <w:t xml:space="preserve">[2024] NSWSC 48 at [17]-[23] per Adamson JA and the authorities referred to therein). </w:t>
      </w:r>
    </w:p>
    <w:p>
      <w:pPr>
        <w:pStyle w:val="CaselawNumbered10"/>
        <w:numPr>
          <w:ilvl w:val="0"/>
          <w:numId w:val="35"/>
        </w:numPr>
        <w:spacing w:before="150" w:after="0"/>
        <w:ind w:left="600" w:hanging="600"/>
      </w:pPr>
      <w:r>
        <w:rPr>
          <w:rFonts w:ascii="Arial"/>
          <w:color w:val="000000"/>
          <w:sz w:val="24"/>
        </w:rPr>
        <w:t xml:space="preserve">Unlike </w:t>
      </w:r>
      <w:r>
        <w:rPr>
          <w:rFonts w:ascii="Arial"/>
          <w:color w:val="000000"/>
          <w:sz w:val="24"/>
        </w:rPr>
        <w:t>an appeal</w:t>
      </w:r>
      <w:r>
        <w:rPr>
          <w:rFonts w:ascii="Arial"/>
          <w:color w:val="000000"/>
          <w:sz w:val="24"/>
        </w:rPr>
        <w:t xml:space="preserve"> </w:t>
      </w:r>
      <w:r>
        <w:rPr>
          <w:rFonts w:ascii="Arial"/>
          <w:color w:val="000000"/>
          <w:sz w:val="24"/>
        </w:rPr>
        <w:t>“</w:t>
      </w:r>
      <w:r>
        <w:rPr>
          <w:rFonts w:ascii="Arial"/>
          <w:color w:val="000000"/>
          <w:sz w:val="24"/>
        </w:rPr>
        <w:t>on a question of law</w:t>
      </w:r>
      <w:r>
        <w:rPr>
          <w:rFonts w:ascii="Arial"/>
          <w:color w:val="000000"/>
          <w:sz w:val="24"/>
        </w:rPr>
        <w:t>”</w:t>
      </w:r>
      <w:r>
        <w:rPr>
          <w:rFonts w:ascii="Arial"/>
          <w:color w:val="000000"/>
          <w:sz w:val="24"/>
        </w:rPr>
        <w:t xml:space="preserve">, it is not enough </w:t>
      </w:r>
      <w:r>
        <w:rPr>
          <w:rFonts w:ascii="Arial"/>
          <w:color w:val="000000"/>
          <w:sz w:val="24"/>
        </w:rPr>
        <w:t xml:space="preserve">for the purpose of s 57 </w:t>
      </w:r>
      <w:r>
        <w:rPr>
          <w:rFonts w:ascii="Arial"/>
          <w:color w:val="000000"/>
          <w:sz w:val="24"/>
        </w:rPr>
        <w:t>to show error of law at large. Rather, appeals under s 57(1) are predicated on the existence of an order or a decision on a question of law. This necessarily requires close attention to be paid to the primary judge</w:t>
      </w:r>
      <w:r>
        <w:rPr>
          <w:rFonts w:ascii="Arial"/>
          <w:color w:val="000000"/>
          <w:sz w:val="24"/>
        </w:rPr>
        <w:t>’</w:t>
      </w:r>
      <w:r>
        <w:rPr>
          <w:rFonts w:ascii="Arial"/>
          <w:color w:val="000000"/>
          <w:sz w:val="24"/>
        </w:rPr>
        <w:t xml:space="preserve">s reasoning in support of the impugned order or decision. </w:t>
      </w:r>
    </w:p>
    <w:p>
      <w:pPr>
        <w:pStyle w:val="CaselawNumbered10"/>
        <w:numPr>
          <w:ilvl w:val="0"/>
          <w:numId w:val="35"/>
        </w:numPr>
        <w:spacing w:before="150" w:after="0"/>
        <w:ind w:left="600" w:hanging="600"/>
      </w:pPr>
      <w:r>
        <w:rPr>
          <w:rFonts w:ascii="Arial"/>
          <w:color w:val="000000"/>
          <w:sz w:val="24"/>
        </w:rPr>
        <w:t xml:space="preserve">However, the </w:t>
      </w:r>
      <w:r>
        <w:rPr>
          <w:rFonts w:ascii="Arial"/>
          <w:color w:val="000000"/>
          <w:sz w:val="24"/>
        </w:rPr>
        <w:t>“</w:t>
      </w:r>
      <w:r>
        <w:rPr>
          <w:rFonts w:ascii="Arial"/>
          <w:color w:val="000000"/>
          <w:sz w:val="24"/>
        </w:rPr>
        <w:t>decision</w:t>
      </w:r>
      <w:r>
        <w:rPr>
          <w:rFonts w:ascii="Arial"/>
          <w:color w:val="000000"/>
          <w:sz w:val="24"/>
        </w:rPr>
        <w:t xml:space="preserve">” </w:t>
      </w:r>
      <w:r>
        <w:rPr>
          <w:rFonts w:ascii="Arial"/>
          <w:color w:val="000000"/>
          <w:sz w:val="24"/>
        </w:rPr>
        <w:t xml:space="preserve">does not have to be explicit, as held by the High Court in </w:t>
      </w:r>
      <w:r>
        <w:rPr>
          <w:rFonts w:ascii="Arial"/>
          <w:b/>
          <w:i/>
          <w:color w:val="000000"/>
          <w:sz w:val="24"/>
        </w:rPr>
        <w:t>Kostas</w:t>
      </w:r>
      <w:r>
        <w:rPr>
          <w:rFonts w:ascii="Arial"/>
          <w:i/>
          <w:color w:val="000000"/>
          <w:sz w:val="24"/>
        </w:rPr>
        <w:t xml:space="preserve"> v HIA Insurance Services Pty </w:t>
      </w:r>
      <w:r>
        <w:rPr>
          <w:rFonts w:ascii="Arial"/>
          <w:i/>
          <w:color w:val="000000"/>
          <w:sz w:val="24"/>
        </w:rPr>
        <w:t>Ltd t/as Home Owners Warranty</w:t>
      </w:r>
      <w:r>
        <w:rPr>
          <w:rFonts w:ascii="Arial"/>
          <w:color w:val="000000"/>
          <w:sz w:val="24"/>
        </w:rPr>
        <w:t xml:space="preserve"> </w:t>
      </w:r>
      <w:r>
        <w:rPr>
          <w:rFonts w:ascii="Arial"/>
          <w:color w:val="000000"/>
          <w:sz w:val="24"/>
        </w:rPr>
        <w:t xml:space="preserve">(2010) 241 CLR 390; </w:t>
      </w:r>
      <w:r>
        <w:rPr>
          <w:rFonts w:ascii="Arial"/>
          <w:color w:val="000000"/>
          <w:sz w:val="24"/>
        </w:rPr>
        <w:t>[2010] HCA 32</w:t>
      </w:r>
      <w:r>
        <w:rPr>
          <w:rFonts w:ascii="Arial"/>
          <w:color w:val="000000"/>
          <w:sz w:val="24"/>
        </w:rPr>
        <w:t xml:space="preserve">. An appeal was available if a decision on a question of law was </w:t>
      </w:r>
      <w:r>
        <w:rPr>
          <w:rFonts w:ascii="Arial"/>
          <w:color w:val="000000"/>
          <w:sz w:val="24"/>
        </w:rPr>
        <w:t>“</w:t>
      </w:r>
      <w:r>
        <w:rPr>
          <w:rFonts w:ascii="Arial"/>
          <w:color w:val="000000"/>
          <w:sz w:val="24"/>
        </w:rPr>
        <w:t>necessarily implicit</w:t>
      </w:r>
      <w:r>
        <w:rPr>
          <w:rFonts w:ascii="Arial"/>
          <w:color w:val="000000"/>
          <w:sz w:val="24"/>
        </w:rPr>
        <w:t xml:space="preserve">” </w:t>
      </w:r>
      <w:r>
        <w:rPr>
          <w:rFonts w:ascii="Arial"/>
          <w:color w:val="000000"/>
          <w:sz w:val="24"/>
        </w:rPr>
        <w:t xml:space="preserve">in making the finding that was made </w:t>
      </w:r>
      <w:r>
        <w:rPr>
          <w:rFonts w:ascii="Arial"/>
          <w:color w:val="000000"/>
          <w:sz w:val="24"/>
        </w:rPr>
        <w:t>(</w:t>
      </w:r>
      <w:r>
        <w:rPr>
          <w:rFonts w:ascii="Arial"/>
          <w:color w:val="000000"/>
          <w:sz w:val="24"/>
        </w:rPr>
        <w:t xml:space="preserve">at [69] per </w:t>
      </w:r>
      <w:r>
        <w:rPr>
          <w:rFonts w:ascii="Arial"/>
          <w:color w:val="000000"/>
          <w:sz w:val="24"/>
        </w:rPr>
        <w:t>Hayne, Heydon, Crennan and Kiefel JJ</w:t>
      </w:r>
      <w:r>
        <w:rPr>
          <w:rFonts w:ascii="Arial"/>
          <w:color w:val="000000"/>
          <w:sz w:val="24"/>
        </w:rPr>
        <w:t>)</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To similar effect, French </w:t>
      </w:r>
      <w:r>
        <w:rPr>
          <w:rFonts w:ascii="Arial"/>
          <w:color w:val="000000"/>
          <w:sz w:val="24"/>
        </w:rPr>
        <w:t>C</w:t>
      </w:r>
      <w:r>
        <w:rPr>
          <w:rFonts w:ascii="Arial"/>
          <w:color w:val="000000"/>
          <w:sz w:val="24"/>
        </w:rPr>
        <w:t xml:space="preserve">J stated in </w:t>
      </w:r>
      <w:r>
        <w:rPr>
          <w:rFonts w:ascii="Arial"/>
          <w:i/>
          <w:color w:val="000000"/>
          <w:sz w:val="24"/>
        </w:rPr>
        <w:t xml:space="preserve">Kostas </w:t>
      </w:r>
      <w:r>
        <w:rPr>
          <w:rFonts w:ascii="Arial"/>
          <w:color w:val="000000"/>
          <w:sz w:val="24"/>
        </w:rPr>
        <w:t xml:space="preserve">at [23] that a question of law could arise in </w:t>
      </w:r>
      <w:r>
        <w:rPr>
          <w:rFonts w:ascii="Arial"/>
          <w:color w:val="000000"/>
          <w:sz w:val="24"/>
        </w:rPr>
        <w:t>“</w:t>
      </w:r>
      <w:r>
        <w:rPr>
          <w:rFonts w:ascii="Arial"/>
          <w:color w:val="000000"/>
          <w:sz w:val="24"/>
        </w:rPr>
        <w:t xml:space="preserve">decisions </w:t>
      </w:r>
      <w:r>
        <w:rPr>
          <w:rFonts w:ascii="Arial"/>
          <w:color w:val="000000"/>
          <w:sz w:val="24"/>
        </w:rPr>
        <w:t>which were necessary steps in the Tribunal's reasoning, whether or not made explicit by the Tribunal</w:t>
      </w:r>
      <w:r>
        <w:rPr>
          <w:rFonts w:ascii="Arial"/>
          <w:color w:val="000000"/>
          <w:sz w:val="24"/>
        </w:rPr>
        <w:t>”</w:t>
      </w:r>
      <w:r>
        <w:rPr>
          <w:rFonts w:ascii="Arial"/>
          <w:color w:val="000000"/>
          <w:sz w:val="24"/>
        </w:rPr>
        <w:t xml:space="preserve">. </w:t>
      </w:r>
    </w:p>
    <w:p>
      <w:pPr>
        <w:pStyle w:val="CaselawNumbered10"/>
        <w:numPr>
          <w:ilvl w:val="0"/>
          <w:numId w:val="35"/>
        </w:numPr>
        <w:spacing w:before="150" w:after="0"/>
        <w:ind w:left="600" w:hanging="600"/>
      </w:pPr>
      <w:r>
        <w:rPr>
          <w:rFonts w:ascii="Arial"/>
          <w:color w:val="000000"/>
          <w:sz w:val="24"/>
        </w:rPr>
        <w:t xml:space="preserve">A </w:t>
      </w:r>
      <w:r>
        <w:rPr>
          <w:rFonts w:ascii="Arial"/>
          <w:color w:val="000000"/>
          <w:sz w:val="24"/>
        </w:rPr>
        <w:t>“</w:t>
      </w:r>
      <w:r>
        <w:rPr>
          <w:rFonts w:ascii="Arial"/>
          <w:color w:val="000000"/>
          <w:sz w:val="24"/>
        </w:rPr>
        <w:t>decision on a question of law</w:t>
      </w:r>
      <w:r>
        <w:rPr>
          <w:rFonts w:ascii="Arial"/>
          <w:color w:val="000000"/>
          <w:sz w:val="24"/>
        </w:rPr>
        <w:t xml:space="preserve">” </w:t>
      </w:r>
      <w:r>
        <w:rPr>
          <w:rFonts w:ascii="Arial"/>
          <w:color w:val="000000"/>
          <w:sz w:val="24"/>
        </w:rPr>
        <w:t xml:space="preserve">may also be intermingled with decisions of fact and opinion. In </w:t>
      </w:r>
      <w:r>
        <w:rPr>
          <w:rFonts w:ascii="Arial"/>
          <w:b/>
          <w:i/>
          <w:color w:val="000000"/>
          <w:sz w:val="24"/>
        </w:rPr>
        <w:t>Maurici</w:t>
      </w:r>
      <w:r>
        <w:rPr>
          <w:rFonts w:ascii="Arial"/>
          <w:i/>
          <w:color w:val="000000"/>
          <w:sz w:val="24"/>
        </w:rPr>
        <w:t xml:space="preserve"> v Chief Commissioner of State Revenue </w:t>
      </w:r>
      <w:r>
        <w:rPr>
          <w:rFonts w:ascii="Arial"/>
          <w:color w:val="000000"/>
          <w:sz w:val="24"/>
        </w:rPr>
        <w:t>(2003) 212 CLR 111; [2003] HCA</w:t>
      </w:r>
      <w:r>
        <w:rPr>
          <w:rFonts w:ascii="Arial"/>
          <w:color w:val="000000"/>
          <w:sz w:val="24"/>
        </w:rPr>
        <w:t xml:space="preserve"> </w:t>
      </w:r>
      <w:r>
        <w:rPr>
          <w:rFonts w:ascii="Arial"/>
          <w:color w:val="000000"/>
          <w:sz w:val="24"/>
        </w:rPr>
        <w:t xml:space="preserve">8, a decision involving s 56A of the </w:t>
      </w:r>
      <w:r>
        <w:rPr>
          <w:rFonts w:ascii="Arial"/>
          <w:i/>
          <w:color w:val="000000"/>
          <w:sz w:val="24"/>
        </w:rPr>
        <w:t>Land and Environment Court Act</w:t>
      </w:r>
      <w:r>
        <w:rPr>
          <w:rFonts w:ascii="Arial"/>
          <w:color w:val="000000"/>
          <w:sz w:val="24"/>
        </w:rPr>
        <w:t xml:space="preserve"> </w:t>
      </w:r>
      <w:r>
        <w:rPr>
          <w:rFonts w:ascii="Arial"/>
          <w:color w:val="000000"/>
          <w:sz w:val="24"/>
        </w:rPr>
        <w:t>which allows appeals to the LEC from a Commissioner and is relevantly identical to s 57</w:t>
      </w:r>
      <w:r>
        <w:rPr>
          <w:rFonts w:ascii="Arial"/>
          <w:color w:val="000000"/>
          <w:sz w:val="24"/>
        </w:rPr>
        <w:t>,</w:t>
      </w:r>
      <w:r>
        <w:rPr>
          <w:rFonts w:ascii="Arial"/>
          <w:color w:val="000000"/>
          <w:sz w:val="24"/>
        </w:rPr>
        <w:t xml:space="preserve"> </w:t>
      </w:r>
      <w:r>
        <w:rPr>
          <w:rFonts w:ascii="Arial"/>
          <w:color w:val="000000"/>
          <w:sz w:val="24"/>
        </w:rPr>
        <w:t>McHugh, Gummow, Kirby, Hayne and Callinan JJ stated at [8] that:</w:t>
      </w:r>
    </w:p>
    <w:p>
      <w:pPr>
        <w:pStyle w:val="CaselawQuote"/>
        <w:spacing w:before="150" w:after="150"/>
        <w:ind w:left="1350"/>
        <w:jc w:val="left"/>
      </w:pPr>
      <w:r>
        <w:rPr>
          <w:rFonts w:ascii="Arial"/>
          <w:color w:val="000000"/>
          <w:sz w:val="22"/>
        </w:rPr>
        <w:t>[q]uestions</w:t>
      </w:r>
      <w:r>
        <w:rPr>
          <w:rFonts w:ascii="Arial"/>
          <w:color w:val="000000"/>
          <w:sz w:val="22"/>
        </w:rPr>
        <w:t xml:space="preserve"> of law, fact and opinion do not always readily and neatly divide themselves into discrete matters</w:t>
      </w:r>
      <w:r>
        <w:rPr>
          <w:rFonts w:ascii="Arial"/>
          <w:color w:val="000000"/>
          <w:sz w:val="22"/>
        </w:rPr>
        <w:t>…</w:t>
      </w:r>
    </w:p>
    <w:p>
      <w:pPr>
        <w:pStyle w:val="CaselawNumbered10"/>
        <w:numPr>
          <w:ilvl w:val="0"/>
          <w:numId w:val="36"/>
        </w:numPr>
        <w:spacing w:before="150" w:after="0"/>
        <w:ind w:left="600" w:hanging="600"/>
      </w:pPr>
      <w:r>
        <w:rPr>
          <w:rFonts w:ascii="Arial"/>
          <w:color w:val="000000"/>
          <w:sz w:val="24"/>
        </w:rPr>
        <w:t xml:space="preserve">In that case, a valuation decision which </w:t>
      </w:r>
      <w:r>
        <w:rPr>
          <w:rFonts w:ascii="Arial"/>
          <w:color w:val="000000"/>
          <w:sz w:val="24"/>
        </w:rPr>
        <w:t>raised a question of</w:t>
      </w:r>
      <w:r>
        <w:rPr>
          <w:rFonts w:ascii="Arial"/>
          <w:color w:val="000000"/>
          <w:sz w:val="24"/>
        </w:rPr>
        <w:t xml:space="preserve"> </w:t>
      </w:r>
      <w:r>
        <w:rPr>
          <w:rFonts w:ascii="Arial"/>
          <w:color w:val="000000"/>
          <w:sz w:val="24"/>
        </w:rPr>
        <w:t>“</w:t>
      </w:r>
      <w:r>
        <w:rPr>
          <w:rFonts w:ascii="Arial"/>
          <w:color w:val="000000"/>
          <w:sz w:val="24"/>
        </w:rPr>
        <w:t>mixed law and fact</w:t>
      </w:r>
      <w:r>
        <w:rPr>
          <w:rFonts w:ascii="Arial"/>
          <w:color w:val="000000"/>
          <w:sz w:val="24"/>
        </w:rPr>
        <w:t xml:space="preserve">” </w:t>
      </w:r>
      <w:r>
        <w:rPr>
          <w:rFonts w:ascii="Arial"/>
          <w:color w:val="000000"/>
          <w:sz w:val="24"/>
        </w:rPr>
        <w:t xml:space="preserve">was enough to enliven the appeal. </w:t>
      </w:r>
    </w:p>
    <w:p>
      <w:pPr>
        <w:pStyle w:val="CaselawNumbered10"/>
        <w:numPr>
          <w:ilvl w:val="0"/>
          <w:numId w:val="36"/>
        </w:numPr>
        <w:spacing w:before="150" w:after="0"/>
        <w:ind w:left="600" w:hanging="600"/>
      </w:pPr>
      <w:r>
        <w:rPr>
          <w:rFonts w:ascii="Arial"/>
          <w:color w:val="000000"/>
          <w:sz w:val="24"/>
        </w:rPr>
        <w:t xml:space="preserve">Applying </w:t>
      </w:r>
      <w:r>
        <w:rPr>
          <w:rFonts w:ascii="Arial"/>
          <w:i/>
          <w:color w:val="000000"/>
          <w:sz w:val="24"/>
        </w:rPr>
        <w:t xml:space="preserve">Kostas </w:t>
      </w:r>
      <w:r>
        <w:rPr>
          <w:rFonts w:ascii="Arial"/>
          <w:color w:val="000000"/>
          <w:sz w:val="24"/>
        </w:rPr>
        <w:t xml:space="preserve">and </w:t>
      </w:r>
      <w:r>
        <w:rPr>
          <w:rFonts w:ascii="Arial"/>
          <w:i/>
          <w:color w:val="000000"/>
          <w:sz w:val="24"/>
        </w:rPr>
        <w:t>Mauric</w:t>
      </w:r>
      <w:r>
        <w:rPr>
          <w:rFonts w:ascii="Arial"/>
          <w:i/>
          <w:color w:val="000000"/>
          <w:sz w:val="24"/>
        </w:rPr>
        <w:t>i</w:t>
      </w:r>
      <w:r>
        <w:rPr>
          <w:rFonts w:ascii="Arial"/>
          <w:color w:val="000000"/>
          <w:sz w:val="24"/>
        </w:rPr>
        <w:t>, it may be possible to work backwards from whatever error is said to affect the primary judge</w:t>
      </w:r>
      <w:r>
        <w:rPr>
          <w:rFonts w:ascii="Arial"/>
          <w:color w:val="000000"/>
          <w:sz w:val="24"/>
        </w:rPr>
        <w:t>’</w:t>
      </w:r>
      <w:r>
        <w:rPr>
          <w:rFonts w:ascii="Arial"/>
          <w:color w:val="000000"/>
          <w:sz w:val="24"/>
        </w:rPr>
        <w:t>s reasoning, and from there determine what kind of decision, implicit or otherwise, that error affected. Allsop P recognised as much in</w:t>
      </w:r>
      <w:r>
        <w:rPr>
          <w:rFonts w:ascii="Arial"/>
          <w:i/>
          <w:color w:val="000000"/>
          <w:sz w:val="24"/>
        </w:rPr>
        <w:t xml:space="preserve"> Edyp v Brazbuild Pty Ltd </w:t>
      </w:r>
      <w:r>
        <w:rPr>
          <w:rFonts w:ascii="Arial"/>
          <w:color w:val="000000"/>
          <w:sz w:val="24"/>
        </w:rPr>
        <w:t>[2011] NSWCA 218</w:t>
      </w:r>
      <w:r>
        <w:rPr>
          <w:rFonts w:ascii="Arial"/>
          <w:color w:val="000000"/>
          <w:sz w:val="24"/>
        </w:rPr>
        <w:t xml:space="preserve"> </w:t>
      </w:r>
      <w:r>
        <w:rPr>
          <w:rFonts w:ascii="Arial"/>
          <w:color w:val="000000"/>
          <w:sz w:val="24"/>
        </w:rPr>
        <w:t>at [57] (emphasis added):</w:t>
      </w:r>
    </w:p>
    <w:p>
      <w:pPr>
        <w:pStyle w:val="CaselawQuote"/>
        <w:spacing w:before="150" w:after="150"/>
        <w:ind w:left="1350"/>
        <w:jc w:val="left"/>
      </w:pPr>
      <w:r>
        <w:rPr>
          <w:rFonts w:ascii="Arial"/>
          <w:color w:val="000000"/>
          <w:sz w:val="22"/>
        </w:rPr>
        <w:t xml:space="preserve">Whether or not a decision on a question with respect to a matter of law exists will generally be discerned from the nature of the asserted error giving rise to the plaintiff’s dissatisfaction. From the error, the question and decision will be identifiable. </w:t>
      </w:r>
      <w:r>
        <w:rPr>
          <w:rFonts w:ascii="Arial"/>
          <w:b/>
          <w:color w:val="000000"/>
          <w:sz w:val="22"/>
        </w:rPr>
        <w:t xml:space="preserve">Each of the question and decision may be express (or implied in the way described by the High Court in </w:t>
      </w:r>
      <w:r>
        <w:rPr>
          <w:rFonts w:ascii="Arial"/>
          <w:b/>
          <w:i/>
          <w:color w:val="000000"/>
          <w:sz w:val="22"/>
        </w:rPr>
        <w:t>Kostas</w:t>
      </w:r>
      <w:r>
        <w:rPr>
          <w:rFonts w:ascii="Arial"/>
          <w:b/>
          <w:color w:val="000000"/>
          <w:sz w:val="22"/>
        </w:rPr>
        <w:t>)</w:t>
      </w:r>
      <w:r>
        <w:rPr>
          <w:rFonts w:ascii="Arial"/>
          <w:color w:val="000000"/>
          <w:sz w:val="22"/>
        </w:rPr>
        <w:t>…</w:t>
      </w:r>
    </w:p>
    <w:p>
      <w:pPr>
        <w:pStyle w:val="CaselawNumbered10"/>
        <w:numPr>
          <w:ilvl w:val="0"/>
          <w:numId w:val="37"/>
        </w:numPr>
        <w:spacing w:before="150" w:after="0"/>
        <w:ind w:left="600" w:hanging="600"/>
      </w:pPr>
      <w:r>
        <w:rPr>
          <w:rFonts w:ascii="Arial"/>
          <w:color w:val="000000"/>
          <w:sz w:val="24"/>
        </w:rPr>
        <w:t xml:space="preserve">Given the significance of the wording of the conferral of jurisdiction </w:t>
      </w:r>
      <w:r>
        <w:rPr>
          <w:rFonts w:ascii="Arial"/>
          <w:color w:val="000000"/>
          <w:sz w:val="24"/>
        </w:rPr>
        <w:t>by</w:t>
      </w:r>
      <w:r>
        <w:rPr>
          <w:rFonts w:ascii="Arial"/>
          <w:color w:val="000000"/>
          <w:sz w:val="24"/>
        </w:rPr>
        <w:t xml:space="preserve"> </w:t>
      </w:r>
      <w:r>
        <w:rPr>
          <w:rFonts w:ascii="Arial"/>
          <w:color w:val="000000"/>
          <w:sz w:val="24"/>
        </w:rPr>
        <w:t xml:space="preserve">s 57 of the </w:t>
      </w:r>
      <w:r>
        <w:rPr>
          <w:rFonts w:ascii="Arial"/>
          <w:i/>
          <w:color w:val="000000"/>
          <w:sz w:val="24"/>
        </w:rPr>
        <w:t xml:space="preserve">Land and Environment Court Act, </w:t>
      </w:r>
      <w:r>
        <w:rPr>
          <w:rFonts w:ascii="Arial"/>
          <w:color w:val="000000"/>
          <w:sz w:val="24"/>
        </w:rPr>
        <w:t>it is</w:t>
      </w:r>
      <w:r>
        <w:rPr>
          <w:rFonts w:ascii="Arial"/>
          <w:color w:val="000000"/>
          <w:sz w:val="24"/>
        </w:rPr>
        <w:t xml:space="preserve"> </w:t>
      </w:r>
      <w:r>
        <w:rPr>
          <w:rFonts w:ascii="Arial"/>
          <w:color w:val="000000"/>
          <w:sz w:val="24"/>
        </w:rPr>
        <w:t xml:space="preserve">critical that an appellant clearly identify the question of law which is the subject of the appeal. This was emphasised by this Court in </w:t>
      </w:r>
      <w:r>
        <w:rPr>
          <w:rFonts w:ascii="Arial"/>
          <w:i/>
          <w:color w:val="000000"/>
          <w:sz w:val="24"/>
        </w:rPr>
        <w:t xml:space="preserve">Schwartz Family Co Pty Ltd v Capitol Carpets Pty Ltd </w:t>
      </w:r>
      <w:r>
        <w:rPr>
          <w:rFonts w:ascii="Arial"/>
          <w:color w:val="000000"/>
          <w:sz w:val="24"/>
        </w:rPr>
        <w:t>[2017] NSWCA 223 at [13] per Meagher, Payne and White JJA, albeit in a different statutory context:</w:t>
      </w:r>
    </w:p>
    <w:p>
      <w:pPr>
        <w:pStyle w:val="CaselawQuote"/>
        <w:spacing w:before="150" w:after="150"/>
        <w:ind w:left="1350"/>
        <w:jc w:val="left"/>
      </w:pPr>
      <w:r>
        <w:rPr>
          <w:rFonts w:ascii="Arial"/>
          <w:color w:val="000000"/>
          <w:sz w:val="22"/>
        </w:rPr>
        <w:t>Although an appeal to the Supreme Court only lay as of right on a question of law, the respondent did not identify the questions of law that were the subject matter of the appeal, but rather asserted the magistrate erred in law in various ways. This was wrong (</w:t>
      </w:r>
      <w:r>
        <w:rPr>
          <w:rFonts w:ascii="Arial"/>
          <w:i/>
          <w:color w:val="000000"/>
          <w:sz w:val="22"/>
        </w:rPr>
        <w:t>TNT Skypak International (Aust) Pty Ltd v FCT</w:t>
      </w:r>
      <w:r>
        <w:rPr>
          <w:rFonts w:ascii="Arial"/>
          <w:color w:val="000000"/>
          <w:sz w:val="22"/>
        </w:rPr>
        <w:t> (1988) 82 ALR 175 at 178; [1988] FCA 119 ; </w:t>
      </w:r>
      <w:r>
        <w:rPr>
          <w:rFonts w:ascii="Arial"/>
          <w:i/>
          <w:color w:val="000000"/>
          <w:sz w:val="22"/>
        </w:rPr>
        <w:t>B &amp; L Linings Pty Ltd v Chief Cmr of State Revenue</w:t>
      </w:r>
      <w:r>
        <w:rPr>
          <w:rFonts w:ascii="Arial"/>
          <w:color w:val="000000"/>
          <w:sz w:val="22"/>
        </w:rPr>
        <w:t> (2008) 74 NSWLR 481; [2008] NSWCA 187 ; </w:t>
      </w:r>
      <w:r>
        <w:rPr>
          <w:rFonts w:ascii="Arial"/>
          <w:i/>
          <w:color w:val="000000"/>
          <w:sz w:val="22"/>
        </w:rPr>
        <w:t>Colby Corporation Pty Ltd v FCT</w:t>
      </w:r>
      <w:r>
        <w:rPr>
          <w:rFonts w:ascii="Arial"/>
          <w:color w:val="000000"/>
          <w:sz w:val="22"/>
        </w:rPr>
        <w:t> (2008) 165 FCR 133; [2008] FCAFC 10 at [13]; </w:t>
      </w:r>
      <w:r>
        <w:rPr>
          <w:rFonts w:ascii="Arial"/>
          <w:i/>
          <w:color w:val="000000"/>
          <w:sz w:val="22"/>
        </w:rPr>
        <w:t>Osland</w:t>
      </w:r>
      <w:r>
        <w:rPr>
          <w:rFonts w:ascii="Arial"/>
          <w:i/>
          <w:color w:val="000000"/>
          <w:sz w:val="22"/>
        </w:rPr>
        <w:t xml:space="preserve"> v Secretary, Dept of Justice (No 2)</w:t>
      </w:r>
      <w:r>
        <w:rPr>
          <w:rFonts w:ascii="Arial"/>
          <w:color w:val="000000"/>
          <w:sz w:val="22"/>
        </w:rPr>
        <w:t> (2010) 241 CLR 320; [2010] HCA 24 at [21]; </w:t>
      </w:r>
      <w:r>
        <w:rPr>
          <w:rFonts w:ascii="Arial"/>
          <w:i/>
          <w:color w:val="000000"/>
          <w:sz w:val="22"/>
        </w:rPr>
        <w:t>Hoe v Manningham City Council</w:t>
      </w:r>
      <w:r>
        <w:rPr>
          <w:rFonts w:ascii="Arial"/>
          <w:color w:val="000000"/>
          <w:sz w:val="22"/>
        </w:rPr>
        <w:t> [2011] VSC 37 at [3]–[4]; </w:t>
      </w:r>
      <w:r>
        <w:rPr>
          <w:rFonts w:ascii="Arial"/>
          <w:i/>
          <w:color w:val="000000"/>
          <w:sz w:val="22"/>
        </w:rPr>
        <w:t>Smalley v Secretary, Dept of Health and Ageing</w:t>
      </w:r>
      <w:r>
        <w:rPr>
          <w:rFonts w:ascii="Arial"/>
          <w:color w:val="000000"/>
          <w:sz w:val="22"/>
        </w:rPr>
        <w:t> [2011] FCA 302 at [10] ff); </w:t>
      </w:r>
      <w:r>
        <w:rPr>
          <w:rFonts w:ascii="Arial"/>
          <w:i/>
          <w:color w:val="000000"/>
          <w:sz w:val="22"/>
        </w:rPr>
        <w:t>Ferella</w:t>
      </w:r>
      <w:r>
        <w:rPr>
          <w:rFonts w:ascii="Arial"/>
          <w:i/>
          <w:color w:val="000000"/>
          <w:sz w:val="22"/>
        </w:rPr>
        <w:t xml:space="preserve"> v Chief Cmr of State Revenue</w:t>
      </w:r>
      <w:r>
        <w:rPr>
          <w:rFonts w:ascii="Arial"/>
          <w:color w:val="000000"/>
          <w:sz w:val="22"/>
        </w:rPr>
        <w:t> [2014] NSWCA 378 at [6], [22]) (</w:t>
      </w:r>
      <w:r>
        <w:rPr>
          <w:rFonts w:ascii="Arial"/>
          <w:i/>
          <w:color w:val="000000"/>
          <w:sz w:val="22"/>
        </w:rPr>
        <w:t>Feralla</w:t>
      </w:r>
      <w:r>
        <w:rPr>
          <w:rFonts w:ascii="Arial"/>
          <w:color w:val="000000"/>
          <w:sz w:val="22"/>
        </w:rPr>
        <w:t>)</w:t>
      </w:r>
      <w:r>
        <w:rPr>
          <w:rFonts w:ascii="Arial"/>
          <w:color w:val="000000"/>
          <w:sz w:val="22"/>
        </w:rPr>
        <w:t xml:space="preserve"> [sic]</w:t>
      </w:r>
      <w:r>
        <w:rPr>
          <w:rFonts w:ascii="Arial"/>
          <w:color w:val="000000"/>
          <w:sz w:val="22"/>
        </w:rPr>
        <w:t>. As Leeming JA said in </w:t>
      </w:r>
      <w:r>
        <w:rPr>
          <w:rFonts w:ascii="Arial"/>
          <w:i/>
          <w:color w:val="000000"/>
          <w:sz w:val="22"/>
        </w:rPr>
        <w:t>Ferella</w:t>
      </w:r>
      <w:r>
        <w:rPr>
          <w:rFonts w:ascii="Arial"/>
          <w:color w:val="000000"/>
          <w:sz w:val="22"/>
        </w:rPr>
        <w:t xml:space="preserve"> at [6]: </w:t>
      </w:r>
    </w:p>
    <w:p>
      <w:pPr>
        <w:pStyle w:val="CaselawQuote"/>
        <w:spacing w:before="150" w:after="150"/>
        <w:ind w:left="1350"/>
        <w:jc w:val="left"/>
      </w:pPr>
      <w:r>
        <w:rPr>
          <w:rFonts w:ascii="Arial"/>
          <w:color w:val="000000"/>
          <w:sz w:val="22"/>
        </w:rPr>
        <w:t xml:space="preserve">Obviously, it is not possible, merely by the device of asking whether the Tribunal erred in law in doing something or failing to do something, to circumvent the statutory limitation on the scope of the appeal. </w:t>
      </w:r>
    </w:p>
    <w:p>
      <w:pPr>
        <w:pStyle w:val="CaselawNumbered10"/>
        <w:numPr>
          <w:ilvl w:val="0"/>
          <w:numId w:val="38"/>
        </w:numPr>
        <w:spacing w:before="150" w:after="0"/>
        <w:ind w:left="600" w:hanging="600"/>
      </w:pPr>
      <w:r>
        <w:rPr>
          <w:rFonts w:ascii="Arial"/>
          <w:color w:val="000000"/>
          <w:sz w:val="24"/>
        </w:rPr>
        <w:t xml:space="preserve">It is also well settled that in an appeal under s 57, an appellant must establish not only an error of law, but also demonstrate that the error is material and vitiates the decision (see </w:t>
      </w:r>
      <w:r>
        <w:rPr>
          <w:rFonts w:ascii="Arial"/>
          <w:i/>
          <w:color w:val="000000"/>
          <w:sz w:val="24"/>
        </w:rPr>
        <w:t xml:space="preserve">Roads and Traffic Authority of </w:t>
      </w:r>
      <w:r>
        <w:rPr>
          <w:rFonts w:ascii="Arial"/>
          <w:i/>
          <w:color w:val="000000"/>
          <w:sz w:val="24"/>
        </w:rPr>
        <w:t>New South Wales</w:t>
      </w:r>
      <w:r>
        <w:rPr>
          <w:rFonts w:ascii="Arial"/>
          <w:i/>
          <w:color w:val="000000"/>
          <w:sz w:val="24"/>
        </w:rPr>
        <w:t xml:space="preserve"> v </w:t>
      </w:r>
      <w:r>
        <w:rPr>
          <w:rFonts w:ascii="Arial"/>
          <w:b/>
          <w:i/>
          <w:color w:val="000000"/>
          <w:sz w:val="24"/>
        </w:rPr>
        <w:t>Mosca</w:t>
      </w:r>
      <w:r>
        <w:rPr>
          <w:rFonts w:ascii="Arial"/>
          <w:i/>
          <w:color w:val="000000"/>
          <w:sz w:val="24"/>
        </w:rPr>
        <w:t xml:space="preserve"> </w:t>
      </w:r>
      <w:r>
        <w:rPr>
          <w:rFonts w:ascii="Arial"/>
          <w:color w:val="000000"/>
          <w:sz w:val="24"/>
        </w:rPr>
        <w:t>[2006] NSWCA 159</w:t>
      </w:r>
      <w:r>
        <w:rPr>
          <w:rFonts w:ascii="Arial"/>
          <w:color w:val="000000"/>
          <w:sz w:val="24"/>
        </w:rPr>
        <w:t>; (2006) 146 LGERA 335</w:t>
      </w:r>
      <w:r>
        <w:rPr>
          <w:rFonts w:ascii="Arial"/>
          <w:color w:val="000000"/>
          <w:sz w:val="24"/>
        </w:rPr>
        <w:t xml:space="preserve"> </w:t>
      </w:r>
      <w:r>
        <w:rPr>
          <w:rFonts w:ascii="Arial"/>
          <w:color w:val="000000"/>
          <w:sz w:val="24"/>
        </w:rPr>
        <w:t>at [22] per Handley JA, Mason P and Bryson JA agree</w:t>
      </w:r>
      <w:r>
        <w:rPr>
          <w:rFonts w:ascii="Arial"/>
          <w:color w:val="000000"/>
          <w:sz w:val="24"/>
        </w:rPr>
        <w:t>ing</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Whether or not there is an appeal against an order or decision of the LEC on a question of law for the purposes of s 57 should be approached as a matter of substance and not merely form. As the Full Court of the Federal Court said in </w:t>
      </w:r>
      <w:r>
        <w:rPr>
          <w:rFonts w:ascii="Arial"/>
          <w:i/>
          <w:color w:val="000000"/>
          <w:sz w:val="24"/>
        </w:rPr>
        <w:t>Haritos</w:t>
      </w:r>
      <w:r>
        <w:rPr>
          <w:rFonts w:ascii="Arial"/>
          <w:i/>
          <w:color w:val="000000"/>
          <w:sz w:val="24"/>
        </w:rPr>
        <w:t xml:space="preserve"> v Commissioner of Taxation </w:t>
      </w:r>
      <w:r>
        <w:rPr>
          <w:rFonts w:ascii="Arial"/>
          <w:color w:val="000000"/>
          <w:sz w:val="24"/>
        </w:rPr>
        <w:t>(2015) 233 FCR 315; [2015] FCAFC 92</w:t>
      </w:r>
      <w:r>
        <w:rPr>
          <w:rFonts w:ascii="Arial"/>
          <w:i/>
          <w:color w:val="000000"/>
          <w:sz w:val="24"/>
        </w:rPr>
        <w:t xml:space="preserve"> </w:t>
      </w:r>
      <w:r>
        <w:rPr>
          <w:rFonts w:ascii="Arial"/>
          <w:color w:val="000000"/>
          <w:sz w:val="24"/>
        </w:rPr>
        <w:t>at [107] (albeit in a different statutory context) if, as a matter of substance, there exists a question of law, the Court has a procedural discretion</w:t>
      </w:r>
      <w:r>
        <w:rPr>
          <w:rFonts w:ascii="Arial"/>
          <w:color w:val="000000"/>
          <w:sz w:val="24"/>
        </w:rPr>
        <w:t>,</w:t>
      </w:r>
      <w:r>
        <w:rPr>
          <w:rFonts w:ascii="Arial"/>
          <w:color w:val="000000"/>
          <w:sz w:val="24"/>
        </w:rPr>
        <w:t xml:space="preserve"> </w:t>
      </w:r>
      <w:r>
        <w:rPr>
          <w:rFonts w:ascii="Arial"/>
          <w:color w:val="000000"/>
          <w:sz w:val="24"/>
        </w:rPr>
        <w:t>to be exercised judicially and where it is in the interests to do so</w:t>
      </w:r>
      <w:r>
        <w:rPr>
          <w:rFonts w:ascii="Arial"/>
          <w:color w:val="000000"/>
          <w:sz w:val="24"/>
        </w:rPr>
        <w:t>,</w:t>
      </w:r>
      <w:r>
        <w:rPr>
          <w:rFonts w:ascii="Arial"/>
          <w:color w:val="000000"/>
          <w:sz w:val="24"/>
        </w:rPr>
        <w:t xml:space="preserve"> </w:t>
      </w:r>
      <w:r>
        <w:rPr>
          <w:rFonts w:ascii="Arial"/>
          <w:color w:val="000000"/>
          <w:sz w:val="24"/>
        </w:rPr>
        <w:t xml:space="preserve">to </w:t>
      </w:r>
      <w:r>
        <w:rPr>
          <w:rFonts w:ascii="Arial"/>
          <w:color w:val="000000"/>
          <w:sz w:val="24"/>
        </w:rPr>
        <w:t>direct</w:t>
      </w:r>
      <w:r>
        <w:rPr>
          <w:rFonts w:ascii="Arial"/>
          <w:color w:val="000000"/>
          <w:sz w:val="24"/>
        </w:rPr>
        <w:t xml:space="preserve"> </w:t>
      </w:r>
      <w:r>
        <w:rPr>
          <w:rFonts w:ascii="Arial"/>
          <w:color w:val="000000"/>
          <w:sz w:val="24"/>
        </w:rPr>
        <w:t>its formal notification in an amended notice of appeal</w:t>
      </w:r>
      <w:r>
        <w:rPr>
          <w:rFonts w:ascii="Arial"/>
          <w:color w:val="000000"/>
          <w:sz w:val="24"/>
        </w:rPr>
        <w:t xml:space="preserve"> </w:t>
      </w:r>
      <w:r>
        <w:rPr>
          <w:rFonts w:ascii="Arial"/>
          <w:color w:val="000000"/>
          <w:sz w:val="24"/>
        </w:rPr>
        <w:t xml:space="preserve">even where the question of law has not been identified before the primary judge. This approach appears broadly consistent with that of the Court of Criminal Appeal in </w:t>
      </w:r>
      <w:r>
        <w:rPr>
          <w:rFonts w:ascii="Arial"/>
          <w:i/>
          <w:color w:val="000000"/>
          <w:sz w:val="24"/>
        </w:rPr>
        <w:t>R</w:t>
      </w:r>
      <w:r>
        <w:rPr>
          <w:rFonts w:ascii="Arial"/>
          <w:i/>
          <w:color w:val="000000"/>
          <w:sz w:val="24"/>
        </w:rPr>
        <w:t xml:space="preserve"> v JS</w:t>
      </w:r>
      <w:r>
        <w:rPr>
          <w:rFonts w:ascii="Arial"/>
          <w:i/>
          <w:color w:val="000000"/>
          <w:sz w:val="24"/>
        </w:rPr>
        <w:t xml:space="preserve"> </w:t>
      </w:r>
      <w:r>
        <w:rPr>
          <w:rFonts w:ascii="Arial"/>
          <w:color w:val="000000"/>
          <w:sz w:val="24"/>
        </w:rPr>
        <w:t xml:space="preserve">[2007] </w:t>
      </w:r>
      <w:r>
        <w:rPr>
          <w:rFonts w:ascii="Arial"/>
          <w:color w:val="000000"/>
          <w:sz w:val="24"/>
        </w:rPr>
        <w:t>NSWCCA 272; (2007) 175</w:t>
      </w:r>
      <w:r>
        <w:rPr>
          <w:rFonts w:ascii="Arial"/>
          <w:color w:val="000000"/>
          <w:sz w:val="24"/>
        </w:rPr>
        <w:t xml:space="preserve"> </w:t>
      </w:r>
      <w:r>
        <w:rPr>
          <w:rFonts w:ascii="Arial"/>
          <w:color w:val="000000"/>
          <w:sz w:val="24"/>
        </w:rPr>
        <w:t>A Crim R 108 at [57]-[69] per Spigelman CJ, Mason P, McLelland CJ at CL, Hidden and Howie JJ agree</w:t>
      </w:r>
      <w:r>
        <w:rPr>
          <w:rFonts w:ascii="Arial"/>
          <w:color w:val="000000"/>
          <w:sz w:val="24"/>
        </w:rPr>
        <w:t>ing</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Similarly, where an appellant is unrepresented </w:t>
      </w:r>
      <w:r>
        <w:rPr>
          <w:rFonts w:ascii="Arial"/>
          <w:color w:val="000000"/>
          <w:sz w:val="24"/>
        </w:rPr>
        <w:t>(</w:t>
      </w:r>
      <w:r>
        <w:rPr>
          <w:rFonts w:ascii="Arial"/>
          <w:color w:val="000000"/>
          <w:sz w:val="24"/>
        </w:rPr>
        <w:t>as is the case here</w:t>
      </w:r>
      <w:r>
        <w:rPr>
          <w:rFonts w:ascii="Arial"/>
          <w:color w:val="000000"/>
          <w:sz w:val="24"/>
        </w:rPr>
        <w:t>)</w:t>
      </w:r>
      <w:r>
        <w:rPr>
          <w:rFonts w:ascii="Arial"/>
          <w:color w:val="000000"/>
          <w:sz w:val="24"/>
        </w:rPr>
        <w:t xml:space="preserve">, it may be appropriate to adopt a more generous or benevolent approach in assessing whether </w:t>
      </w:r>
      <w:r>
        <w:rPr>
          <w:rFonts w:ascii="Arial"/>
          <w:color w:val="000000"/>
          <w:sz w:val="24"/>
        </w:rPr>
        <w:t>a</w:t>
      </w:r>
      <w:r>
        <w:rPr>
          <w:rFonts w:ascii="Arial"/>
          <w:color w:val="000000"/>
          <w:sz w:val="24"/>
        </w:rPr>
        <w:t xml:space="preserve"> </w:t>
      </w:r>
      <w:r>
        <w:rPr>
          <w:rFonts w:ascii="Arial"/>
          <w:color w:val="000000"/>
          <w:sz w:val="24"/>
        </w:rPr>
        <w:t xml:space="preserve">notice of appeal </w:t>
      </w:r>
      <w:r>
        <w:rPr>
          <w:rFonts w:ascii="Arial"/>
          <w:color w:val="000000"/>
          <w:sz w:val="24"/>
        </w:rPr>
        <w:t xml:space="preserve">adequately </w:t>
      </w:r>
      <w:r>
        <w:rPr>
          <w:rFonts w:ascii="Arial"/>
          <w:color w:val="000000"/>
          <w:sz w:val="24"/>
        </w:rPr>
        <w:t>identifies a question of law (see</w:t>
      </w:r>
      <w:r>
        <w:rPr>
          <w:rFonts w:ascii="Arial"/>
          <w:color w:val="000000"/>
          <w:sz w:val="24"/>
        </w:rPr>
        <w:t>,</w:t>
      </w:r>
      <w:r>
        <w:rPr>
          <w:rFonts w:ascii="Arial"/>
          <w:color w:val="000000"/>
          <w:sz w:val="24"/>
        </w:rPr>
        <w:t xml:space="preserve"> </w:t>
      </w:r>
      <w:r>
        <w:rPr>
          <w:rFonts w:ascii="Arial"/>
          <w:color w:val="000000"/>
          <w:sz w:val="24"/>
        </w:rPr>
        <w:t xml:space="preserve">e.g., </w:t>
      </w:r>
      <w:r>
        <w:rPr>
          <w:rFonts w:ascii="Arial"/>
          <w:i/>
          <w:color w:val="000000"/>
          <w:sz w:val="24"/>
        </w:rPr>
        <w:t>Avetmiss Easy Pty Ltd</w:t>
      </w:r>
      <w:r>
        <w:rPr>
          <w:rFonts w:ascii="Arial"/>
          <w:i/>
          <w:color w:val="000000"/>
          <w:sz w:val="24"/>
        </w:rPr>
        <w:t xml:space="preserve"> v </w:t>
      </w:r>
      <w:r>
        <w:rPr>
          <w:rFonts w:ascii="Arial"/>
          <w:i/>
          <w:color w:val="000000"/>
          <w:sz w:val="24"/>
        </w:rPr>
        <w:t>Australian Skills Qualifications Authority</w:t>
      </w:r>
      <w:r>
        <w:rPr>
          <w:rFonts w:ascii="Arial"/>
          <w:i/>
          <w:color w:val="000000"/>
          <w:sz w:val="24"/>
        </w:rPr>
        <w:t xml:space="preserve"> </w:t>
      </w:r>
      <w:r>
        <w:rPr>
          <w:rFonts w:ascii="Arial"/>
          <w:color w:val="000000"/>
          <w:sz w:val="24"/>
        </w:rPr>
        <w:t>[</w:t>
      </w:r>
      <w:r>
        <w:rPr>
          <w:rFonts w:ascii="Arial"/>
          <w:color w:val="000000"/>
          <w:sz w:val="24"/>
        </w:rPr>
        <w:t>2014] FCA 314 at [75]-[77] per Mortimer J</w:t>
      </w:r>
      <w:r>
        <w:rPr>
          <w:rFonts w:ascii="Arial"/>
          <w:color w:val="000000"/>
          <w:sz w:val="24"/>
        </w:rPr>
        <w:t>,</w:t>
      </w:r>
      <w:r>
        <w:rPr>
          <w:rFonts w:ascii="Arial"/>
          <w:color w:val="000000"/>
          <w:sz w:val="24"/>
        </w:rPr>
        <w:t xml:space="preserve"> </w:t>
      </w:r>
      <w:r>
        <w:rPr>
          <w:rFonts w:ascii="Arial"/>
          <w:color w:val="000000"/>
          <w:sz w:val="24"/>
        </w:rPr>
        <w:t xml:space="preserve">as approved in </w:t>
      </w:r>
      <w:r>
        <w:rPr>
          <w:rFonts w:ascii="Arial"/>
          <w:i/>
          <w:color w:val="000000"/>
          <w:sz w:val="24"/>
        </w:rPr>
        <w:t xml:space="preserve">Haritos </w:t>
      </w:r>
      <w:r>
        <w:rPr>
          <w:rFonts w:ascii="Arial"/>
          <w:color w:val="000000"/>
          <w:sz w:val="24"/>
        </w:rPr>
        <w:t xml:space="preserve">at [104]). </w:t>
      </w:r>
    </w:p>
    <w:p>
      <w:pPr>
        <w:pStyle w:val="CaselawNumbered10"/>
        <w:numPr>
          <w:ilvl w:val="0"/>
          <w:numId w:val="38"/>
        </w:numPr>
        <w:spacing w:before="150" w:after="0"/>
        <w:ind w:left="600" w:hanging="600"/>
      </w:pPr>
      <w:r>
        <w:rPr>
          <w:rFonts w:ascii="Arial"/>
          <w:color w:val="000000"/>
          <w:sz w:val="24"/>
        </w:rPr>
        <w:t xml:space="preserve">Adopting such a benevolent approach, it is possible to discern from the notice of appeal that </w:t>
      </w:r>
      <w:r>
        <w:rPr>
          <w:rFonts w:ascii="Arial"/>
          <w:color w:val="000000"/>
          <w:sz w:val="24"/>
        </w:rPr>
        <w:t xml:space="preserve">one or more </w:t>
      </w:r>
      <w:r>
        <w:rPr>
          <w:rFonts w:ascii="Arial"/>
          <w:color w:val="000000"/>
          <w:sz w:val="24"/>
        </w:rPr>
        <w:t>of the grounds raise</w:t>
      </w:r>
      <w:r>
        <w:rPr>
          <w:rFonts w:ascii="Arial"/>
          <w:color w:val="000000"/>
          <w:sz w:val="24"/>
        </w:rPr>
        <w:t>s</w:t>
      </w:r>
      <w:r>
        <w:rPr>
          <w:rFonts w:ascii="Arial"/>
          <w:color w:val="000000"/>
          <w:sz w:val="24"/>
        </w:rPr>
        <w:t xml:space="preserve"> </w:t>
      </w:r>
      <w:r>
        <w:rPr>
          <w:rFonts w:ascii="Arial"/>
          <w:color w:val="000000"/>
          <w:sz w:val="24"/>
        </w:rPr>
        <w:t>the subject</w:t>
      </w:r>
      <w:r>
        <w:rPr>
          <w:rFonts w:ascii="Arial"/>
          <w:color w:val="000000"/>
          <w:sz w:val="24"/>
        </w:rPr>
        <w:t xml:space="preserve"> </w:t>
      </w:r>
      <w:r>
        <w:rPr>
          <w:rFonts w:ascii="Arial"/>
          <w:color w:val="000000"/>
          <w:sz w:val="24"/>
        </w:rPr>
        <w:t>of procedural fairness</w:t>
      </w:r>
      <w:r>
        <w:rPr>
          <w:rFonts w:ascii="Arial"/>
          <w:color w:val="000000"/>
          <w:sz w:val="24"/>
        </w:rPr>
        <w:t xml:space="preserve"> </w:t>
      </w:r>
      <w:r>
        <w:rPr>
          <w:rFonts w:ascii="Arial"/>
          <w:color w:val="000000"/>
          <w:sz w:val="24"/>
        </w:rPr>
        <w:t>(i.e., grounds 14</w:t>
      </w:r>
      <w:r>
        <w:rPr>
          <w:rFonts w:ascii="Arial"/>
          <w:color w:val="000000"/>
          <w:sz w:val="24"/>
        </w:rPr>
        <w:t>-20</w:t>
      </w:r>
      <w:r>
        <w:rPr>
          <w:rFonts w:ascii="Arial"/>
          <w:color w:val="000000"/>
          <w:sz w:val="24"/>
        </w:rPr>
        <w:t>)</w:t>
      </w:r>
      <w:r>
        <w:rPr>
          <w:rFonts w:ascii="Arial"/>
          <w:color w:val="000000"/>
          <w:sz w:val="24"/>
        </w:rPr>
        <w:t xml:space="preserve">, which </w:t>
      </w:r>
      <w:r>
        <w:rPr>
          <w:rFonts w:ascii="Arial"/>
          <w:color w:val="000000"/>
          <w:sz w:val="24"/>
        </w:rPr>
        <w:t>might</w:t>
      </w:r>
      <w:r>
        <w:rPr>
          <w:rFonts w:ascii="Arial"/>
          <w:color w:val="000000"/>
          <w:sz w:val="24"/>
        </w:rPr>
        <w:t xml:space="preserve"> </w:t>
      </w:r>
      <w:r>
        <w:rPr>
          <w:rFonts w:ascii="Arial"/>
          <w:color w:val="000000"/>
          <w:sz w:val="24"/>
        </w:rPr>
        <w:t>involve</w:t>
      </w:r>
      <w:r>
        <w:rPr>
          <w:rFonts w:ascii="Arial"/>
          <w:color w:val="000000"/>
          <w:sz w:val="24"/>
        </w:rPr>
        <w:t xml:space="preserve"> </w:t>
      </w:r>
      <w:r>
        <w:rPr>
          <w:rFonts w:ascii="Arial"/>
          <w:color w:val="000000"/>
          <w:sz w:val="24"/>
        </w:rPr>
        <w:t>a question of law in respect of the LEC</w:t>
      </w:r>
      <w:r>
        <w:rPr>
          <w:rFonts w:ascii="Arial"/>
          <w:color w:val="000000"/>
          <w:sz w:val="24"/>
        </w:rPr>
        <w:t>’</w:t>
      </w:r>
      <w:r>
        <w:rPr>
          <w:rFonts w:ascii="Arial"/>
          <w:color w:val="000000"/>
          <w:sz w:val="24"/>
        </w:rPr>
        <w:t>s order or decision</w:t>
      </w:r>
      <w:r>
        <w:rPr>
          <w:rFonts w:ascii="Arial"/>
          <w:color w:val="000000"/>
          <w:sz w:val="24"/>
        </w:rPr>
        <w:t xml:space="preserve">. </w:t>
      </w:r>
      <w:r>
        <w:rPr>
          <w:rFonts w:ascii="Arial"/>
          <w:color w:val="000000"/>
          <w:sz w:val="24"/>
        </w:rPr>
        <w:t xml:space="preserve">I will address these particular grounds on that basis below. </w:t>
      </w:r>
    </w:p>
    <w:p>
      <w:pPr>
        <w:pStyle w:val="CaselawNumbered10"/>
        <w:numPr>
          <w:ilvl w:val="0"/>
          <w:numId w:val="38"/>
        </w:numPr>
        <w:spacing w:before="150" w:after="0"/>
        <w:ind w:left="600" w:hanging="600"/>
      </w:pPr>
      <w:r>
        <w:rPr>
          <w:rFonts w:ascii="Arial"/>
          <w:color w:val="000000"/>
          <w:sz w:val="24"/>
        </w:rPr>
        <w:t>As will be developed, even allowing some latitude for Mr Kudrynski</w:t>
      </w:r>
      <w:r>
        <w:rPr>
          <w:rFonts w:ascii="Arial"/>
          <w:color w:val="000000"/>
          <w:sz w:val="24"/>
        </w:rPr>
        <w:t>’</w:t>
      </w:r>
      <w:r>
        <w:rPr>
          <w:rFonts w:ascii="Arial"/>
          <w:color w:val="000000"/>
          <w:sz w:val="24"/>
        </w:rPr>
        <w:t xml:space="preserve">s lack of legal qualifications, it is not possible to discern any question of law in the remaining grounds of appeal (see further below). </w:t>
      </w:r>
    </w:p>
    <w:p>
      <w:pPr>
        <w:pStyle w:val="CaselawNumbered10"/>
        <w:numPr>
          <w:ilvl w:val="0"/>
          <w:numId w:val="38"/>
        </w:numPr>
        <w:spacing w:before="150" w:after="0"/>
        <w:ind w:left="600" w:hanging="600"/>
      </w:pPr>
      <w:r>
        <w:rPr>
          <w:rFonts w:ascii="Arial"/>
          <w:color w:val="000000"/>
          <w:sz w:val="24"/>
        </w:rPr>
        <w:t xml:space="preserve">Before </w:t>
      </w:r>
      <w:r>
        <w:rPr>
          <w:rFonts w:ascii="Arial"/>
          <w:color w:val="000000"/>
          <w:sz w:val="24"/>
        </w:rPr>
        <w:t xml:space="preserve">addressing the individual grounds of appeal, it is appropriate to note </w:t>
      </w:r>
      <w:r>
        <w:rPr>
          <w:rFonts w:ascii="Arial"/>
          <w:color w:val="000000"/>
          <w:sz w:val="24"/>
        </w:rPr>
        <w:t xml:space="preserve">a </w:t>
      </w:r>
      <w:r>
        <w:rPr>
          <w:rFonts w:ascii="Arial"/>
          <w:color w:val="000000"/>
          <w:sz w:val="24"/>
        </w:rPr>
        <w:t>further deficiency with the notice of appeal</w:t>
      </w:r>
      <w:r>
        <w:rPr>
          <w:rFonts w:ascii="Arial"/>
          <w:color w:val="000000"/>
          <w:sz w:val="24"/>
        </w:rPr>
        <w:t>. It</w:t>
      </w:r>
      <w:r>
        <w:rPr>
          <w:rFonts w:ascii="Arial"/>
          <w:color w:val="000000"/>
          <w:sz w:val="24"/>
        </w:rPr>
        <w:t xml:space="preserve"> </w:t>
      </w:r>
      <w:r>
        <w:rPr>
          <w:rFonts w:ascii="Arial"/>
          <w:color w:val="000000"/>
          <w:sz w:val="24"/>
        </w:rPr>
        <w:t xml:space="preserve">relates to the relief sought in prayer 2 of that document, namely: </w:t>
      </w:r>
    </w:p>
    <w:p>
      <w:pPr>
        <w:pStyle w:val="CaselawQuote"/>
        <w:spacing w:before="150" w:after="150"/>
        <w:ind w:left="1350"/>
        <w:jc w:val="left"/>
      </w:pPr>
      <w:r>
        <w:rPr>
          <w:rFonts w:ascii="Arial"/>
          <w:color w:val="000000"/>
          <w:sz w:val="22"/>
        </w:rPr>
        <w:t xml:space="preserve">Increase proposed compensation for appellant to the amount sought. </w:t>
      </w:r>
    </w:p>
    <w:p>
      <w:pPr>
        <w:pStyle w:val="CaselawNumbered10"/>
        <w:numPr>
          <w:ilvl w:val="0"/>
          <w:numId w:val="39"/>
        </w:numPr>
        <w:spacing w:before="150" w:after="0"/>
        <w:ind w:left="600" w:hanging="600"/>
      </w:pPr>
      <w:r>
        <w:rPr>
          <w:rFonts w:ascii="Arial"/>
          <w:color w:val="000000"/>
          <w:sz w:val="24"/>
        </w:rPr>
        <w:t>This</w:t>
      </w:r>
      <w:r>
        <w:rPr>
          <w:rFonts w:ascii="Arial"/>
          <w:color w:val="000000"/>
          <w:sz w:val="24"/>
        </w:rPr>
        <w:t xml:space="preserve"> </w:t>
      </w:r>
      <w:r>
        <w:rPr>
          <w:rFonts w:ascii="Arial"/>
          <w:color w:val="000000"/>
          <w:sz w:val="24"/>
        </w:rPr>
        <w:t>proposed order</w:t>
      </w:r>
      <w:r>
        <w:rPr>
          <w:rFonts w:ascii="Arial"/>
          <w:color w:val="000000"/>
          <w:sz w:val="24"/>
        </w:rPr>
        <w:t xml:space="preserve"> </w:t>
      </w:r>
      <w:r>
        <w:rPr>
          <w:rFonts w:ascii="Arial"/>
          <w:color w:val="000000"/>
          <w:sz w:val="24"/>
        </w:rPr>
        <w:t xml:space="preserve">appears to assume that s 57 </w:t>
      </w:r>
      <w:r>
        <w:rPr>
          <w:rFonts w:ascii="Arial"/>
          <w:color w:val="000000"/>
          <w:sz w:val="24"/>
        </w:rPr>
        <w:t>involves a</w:t>
      </w:r>
      <w:r>
        <w:rPr>
          <w:rFonts w:ascii="Arial"/>
          <w:color w:val="000000"/>
          <w:sz w:val="24"/>
        </w:rPr>
        <w:t xml:space="preserve"> </w:t>
      </w:r>
      <w:r>
        <w:rPr>
          <w:rFonts w:ascii="Arial"/>
          <w:color w:val="000000"/>
          <w:sz w:val="24"/>
        </w:rPr>
        <w:t xml:space="preserve">rehearing, which is contrary to authorities, including </w:t>
      </w:r>
      <w:r>
        <w:rPr>
          <w:rFonts w:ascii="Arial"/>
          <w:i/>
          <w:color w:val="000000"/>
          <w:sz w:val="24"/>
        </w:rPr>
        <w:t xml:space="preserve">B&amp;L Linings </w:t>
      </w:r>
      <w:r>
        <w:rPr>
          <w:rFonts w:ascii="Arial"/>
          <w:color w:val="000000"/>
          <w:sz w:val="24"/>
        </w:rPr>
        <w:t xml:space="preserve">at [74]-[76] per Allsop P. </w:t>
      </w:r>
    </w:p>
    <w:p>
      <w:pPr>
        <w:pStyle w:val="CaselawNumbered10"/>
        <w:numPr>
          <w:ilvl w:val="0"/>
          <w:numId w:val="39"/>
        </w:numPr>
        <w:spacing w:before="150" w:after="0"/>
        <w:ind w:left="600" w:hanging="600"/>
      </w:pPr>
      <w:r>
        <w:rPr>
          <w:rFonts w:ascii="Arial"/>
          <w:color w:val="000000"/>
          <w:sz w:val="24"/>
        </w:rPr>
        <w:t>T</w:t>
      </w:r>
      <w:r>
        <w:rPr>
          <w:rFonts w:ascii="Arial"/>
          <w:color w:val="000000"/>
          <w:sz w:val="24"/>
        </w:rPr>
        <w:t xml:space="preserve">his Court will correct an order or decision of the LEC in </w:t>
      </w:r>
      <w:r>
        <w:rPr>
          <w:rFonts w:ascii="Arial"/>
          <w:color w:val="000000"/>
          <w:sz w:val="24"/>
        </w:rPr>
        <w:t xml:space="preserve">a s 57 appeal only if there is error in the identified question of law. In proceedings involving an appeal against a valuation decision, this may include an error on the part of the valuer in ignoring a principle which is commonly applied in the practice of valuation. </w:t>
      </w:r>
    </w:p>
    <w:p>
      <w:pPr>
        <w:pStyle w:val="CaselawNumbered10"/>
        <w:numPr>
          <w:ilvl w:val="0"/>
          <w:numId w:val="39"/>
        </w:numPr>
        <w:spacing w:before="150" w:after="0"/>
        <w:ind w:left="600" w:hanging="600"/>
      </w:pPr>
      <w:r>
        <w:rPr>
          <w:rFonts w:ascii="Arial"/>
          <w:color w:val="000000"/>
          <w:sz w:val="24"/>
        </w:rPr>
        <w:t xml:space="preserve">Thus, to sum up, the position seems to be as follows: </w:t>
      </w:r>
      <w:r>
        <w:rPr>
          <w:rFonts w:ascii="Arial"/>
          <w:color w:val="000000"/>
          <w:sz w:val="24"/>
        </w:rPr>
        <w:t>the subject matter of the appeal is a question of law decided below</w:t>
      </w:r>
      <w:r>
        <w:rPr>
          <w:rFonts w:ascii="Arial"/>
          <w:color w:val="000000"/>
          <w:sz w:val="24"/>
        </w:rPr>
        <w:t xml:space="preserve"> </w:t>
      </w:r>
      <w:r>
        <w:rPr>
          <w:rFonts w:ascii="Arial"/>
          <w:color w:val="000000"/>
          <w:sz w:val="24"/>
        </w:rPr>
        <w:t xml:space="preserve">either explicitly or implicitly and this Court </w:t>
      </w:r>
      <w:r>
        <w:rPr>
          <w:rFonts w:ascii="Arial"/>
          <w:color w:val="000000"/>
          <w:sz w:val="24"/>
        </w:rPr>
        <w:t xml:space="preserve">can intervene to correct errors in </w:t>
      </w:r>
      <w:r>
        <w:rPr>
          <w:rFonts w:ascii="Arial"/>
          <w:color w:val="000000"/>
          <w:sz w:val="24"/>
        </w:rPr>
        <w:t xml:space="preserve">any such order or </w:t>
      </w:r>
      <w:r>
        <w:rPr>
          <w:rFonts w:ascii="Arial"/>
          <w:color w:val="000000"/>
          <w:sz w:val="24"/>
        </w:rPr>
        <w:t xml:space="preserve">decision, including traditional </w:t>
      </w:r>
      <w:r>
        <w:rPr>
          <w:rFonts w:ascii="Arial"/>
          <w:color w:val="000000"/>
          <w:sz w:val="24"/>
        </w:rPr>
        <w:t>“</w:t>
      </w:r>
      <w:r>
        <w:rPr>
          <w:rFonts w:ascii="Arial"/>
          <w:color w:val="000000"/>
          <w:sz w:val="24"/>
        </w:rPr>
        <w:t>errors of law</w:t>
      </w:r>
      <w:r>
        <w:rPr>
          <w:rFonts w:ascii="Arial"/>
          <w:color w:val="000000"/>
          <w:sz w:val="24"/>
        </w:rPr>
        <w:t xml:space="preserve">” </w:t>
      </w:r>
      <w:r>
        <w:rPr>
          <w:rFonts w:ascii="Arial"/>
          <w:color w:val="000000"/>
          <w:sz w:val="24"/>
        </w:rPr>
        <w:t>and, in some instances,</w:t>
      </w:r>
      <w:r>
        <w:rPr>
          <w:rFonts w:ascii="Arial"/>
          <w:color w:val="000000"/>
          <w:sz w:val="24"/>
        </w:rPr>
        <w:t xml:space="preserve"> </w:t>
      </w:r>
      <w:r>
        <w:rPr>
          <w:rFonts w:ascii="Arial"/>
          <w:color w:val="000000"/>
          <w:sz w:val="24"/>
        </w:rPr>
        <w:t xml:space="preserve">a question involving </w:t>
      </w:r>
      <w:r>
        <w:rPr>
          <w:rFonts w:ascii="Arial"/>
          <w:color w:val="000000"/>
          <w:sz w:val="24"/>
        </w:rPr>
        <w:t>“</w:t>
      </w:r>
      <w:r>
        <w:rPr>
          <w:rFonts w:ascii="Arial"/>
          <w:color w:val="000000"/>
          <w:sz w:val="24"/>
        </w:rPr>
        <w:t>mixed</w:t>
      </w:r>
      <w:r>
        <w:rPr>
          <w:rFonts w:ascii="Arial"/>
          <w:color w:val="000000"/>
          <w:sz w:val="24"/>
        </w:rPr>
        <w:t xml:space="preserve"> </w:t>
      </w:r>
      <w:r>
        <w:rPr>
          <w:rFonts w:ascii="Arial"/>
          <w:color w:val="000000"/>
          <w:sz w:val="24"/>
        </w:rPr>
        <w:t>fact and law</w:t>
      </w:r>
      <w:r>
        <w:rPr>
          <w:rFonts w:ascii="Arial"/>
          <w:color w:val="000000"/>
          <w:sz w:val="24"/>
        </w:rPr>
        <w:t>”</w:t>
      </w:r>
      <w:r>
        <w:rPr>
          <w:rFonts w:ascii="Arial"/>
          <w:color w:val="000000"/>
          <w:sz w:val="24"/>
        </w:rPr>
        <w:t xml:space="preserve">. </w:t>
      </w:r>
    </w:p>
    <w:p>
      <w:pPr>
        <w:pStyle w:val="CaselawNumbered10"/>
        <w:numPr>
          <w:ilvl w:val="0"/>
          <w:numId w:val="39"/>
        </w:numPr>
        <w:spacing w:before="150" w:after="0"/>
        <w:ind w:left="600" w:hanging="600"/>
      </w:pPr>
      <w:r>
        <w:rPr>
          <w:rFonts w:ascii="Arial"/>
          <w:color w:val="000000"/>
          <w:sz w:val="24"/>
        </w:rPr>
        <w:t xml:space="preserve">This does not mean, however, that this Court can effectively conduct a rehearing of the matter and substitute its own fact finding process for that of the court below. Thus, in </w:t>
      </w:r>
      <w:r>
        <w:rPr>
          <w:rFonts w:ascii="Arial"/>
          <w:i/>
          <w:color w:val="000000"/>
          <w:sz w:val="24"/>
        </w:rPr>
        <w:t>Murlan Consulting</w:t>
      </w:r>
      <w:r>
        <w:rPr>
          <w:rFonts w:ascii="Arial"/>
          <w:i/>
          <w:color w:val="000000"/>
          <w:sz w:val="24"/>
        </w:rPr>
        <w:t xml:space="preserve"> Pty Ltd v Ku-ring-gai Municipal Council</w:t>
      </w:r>
      <w:r>
        <w:rPr>
          <w:rFonts w:ascii="Arial"/>
          <w:color w:val="000000"/>
          <w:sz w:val="24"/>
        </w:rPr>
        <w:t xml:space="preserve"> </w:t>
      </w:r>
      <w:r>
        <w:rPr>
          <w:rFonts w:ascii="Arial"/>
          <w:color w:val="000000"/>
          <w:sz w:val="24"/>
        </w:rPr>
        <w:t>[2009] NSWCA 300</w:t>
      </w:r>
      <w:r>
        <w:rPr>
          <w:rFonts w:ascii="Arial"/>
          <w:color w:val="000000"/>
          <w:sz w:val="24"/>
        </w:rPr>
        <w:t>; (2009) 170 LGERA 162</w:t>
      </w:r>
      <w:r>
        <w:rPr>
          <w:rFonts w:ascii="Arial"/>
          <w:color w:val="000000"/>
          <w:sz w:val="24"/>
        </w:rPr>
        <w:t>,</w:t>
      </w:r>
      <w:r>
        <w:rPr>
          <w:rFonts w:ascii="Arial"/>
          <w:color w:val="000000"/>
          <w:sz w:val="24"/>
        </w:rPr>
        <w:t xml:space="preserve"> </w:t>
      </w:r>
      <w:r>
        <w:rPr>
          <w:rFonts w:ascii="Arial"/>
          <w:color w:val="000000"/>
          <w:sz w:val="24"/>
        </w:rPr>
        <w:t xml:space="preserve">Basten JA (Macfarlan JA agreeing) suggested, at [70], that </w:t>
      </w:r>
      <w:r>
        <w:rPr>
          <w:rFonts w:ascii="Arial"/>
          <w:color w:val="000000"/>
          <w:sz w:val="24"/>
        </w:rPr>
        <w:t>this Court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powers when conducting an s</w:t>
      </w:r>
      <w:r>
        <w:rPr>
          <w:rFonts w:ascii="Arial"/>
          <w:color w:val="000000"/>
          <w:sz w:val="24"/>
        </w:rPr>
        <w:t> </w:t>
      </w:r>
      <w:r>
        <w:rPr>
          <w:rFonts w:ascii="Arial"/>
          <w:color w:val="000000"/>
          <w:sz w:val="24"/>
        </w:rPr>
        <w:t xml:space="preserve">57(1) appeal </w:t>
      </w:r>
      <w:r>
        <w:rPr>
          <w:rFonts w:ascii="Arial"/>
          <w:color w:val="000000"/>
          <w:sz w:val="24"/>
        </w:rPr>
        <w:t>are</w:t>
      </w:r>
      <w:r>
        <w:rPr>
          <w:rFonts w:ascii="Arial"/>
          <w:color w:val="000000"/>
          <w:sz w:val="24"/>
        </w:rPr>
        <w:t xml:space="preserve"> </w:t>
      </w:r>
      <w:r>
        <w:rPr>
          <w:rFonts w:ascii="Arial"/>
          <w:color w:val="000000"/>
          <w:sz w:val="24"/>
        </w:rPr>
        <w:t>limited as follows:</w:t>
      </w:r>
    </w:p>
    <w:p>
      <w:pPr>
        <w:pStyle w:val="CaselawQuote"/>
        <w:spacing w:before="150" w:after="150"/>
        <w:ind w:left="1350"/>
        <w:jc w:val="left"/>
      </w:pPr>
      <w:r>
        <w:rPr>
          <w:rFonts w:ascii="Arial"/>
          <w:color w:val="000000"/>
          <w:sz w:val="22"/>
        </w:rPr>
        <w:t xml:space="preserve">(a) despite the apparent breadth of sub-s (2), the kind of orders permitted will be limited by reference to the subject matter of the appeal; </w:t>
      </w:r>
    </w:p>
    <w:p>
      <w:pPr>
        <w:pStyle w:val="CaselawQuote"/>
        <w:spacing w:before="150" w:after="150"/>
        <w:ind w:left="1350"/>
        <w:jc w:val="left"/>
      </w:pPr>
      <w:r>
        <w:rPr>
          <w:rFonts w:ascii="Arial"/>
          <w:color w:val="000000"/>
          <w:sz w:val="22"/>
        </w:rPr>
        <w:t xml:space="preserve">(b) because the appeal is limited to a decision by the Land and Environment Court on a question of law, the orders should properly be limited to that which is appropriate to correct an erroneous decision in that Court; </w:t>
      </w:r>
    </w:p>
    <w:p>
      <w:pPr>
        <w:pStyle w:val="CaselawQuote"/>
        <w:spacing w:before="150" w:after="150"/>
        <w:ind w:left="1350"/>
        <w:jc w:val="left"/>
      </w:pPr>
      <w:r>
        <w:rPr>
          <w:rFonts w:ascii="Arial"/>
          <w:color w:val="000000"/>
          <w:sz w:val="22"/>
        </w:rPr>
        <w:t xml:space="preserve">(c) a finding of error does not open a gateway to reconsideration of factual findings made in the Land and Environment Court; </w:t>
      </w:r>
    </w:p>
    <w:p>
      <w:pPr>
        <w:pStyle w:val="CaselawQuote"/>
        <w:spacing w:before="150" w:after="150"/>
        <w:ind w:left="1350"/>
        <w:jc w:val="left"/>
      </w:pPr>
      <w:r>
        <w:rPr>
          <w:rFonts w:ascii="Arial"/>
          <w:color w:val="000000"/>
          <w:sz w:val="22"/>
        </w:rPr>
        <w:t xml:space="preserve">(d) nor is a review of factual findings permitted under s 75A of the </w:t>
      </w:r>
      <w:r>
        <w:rPr>
          <w:rFonts w:ascii="Arial"/>
          <w:i/>
          <w:color w:val="000000"/>
          <w:sz w:val="22"/>
        </w:rPr>
        <w:t>Supreme Court Act 1970</w:t>
      </w:r>
      <w:r>
        <w:rPr>
          <w:rFonts w:ascii="Arial"/>
          <w:color w:val="000000"/>
          <w:sz w:val="22"/>
        </w:rPr>
        <w:t xml:space="preserve"> (NSW); </w:t>
      </w:r>
    </w:p>
    <w:p>
      <w:pPr>
        <w:pStyle w:val="CaselawQuote"/>
        <w:spacing w:before="150" w:after="150"/>
        <w:ind w:left="1350"/>
        <w:jc w:val="left"/>
      </w:pPr>
      <w:r>
        <w:rPr>
          <w:rFonts w:ascii="Arial"/>
          <w:color w:val="000000"/>
          <w:sz w:val="22"/>
        </w:rPr>
        <w:t xml:space="preserve">(e) on the other hand, the Court is not necessarily limited to orders of the kind which would be appropriate on judicial review; </w:t>
      </w:r>
    </w:p>
    <w:p>
      <w:pPr>
        <w:pStyle w:val="CaselawQuote"/>
        <w:spacing w:before="150" w:after="150"/>
        <w:ind w:left="1350"/>
        <w:jc w:val="left"/>
      </w:pPr>
      <w:r>
        <w:rPr>
          <w:rFonts w:ascii="Arial"/>
          <w:color w:val="000000"/>
          <w:sz w:val="22"/>
        </w:rPr>
        <w:t xml:space="preserve">(f) in particular, the Court may make orders disposing of the proceedings on the basis of facts fully found by the Land and Environment Court or otherwise agreed, or (arguably) on the basis of findings which are the only ones reasonably open in the circumstances, and </w:t>
      </w:r>
    </w:p>
    <w:p>
      <w:pPr>
        <w:pStyle w:val="CaselawQuote"/>
        <w:spacing w:before="150" w:after="150"/>
        <w:ind w:left="1350"/>
        <w:jc w:val="left"/>
      </w:pPr>
      <w:r>
        <w:rPr>
          <w:rFonts w:ascii="Arial"/>
          <w:color w:val="000000"/>
          <w:sz w:val="22"/>
        </w:rPr>
        <w:t>(g) the Court may exercise a discretionary judgment in disposing of costs orders in the Land and Environment Court.</w:t>
      </w:r>
    </w:p>
    <w:p>
      <w:pPr>
        <w:pStyle w:val="CaselawHeading2"/>
        <w:keepNext/>
        <w:spacing w:before="150" w:after="150" w:line="264"/>
        <w:ind w:left="0"/>
        <w:jc w:val="left"/>
      </w:pPr>
      <w:r>
        <w:rPr>
          <w:rFonts w:ascii="Arial"/>
        </w:rPr>
        <w:t>(f)</w:t>
      </w:r>
      <w:r>
        <w:rPr>
          <w:rFonts w:ascii="Arial"/>
        </w:rPr>
        <w:t>   </w:t>
      </w:r>
      <w:r>
        <w:rPr>
          <w:rFonts w:ascii="Arial"/>
        </w:rPr>
        <w:t xml:space="preserve">Consideration and </w:t>
      </w:r>
      <w:r>
        <w:rPr>
          <w:rFonts w:ascii="Arial"/>
        </w:rPr>
        <w:t>disposition</w:t>
      </w:r>
      <w:r>
        <w:rPr>
          <w:rFonts w:ascii="Arial"/>
        </w:rPr>
        <w:t xml:space="preserve"> of the appeal</w:t>
      </w:r>
    </w:p>
    <w:p>
      <w:pPr>
        <w:pStyle w:val="CaselawNumbered10"/>
        <w:numPr>
          <w:ilvl w:val="0"/>
          <w:numId w:val="40"/>
        </w:numPr>
        <w:spacing w:before="150" w:after="0"/>
        <w:ind w:left="600" w:hanging="600"/>
      </w:pPr>
      <w:r>
        <w:rPr>
          <w:rFonts w:ascii="Arial"/>
          <w:color w:val="000000"/>
          <w:sz w:val="24"/>
        </w:rPr>
        <w:t>Mr Kudrynski provided a</w:t>
      </w:r>
      <w:r>
        <w:rPr>
          <w:rFonts w:ascii="Arial"/>
          <w:color w:val="000000"/>
          <w:sz w:val="24"/>
        </w:rPr>
        <w:t>n additional</w:t>
      </w:r>
      <w:r>
        <w:rPr>
          <w:rFonts w:ascii="Arial"/>
          <w:color w:val="000000"/>
          <w:sz w:val="24"/>
        </w:rPr>
        <w:t xml:space="preserve"> </w:t>
      </w:r>
      <w:r>
        <w:rPr>
          <w:rFonts w:ascii="Arial"/>
          <w:color w:val="000000"/>
          <w:sz w:val="24"/>
        </w:rPr>
        <w:t xml:space="preserve">16 page written submission in support of </w:t>
      </w:r>
      <w:r>
        <w:rPr>
          <w:rFonts w:ascii="Arial"/>
          <w:color w:val="000000"/>
          <w:sz w:val="24"/>
        </w:rPr>
        <w:t>the</w:t>
      </w:r>
      <w:r>
        <w:rPr>
          <w:rFonts w:ascii="Arial"/>
          <w:color w:val="000000"/>
          <w:sz w:val="24"/>
        </w:rPr>
        <w:t xml:space="preserve"> </w:t>
      </w:r>
      <w:r>
        <w:rPr>
          <w:rFonts w:ascii="Arial"/>
          <w:color w:val="000000"/>
          <w:sz w:val="24"/>
        </w:rPr>
        <w:t>appeal</w:t>
      </w:r>
      <w:r>
        <w:rPr>
          <w:rFonts w:ascii="Arial"/>
          <w:color w:val="000000"/>
          <w:sz w:val="24"/>
        </w:rPr>
        <w:t xml:space="preserve"> </w:t>
      </w:r>
      <w:r>
        <w:rPr>
          <w:rFonts w:ascii="Arial"/>
          <w:color w:val="000000"/>
          <w:sz w:val="24"/>
        </w:rPr>
        <w:t>(see also at [</w:t>
      </w:r>
      <w:hyperlink r:id="rId21">
        <w:r>
          <w:rPr>
            <w:rFonts w:ascii="Arial"/>
            <w:color w:val="000000"/>
            <w:sz w:val="24"/>
            <w:u w:val="single"/>
          </w:rPr>
          <w:t/>
        </w:r>
        <w:r>
          <w:rPr>
            <w:rFonts w:ascii="Arial"/>
            <w:color w:val="000000"/>
            <w:sz w:val="24"/>
          </w:rPr>
          <w:t>36</w:t>
        </w:r>
      </w:hyperlink>
      <w:hyperlink r:id="rId22">
        <w:r>
          <w:rPr>
            <w:rFonts w:ascii="Arial"/>
            <w:color w:val="000000"/>
            <w:sz w:val="24"/>
          </w:rPr>
          <w:t/>
        </w:r>
      </w:hyperlink>
      <w:r>
        <w:rPr>
          <w:rFonts w:ascii="Arial"/>
          <w:color w:val="000000"/>
          <w:sz w:val="24"/>
        </w:rPr>
        <w:t>] above)</w:t>
      </w:r>
      <w:r>
        <w:rPr>
          <w:rFonts w:ascii="Arial"/>
          <w:color w:val="000000"/>
          <w:sz w:val="24"/>
        </w:rPr>
        <w:t xml:space="preserve">. </w:t>
      </w:r>
      <w:r>
        <w:rPr>
          <w:rFonts w:ascii="Arial"/>
          <w:color w:val="000000"/>
          <w:sz w:val="24"/>
        </w:rPr>
        <w:t>His</w:t>
      </w:r>
      <w:r>
        <w:rPr>
          <w:rFonts w:ascii="Arial"/>
          <w:color w:val="000000"/>
          <w:sz w:val="24"/>
        </w:rPr>
        <w:t xml:space="preserve"> </w:t>
      </w:r>
      <w:r>
        <w:rPr>
          <w:rFonts w:ascii="Arial"/>
          <w:color w:val="000000"/>
          <w:sz w:val="24"/>
        </w:rPr>
        <w:t xml:space="preserve">written submissions were supplemented by oral submissions. </w:t>
      </w:r>
    </w:p>
    <w:p>
      <w:pPr>
        <w:pStyle w:val="CaselawNumbered10"/>
        <w:numPr>
          <w:ilvl w:val="0"/>
          <w:numId w:val="40"/>
        </w:numPr>
        <w:spacing w:before="150" w:after="0"/>
        <w:ind w:left="600" w:hanging="600"/>
      </w:pPr>
      <w:r>
        <w:rPr>
          <w:rFonts w:ascii="Arial"/>
          <w:color w:val="000000"/>
          <w:sz w:val="24"/>
        </w:rPr>
        <w:t>I have taken all those submissions into account, where relevant. It should be noted</w:t>
      </w:r>
      <w:r>
        <w:rPr>
          <w:rFonts w:ascii="Arial"/>
          <w:color w:val="000000"/>
          <w:sz w:val="24"/>
        </w:rPr>
        <w:t>, however,</w:t>
      </w:r>
      <w:r>
        <w:rPr>
          <w:rFonts w:ascii="Arial"/>
          <w:color w:val="000000"/>
          <w:sz w:val="24"/>
        </w:rPr>
        <w:t xml:space="preserve"> </w:t>
      </w:r>
      <w:r>
        <w:rPr>
          <w:rFonts w:ascii="Arial"/>
          <w:color w:val="000000"/>
          <w:sz w:val="24"/>
        </w:rPr>
        <w:t>that many parts of the appellants</w:t>
      </w:r>
      <w:r>
        <w:rPr>
          <w:rFonts w:ascii="Arial"/>
          <w:color w:val="000000"/>
          <w:sz w:val="24"/>
        </w:rPr>
        <w:t xml:space="preserve">’ </w:t>
      </w:r>
      <w:r>
        <w:rPr>
          <w:rFonts w:ascii="Arial"/>
          <w:color w:val="000000"/>
          <w:sz w:val="24"/>
        </w:rPr>
        <w:t xml:space="preserve">submissions are more appropriately described as purported evidence, which cannot be relied upon in the appeal without leave. Other parts of the submission </w:t>
      </w:r>
      <w:r>
        <w:rPr>
          <w:rFonts w:ascii="Arial"/>
          <w:color w:val="000000"/>
          <w:sz w:val="24"/>
        </w:rPr>
        <w:t>are</w:t>
      </w:r>
      <w:r>
        <w:rPr>
          <w:rFonts w:ascii="Arial"/>
          <w:color w:val="000000"/>
          <w:sz w:val="24"/>
        </w:rPr>
        <w:t xml:space="preserve"> </w:t>
      </w:r>
      <w:r>
        <w:rPr>
          <w:rFonts w:ascii="Arial"/>
          <w:color w:val="000000"/>
          <w:sz w:val="24"/>
        </w:rPr>
        <w:t xml:space="preserve">scandalous, including the assertion that the primary judge was </w:t>
      </w:r>
      <w:r>
        <w:rPr>
          <w:rFonts w:ascii="Arial"/>
          <w:color w:val="000000"/>
          <w:sz w:val="24"/>
        </w:rPr>
        <w:t>“</w:t>
      </w:r>
      <w:r>
        <w:rPr>
          <w:rFonts w:ascii="Arial"/>
          <w:color w:val="000000"/>
          <w:sz w:val="24"/>
        </w:rPr>
        <w:t>a third party</w:t>
      </w:r>
      <w:r>
        <w:rPr>
          <w:rFonts w:ascii="Arial"/>
          <w:color w:val="000000"/>
          <w:sz w:val="24"/>
        </w:rPr>
        <w:t xml:space="preserve">” </w:t>
      </w:r>
      <w:r>
        <w:rPr>
          <w:rFonts w:ascii="Arial"/>
          <w:color w:val="000000"/>
          <w:sz w:val="24"/>
        </w:rPr>
        <w:t xml:space="preserve">to the proceeding and was the </w:t>
      </w:r>
      <w:r>
        <w:rPr>
          <w:rFonts w:ascii="Arial"/>
          <w:color w:val="000000"/>
          <w:sz w:val="24"/>
        </w:rPr>
        <w:t>“</w:t>
      </w:r>
      <w:r>
        <w:rPr>
          <w:rFonts w:ascii="Arial"/>
          <w:color w:val="000000"/>
          <w:sz w:val="24"/>
        </w:rPr>
        <w:t>silent partner</w:t>
      </w:r>
      <w:r>
        <w:rPr>
          <w:rFonts w:ascii="Arial"/>
          <w:color w:val="000000"/>
          <w:sz w:val="24"/>
        </w:rPr>
        <w:t xml:space="preserve">” </w:t>
      </w:r>
      <w:r>
        <w:rPr>
          <w:rFonts w:ascii="Arial"/>
          <w:color w:val="000000"/>
          <w:sz w:val="24"/>
        </w:rPr>
        <w:t xml:space="preserve">of the Council. The submissions </w:t>
      </w:r>
      <w:r>
        <w:rPr>
          <w:rFonts w:ascii="Arial"/>
          <w:color w:val="000000"/>
          <w:sz w:val="24"/>
        </w:rPr>
        <w:t>are</w:t>
      </w:r>
      <w:r>
        <w:rPr>
          <w:rFonts w:ascii="Arial"/>
          <w:color w:val="000000"/>
          <w:sz w:val="24"/>
        </w:rPr>
        <w:t xml:space="preserve"> </w:t>
      </w:r>
      <w:r>
        <w:rPr>
          <w:rFonts w:ascii="Arial"/>
          <w:color w:val="000000"/>
          <w:sz w:val="24"/>
        </w:rPr>
        <w:t xml:space="preserve">repetitive and </w:t>
      </w:r>
      <w:r>
        <w:rPr>
          <w:rFonts w:ascii="Arial"/>
          <w:color w:val="000000"/>
          <w:sz w:val="24"/>
        </w:rPr>
        <w:t>some bear</w:t>
      </w:r>
      <w:r>
        <w:rPr>
          <w:rFonts w:ascii="Arial"/>
          <w:color w:val="000000"/>
          <w:sz w:val="24"/>
        </w:rPr>
        <w:t xml:space="preserve"> </w:t>
      </w:r>
      <w:r>
        <w:rPr>
          <w:rFonts w:ascii="Arial"/>
          <w:color w:val="000000"/>
          <w:sz w:val="24"/>
        </w:rPr>
        <w:t xml:space="preserve">little relevance to the </w:t>
      </w:r>
      <w:r>
        <w:rPr>
          <w:rFonts w:ascii="Arial"/>
          <w:color w:val="000000"/>
          <w:sz w:val="24"/>
        </w:rPr>
        <w:t>stated</w:t>
      </w:r>
      <w:r>
        <w:rPr>
          <w:rFonts w:ascii="Arial"/>
          <w:color w:val="000000"/>
          <w:sz w:val="24"/>
        </w:rPr>
        <w:t xml:space="preserve"> </w:t>
      </w:r>
      <w:r>
        <w:rPr>
          <w:rFonts w:ascii="Arial"/>
          <w:color w:val="000000"/>
          <w:sz w:val="24"/>
        </w:rPr>
        <w:t>grounds of appeal. To give but one example, at [121], the appellants state</w:t>
      </w:r>
      <w:r>
        <w:rPr>
          <w:rFonts w:ascii="Arial"/>
          <w:color w:val="000000"/>
          <w:sz w:val="24"/>
        </w:rPr>
        <w:t xml:space="preserve"> </w:t>
      </w:r>
      <w:r>
        <w:rPr>
          <w:rFonts w:ascii="Arial"/>
          <w:color w:val="000000"/>
          <w:sz w:val="24"/>
        </w:rPr>
        <w:t>(without alteration)</w:t>
      </w:r>
      <w:r>
        <w:rPr>
          <w:rFonts w:ascii="Arial"/>
          <w:color w:val="000000"/>
          <w:sz w:val="24"/>
        </w:rPr>
        <w:t xml:space="preserve">: </w:t>
      </w:r>
    </w:p>
    <w:p>
      <w:pPr>
        <w:pStyle w:val="CaselawQuote"/>
        <w:spacing w:before="150" w:after="150"/>
        <w:ind w:left="1350"/>
        <w:jc w:val="left"/>
      </w:pPr>
      <w:r>
        <w:rPr>
          <w:rFonts w:ascii="Arial"/>
          <w:color w:val="000000"/>
          <w:sz w:val="22"/>
        </w:rPr>
        <w:t xml:space="preserve">it is unique and contradictory to be able to have an enclave and still do see every interesting feature of life occurring in front of you that is until the trees in the creek outgrow your view; a road bypass, goings-on in the industrial area, the sewerage easements which are impossible to see, and the reason why you have an enclave are the inaccessibility issues. The floodplain would not just generate excitement for the birds it would generate excitement for the residents. It would probably force the relocation of transmission line easements. </w:t>
      </w:r>
    </w:p>
    <w:p>
      <w:pPr>
        <w:pStyle w:val="CaselawHeading3"/>
        <w:keepNext/>
        <w:spacing w:before="150" w:after="150" w:line="264"/>
        <w:ind w:left="0"/>
        <w:jc w:val="left"/>
      </w:pPr>
      <w:r>
        <w:rPr>
          <w:rFonts w:ascii="Arial"/>
        </w:rPr>
        <w:t>(i)</w:t>
      </w:r>
      <w:r>
        <w:rPr>
          <w:rFonts w:ascii="Arial"/>
        </w:rPr>
        <w:t>   </w:t>
      </w:r>
      <w:r>
        <w:rPr>
          <w:rFonts w:ascii="Arial"/>
        </w:rPr>
        <w:t>Non-procedural complaints: grounds 1-13 and 21-24</w:t>
      </w:r>
    </w:p>
    <w:p>
      <w:pPr>
        <w:pStyle w:val="CaselawNumbered10"/>
        <w:numPr>
          <w:ilvl w:val="0"/>
          <w:numId w:val="41"/>
        </w:numPr>
        <w:spacing w:before="150" w:after="0"/>
        <w:ind w:left="600" w:hanging="600"/>
      </w:pPr>
      <w:r>
        <w:rPr>
          <w:rFonts w:ascii="Arial"/>
          <w:color w:val="000000"/>
          <w:sz w:val="24"/>
        </w:rPr>
        <w:t>As noted, e</w:t>
      </w:r>
      <w:r>
        <w:rPr>
          <w:rFonts w:ascii="Arial"/>
          <w:color w:val="000000"/>
          <w:sz w:val="24"/>
        </w:rPr>
        <w:t>ven allowing appropriate latitude for Mr Kudrynski</w:t>
      </w:r>
      <w:r>
        <w:rPr>
          <w:rFonts w:ascii="Arial"/>
          <w:color w:val="000000"/>
          <w:sz w:val="24"/>
        </w:rPr>
        <w:t>’</w:t>
      </w:r>
      <w:r>
        <w:rPr>
          <w:rFonts w:ascii="Arial"/>
          <w:color w:val="000000"/>
          <w:sz w:val="24"/>
        </w:rPr>
        <w:t xml:space="preserve">s lack of legal qualifications, it is difficult to discern any question of law in </w:t>
      </w:r>
      <w:r>
        <w:rPr>
          <w:rFonts w:ascii="Arial"/>
          <w:color w:val="000000"/>
          <w:sz w:val="24"/>
        </w:rPr>
        <w:t>these</w:t>
      </w:r>
      <w:r>
        <w:rPr>
          <w:rFonts w:ascii="Arial"/>
          <w:color w:val="000000"/>
          <w:sz w:val="24"/>
        </w:rPr>
        <w:t xml:space="preserve"> </w:t>
      </w:r>
      <w:r>
        <w:rPr>
          <w:rFonts w:ascii="Arial"/>
          <w:color w:val="000000"/>
          <w:sz w:val="24"/>
        </w:rPr>
        <w:t>grounds of appeal. Some of the grounds appear</w:t>
      </w:r>
      <w:r>
        <w:rPr>
          <w:rFonts w:ascii="Arial"/>
          <w:color w:val="000000"/>
          <w:sz w:val="24"/>
        </w:rPr>
        <w:t>, however,</w:t>
      </w:r>
      <w:r>
        <w:rPr>
          <w:rFonts w:ascii="Arial"/>
          <w:color w:val="000000"/>
          <w:sz w:val="24"/>
        </w:rPr>
        <w:t xml:space="preserve"> </w:t>
      </w:r>
      <w:r>
        <w:rPr>
          <w:rFonts w:ascii="Arial"/>
          <w:color w:val="000000"/>
          <w:sz w:val="24"/>
        </w:rPr>
        <w:t>to raise mixed questions of law and fact</w:t>
      </w:r>
      <w:r>
        <w:rPr>
          <w:rFonts w:ascii="Arial"/>
          <w:color w:val="000000"/>
          <w:sz w:val="24"/>
        </w:rPr>
        <w:t>.</w:t>
      </w:r>
      <w:r>
        <w:rPr>
          <w:rFonts w:ascii="Arial"/>
          <w:color w:val="000000"/>
          <w:sz w:val="24"/>
        </w:rPr>
        <w:t xml:space="preserve"> </w:t>
      </w:r>
    </w:p>
    <w:p>
      <w:pPr>
        <w:pStyle w:val="CaselawNumbered10"/>
        <w:numPr>
          <w:ilvl w:val="0"/>
          <w:numId w:val="41"/>
        </w:numPr>
        <w:spacing w:before="150" w:after="0"/>
        <w:ind w:left="600" w:hanging="600"/>
      </w:pPr>
      <w:r>
        <w:rPr>
          <w:rFonts w:ascii="Arial"/>
          <w:color w:val="000000"/>
          <w:sz w:val="24"/>
        </w:rPr>
        <w:t>Commencing with ground 1</w:t>
      </w:r>
      <w:r>
        <w:rPr>
          <w:rFonts w:ascii="Arial"/>
          <w:color w:val="000000"/>
          <w:sz w:val="24"/>
        </w:rPr>
        <w:t>,</w:t>
      </w:r>
      <w:r>
        <w:rPr>
          <w:rFonts w:ascii="Arial"/>
          <w:color w:val="000000"/>
          <w:sz w:val="24"/>
        </w:rPr>
        <w:t xml:space="preserve"> </w:t>
      </w:r>
      <w:r>
        <w:rPr>
          <w:rFonts w:ascii="Arial"/>
          <w:color w:val="000000"/>
          <w:sz w:val="24"/>
        </w:rPr>
        <w:t>on a beneficial reading this ground may</w:t>
      </w:r>
      <w:r>
        <w:rPr>
          <w:rFonts w:ascii="Arial"/>
          <w:color w:val="000000"/>
          <w:sz w:val="24"/>
        </w:rPr>
        <w:t xml:space="preserve"> </w:t>
      </w:r>
      <w:r>
        <w:rPr>
          <w:rFonts w:ascii="Arial"/>
          <w:color w:val="000000"/>
          <w:sz w:val="24"/>
        </w:rPr>
        <w:t>raise a complaint relating to one or more principles of valuation</w:t>
      </w:r>
      <w:r>
        <w:rPr>
          <w:rFonts w:ascii="Arial"/>
          <w:color w:val="000000"/>
          <w:sz w:val="24"/>
        </w:rPr>
        <w:t>. Mr Kudrynski</w:t>
      </w:r>
      <w:r>
        <w:rPr>
          <w:rFonts w:ascii="Arial"/>
          <w:color w:val="000000"/>
          <w:sz w:val="24"/>
        </w:rPr>
        <w:t>’</w:t>
      </w:r>
      <w:r>
        <w:rPr>
          <w:rFonts w:ascii="Arial"/>
          <w:color w:val="000000"/>
          <w:sz w:val="24"/>
        </w:rPr>
        <w:t xml:space="preserve">s complaint appears to be that the primary judge </w:t>
      </w:r>
      <w:r>
        <w:rPr>
          <w:rFonts w:ascii="Arial"/>
          <w:color w:val="000000"/>
          <w:sz w:val="24"/>
        </w:rPr>
        <w:t xml:space="preserve">should only have considered his valuation of </w:t>
      </w:r>
      <w:r>
        <w:rPr>
          <w:rFonts w:ascii="Arial"/>
          <w:color w:val="000000"/>
          <w:sz w:val="24"/>
        </w:rPr>
        <w:t xml:space="preserve">$160 million </w:t>
      </w:r>
      <w:r>
        <w:rPr>
          <w:rFonts w:ascii="Arial"/>
          <w:color w:val="000000"/>
          <w:sz w:val="24"/>
        </w:rPr>
        <w:t>and should not have allowed evidence as to any other valuations.</w:t>
      </w:r>
      <w:r>
        <w:rPr>
          <w:rFonts w:ascii="Arial"/>
          <w:color w:val="000000"/>
          <w:sz w:val="24"/>
        </w:rPr>
        <w:t xml:space="preserve"> </w:t>
      </w:r>
      <w:r>
        <w:rPr>
          <w:rFonts w:ascii="Arial"/>
          <w:color w:val="000000"/>
          <w:sz w:val="24"/>
        </w:rPr>
        <w:t xml:space="preserve">It also appears to contain a complaint of a </w:t>
      </w:r>
      <w:r>
        <w:rPr>
          <w:rFonts w:ascii="Arial"/>
          <w:color w:val="000000"/>
          <w:sz w:val="24"/>
        </w:rPr>
        <w:t xml:space="preserve">factual nature, namely whether in fact the primary judge did not allow any </w:t>
      </w:r>
      <w:r>
        <w:rPr>
          <w:rFonts w:ascii="Arial"/>
          <w:color w:val="000000"/>
          <w:sz w:val="24"/>
        </w:rPr>
        <w:t>“</w:t>
      </w:r>
      <w:r>
        <w:rPr>
          <w:rFonts w:ascii="Arial"/>
          <w:color w:val="000000"/>
          <w:sz w:val="24"/>
        </w:rPr>
        <w:t>price comparison</w:t>
      </w:r>
      <w:r>
        <w:rPr>
          <w:rFonts w:ascii="Arial"/>
          <w:color w:val="000000"/>
          <w:sz w:val="24"/>
        </w:rPr>
        <w:t xml:space="preserve">” </w:t>
      </w:r>
      <w:r>
        <w:rPr>
          <w:rFonts w:ascii="Arial"/>
          <w:color w:val="000000"/>
          <w:sz w:val="24"/>
        </w:rPr>
        <w:t xml:space="preserve">and whether she </w:t>
      </w:r>
      <w:r>
        <w:rPr>
          <w:rFonts w:ascii="Arial"/>
          <w:color w:val="000000"/>
          <w:sz w:val="24"/>
        </w:rPr>
        <w:t>“</w:t>
      </w:r>
      <w:r>
        <w:rPr>
          <w:rFonts w:ascii="Arial"/>
          <w:color w:val="000000"/>
          <w:sz w:val="24"/>
        </w:rPr>
        <w:t>allowed any other values</w:t>
      </w:r>
      <w:r>
        <w:rPr>
          <w:rFonts w:ascii="Arial"/>
          <w:color w:val="000000"/>
          <w:sz w:val="24"/>
        </w:rPr>
        <w:t>”</w:t>
      </w:r>
      <w:r>
        <w:rPr>
          <w:rFonts w:ascii="Arial"/>
          <w:color w:val="000000"/>
          <w:sz w:val="24"/>
        </w:rPr>
        <w:t xml:space="preserve">. </w:t>
      </w:r>
      <w:r>
        <w:rPr>
          <w:rFonts w:ascii="Arial"/>
          <w:color w:val="000000"/>
          <w:sz w:val="24"/>
        </w:rPr>
        <w:t xml:space="preserve">Assuming that a mixed question of law and fact is </w:t>
      </w:r>
      <w:r>
        <w:rPr>
          <w:rFonts w:ascii="Arial"/>
          <w:color w:val="000000"/>
          <w:sz w:val="24"/>
        </w:rPr>
        <w:t xml:space="preserve">adequately </w:t>
      </w:r>
      <w:r>
        <w:rPr>
          <w:rFonts w:ascii="Arial"/>
          <w:color w:val="000000"/>
          <w:sz w:val="24"/>
        </w:rPr>
        <w:t xml:space="preserve">raised, it is unclear what the appellants mean by their claim that </w:t>
      </w:r>
      <w:r>
        <w:rPr>
          <w:rFonts w:ascii="Arial"/>
          <w:color w:val="000000"/>
          <w:sz w:val="24"/>
        </w:rPr>
        <w:t>“</w:t>
      </w:r>
      <w:r>
        <w:rPr>
          <w:rFonts w:ascii="Arial"/>
          <w:color w:val="000000"/>
          <w:sz w:val="24"/>
        </w:rPr>
        <w:t>no price comparison</w:t>
      </w:r>
      <w:r>
        <w:rPr>
          <w:rFonts w:ascii="Arial"/>
          <w:color w:val="000000"/>
          <w:sz w:val="24"/>
        </w:rPr>
        <w:t xml:space="preserve">” </w:t>
      </w:r>
      <w:r>
        <w:rPr>
          <w:rFonts w:ascii="Arial"/>
          <w:color w:val="000000"/>
          <w:sz w:val="24"/>
        </w:rPr>
        <w:t>was allowed. The claim presumably relates to the $160 million valuation figure advanced by the appellants, which was partly based on Mr Kudrynski</w:t>
      </w:r>
      <w:r>
        <w:rPr>
          <w:rFonts w:ascii="Arial"/>
          <w:color w:val="000000"/>
          <w:sz w:val="24"/>
        </w:rPr>
        <w:t>’</w:t>
      </w:r>
      <w:r>
        <w:rPr>
          <w:rFonts w:ascii="Arial"/>
          <w:color w:val="000000"/>
          <w:sz w:val="24"/>
        </w:rPr>
        <w:t xml:space="preserve">s calculations regarding the value of the harvesting of stormwater as set out in his letter (see PJ[5]). </w:t>
      </w:r>
      <w:r>
        <w:rPr>
          <w:rFonts w:ascii="Arial"/>
          <w:color w:val="000000"/>
          <w:sz w:val="24"/>
        </w:rPr>
        <w:t xml:space="preserve">When the primary judge asked Mr Kudrynski to explain how he arrived at that figure, he said: </w:t>
      </w:r>
      <w:r>
        <w:rPr>
          <w:rFonts w:ascii="Arial"/>
          <w:color w:val="000000"/>
          <w:sz w:val="24"/>
        </w:rPr>
        <w:t>“</w:t>
      </w:r>
      <w:r>
        <w:rPr>
          <w:rFonts w:ascii="Arial"/>
          <w:color w:val="000000"/>
          <w:sz w:val="24"/>
        </w:rPr>
        <w:t>…</w:t>
      </w:r>
      <w:r>
        <w:rPr>
          <w:rFonts w:ascii="Arial"/>
          <w:color w:val="000000"/>
          <w:sz w:val="24"/>
        </w:rPr>
        <w:t>I don</w:t>
      </w:r>
      <w:r>
        <w:rPr>
          <w:rFonts w:ascii="Arial"/>
          <w:color w:val="000000"/>
          <w:sz w:val="24"/>
        </w:rPr>
        <w:t>’</w:t>
      </w:r>
      <w:r>
        <w:rPr>
          <w:rFonts w:ascii="Arial"/>
          <w:color w:val="000000"/>
          <w:sz w:val="24"/>
        </w:rPr>
        <w:t>t know how many years ago now and since then, my brain has bombed out by nobody questioned me about and it matched almost exactly the value that the council had published on their website</w:t>
      </w:r>
      <w:r>
        <w:rPr>
          <w:rFonts w:ascii="Arial"/>
          <w:color w:val="000000"/>
          <w:sz w:val="24"/>
        </w:rPr>
        <w:t>”</w:t>
      </w:r>
      <w:r>
        <w:rPr>
          <w:rFonts w:ascii="Arial"/>
          <w:color w:val="000000"/>
          <w:sz w:val="24"/>
        </w:rPr>
        <w:t xml:space="preserve">. </w:t>
      </w:r>
    </w:p>
    <w:p>
      <w:pPr>
        <w:pStyle w:val="CaselawNumbered10"/>
        <w:numPr>
          <w:ilvl w:val="0"/>
          <w:numId w:val="41"/>
        </w:numPr>
        <w:spacing w:before="150" w:after="0"/>
        <w:ind w:left="600" w:hanging="600"/>
      </w:pPr>
      <w:r>
        <w:rPr>
          <w:rFonts w:ascii="Arial"/>
          <w:color w:val="000000"/>
          <w:sz w:val="24"/>
        </w:rPr>
        <w:t xml:space="preserve">When asked where the Court could find that evidence, Mr Kudrynski said: </w:t>
      </w:r>
      <w:r>
        <w:rPr>
          <w:rFonts w:ascii="Arial"/>
          <w:color w:val="000000"/>
          <w:sz w:val="24"/>
        </w:rPr>
        <w:t>“</w:t>
      </w:r>
      <w:r>
        <w:rPr>
          <w:rFonts w:ascii="Arial"/>
          <w:color w:val="000000"/>
          <w:sz w:val="24"/>
        </w:rPr>
        <w:t>Blackmans Swamp, water harvesting area that was obtained by typing that word into</w:t>
      </w:r>
      <w:r>
        <w:rPr>
          <w:rFonts w:ascii="Arial"/>
          <w:color w:val="000000"/>
          <w:sz w:val="24"/>
        </w:rPr>
        <w:t>…</w:t>
      </w:r>
      <w:r>
        <w:rPr>
          <w:rFonts w:ascii="Arial"/>
          <w:color w:val="000000"/>
          <w:sz w:val="24"/>
        </w:rPr>
        <w:t>(not transcribable)..</w:t>
      </w:r>
      <w:r>
        <w:rPr>
          <w:rFonts w:ascii="Arial"/>
          <w:color w:val="000000"/>
          <w:sz w:val="24"/>
        </w:rPr>
        <w:t>”</w:t>
      </w:r>
      <w:r>
        <w:rPr>
          <w:rFonts w:ascii="Arial"/>
          <w:color w:val="000000"/>
          <w:sz w:val="24"/>
        </w:rPr>
        <w:t xml:space="preserve">. </w:t>
      </w:r>
    </w:p>
    <w:p>
      <w:pPr>
        <w:pStyle w:val="CaselawNumbered10"/>
        <w:numPr>
          <w:ilvl w:val="0"/>
          <w:numId w:val="41"/>
        </w:numPr>
        <w:spacing w:before="150" w:after="0"/>
        <w:ind w:left="600" w:hanging="600"/>
      </w:pPr>
      <w:r>
        <w:rPr>
          <w:rFonts w:ascii="Arial"/>
          <w:color w:val="000000"/>
          <w:sz w:val="24"/>
        </w:rPr>
        <w:t xml:space="preserve">When the Court pointed out that no such evidence was before it and that the figure of $160 million was entirely unsupported by any evidence, Mr Kudrynski said: </w:t>
      </w:r>
      <w:r>
        <w:rPr>
          <w:rFonts w:ascii="Arial"/>
          <w:color w:val="000000"/>
          <w:sz w:val="24"/>
        </w:rPr>
        <w:t>“</w:t>
      </w:r>
      <w:r>
        <w:rPr>
          <w:rFonts w:ascii="Arial"/>
          <w:color w:val="000000"/>
          <w:sz w:val="24"/>
        </w:rPr>
        <w:t>It was common knowledge</w:t>
      </w:r>
      <w:r>
        <w:rPr>
          <w:rFonts w:ascii="Arial"/>
          <w:color w:val="000000"/>
          <w:sz w:val="24"/>
        </w:rPr>
        <w:t>”</w:t>
      </w:r>
      <w:r>
        <w:rPr>
          <w:rFonts w:ascii="Arial"/>
          <w:color w:val="000000"/>
          <w:sz w:val="24"/>
        </w:rPr>
        <w:t>. Mr Kudrynski then complained that Mr Waddell did not disclose the readings on the pumps being used in the area</w:t>
      </w:r>
      <w:r>
        <w:rPr>
          <w:rFonts w:ascii="Arial"/>
          <w:color w:val="000000"/>
          <w:sz w:val="24"/>
        </w:rPr>
        <w:t>.</w:t>
      </w:r>
      <w:r>
        <w:rPr>
          <w:rFonts w:ascii="Arial"/>
          <w:color w:val="000000"/>
          <w:sz w:val="24"/>
        </w:rPr>
        <w:t xml:space="preserve"> </w:t>
      </w:r>
      <w:r>
        <w:rPr>
          <w:rFonts w:ascii="Arial"/>
          <w:color w:val="000000"/>
          <w:sz w:val="24"/>
        </w:rPr>
        <w:t>H</w:t>
      </w:r>
      <w:r>
        <w:rPr>
          <w:rFonts w:ascii="Arial"/>
          <w:color w:val="000000"/>
          <w:sz w:val="24"/>
        </w:rPr>
        <w:t xml:space="preserve">e said that this would establish </w:t>
      </w:r>
      <w:r>
        <w:rPr>
          <w:rFonts w:ascii="Arial"/>
          <w:color w:val="000000"/>
          <w:sz w:val="24"/>
        </w:rPr>
        <w:t>“</w:t>
      </w:r>
      <w:r>
        <w:rPr>
          <w:rFonts w:ascii="Arial"/>
          <w:color w:val="000000"/>
          <w:sz w:val="24"/>
        </w:rPr>
        <w:t>the area as a water harvesting area and it would give us an idea of what amount was being used at the time</w:t>
      </w:r>
      <w:r>
        <w:rPr>
          <w:rFonts w:ascii="Arial"/>
          <w:color w:val="000000"/>
          <w:sz w:val="24"/>
        </w:rPr>
        <w:t>”</w:t>
      </w:r>
      <w:r>
        <w:rPr>
          <w:rFonts w:ascii="Arial"/>
          <w:color w:val="000000"/>
          <w:sz w:val="24"/>
        </w:rPr>
        <w:t xml:space="preserve">. There then followed the following exchange: </w:t>
      </w:r>
    </w:p>
    <w:p>
      <w:pPr>
        <w:pStyle w:val="CaselawQuote"/>
        <w:spacing w:before="150" w:after="150"/>
        <w:ind w:left="1350"/>
        <w:jc w:val="left"/>
      </w:pPr>
      <w:r>
        <w:rPr>
          <w:rFonts w:ascii="Arial"/>
          <w:color w:val="000000"/>
          <w:sz w:val="22"/>
        </w:rPr>
        <w:t xml:space="preserve">HER HONOUR: </w:t>
      </w:r>
      <w:r>
        <w:rPr>
          <w:rFonts w:ascii="Arial"/>
          <w:color w:val="000000"/>
          <w:sz w:val="22"/>
        </w:rPr>
        <w:t>   </w:t>
      </w:r>
      <w:r>
        <w:rPr>
          <w:rFonts w:ascii="Arial"/>
          <w:color w:val="000000"/>
          <w:sz w:val="22"/>
        </w:rPr>
        <w:t xml:space="preserve">But as Mr Waddell said, that water that comes onto your property isn’t only just the water that falls from the sky or on your property or comes from the creek. It’s water that comes from upstream and washes across your property. </w:t>
      </w:r>
    </w:p>
    <w:p>
      <w:pPr>
        <w:pStyle w:val="CaselawQuote"/>
        <w:spacing w:before="150" w:after="150"/>
        <w:ind w:left="1350"/>
        <w:jc w:val="left"/>
      </w:pPr>
      <w:r>
        <w:rPr>
          <w:rFonts w:ascii="Arial"/>
          <w:color w:val="000000"/>
          <w:sz w:val="22"/>
        </w:rPr>
        <w:t>APPLICANT J KUDRYNSKI:</w:t>
      </w:r>
      <w:r>
        <w:rPr>
          <w:rFonts w:ascii="Arial"/>
          <w:color w:val="000000"/>
          <w:sz w:val="22"/>
        </w:rPr>
        <w:t>   </w:t>
      </w:r>
      <w:r>
        <w:rPr>
          <w:rFonts w:ascii="Arial"/>
          <w:color w:val="000000"/>
          <w:sz w:val="22"/>
        </w:rPr>
        <w:t>That is correct.</w:t>
      </w:r>
    </w:p>
    <w:p>
      <w:pPr>
        <w:pStyle w:val="CaselawQuote"/>
        <w:spacing w:before="150" w:after="150"/>
        <w:ind w:left="1350"/>
        <w:jc w:val="left"/>
      </w:pPr>
      <w:r>
        <w:rPr>
          <w:rFonts w:ascii="Arial"/>
          <w:color w:val="000000"/>
          <w:sz w:val="22"/>
        </w:rPr>
        <w:t>HER HONOUR:</w:t>
      </w:r>
      <w:r>
        <w:rPr>
          <w:rFonts w:ascii="Arial"/>
          <w:color w:val="000000"/>
          <w:sz w:val="22"/>
        </w:rPr>
        <w:t>   </w:t>
      </w:r>
      <w:r>
        <w:rPr>
          <w:rFonts w:ascii="Arial"/>
          <w:color w:val="000000"/>
          <w:sz w:val="22"/>
        </w:rPr>
        <w:t>Even on the way that you put the case, it’s not all your water.</w:t>
      </w:r>
    </w:p>
    <w:p>
      <w:pPr>
        <w:pStyle w:val="CaselawQuote"/>
        <w:spacing w:before="150" w:after="150"/>
        <w:ind w:left="1350"/>
        <w:jc w:val="left"/>
      </w:pPr>
      <w:r>
        <w:rPr>
          <w:rFonts w:ascii="Arial"/>
          <w:color w:val="000000"/>
          <w:sz w:val="22"/>
        </w:rPr>
        <w:t>APPLICANT J KUDRYNSKI:</w:t>
      </w:r>
      <w:r>
        <w:rPr>
          <w:rFonts w:ascii="Arial"/>
          <w:color w:val="000000"/>
          <w:sz w:val="22"/>
        </w:rPr>
        <w:t>   </w:t>
      </w:r>
      <w:r>
        <w:rPr>
          <w:rFonts w:ascii="Arial"/>
          <w:color w:val="000000"/>
          <w:sz w:val="22"/>
        </w:rPr>
        <w:t>No, definitely it’s not. No.</w:t>
      </w:r>
    </w:p>
    <w:p>
      <w:pPr>
        <w:pStyle w:val="CaselawQuote"/>
        <w:spacing w:before="150" w:after="150"/>
        <w:ind w:left="1350"/>
        <w:jc w:val="left"/>
      </w:pPr>
      <w:r>
        <w:rPr>
          <w:rFonts w:ascii="Arial"/>
          <w:color w:val="000000"/>
          <w:sz w:val="22"/>
        </w:rPr>
        <w:t>HER HONOUR:</w:t>
      </w:r>
      <w:r>
        <w:rPr>
          <w:rFonts w:ascii="Arial"/>
          <w:color w:val="000000"/>
          <w:sz w:val="22"/>
        </w:rPr>
        <w:t>   </w:t>
      </w:r>
      <w:r>
        <w:rPr>
          <w:rFonts w:ascii="Arial"/>
          <w:color w:val="000000"/>
          <w:sz w:val="22"/>
        </w:rPr>
        <w:t>Again, I come back to how do we get to $160 million?</w:t>
      </w:r>
    </w:p>
    <w:p>
      <w:pPr>
        <w:pStyle w:val="CaselawQuote"/>
        <w:spacing w:before="150" w:after="150"/>
        <w:ind w:left="1350"/>
        <w:jc w:val="left"/>
      </w:pPr>
      <w:r>
        <w:rPr>
          <w:rFonts w:ascii="Arial"/>
          <w:color w:val="000000"/>
          <w:sz w:val="22"/>
        </w:rPr>
        <w:t>APPLICANT J KUDRYNSKI:</w:t>
      </w:r>
      <w:r>
        <w:rPr>
          <w:rFonts w:ascii="Arial"/>
          <w:color w:val="000000"/>
          <w:sz w:val="22"/>
        </w:rPr>
        <w:t>   </w:t>
      </w:r>
      <w:r>
        <w:rPr>
          <w:rFonts w:ascii="Arial"/>
          <w:color w:val="000000"/>
          <w:sz w:val="22"/>
        </w:rPr>
        <w:t>It’s not just my water, it’s the water that is passing through the property that is not being harvested by – right at the end it’s picked up by council and pumped into the creek, pumped into the dam.</w:t>
      </w:r>
    </w:p>
    <w:p>
      <w:pPr>
        <w:pStyle w:val="CaselawQuote"/>
        <w:spacing w:before="150" w:after="150"/>
        <w:ind w:left="1350"/>
        <w:jc w:val="left"/>
      </w:pPr>
      <w:r>
        <w:rPr>
          <w:rFonts w:ascii="Arial"/>
          <w:color w:val="000000"/>
          <w:sz w:val="22"/>
        </w:rPr>
        <w:t>HER HONOUR:</w:t>
      </w:r>
      <w:r>
        <w:rPr>
          <w:rFonts w:ascii="Arial"/>
          <w:color w:val="000000"/>
          <w:sz w:val="22"/>
        </w:rPr>
        <w:t>   </w:t>
      </w:r>
      <w:r>
        <w:rPr>
          <w:rFonts w:ascii="Arial"/>
          <w:color w:val="000000"/>
          <w:sz w:val="22"/>
        </w:rPr>
        <w:t>I have to tell you now, Mr Kudrynski that on the evidence that you’ve put before the Court, there is no way the Court is going to find or can find – unless there’s something I’m missing – there’s no way that the Court can award you $160 million. You just simply haven’t given that evidence to the Court.</w:t>
      </w:r>
    </w:p>
    <w:p>
      <w:pPr>
        <w:pStyle w:val="CaselawQuote"/>
        <w:spacing w:before="150" w:after="150"/>
        <w:ind w:left="1350"/>
        <w:jc w:val="left"/>
      </w:pPr>
      <w:r>
        <w:rPr>
          <w:rFonts w:ascii="Arial"/>
          <w:color w:val="000000"/>
          <w:sz w:val="22"/>
        </w:rPr>
        <w:t>APPLICANT J KUDRYNSKI:</w:t>
      </w:r>
      <w:r>
        <w:rPr>
          <w:rFonts w:ascii="Arial"/>
          <w:color w:val="000000"/>
          <w:sz w:val="22"/>
        </w:rPr>
        <w:t>   </w:t>
      </w:r>
      <w:r>
        <w:rPr>
          <w:rFonts w:ascii="Arial"/>
          <w:color w:val="000000"/>
          <w:sz w:val="22"/>
        </w:rPr>
        <w:t xml:space="preserve">I cannot remember how I made the numbers up but I didn’t make it up and submitted them at the time to council and the Valuer General and no-one tested it or questioned it. </w:t>
      </w:r>
    </w:p>
    <w:p>
      <w:pPr>
        <w:pStyle w:val="CaselawNormal"/>
        <w:spacing w:before="150" w:after="150"/>
        <w:ind w:left="600"/>
        <w:jc w:val="left"/>
      </w:pPr>
      <w:r>
        <w:rPr>
          <w:rFonts w:ascii="Arial"/>
          <w:color w:val="000000"/>
          <w:sz w:val="24"/>
        </w:rPr>
        <w:t xml:space="preserve">The primary judge did not err in disregarding </w:t>
      </w:r>
      <w:r>
        <w:rPr>
          <w:rFonts w:ascii="Arial"/>
          <w:color w:val="000000"/>
          <w:sz w:val="24"/>
        </w:rPr>
        <w:t>Mr Kudrynski</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calculations. </w:t>
      </w:r>
    </w:p>
    <w:p>
      <w:pPr>
        <w:pStyle w:val="CaselawNumbered10"/>
        <w:numPr>
          <w:ilvl w:val="0"/>
          <w:numId w:val="42"/>
        </w:numPr>
        <w:spacing w:before="150" w:after="0"/>
        <w:ind w:left="600" w:hanging="600"/>
      </w:pPr>
      <w:r>
        <w:rPr>
          <w:rFonts w:ascii="Arial"/>
          <w:color w:val="000000"/>
          <w:sz w:val="24"/>
        </w:rPr>
        <w:t xml:space="preserve">Section 56(1)(a) </w:t>
      </w:r>
      <w:r>
        <w:rPr>
          <w:rFonts w:ascii="Arial"/>
          <w:color w:val="000000"/>
          <w:sz w:val="24"/>
        </w:rPr>
        <w:t xml:space="preserve">of the </w:t>
      </w:r>
      <w:r>
        <w:rPr>
          <w:rFonts w:ascii="Arial"/>
          <w:i/>
          <w:color w:val="000000"/>
          <w:sz w:val="24"/>
        </w:rPr>
        <w:t xml:space="preserve">Just Terms Act </w:t>
      </w:r>
      <w:r>
        <w:rPr>
          <w:rFonts w:ascii="Arial"/>
          <w:color w:val="000000"/>
          <w:sz w:val="24"/>
        </w:rPr>
        <w:t xml:space="preserve">requires the Court to disregard any increase or decrease in the value of land caused by the carrying out of, or the proposal to carry out, the public purpose in question (see, e.g., </w:t>
      </w:r>
      <w:r>
        <w:rPr>
          <w:rFonts w:ascii="Arial"/>
          <w:i/>
          <w:color w:val="000000"/>
          <w:sz w:val="24"/>
        </w:rPr>
        <w:t xml:space="preserve">Sydney Metro v G&amp;J Drivas Pty Ltd </w:t>
      </w:r>
      <w:r>
        <w:rPr>
          <w:rFonts w:ascii="Arial"/>
          <w:color w:val="000000"/>
          <w:sz w:val="24"/>
        </w:rPr>
        <w:t xml:space="preserve">[2024] NSWCA </w:t>
      </w:r>
      <w:r>
        <w:rPr>
          <w:rFonts w:ascii="Arial"/>
          <w:color w:val="000000"/>
          <w:sz w:val="24"/>
        </w:rPr>
        <w:t xml:space="preserve">5 and </w:t>
      </w:r>
      <w:r>
        <w:rPr>
          <w:rFonts w:ascii="Arial"/>
          <w:i/>
          <w:color w:val="000000"/>
          <w:sz w:val="24"/>
        </w:rPr>
        <w:t>Mosca</w:t>
      </w:r>
      <w:r>
        <w:rPr>
          <w:rFonts w:ascii="Arial"/>
          <w:color w:val="000000"/>
          <w:sz w:val="24"/>
        </w:rPr>
        <w:t xml:space="preserve">). Mr McGuirk made plain under cross-examination that he understood the effect of this provision was that he had to disregard the public purpose of the </w:t>
      </w:r>
      <w:r>
        <w:rPr>
          <w:rFonts w:ascii="Arial"/>
          <w:color w:val="000000"/>
          <w:sz w:val="24"/>
        </w:rPr>
        <w:t>proposed use</w:t>
      </w:r>
      <w:r>
        <w:rPr>
          <w:rFonts w:ascii="Arial"/>
          <w:color w:val="000000"/>
          <w:sz w:val="24"/>
        </w:rPr>
        <w:t xml:space="preserve">. Nevertheless, he explained that he had attributed some value to that part of the Land which was liable to flood. He said that he </w:t>
      </w:r>
      <w:r>
        <w:rPr>
          <w:rFonts w:ascii="Arial"/>
          <w:color w:val="000000"/>
          <w:sz w:val="24"/>
        </w:rPr>
        <w:t>“</w:t>
      </w:r>
      <w:r>
        <w:rPr>
          <w:rFonts w:ascii="Arial"/>
          <w:color w:val="000000"/>
          <w:sz w:val="24"/>
        </w:rPr>
        <w:t>recognised that that section of the land had lower utility because of the flood liability and coupled with the fact that a lot of the land, which is flood liable is also under the transmission line easement</w:t>
      </w:r>
      <w:r>
        <w:rPr>
          <w:rFonts w:ascii="Arial"/>
          <w:color w:val="000000"/>
          <w:sz w:val="24"/>
        </w:rPr>
        <w:t>”</w:t>
      </w:r>
      <w:r>
        <w:rPr>
          <w:rFonts w:ascii="Arial"/>
          <w:color w:val="000000"/>
          <w:sz w:val="24"/>
        </w:rPr>
        <w:t xml:space="preserve">. Mr McGuirk also explained that his valuation of $560,000 for the Land did not include any amount for water extraction </w:t>
      </w:r>
      <w:r>
        <w:rPr>
          <w:rFonts w:ascii="Arial"/>
          <w:b/>
          <w:color w:val="000000"/>
          <w:sz w:val="24"/>
        </w:rPr>
        <w:t>independently</w:t>
      </w:r>
      <w:r>
        <w:rPr>
          <w:rFonts w:ascii="Arial"/>
          <w:color w:val="000000"/>
          <w:sz w:val="24"/>
        </w:rPr>
        <w:t xml:space="preserve"> </w:t>
      </w:r>
      <w:r>
        <w:rPr>
          <w:rFonts w:ascii="Arial"/>
          <w:color w:val="000000"/>
          <w:sz w:val="24"/>
        </w:rPr>
        <w:t xml:space="preserve">of the Project. That was because, at the time of the resumption, </w:t>
      </w:r>
      <w:r>
        <w:rPr>
          <w:rFonts w:ascii="Arial"/>
          <w:color w:val="000000"/>
          <w:sz w:val="24"/>
        </w:rPr>
        <w:t xml:space="preserve">the Kudrynskis had </w:t>
      </w:r>
      <w:r>
        <w:rPr>
          <w:rFonts w:ascii="Arial"/>
          <w:color w:val="000000"/>
          <w:sz w:val="24"/>
        </w:rPr>
        <w:t xml:space="preserve">no legal right to extract water from the creek in that area and any applicant seeking approval to extract water would have to go through </w:t>
      </w:r>
      <w:r>
        <w:rPr>
          <w:rFonts w:ascii="Arial"/>
          <w:color w:val="000000"/>
          <w:sz w:val="24"/>
        </w:rPr>
        <w:t>“</w:t>
      </w:r>
      <w:r>
        <w:rPr>
          <w:rFonts w:ascii="Arial"/>
          <w:color w:val="000000"/>
          <w:sz w:val="24"/>
        </w:rPr>
        <w:t>a full</w:t>
      </w:r>
      <w:r>
        <w:rPr>
          <w:rFonts w:ascii="Arial"/>
          <w:color w:val="000000"/>
          <w:sz w:val="24"/>
        </w:rPr>
        <w:t xml:space="preserve"> </w:t>
      </w:r>
      <w:r>
        <w:rPr>
          <w:rFonts w:ascii="Arial"/>
          <w:color w:val="000000"/>
          <w:sz w:val="24"/>
        </w:rPr>
        <w:t xml:space="preserve">approval </w:t>
      </w:r>
      <w:r>
        <w:rPr>
          <w:rFonts w:ascii="Arial"/>
          <w:color w:val="000000"/>
          <w:sz w:val="24"/>
        </w:rPr>
        <w:t>process</w:t>
      </w:r>
      <w:r>
        <w:rPr>
          <w:rFonts w:ascii="Arial"/>
          <w:color w:val="000000"/>
          <w:sz w:val="24"/>
        </w:rPr>
        <w:t>”</w:t>
      </w:r>
      <w:r>
        <w:rPr>
          <w:rFonts w:ascii="Arial"/>
          <w:color w:val="000000"/>
          <w:sz w:val="24"/>
        </w:rPr>
        <w:t xml:space="preserve">. </w:t>
      </w:r>
      <w:r>
        <w:rPr>
          <w:rFonts w:ascii="Arial"/>
          <w:color w:val="000000"/>
          <w:sz w:val="24"/>
        </w:rPr>
        <w:t xml:space="preserve">Consistently with what has been described as the </w:t>
      </w:r>
      <w:r>
        <w:rPr>
          <w:rFonts w:ascii="Arial"/>
          <w:color w:val="000000"/>
          <w:sz w:val="24"/>
        </w:rPr>
        <w:t>“</w:t>
      </w:r>
      <w:r>
        <w:rPr>
          <w:rFonts w:ascii="Arial"/>
          <w:color w:val="000000"/>
          <w:sz w:val="24"/>
        </w:rPr>
        <w:t>basic principle of compensation law</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Mr McGuirk valued the Land at the relevant date in its existing condition with </w:t>
      </w:r>
      <w:r>
        <w:rPr>
          <w:rFonts w:ascii="Arial"/>
          <w:color w:val="000000"/>
          <w:sz w:val="24"/>
        </w:rPr>
        <w:t>“</w:t>
      </w:r>
      <w:r>
        <w:rPr>
          <w:rFonts w:ascii="Arial"/>
          <w:color w:val="000000"/>
          <w:sz w:val="24"/>
        </w:rPr>
        <w:t xml:space="preserve">all </w:t>
      </w:r>
      <w:r>
        <w:rPr>
          <w:rFonts w:ascii="Arial"/>
          <w:color w:val="000000"/>
          <w:sz w:val="24"/>
        </w:rPr>
        <w:t>its potentialities as potentialities</w:t>
      </w:r>
      <w:r>
        <w:rPr>
          <w:rFonts w:ascii="Arial"/>
          <w:color w:val="000000"/>
          <w:sz w:val="24"/>
        </w:rPr>
        <w:t xml:space="preserve">” </w:t>
      </w:r>
      <w:r>
        <w:rPr>
          <w:rFonts w:ascii="Arial"/>
          <w:color w:val="000000"/>
          <w:sz w:val="24"/>
        </w:rPr>
        <w:t xml:space="preserve">(see </w:t>
      </w:r>
      <w:r>
        <w:rPr>
          <w:rFonts w:ascii="Arial"/>
          <w:i/>
          <w:color w:val="000000"/>
          <w:sz w:val="24"/>
        </w:rPr>
        <w:t xml:space="preserve">Mosca </w:t>
      </w:r>
      <w:r>
        <w:rPr>
          <w:rFonts w:ascii="Arial"/>
          <w:color w:val="000000"/>
          <w:sz w:val="24"/>
        </w:rPr>
        <w:t xml:space="preserve">at [15]). </w:t>
      </w:r>
      <w:r>
        <w:rPr>
          <w:rFonts w:ascii="Arial"/>
          <w:color w:val="000000"/>
          <w:sz w:val="24"/>
        </w:rPr>
        <w:t>The primary judge accepted Mr McGuirk</w:t>
      </w:r>
      <w:r>
        <w:rPr>
          <w:rFonts w:ascii="Arial"/>
          <w:color w:val="000000"/>
          <w:sz w:val="24"/>
        </w:rPr>
        <w:t>’</w:t>
      </w:r>
      <w:r>
        <w:rPr>
          <w:rFonts w:ascii="Arial"/>
          <w:color w:val="000000"/>
          <w:sz w:val="24"/>
        </w:rPr>
        <w:t xml:space="preserve">s evidence. </w:t>
      </w:r>
      <w:r>
        <w:rPr>
          <w:rFonts w:ascii="Arial"/>
          <w:color w:val="000000"/>
          <w:sz w:val="24"/>
        </w:rPr>
        <w:t xml:space="preserve">She concluded at PJ[72] that his report </w:t>
      </w:r>
      <w:r>
        <w:rPr>
          <w:rFonts w:ascii="Arial"/>
          <w:color w:val="000000"/>
          <w:sz w:val="24"/>
        </w:rPr>
        <w:t>“</w:t>
      </w:r>
      <w:r>
        <w:rPr>
          <w:rFonts w:ascii="Arial"/>
          <w:color w:val="000000"/>
          <w:sz w:val="24"/>
        </w:rPr>
        <w:t>provided a sound and rational basis for the valuation figure that he arrived at</w:t>
      </w:r>
      <w:r>
        <w:rPr>
          <w:rFonts w:ascii="Arial"/>
          <w:color w:val="000000"/>
          <w:sz w:val="24"/>
        </w:rPr>
        <w:t xml:space="preserve">” </w:t>
      </w:r>
      <w:r>
        <w:rPr>
          <w:rFonts w:ascii="Arial"/>
          <w:color w:val="000000"/>
          <w:sz w:val="24"/>
        </w:rPr>
        <w:t xml:space="preserve">and she found him to be a reliable witness. </w:t>
      </w:r>
      <w:r>
        <w:rPr>
          <w:rFonts w:ascii="Arial"/>
          <w:color w:val="000000"/>
          <w:sz w:val="24"/>
        </w:rPr>
        <w:t>N</w:t>
      </w:r>
      <w:r>
        <w:rPr>
          <w:rFonts w:ascii="Arial"/>
          <w:color w:val="000000"/>
          <w:sz w:val="24"/>
        </w:rPr>
        <w:t>o appellable error has been demonstrated.</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 xml:space="preserve">In his </w:t>
      </w:r>
      <w:r>
        <w:rPr>
          <w:rFonts w:ascii="Arial"/>
          <w:color w:val="000000"/>
          <w:sz w:val="24"/>
        </w:rPr>
        <w:t xml:space="preserve">latest </w:t>
      </w:r>
      <w:r>
        <w:rPr>
          <w:rFonts w:ascii="Arial"/>
          <w:color w:val="000000"/>
          <w:sz w:val="24"/>
        </w:rPr>
        <w:t xml:space="preserve">written submissions, Mr Kudrynski said that the claim </w:t>
      </w:r>
      <w:r>
        <w:rPr>
          <w:rFonts w:ascii="Arial"/>
          <w:color w:val="000000"/>
          <w:sz w:val="24"/>
        </w:rPr>
        <w:t>“</w:t>
      </w:r>
      <w:r>
        <w:rPr>
          <w:rFonts w:ascii="Arial"/>
          <w:color w:val="000000"/>
          <w:sz w:val="24"/>
        </w:rPr>
        <w:t>was for existing use of the land, and had been in use for some eight years previously</w:t>
      </w:r>
      <w:r>
        <w:rPr>
          <w:rFonts w:ascii="Arial"/>
          <w:color w:val="000000"/>
          <w:sz w:val="24"/>
        </w:rPr>
        <w:t>…”</w:t>
      </w:r>
      <w:r>
        <w:rPr>
          <w:rFonts w:ascii="Arial"/>
          <w:color w:val="000000"/>
          <w:sz w:val="24"/>
        </w:rPr>
        <w:t xml:space="preserve">. He then submitted that </w:t>
      </w:r>
      <w:r>
        <w:rPr>
          <w:rFonts w:ascii="Arial"/>
          <w:color w:val="000000"/>
          <w:sz w:val="24"/>
        </w:rPr>
        <w:t>“</w:t>
      </w:r>
      <w:r>
        <w:rPr>
          <w:rFonts w:ascii="Arial"/>
          <w:color w:val="000000"/>
          <w:sz w:val="24"/>
        </w:rPr>
        <w:t>any blind man and his dog could see that the system was set up for existing values. The pumping station, the sew</w:t>
      </w:r>
      <w:r>
        <w:rPr>
          <w:rFonts w:ascii="Arial"/>
          <w:color w:val="000000"/>
          <w:sz w:val="24"/>
        </w:rPr>
        <w:t>er</w:t>
      </w:r>
      <w:r>
        <w:rPr>
          <w:rFonts w:ascii="Arial"/>
          <w:color w:val="000000"/>
          <w:sz w:val="24"/>
        </w:rPr>
        <w:t>age line, sew</w:t>
      </w:r>
      <w:r>
        <w:rPr>
          <w:rFonts w:ascii="Arial"/>
          <w:color w:val="000000"/>
          <w:sz w:val="24"/>
        </w:rPr>
        <w:t>er</w:t>
      </w:r>
      <w:r>
        <w:rPr>
          <w:rFonts w:ascii="Arial"/>
          <w:color w:val="000000"/>
          <w:sz w:val="24"/>
        </w:rPr>
        <w:t>age plant, associated water storage all blended in to make one working unit</w:t>
      </w:r>
      <w:r>
        <w:rPr>
          <w:rFonts w:ascii="Arial"/>
          <w:color w:val="000000"/>
          <w:sz w:val="24"/>
        </w:rPr>
        <w:t>”</w:t>
      </w:r>
      <w:r>
        <w:rPr>
          <w:rFonts w:ascii="Arial"/>
          <w:color w:val="000000"/>
          <w:sz w:val="24"/>
        </w:rPr>
        <w:t xml:space="preserve">. The difficulty with these </w:t>
      </w:r>
      <w:r>
        <w:rPr>
          <w:rFonts w:ascii="Arial"/>
          <w:color w:val="000000"/>
          <w:sz w:val="24"/>
        </w:rPr>
        <w:t>submissions</w:t>
      </w:r>
      <w:r>
        <w:rPr>
          <w:rFonts w:ascii="Arial"/>
          <w:color w:val="000000"/>
          <w:sz w:val="24"/>
        </w:rPr>
        <w:t xml:space="preserve"> </w:t>
      </w:r>
      <w:r>
        <w:rPr>
          <w:rFonts w:ascii="Arial"/>
          <w:color w:val="000000"/>
          <w:sz w:val="24"/>
        </w:rPr>
        <w:t>is that, as noted above, Mr McGuirk valued the Land on the basis of its existing use, with all its potentialities but then explained why he did not include any amount for water extraction for the reasons summarised immediately above.</w:t>
      </w:r>
      <w:r>
        <w:rPr>
          <w:rFonts w:ascii="Arial"/>
          <w:color w:val="000000"/>
          <w:sz w:val="24"/>
        </w:rPr>
        <w:t xml:space="preserve"> </w:t>
      </w:r>
      <w:r>
        <w:rPr>
          <w:rFonts w:ascii="Arial"/>
          <w:color w:val="000000"/>
          <w:sz w:val="24"/>
        </w:rPr>
        <w:t>Her Honour accepted Mr McGuirk</w:t>
      </w:r>
      <w:r>
        <w:rPr>
          <w:rFonts w:ascii="Arial"/>
          <w:color w:val="000000"/>
          <w:sz w:val="24"/>
        </w:rPr>
        <w:t>’</w:t>
      </w:r>
      <w:r>
        <w:rPr>
          <w:rFonts w:ascii="Arial"/>
          <w:color w:val="000000"/>
          <w:sz w:val="24"/>
        </w:rPr>
        <w:t xml:space="preserve">s evidence. </w:t>
      </w:r>
      <w:r>
        <w:rPr>
          <w:rFonts w:ascii="Arial"/>
          <w:color w:val="000000"/>
          <w:sz w:val="24"/>
        </w:rPr>
        <w:t xml:space="preserve">Her Honour also noted at PJ[70(c)] that, at the date of acquisition, no water was being harvested or pumped from the Land and the existing stormwater projects were not located on the Land </w:t>
      </w:r>
      <w:r>
        <w:rPr>
          <w:rFonts w:ascii="Arial"/>
          <w:color w:val="000000"/>
          <w:sz w:val="24"/>
        </w:rPr>
        <w:t xml:space="preserve">– </w:t>
      </w:r>
      <w:r>
        <w:rPr>
          <w:rFonts w:ascii="Arial"/>
          <w:color w:val="000000"/>
          <w:sz w:val="24"/>
        </w:rPr>
        <w:t xml:space="preserve">they were located downstream. Her Honour then added at PJ[70(n)] that both Mr </w:t>
      </w:r>
      <w:r>
        <w:rPr>
          <w:rFonts w:ascii="Arial"/>
          <w:color w:val="000000"/>
          <w:sz w:val="24"/>
        </w:rPr>
        <w:t>Juradowitch</w:t>
      </w:r>
      <w:r>
        <w:rPr>
          <w:rFonts w:ascii="Arial"/>
          <w:color w:val="000000"/>
          <w:sz w:val="24"/>
        </w:rPr>
        <w:t xml:space="preserve"> </w:t>
      </w:r>
      <w:r>
        <w:rPr>
          <w:rFonts w:ascii="Arial"/>
          <w:color w:val="000000"/>
          <w:sz w:val="24"/>
        </w:rPr>
        <w:t xml:space="preserve">(see [53] </w:t>
      </w:r>
      <w:r>
        <w:rPr>
          <w:rFonts w:ascii="Arial"/>
          <w:color w:val="000000"/>
          <w:sz w:val="24"/>
        </w:rPr>
        <w:t xml:space="preserve">of </w:t>
      </w:r>
      <w:r>
        <w:rPr>
          <w:rFonts w:ascii="Arial"/>
          <w:color w:val="000000"/>
          <w:sz w:val="24"/>
        </w:rPr>
        <w:t>his report</w:t>
      </w:r>
      <w:r>
        <w:rPr>
          <w:rFonts w:ascii="Arial"/>
          <w:color w:val="000000"/>
          <w:sz w:val="24"/>
        </w:rPr>
        <w:t>)</w:t>
      </w:r>
      <w:r>
        <w:rPr>
          <w:rFonts w:ascii="Arial"/>
          <w:color w:val="000000"/>
          <w:sz w:val="24"/>
        </w:rPr>
        <w:t xml:space="preserve"> </w:t>
      </w:r>
      <w:r>
        <w:rPr>
          <w:rFonts w:ascii="Arial"/>
          <w:color w:val="000000"/>
          <w:sz w:val="24"/>
        </w:rPr>
        <w:t>and Mr</w:t>
      </w:r>
      <w:r>
        <w:rPr>
          <w:rFonts w:ascii="Arial"/>
          <w:color w:val="000000"/>
          <w:sz w:val="24"/>
        </w:rPr>
        <w:t xml:space="preserve"> </w:t>
      </w:r>
      <w:r>
        <w:rPr>
          <w:rFonts w:ascii="Arial"/>
          <w:color w:val="000000"/>
          <w:sz w:val="24"/>
        </w:rPr>
        <w:t xml:space="preserve">McGuirk (see [9.9] of his report) said that there were apparently no stormwater harvesting schemes in existence in Australia involving a private individual harvesting stormwater and selling it to a body such as the Council. </w:t>
      </w:r>
    </w:p>
    <w:p>
      <w:pPr>
        <w:pStyle w:val="CaselawNumbered10"/>
        <w:numPr>
          <w:ilvl w:val="0"/>
          <w:numId w:val="42"/>
        </w:numPr>
        <w:spacing w:before="150" w:after="0"/>
        <w:ind w:left="600" w:hanging="600"/>
      </w:pPr>
      <w:r>
        <w:rPr>
          <w:rFonts w:ascii="Arial"/>
          <w:color w:val="000000"/>
          <w:sz w:val="24"/>
        </w:rPr>
        <w:t xml:space="preserve">As to the complaint that the primary judge should not have </w:t>
      </w:r>
      <w:r>
        <w:rPr>
          <w:rFonts w:ascii="Arial"/>
          <w:color w:val="000000"/>
          <w:sz w:val="24"/>
        </w:rPr>
        <w:t>“</w:t>
      </w:r>
      <w:r>
        <w:rPr>
          <w:rFonts w:ascii="Arial"/>
          <w:color w:val="000000"/>
          <w:sz w:val="24"/>
        </w:rPr>
        <w:t>allowed any other values</w:t>
      </w:r>
      <w:r>
        <w:rPr>
          <w:rFonts w:ascii="Arial"/>
          <w:color w:val="000000"/>
          <w:sz w:val="24"/>
        </w:rPr>
        <w:t>”</w:t>
      </w:r>
      <w:r>
        <w:rPr>
          <w:rFonts w:ascii="Arial"/>
          <w:color w:val="000000"/>
          <w:sz w:val="24"/>
        </w:rPr>
        <w:t xml:space="preserve">, this seems to </w:t>
      </w:r>
      <w:r>
        <w:rPr>
          <w:rFonts w:ascii="Arial"/>
          <w:color w:val="000000"/>
          <w:sz w:val="24"/>
        </w:rPr>
        <w:t xml:space="preserve">refer to </w:t>
      </w:r>
      <w:r>
        <w:rPr>
          <w:rFonts w:ascii="Arial"/>
          <w:color w:val="000000"/>
          <w:sz w:val="24"/>
        </w:rPr>
        <w:t>the primary judge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prefer</w:t>
      </w:r>
      <w:r>
        <w:rPr>
          <w:rFonts w:ascii="Arial"/>
          <w:color w:val="000000"/>
          <w:sz w:val="24"/>
        </w:rPr>
        <w:t>ence for</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 xml:space="preserve">s valuation evidence over that of the appellants. Absent further elaboration, this </w:t>
      </w:r>
      <w:r>
        <w:rPr>
          <w:rFonts w:ascii="Arial"/>
          <w:color w:val="000000"/>
          <w:sz w:val="24"/>
        </w:rPr>
        <w:t>does not</w:t>
      </w:r>
      <w:r>
        <w:rPr>
          <w:rFonts w:ascii="Arial"/>
          <w:color w:val="000000"/>
          <w:sz w:val="24"/>
        </w:rPr>
        <w:t xml:space="preserve"> </w:t>
      </w:r>
      <w:r>
        <w:rPr>
          <w:rFonts w:ascii="Arial"/>
          <w:color w:val="000000"/>
          <w:sz w:val="24"/>
        </w:rPr>
        <w:t>involve a question of law. It simply involves a challenge to the merits of the primary judge</w:t>
      </w:r>
      <w:r>
        <w:rPr>
          <w:rFonts w:ascii="Arial"/>
          <w:color w:val="000000"/>
          <w:sz w:val="24"/>
        </w:rPr>
        <w:t>’</w:t>
      </w:r>
      <w:r>
        <w:rPr>
          <w:rFonts w:ascii="Arial"/>
          <w:color w:val="000000"/>
          <w:sz w:val="24"/>
        </w:rPr>
        <w:t>s ultimate conclusion</w:t>
      </w:r>
      <w:r>
        <w:rPr>
          <w:rFonts w:ascii="Arial"/>
          <w:color w:val="000000"/>
          <w:sz w:val="24"/>
        </w:rPr>
        <w:t xml:space="preserve"> </w:t>
      </w:r>
      <w:r>
        <w:rPr>
          <w:rFonts w:ascii="Arial"/>
          <w:color w:val="000000"/>
          <w:sz w:val="24"/>
        </w:rPr>
        <w:t>(</w:t>
      </w:r>
      <w:r>
        <w:rPr>
          <w:rFonts w:ascii="Arial"/>
          <w:color w:val="000000"/>
          <w:sz w:val="24"/>
        </w:rPr>
        <w:t xml:space="preserve">at </w:t>
      </w:r>
      <w:r>
        <w:rPr>
          <w:rFonts w:ascii="Arial"/>
          <w:color w:val="000000"/>
          <w:sz w:val="24"/>
        </w:rPr>
        <w:t>PJ[70])</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Ground 2 involves an assertion of fact, namely that the only valuation sought (presumably by the appellants) was at a figure of $160 million. It is difficult to see how this involves a question of law.</w:t>
      </w:r>
      <w:r>
        <w:rPr>
          <w:rFonts w:ascii="Arial"/>
          <w:color w:val="000000"/>
          <w:sz w:val="24"/>
        </w:rPr>
        <w:t xml:space="preserve"> </w:t>
      </w:r>
      <w:r>
        <w:rPr>
          <w:rFonts w:ascii="Arial"/>
          <w:color w:val="000000"/>
          <w:sz w:val="24"/>
        </w:rPr>
        <w:t xml:space="preserve">In any event, the primary judge clearly </w:t>
      </w:r>
      <w:r>
        <w:rPr>
          <w:rFonts w:ascii="Arial"/>
          <w:color w:val="000000"/>
          <w:sz w:val="24"/>
        </w:rPr>
        <w:t>understood, considered and rejected that figure and explained why she preferred the Council</w:t>
      </w:r>
      <w:r>
        <w:rPr>
          <w:rFonts w:ascii="Arial"/>
          <w:color w:val="000000"/>
          <w:sz w:val="24"/>
        </w:rPr>
        <w:t>’</w:t>
      </w:r>
      <w:r>
        <w:rPr>
          <w:rFonts w:ascii="Arial"/>
          <w:color w:val="000000"/>
          <w:sz w:val="24"/>
        </w:rPr>
        <w:t xml:space="preserve">s valuation figure. </w:t>
      </w:r>
      <w:r>
        <w:rPr>
          <w:rFonts w:ascii="Arial"/>
          <w:color w:val="000000"/>
          <w:sz w:val="24"/>
        </w:rPr>
        <w:t>No error has been established.</w:t>
      </w:r>
    </w:p>
    <w:p>
      <w:pPr>
        <w:pStyle w:val="CaselawNumbered10"/>
        <w:numPr>
          <w:ilvl w:val="0"/>
          <w:numId w:val="42"/>
        </w:numPr>
        <w:spacing w:before="150" w:after="0"/>
        <w:ind w:left="600" w:hanging="600"/>
      </w:pPr>
      <w:r>
        <w:rPr>
          <w:rFonts w:ascii="Arial"/>
          <w:color w:val="000000"/>
          <w:sz w:val="24"/>
        </w:rPr>
        <w:t>Ground 3 is another factual assertion, namely that the primary judge did not consider the appellants</w:t>
      </w:r>
      <w:r>
        <w:rPr>
          <w:rFonts w:ascii="Arial"/>
          <w:color w:val="000000"/>
          <w:sz w:val="24"/>
        </w:rPr>
        <w:t xml:space="preserve">’ </w:t>
      </w:r>
      <w:r>
        <w:rPr>
          <w:rFonts w:ascii="Arial"/>
          <w:color w:val="000000"/>
          <w:sz w:val="24"/>
        </w:rPr>
        <w:t xml:space="preserve">valuation of $160 million. Not only does this ground </w:t>
      </w:r>
      <w:r>
        <w:rPr>
          <w:rFonts w:ascii="Arial"/>
          <w:color w:val="000000"/>
          <w:sz w:val="24"/>
        </w:rPr>
        <w:t xml:space="preserve">fail clearly to identify a </w:t>
      </w:r>
      <w:r>
        <w:rPr>
          <w:rFonts w:ascii="Arial"/>
          <w:color w:val="000000"/>
          <w:sz w:val="24"/>
        </w:rPr>
        <w:t xml:space="preserve">question of law, </w:t>
      </w:r>
      <w:r>
        <w:rPr>
          <w:rFonts w:ascii="Arial"/>
          <w:color w:val="000000"/>
          <w:sz w:val="24"/>
        </w:rPr>
        <w:t>it is</w:t>
      </w:r>
      <w:r>
        <w:rPr>
          <w:rFonts w:ascii="Arial"/>
          <w:color w:val="000000"/>
          <w:sz w:val="24"/>
        </w:rPr>
        <w:t xml:space="preserve"> </w:t>
      </w:r>
      <w:r>
        <w:rPr>
          <w:rFonts w:ascii="Arial"/>
          <w:color w:val="000000"/>
          <w:sz w:val="24"/>
        </w:rPr>
        <w:t>contradicted</w:t>
      </w:r>
      <w:r>
        <w:rPr>
          <w:rFonts w:ascii="Arial"/>
          <w:color w:val="000000"/>
          <w:sz w:val="24"/>
        </w:rPr>
        <w:t xml:space="preserve"> </w:t>
      </w:r>
      <w:r>
        <w:rPr>
          <w:rFonts w:ascii="Arial"/>
          <w:color w:val="000000"/>
          <w:sz w:val="24"/>
        </w:rPr>
        <w:t xml:space="preserve">by the many references to that </w:t>
      </w:r>
      <w:r>
        <w:rPr>
          <w:rFonts w:ascii="Arial"/>
          <w:color w:val="000000"/>
          <w:sz w:val="24"/>
        </w:rPr>
        <w:t xml:space="preserve">specific </w:t>
      </w:r>
      <w:r>
        <w:rPr>
          <w:rFonts w:ascii="Arial"/>
          <w:color w:val="000000"/>
          <w:sz w:val="24"/>
        </w:rPr>
        <w:t xml:space="preserve">figure in the primary judgment </w:t>
      </w:r>
      <w:r>
        <w:rPr>
          <w:rFonts w:ascii="Arial"/>
          <w:color w:val="000000"/>
          <w:sz w:val="24"/>
        </w:rPr>
        <w:t xml:space="preserve">in the context of her Honour </w:t>
      </w:r>
      <w:r>
        <w:rPr>
          <w:rFonts w:ascii="Arial"/>
          <w:color w:val="000000"/>
          <w:sz w:val="24"/>
        </w:rPr>
        <w:t>explaining</w:t>
      </w:r>
      <w:r>
        <w:rPr>
          <w:rFonts w:ascii="Arial"/>
          <w:color w:val="000000"/>
          <w:sz w:val="24"/>
        </w:rPr>
        <w:t xml:space="preserve"> </w:t>
      </w:r>
      <w:r>
        <w:rPr>
          <w:rFonts w:ascii="Arial"/>
          <w:color w:val="000000"/>
          <w:sz w:val="24"/>
        </w:rPr>
        <w:t xml:space="preserve">why that figure was rejected </w:t>
      </w:r>
      <w:r>
        <w:rPr>
          <w:rFonts w:ascii="Arial"/>
          <w:color w:val="000000"/>
          <w:sz w:val="24"/>
        </w:rPr>
        <w:t xml:space="preserve">(see, e.g., PJ[8], [68(b)], </w:t>
      </w:r>
      <w:r>
        <w:rPr>
          <w:rFonts w:ascii="Arial"/>
          <w:color w:val="000000"/>
          <w:sz w:val="24"/>
        </w:rPr>
        <w:t xml:space="preserve">[69] </w:t>
      </w:r>
      <w:r>
        <w:rPr>
          <w:rFonts w:ascii="Arial"/>
          <w:color w:val="000000"/>
          <w:sz w:val="24"/>
        </w:rPr>
        <w:t>and [70</w:t>
      </w:r>
      <w:r>
        <w:rPr>
          <w:rFonts w:ascii="Arial"/>
          <w:color w:val="000000"/>
          <w:sz w:val="24"/>
        </w:rPr>
        <w:t>(d)</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 xml:space="preserve">Ground 4 is more in the nature of a submission than a ground </w:t>
      </w:r>
      <w:r>
        <w:rPr>
          <w:rFonts w:ascii="Arial"/>
          <w:color w:val="000000"/>
          <w:sz w:val="24"/>
        </w:rPr>
        <w:t>of appeal. I</w:t>
      </w:r>
      <w:r>
        <w:rPr>
          <w:rFonts w:ascii="Arial"/>
          <w:color w:val="000000"/>
          <w:sz w:val="24"/>
        </w:rPr>
        <w:t xml:space="preserve">t does not </w:t>
      </w:r>
      <w:r>
        <w:rPr>
          <w:rFonts w:ascii="Arial"/>
          <w:color w:val="000000"/>
          <w:sz w:val="24"/>
        </w:rPr>
        <w:t xml:space="preserve">identify </w:t>
      </w:r>
      <w:r>
        <w:rPr>
          <w:rFonts w:ascii="Arial"/>
          <w:color w:val="000000"/>
          <w:sz w:val="24"/>
        </w:rPr>
        <w:t>a question of law.</w:t>
      </w:r>
      <w:r>
        <w:rPr>
          <w:rFonts w:ascii="Arial"/>
          <w:color w:val="000000"/>
          <w:sz w:val="24"/>
        </w:rPr>
        <w:t xml:space="preserve"> </w:t>
      </w:r>
      <w:r>
        <w:rPr>
          <w:rFonts w:ascii="Arial"/>
          <w:color w:val="000000"/>
          <w:sz w:val="24"/>
        </w:rPr>
        <w:t xml:space="preserve">For completeness, it might also be noted that it is unsurprising that Mr Waddell responded to many of the questions put to him by saying </w:t>
      </w:r>
      <w:r>
        <w:rPr>
          <w:rFonts w:ascii="Arial"/>
          <w:color w:val="000000"/>
          <w:sz w:val="24"/>
        </w:rPr>
        <w:t>“</w:t>
      </w:r>
      <w:r>
        <w:rPr>
          <w:rFonts w:ascii="Arial"/>
          <w:color w:val="000000"/>
          <w:sz w:val="24"/>
        </w:rPr>
        <w:t>I don</w:t>
      </w:r>
      <w:r>
        <w:rPr>
          <w:rFonts w:ascii="Arial"/>
          <w:color w:val="000000"/>
          <w:sz w:val="24"/>
        </w:rPr>
        <w:t>’</w:t>
      </w:r>
      <w:r>
        <w:rPr>
          <w:rFonts w:ascii="Arial"/>
          <w:color w:val="000000"/>
          <w:sz w:val="24"/>
        </w:rPr>
        <w:t>t know</w:t>
      </w:r>
      <w:r>
        <w:rPr>
          <w:rFonts w:ascii="Arial"/>
          <w:color w:val="000000"/>
          <w:sz w:val="24"/>
        </w:rPr>
        <w:t>”</w:t>
      </w:r>
      <w:r>
        <w:rPr>
          <w:rFonts w:ascii="Arial"/>
          <w:color w:val="000000"/>
          <w:sz w:val="24"/>
        </w:rPr>
        <w:t>, given that many questions were of a technical and engineering nature, which he was unable to answer</w:t>
      </w:r>
      <w:r>
        <w:rPr>
          <w:rFonts w:ascii="Arial"/>
          <w:color w:val="000000"/>
          <w:sz w:val="24"/>
        </w:rPr>
        <w:t xml:space="preserve"> </w:t>
      </w:r>
      <w:r>
        <w:rPr>
          <w:rFonts w:ascii="Arial"/>
          <w:color w:val="000000"/>
          <w:sz w:val="24"/>
        </w:rPr>
        <w:t xml:space="preserve">because of his lack of qualifications </w:t>
      </w:r>
      <w:r>
        <w:rPr>
          <w:rFonts w:ascii="Arial"/>
          <w:color w:val="000000"/>
          <w:sz w:val="24"/>
        </w:rPr>
        <w:t>(see PJ[55])</w:t>
      </w:r>
      <w:r>
        <w:rPr>
          <w:rFonts w:ascii="Arial"/>
          <w:color w:val="000000"/>
          <w:sz w:val="24"/>
        </w:rPr>
        <w:t>.</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Ground 5 appears to raise two separate complaints</w:t>
      </w:r>
      <w:r>
        <w:rPr>
          <w:rFonts w:ascii="Arial"/>
          <w:color w:val="000000"/>
          <w:sz w:val="24"/>
        </w:rPr>
        <w:t>,</w:t>
      </w:r>
      <w:r>
        <w:rPr>
          <w:rFonts w:ascii="Arial"/>
          <w:color w:val="000000"/>
          <w:sz w:val="24"/>
        </w:rPr>
        <w:t xml:space="preserve"> </w:t>
      </w:r>
      <w:r>
        <w:rPr>
          <w:rFonts w:ascii="Arial"/>
          <w:color w:val="000000"/>
          <w:sz w:val="24"/>
        </w:rPr>
        <w:t xml:space="preserve">the first relating to the PRD report and the second relating to </w:t>
      </w:r>
      <w:r>
        <w:rPr>
          <w:rFonts w:ascii="Arial"/>
          <w:color w:val="000000"/>
          <w:sz w:val="24"/>
        </w:rPr>
        <w:t>Mr Waddell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evidence (which appears to overlap with ground 4). Neither limb raises a question of law. </w:t>
      </w:r>
      <w:r>
        <w:rPr>
          <w:rFonts w:ascii="Arial"/>
          <w:color w:val="000000"/>
          <w:sz w:val="24"/>
        </w:rPr>
        <w:t xml:space="preserve">In any event, the primary judge can scarcely be criticised for assessing the weight which should be given to the PRD report in circumstances where it was tendered by the applicants and relied upon by them in the LEC proceeding. </w:t>
      </w:r>
      <w:r>
        <w:rPr>
          <w:rFonts w:ascii="Arial"/>
          <w:color w:val="000000"/>
          <w:sz w:val="24"/>
        </w:rPr>
        <w:t>In the appellants</w:t>
      </w:r>
      <w:r>
        <w:rPr>
          <w:rFonts w:ascii="Arial"/>
          <w:color w:val="000000"/>
          <w:sz w:val="24"/>
        </w:rPr>
        <w:t xml:space="preserve">’ </w:t>
      </w:r>
      <w:r>
        <w:rPr>
          <w:rFonts w:ascii="Arial"/>
          <w:color w:val="000000"/>
          <w:sz w:val="24"/>
        </w:rPr>
        <w:t xml:space="preserve">written submission, it is claimed that the appellants </w:t>
      </w:r>
      <w:r>
        <w:rPr>
          <w:rFonts w:ascii="Arial"/>
          <w:color w:val="000000"/>
          <w:sz w:val="24"/>
        </w:rPr>
        <w:t>“</w:t>
      </w:r>
      <w:r>
        <w:rPr>
          <w:rFonts w:ascii="Arial"/>
          <w:color w:val="000000"/>
          <w:sz w:val="24"/>
        </w:rPr>
        <w:t>did not tender the PRD report or know that it had been tendered</w:t>
      </w:r>
      <w:r>
        <w:rPr>
          <w:rFonts w:ascii="Arial"/>
          <w:color w:val="000000"/>
          <w:sz w:val="24"/>
        </w:rPr>
        <w:t>”</w:t>
      </w:r>
      <w:r>
        <w:rPr>
          <w:rFonts w:ascii="Arial"/>
          <w:color w:val="000000"/>
          <w:sz w:val="24"/>
        </w:rPr>
        <w:t>. Those claims are factually wrong, as the transcript of the hearing demonstrates</w:t>
      </w:r>
      <w:r>
        <w:rPr>
          <w:rFonts w:ascii="Arial"/>
          <w:color w:val="000000"/>
          <w:sz w:val="24"/>
        </w:rPr>
        <w:t xml:space="preserve"> </w:t>
      </w:r>
      <w:r>
        <w:rPr>
          <w:rFonts w:ascii="Arial"/>
          <w:color w:val="000000"/>
          <w:sz w:val="24"/>
        </w:rPr>
        <w:t>(see, e.g., T7.32)</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As to the prepared questions, which presumably refers to the two written questions which were put to Mr Waddell after the hearing, it is hardly surprising that he responded as he did</w:t>
      </w:r>
      <w:r>
        <w:rPr>
          <w:rFonts w:ascii="Arial"/>
          <w:color w:val="000000"/>
          <w:sz w:val="24"/>
        </w:rPr>
        <w:t xml:space="preserve"> </w:t>
      </w:r>
      <w:r>
        <w:rPr>
          <w:rFonts w:ascii="Arial"/>
          <w:color w:val="000000"/>
          <w:sz w:val="24"/>
        </w:rPr>
        <w:t>(see at [</w:t>
      </w:r>
      <w:hyperlink r:id="rId23">
        <w:r>
          <w:rPr>
            <w:rFonts w:ascii="Arial"/>
            <w:color w:val="000000"/>
            <w:sz w:val="24"/>
            <w:u w:val="single"/>
          </w:rPr>
          <w:t/>
        </w:r>
        <w:r>
          <w:rPr>
            <w:rFonts w:ascii="Arial"/>
            <w:color w:val="000000"/>
            <w:sz w:val="24"/>
          </w:rPr>
          <w:t>71</w:t>
        </w:r>
      </w:hyperlink>
      <w:hyperlink r:id="rId24">
        <w:r>
          <w:rPr>
            <w:rFonts w:ascii="Arial"/>
            <w:color w:val="000000"/>
            <w:sz w:val="24"/>
          </w:rPr>
          <w:t/>
        </w:r>
      </w:hyperlink>
      <w:r>
        <w:rPr>
          <w:rFonts w:ascii="Arial"/>
          <w:color w:val="000000"/>
          <w:sz w:val="24"/>
        </w:rPr>
        <w:t>] above)</w:t>
      </w:r>
      <w:r>
        <w:rPr>
          <w:rFonts w:ascii="Arial"/>
          <w:color w:val="000000"/>
          <w:sz w:val="24"/>
        </w:rPr>
        <w:t xml:space="preserve"> </w:t>
      </w:r>
      <w:r>
        <w:rPr>
          <w:rFonts w:ascii="Arial"/>
          <w:color w:val="000000"/>
          <w:sz w:val="24"/>
        </w:rPr>
        <w:t xml:space="preserve">given the technical nature of the questions and his lack of expertise. It was made clear in the hearing below that the two questions were directed to Mr Waddell personally and not to the Council at large. </w:t>
      </w:r>
    </w:p>
    <w:p>
      <w:pPr>
        <w:pStyle w:val="CaselawNumbered10"/>
        <w:numPr>
          <w:ilvl w:val="0"/>
          <w:numId w:val="42"/>
        </w:numPr>
        <w:spacing w:before="150" w:after="0"/>
        <w:ind w:left="600" w:hanging="600"/>
      </w:pPr>
      <w:r>
        <w:rPr>
          <w:rFonts w:ascii="Arial"/>
          <w:color w:val="000000"/>
          <w:sz w:val="24"/>
        </w:rPr>
        <w:t xml:space="preserve">Ground 6 does not raise a proper ground of appeal, nor does it </w:t>
      </w:r>
      <w:r>
        <w:rPr>
          <w:rFonts w:ascii="Arial"/>
          <w:color w:val="000000"/>
          <w:sz w:val="24"/>
        </w:rPr>
        <w:t>identify</w:t>
      </w:r>
      <w:r>
        <w:rPr>
          <w:rFonts w:ascii="Arial"/>
          <w:color w:val="000000"/>
          <w:sz w:val="24"/>
        </w:rPr>
        <w:t xml:space="preserve"> </w:t>
      </w:r>
      <w:r>
        <w:rPr>
          <w:rFonts w:ascii="Arial"/>
          <w:color w:val="000000"/>
          <w:sz w:val="24"/>
        </w:rPr>
        <w:t xml:space="preserve">a question of law. </w:t>
      </w:r>
    </w:p>
    <w:p>
      <w:pPr>
        <w:pStyle w:val="CaselawNumbered10"/>
        <w:numPr>
          <w:ilvl w:val="0"/>
          <w:numId w:val="42"/>
        </w:numPr>
        <w:spacing w:before="150" w:after="0"/>
        <w:ind w:left="600" w:hanging="600"/>
      </w:pPr>
      <w:r>
        <w:rPr>
          <w:rFonts w:ascii="Arial"/>
          <w:color w:val="000000"/>
          <w:sz w:val="24"/>
        </w:rPr>
        <w:t>Ground 7 appears to challenge the primary judge</w:t>
      </w:r>
      <w:r>
        <w:rPr>
          <w:rFonts w:ascii="Arial"/>
          <w:color w:val="000000"/>
          <w:sz w:val="24"/>
        </w:rPr>
        <w:t>’</w:t>
      </w:r>
      <w:r>
        <w:rPr>
          <w:rFonts w:ascii="Arial"/>
          <w:color w:val="000000"/>
          <w:sz w:val="24"/>
        </w:rPr>
        <w:t xml:space="preserve">s disallowance of questions regarding electricity and easements. No question of law is </w:t>
      </w:r>
      <w:r>
        <w:rPr>
          <w:rFonts w:ascii="Arial"/>
          <w:color w:val="000000"/>
          <w:sz w:val="24"/>
        </w:rPr>
        <w:t xml:space="preserve">clearly </w:t>
      </w:r>
      <w:r>
        <w:rPr>
          <w:rFonts w:ascii="Arial"/>
          <w:color w:val="000000"/>
          <w:sz w:val="24"/>
        </w:rPr>
        <w:t xml:space="preserve">identified. </w:t>
      </w:r>
      <w:r>
        <w:rPr>
          <w:rFonts w:ascii="Arial"/>
          <w:color w:val="000000"/>
          <w:sz w:val="24"/>
        </w:rPr>
        <w:t xml:space="preserve">In the outline of written submissions, Mr Kudrynski claimed that the electricity transmission easement was present at the time of resumption. He claimed compensation for it, and </w:t>
      </w:r>
      <w:r>
        <w:rPr>
          <w:rFonts w:ascii="Arial"/>
          <w:color w:val="000000"/>
          <w:sz w:val="24"/>
        </w:rPr>
        <w:t xml:space="preserve">that </w:t>
      </w:r>
      <w:r>
        <w:rPr>
          <w:rFonts w:ascii="Arial"/>
          <w:color w:val="000000"/>
          <w:sz w:val="24"/>
        </w:rPr>
        <w:t xml:space="preserve">none has been forthcoming. The difficulty with this claim is that the Kudrynskis did not own the easement and had no entitlement to compensation in respect of it. </w:t>
      </w:r>
    </w:p>
    <w:p>
      <w:pPr>
        <w:pStyle w:val="CaselawNumbered10"/>
        <w:numPr>
          <w:ilvl w:val="0"/>
          <w:numId w:val="42"/>
        </w:numPr>
        <w:spacing w:before="150" w:after="0"/>
        <w:ind w:left="600" w:hanging="600"/>
      </w:pPr>
      <w:r>
        <w:rPr>
          <w:rFonts w:ascii="Arial"/>
          <w:color w:val="000000"/>
          <w:sz w:val="24"/>
        </w:rPr>
        <w:t>In any event, it is important to pay close attention to the transcript regarding the cross-examination of Mr McGuirk. Mr Kudrynski asked him numerous questions on the topic. Mr McGuirk repeatedly said that his valuation took into account that there was a transmission line, towers, and an associated easement within the Land. He explained at T134</w:t>
      </w:r>
      <w:r>
        <w:rPr>
          <w:rFonts w:ascii="Arial"/>
          <w:color w:val="000000"/>
          <w:sz w:val="24"/>
        </w:rPr>
        <w:t>.35</w:t>
      </w:r>
      <w:r>
        <w:rPr>
          <w:rFonts w:ascii="Arial"/>
          <w:b/>
          <w:color w:val="000000"/>
          <w:sz w:val="24"/>
        </w:rPr>
        <w:t xml:space="preserve"> </w:t>
      </w:r>
      <w:r>
        <w:rPr>
          <w:rFonts w:ascii="Arial"/>
          <w:color w:val="000000"/>
          <w:sz w:val="24"/>
        </w:rPr>
        <w:t xml:space="preserve">that merely because the electricity authority had an easement over land did not mean that the owner lost </w:t>
      </w:r>
      <w:r>
        <w:rPr>
          <w:rFonts w:ascii="Arial"/>
          <w:color w:val="000000"/>
          <w:sz w:val="24"/>
        </w:rPr>
        <w:t>their</w:t>
      </w:r>
      <w:r>
        <w:rPr>
          <w:rFonts w:ascii="Arial"/>
          <w:color w:val="000000"/>
          <w:sz w:val="24"/>
        </w:rPr>
        <w:t xml:space="preserve"> </w:t>
      </w:r>
      <w:r>
        <w:rPr>
          <w:rFonts w:ascii="Arial"/>
          <w:color w:val="000000"/>
          <w:sz w:val="24"/>
        </w:rPr>
        <w:t xml:space="preserve">interest in the </w:t>
      </w:r>
      <w:r>
        <w:rPr>
          <w:rFonts w:ascii="Arial"/>
          <w:color w:val="000000"/>
          <w:sz w:val="24"/>
        </w:rPr>
        <w:t>land</w:t>
      </w:r>
      <w:r>
        <w:rPr>
          <w:rFonts w:ascii="Arial"/>
          <w:color w:val="000000"/>
          <w:sz w:val="24"/>
        </w:rPr>
        <w:t xml:space="preserve">. Rather, the owner was restricted in what he or should or could do within the easement. The primary judge did not interfere with these exchanges. Her Honour </w:t>
      </w:r>
      <w:r>
        <w:rPr>
          <w:rFonts w:ascii="Arial"/>
          <w:color w:val="000000"/>
          <w:sz w:val="24"/>
        </w:rPr>
        <w:t xml:space="preserve">then </w:t>
      </w:r>
      <w:r>
        <w:rPr>
          <w:rFonts w:ascii="Arial"/>
          <w:color w:val="000000"/>
          <w:sz w:val="24"/>
        </w:rPr>
        <w:t>disallowed Mr Kudrynski</w:t>
      </w:r>
      <w:r>
        <w:rPr>
          <w:rFonts w:ascii="Arial"/>
          <w:color w:val="000000"/>
          <w:sz w:val="24"/>
        </w:rPr>
        <w:t>’</w:t>
      </w:r>
      <w:r>
        <w:rPr>
          <w:rFonts w:ascii="Arial"/>
          <w:color w:val="000000"/>
          <w:sz w:val="24"/>
        </w:rPr>
        <w:t xml:space="preserve">s question to Mr McGuirk when he asked him why no compensation had been paid in relation to the easement. Her Honour quite properly </w:t>
      </w:r>
      <w:r>
        <w:rPr>
          <w:rFonts w:ascii="Arial"/>
          <w:color w:val="000000"/>
          <w:sz w:val="24"/>
        </w:rPr>
        <w:t xml:space="preserve">disallowed the question on the basis that </w:t>
      </w:r>
      <w:r>
        <w:rPr>
          <w:rFonts w:ascii="Arial"/>
          <w:color w:val="000000"/>
          <w:sz w:val="24"/>
        </w:rPr>
        <w:t xml:space="preserve">it was not a question which Mr McGuirk, as a valuer, could answer. Even if there was a question of law in relation to this matter, no error has been established. </w:t>
      </w:r>
    </w:p>
    <w:p>
      <w:pPr>
        <w:pStyle w:val="CaselawNumbered10"/>
        <w:numPr>
          <w:ilvl w:val="0"/>
          <w:numId w:val="42"/>
        </w:numPr>
        <w:spacing w:before="150" w:after="0"/>
        <w:ind w:left="600" w:hanging="600"/>
      </w:pPr>
      <w:r>
        <w:rPr>
          <w:rFonts w:ascii="Arial"/>
          <w:color w:val="000000"/>
          <w:sz w:val="24"/>
        </w:rPr>
        <w:t xml:space="preserve">Ground 8 appears to challenge the limited </w:t>
      </w:r>
      <w:r>
        <w:rPr>
          <w:rFonts w:ascii="Arial"/>
          <w:color w:val="000000"/>
          <w:sz w:val="24"/>
        </w:rPr>
        <w:t xml:space="preserve">(if any) </w:t>
      </w:r>
      <w:r>
        <w:rPr>
          <w:rFonts w:ascii="Arial"/>
          <w:color w:val="000000"/>
          <w:sz w:val="24"/>
        </w:rPr>
        <w:t xml:space="preserve">weight the primary judge gave to the PRD report. No question of law </w:t>
      </w:r>
      <w:r>
        <w:rPr>
          <w:rFonts w:ascii="Arial"/>
          <w:color w:val="000000"/>
          <w:sz w:val="24"/>
        </w:rPr>
        <w:t>is</w:t>
      </w:r>
      <w:r>
        <w:rPr>
          <w:rFonts w:ascii="Arial"/>
          <w:color w:val="000000"/>
          <w:sz w:val="24"/>
        </w:rPr>
        <w:t xml:space="preserve"> </w:t>
      </w:r>
      <w:r>
        <w:rPr>
          <w:rFonts w:ascii="Arial"/>
          <w:color w:val="000000"/>
          <w:sz w:val="24"/>
        </w:rPr>
        <w:t>identified</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ronically, the appellants appear to criticise the primary judge for having given any consideration to the document notwithstanding that it was tendered by them in support of their case. </w:t>
      </w:r>
    </w:p>
    <w:p>
      <w:pPr>
        <w:pStyle w:val="CaselawNumbered10"/>
        <w:numPr>
          <w:ilvl w:val="0"/>
          <w:numId w:val="42"/>
        </w:numPr>
        <w:spacing w:before="150" w:after="0"/>
        <w:ind w:left="600" w:hanging="600"/>
      </w:pPr>
      <w:r>
        <w:rPr>
          <w:rFonts w:ascii="Arial"/>
          <w:color w:val="000000"/>
          <w:sz w:val="24"/>
        </w:rPr>
        <w:t xml:space="preserve">Ground 9 is not easy to understand, but it appears to be a complaint that the primary judge erred in her fact finding in not taking into account the </w:t>
      </w:r>
      <w:r>
        <w:rPr>
          <w:rFonts w:ascii="Arial"/>
          <w:color w:val="000000"/>
          <w:sz w:val="24"/>
        </w:rPr>
        <w:t>claim</w:t>
      </w:r>
      <w:r>
        <w:rPr>
          <w:rFonts w:ascii="Arial"/>
          <w:color w:val="000000"/>
          <w:sz w:val="24"/>
        </w:rPr>
        <w:t xml:space="preserve"> </w:t>
      </w:r>
      <w:r>
        <w:rPr>
          <w:rFonts w:ascii="Arial"/>
          <w:color w:val="000000"/>
          <w:sz w:val="24"/>
        </w:rPr>
        <w:t xml:space="preserve">that the Land was connected to two Council properties. No question of law is </w:t>
      </w:r>
      <w:r>
        <w:rPr>
          <w:rFonts w:ascii="Arial"/>
          <w:color w:val="000000"/>
          <w:sz w:val="24"/>
        </w:rPr>
        <w:t>identified</w:t>
      </w:r>
      <w:r>
        <w:rPr>
          <w:rFonts w:ascii="Arial"/>
          <w:color w:val="000000"/>
          <w:sz w:val="24"/>
        </w:rPr>
        <w:t>.</w:t>
      </w:r>
      <w:r>
        <w:rPr>
          <w:rFonts w:ascii="Arial"/>
          <w:color w:val="000000"/>
          <w:sz w:val="24"/>
        </w:rPr>
        <w:t xml:space="preserve"> </w:t>
      </w:r>
      <w:r>
        <w:rPr>
          <w:rFonts w:ascii="Arial"/>
          <w:color w:val="000000"/>
          <w:sz w:val="24"/>
        </w:rPr>
        <w:t xml:space="preserve">In any event, if the object of this ground </w:t>
      </w:r>
      <w:r>
        <w:rPr>
          <w:rFonts w:ascii="Arial"/>
          <w:color w:val="000000"/>
          <w:sz w:val="24"/>
        </w:rPr>
        <w:t>was</w:t>
      </w:r>
      <w:r>
        <w:rPr>
          <w:rFonts w:ascii="Arial"/>
          <w:color w:val="000000"/>
          <w:sz w:val="24"/>
        </w:rPr>
        <w:t xml:space="preserve"> </w:t>
      </w:r>
      <w:r>
        <w:rPr>
          <w:rFonts w:ascii="Arial"/>
          <w:color w:val="000000"/>
          <w:sz w:val="24"/>
        </w:rPr>
        <w:t xml:space="preserve">to </w:t>
      </w:r>
      <w:r>
        <w:rPr>
          <w:rFonts w:ascii="Arial"/>
          <w:color w:val="000000"/>
          <w:sz w:val="24"/>
        </w:rPr>
        <w:t xml:space="preserve">question the stated public purpose for which the Land was resumed, the primary judge was correct in </w:t>
      </w:r>
      <w:r>
        <w:rPr>
          <w:rFonts w:ascii="Arial"/>
          <w:color w:val="000000"/>
          <w:sz w:val="24"/>
        </w:rPr>
        <w:t>finding</w:t>
      </w:r>
      <w:r>
        <w:rPr>
          <w:rFonts w:ascii="Arial"/>
          <w:color w:val="000000"/>
          <w:sz w:val="24"/>
        </w:rPr>
        <w:t xml:space="preserve"> </w:t>
      </w:r>
      <w:r>
        <w:rPr>
          <w:rFonts w:ascii="Arial"/>
          <w:color w:val="000000"/>
          <w:sz w:val="24"/>
        </w:rPr>
        <w:t xml:space="preserve">that this was not a relevant </w:t>
      </w:r>
      <w:r>
        <w:rPr>
          <w:rFonts w:ascii="Arial"/>
          <w:color w:val="000000"/>
          <w:sz w:val="24"/>
        </w:rPr>
        <w:t>matter</w:t>
      </w:r>
      <w:r>
        <w:rPr>
          <w:rFonts w:ascii="Arial"/>
          <w:color w:val="000000"/>
          <w:sz w:val="24"/>
        </w:rPr>
        <w:t xml:space="preserve"> </w:t>
      </w:r>
      <w:r>
        <w:rPr>
          <w:rFonts w:ascii="Arial"/>
          <w:color w:val="000000"/>
          <w:sz w:val="24"/>
        </w:rPr>
        <w:t xml:space="preserve">in the context of a Class 3 proceeding. </w:t>
      </w:r>
    </w:p>
    <w:p>
      <w:pPr>
        <w:pStyle w:val="CaselawNumbered10"/>
        <w:numPr>
          <w:ilvl w:val="0"/>
          <w:numId w:val="42"/>
        </w:numPr>
        <w:spacing w:before="150" w:after="0"/>
        <w:ind w:left="600" w:hanging="600"/>
      </w:pPr>
      <w:r>
        <w:rPr>
          <w:rFonts w:ascii="Arial"/>
          <w:color w:val="000000"/>
          <w:sz w:val="24"/>
        </w:rPr>
        <w:t>Ground 10 asserts that part of the Land could be subdivided into 30 blocks, which would add to the value of the Land when considered in conjunction with other blocks which already belonged to the Council. No question of law is identified</w:t>
      </w:r>
      <w:r>
        <w:rPr>
          <w:rFonts w:ascii="Arial"/>
          <w:color w:val="000000"/>
          <w:sz w:val="24"/>
        </w:rPr>
        <w:t>.</w:t>
      </w:r>
      <w:r>
        <w:rPr>
          <w:rFonts w:ascii="Arial"/>
          <w:color w:val="000000"/>
          <w:sz w:val="24"/>
        </w:rPr>
        <w:t xml:space="preserve"> </w:t>
      </w:r>
      <w:r>
        <w:rPr>
          <w:rFonts w:ascii="Arial"/>
          <w:color w:val="000000"/>
          <w:sz w:val="24"/>
        </w:rPr>
        <w:t>The primary judge acknowledged at PJ[68(b)] that Mr Kudrynski claimed that the Land could be divided into 30 allotments. Her Honour also summarised Mr McGuirk</w:t>
      </w:r>
      <w:r>
        <w:rPr>
          <w:rFonts w:ascii="Arial"/>
          <w:color w:val="000000"/>
          <w:sz w:val="24"/>
        </w:rPr>
        <w:t>’</w:t>
      </w:r>
      <w:r>
        <w:rPr>
          <w:rFonts w:ascii="Arial"/>
          <w:color w:val="000000"/>
          <w:sz w:val="24"/>
        </w:rPr>
        <w:t xml:space="preserve">s evidence on that issue at PJ[67(e)], which confirmed that a 30 block subdivision was not an available option based on the zoning of the Land. Her Honour accepted that evidence at PJ[70(f)]. The appellants have failed to establish any error. </w:t>
      </w:r>
    </w:p>
    <w:p>
      <w:pPr>
        <w:pStyle w:val="CaselawNumbered10"/>
        <w:numPr>
          <w:ilvl w:val="0"/>
          <w:numId w:val="42"/>
        </w:numPr>
        <w:spacing w:before="150" w:after="0"/>
        <w:ind w:left="600" w:hanging="600"/>
      </w:pPr>
      <w:r>
        <w:rPr>
          <w:rFonts w:ascii="Arial"/>
          <w:color w:val="000000"/>
          <w:sz w:val="24"/>
        </w:rPr>
        <w:t xml:space="preserve">Ground 11 is obtuse with its reference to a $4 million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in the context of access to the Land </w:t>
      </w:r>
      <w:r>
        <w:rPr>
          <w:rFonts w:ascii="Arial"/>
          <w:color w:val="000000"/>
          <w:sz w:val="24"/>
        </w:rPr>
        <w:t xml:space="preserve">in circumstances where Mr McGuirk repeatedly said that such an expense had not been included in his valuation and did not form part of the highest and best use of the </w:t>
      </w:r>
      <w:r>
        <w:rPr>
          <w:rFonts w:ascii="Arial"/>
          <w:color w:val="000000"/>
          <w:sz w:val="24"/>
        </w:rPr>
        <w:t>L</w:t>
      </w:r>
      <w:r>
        <w:rPr>
          <w:rFonts w:ascii="Arial"/>
          <w:color w:val="000000"/>
          <w:sz w:val="24"/>
        </w:rPr>
        <w:t xml:space="preserve">and. The ground also </w:t>
      </w:r>
      <w:r>
        <w:rPr>
          <w:rFonts w:ascii="Arial"/>
          <w:color w:val="000000"/>
          <w:sz w:val="24"/>
        </w:rPr>
        <w:t xml:space="preserve">fails to identify </w:t>
      </w:r>
      <w:r>
        <w:rPr>
          <w:rFonts w:ascii="Arial"/>
          <w:color w:val="000000"/>
          <w:sz w:val="24"/>
        </w:rPr>
        <w:t>a</w:t>
      </w:r>
      <w:r>
        <w:rPr>
          <w:rFonts w:ascii="Arial"/>
          <w:color w:val="000000"/>
          <w:sz w:val="24"/>
        </w:rPr>
        <w:t xml:space="preserve"> </w:t>
      </w:r>
      <w:r>
        <w:rPr>
          <w:rFonts w:ascii="Arial"/>
          <w:color w:val="000000"/>
          <w:sz w:val="24"/>
        </w:rPr>
        <w:t>question of law.</w:t>
      </w:r>
      <w:r>
        <w:rPr>
          <w:rFonts w:ascii="Arial"/>
          <w:color w:val="000000"/>
          <w:sz w:val="24"/>
        </w:rPr>
        <w:t xml:space="preserve"> </w:t>
      </w:r>
      <w:r>
        <w:rPr>
          <w:rFonts w:ascii="Arial"/>
          <w:color w:val="000000"/>
          <w:sz w:val="24"/>
        </w:rPr>
        <w:t>In any event, it is difficult to discern any appellable error on the part of the primary judge in relation to this matter in circumstances where she</w:t>
      </w:r>
      <w:r>
        <w:rPr>
          <w:rFonts w:ascii="Arial"/>
          <w:color w:val="000000"/>
          <w:sz w:val="24"/>
        </w:rPr>
        <w:t xml:space="preserve"> </w:t>
      </w:r>
      <w:r>
        <w:rPr>
          <w:rFonts w:ascii="Arial"/>
          <w:color w:val="000000"/>
          <w:sz w:val="24"/>
        </w:rPr>
        <w:t>correctly</w:t>
      </w:r>
      <w:r>
        <w:rPr>
          <w:rFonts w:ascii="Arial"/>
          <w:color w:val="000000"/>
          <w:sz w:val="24"/>
        </w:rPr>
        <w:t xml:space="preserve"> </w:t>
      </w:r>
      <w:r>
        <w:rPr>
          <w:rFonts w:ascii="Arial"/>
          <w:color w:val="000000"/>
          <w:sz w:val="24"/>
        </w:rPr>
        <w:t xml:space="preserve">found at PJ[70(g)] that no valuation calculation relied upon a $4 million bridge (or road) as a means of access to the Land. Mr McGuirk had based his valuation of the Land </w:t>
      </w:r>
      <w:r>
        <w:rPr>
          <w:rFonts w:ascii="Arial"/>
          <w:color w:val="000000"/>
          <w:sz w:val="24"/>
        </w:rPr>
        <w:t>on</w:t>
      </w:r>
      <w:r>
        <w:rPr>
          <w:rFonts w:ascii="Arial"/>
          <w:color w:val="000000"/>
          <w:sz w:val="24"/>
        </w:rPr>
        <w:t xml:space="preserve"> </w:t>
      </w:r>
      <w:r>
        <w:rPr>
          <w:rFonts w:ascii="Arial"/>
          <w:color w:val="000000"/>
          <w:sz w:val="24"/>
        </w:rPr>
        <w:t xml:space="preserve">a four lot rural subdivision </w:t>
      </w:r>
      <w:r>
        <w:rPr>
          <w:rFonts w:ascii="Arial"/>
          <w:color w:val="000000"/>
          <w:sz w:val="24"/>
        </w:rPr>
        <w:t xml:space="preserve">with each allotment having </w:t>
      </w:r>
      <w:r>
        <w:rPr>
          <w:rFonts w:ascii="Arial"/>
          <w:color w:val="000000"/>
          <w:sz w:val="24"/>
        </w:rPr>
        <w:t xml:space="preserve">frontage to </w:t>
      </w:r>
      <w:r>
        <w:rPr>
          <w:rFonts w:ascii="Arial"/>
          <w:color w:val="000000"/>
          <w:sz w:val="24"/>
        </w:rPr>
        <w:t>Jilba</w:t>
      </w:r>
      <w:r>
        <w:rPr>
          <w:rFonts w:ascii="Arial"/>
          <w:color w:val="000000"/>
          <w:sz w:val="24"/>
        </w:rPr>
        <w:t xml:space="preserve"> </w:t>
      </w:r>
      <w:r>
        <w:rPr>
          <w:rFonts w:ascii="Arial"/>
          <w:color w:val="000000"/>
          <w:sz w:val="24"/>
        </w:rPr>
        <w:t>Street</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 xml:space="preserve">Ground 12 appears to be a complaint that the Council sought to disguise the real value of the Land. </w:t>
      </w:r>
      <w:r>
        <w:rPr>
          <w:rFonts w:ascii="Arial"/>
          <w:color w:val="000000"/>
          <w:sz w:val="24"/>
        </w:rPr>
        <w:t>No question of law is identified with reference to an</w:t>
      </w:r>
      <w:r>
        <w:rPr>
          <w:rFonts w:ascii="Arial"/>
          <w:color w:val="000000"/>
          <w:sz w:val="24"/>
        </w:rPr>
        <w:t>y</w:t>
      </w:r>
      <w:r>
        <w:rPr>
          <w:rFonts w:ascii="Arial"/>
          <w:color w:val="000000"/>
          <w:sz w:val="24"/>
        </w:rPr>
        <w:t xml:space="preserve"> </w:t>
      </w:r>
      <w:r>
        <w:rPr>
          <w:rFonts w:ascii="Arial"/>
          <w:color w:val="000000"/>
          <w:sz w:val="24"/>
        </w:rPr>
        <w:t xml:space="preserve">order or decision by the primary judge. </w:t>
      </w:r>
    </w:p>
    <w:p>
      <w:pPr>
        <w:pStyle w:val="CaselawNumbered10"/>
        <w:numPr>
          <w:ilvl w:val="0"/>
          <w:numId w:val="42"/>
        </w:numPr>
        <w:spacing w:before="150" w:after="0"/>
        <w:ind w:left="600" w:hanging="600"/>
      </w:pPr>
      <w:r>
        <w:rPr>
          <w:rFonts w:ascii="Arial"/>
          <w:color w:val="000000"/>
          <w:sz w:val="24"/>
        </w:rPr>
        <w:t xml:space="preserve">Ground 13 appears to challenge the feasibility of the Project but, as the primary judge repeatedly </w:t>
      </w:r>
      <w:r>
        <w:rPr>
          <w:rFonts w:ascii="Arial"/>
          <w:color w:val="000000"/>
          <w:sz w:val="24"/>
        </w:rPr>
        <w:t xml:space="preserve">and correctly </w:t>
      </w:r>
      <w:r>
        <w:rPr>
          <w:rFonts w:ascii="Arial"/>
          <w:color w:val="000000"/>
          <w:sz w:val="24"/>
        </w:rPr>
        <w:t xml:space="preserve">stated, that issue did not arise in the Class 3 proceeding, which was confined to the question of fair compensation. </w:t>
      </w:r>
    </w:p>
    <w:p>
      <w:pPr>
        <w:pStyle w:val="CaselawNumbered10"/>
        <w:numPr>
          <w:ilvl w:val="0"/>
          <w:numId w:val="42"/>
        </w:numPr>
        <w:spacing w:before="150" w:after="0"/>
        <w:ind w:left="600" w:hanging="600"/>
      </w:pPr>
      <w:r>
        <w:rPr>
          <w:rFonts w:ascii="Arial"/>
          <w:color w:val="000000"/>
          <w:sz w:val="24"/>
        </w:rPr>
        <w:t xml:space="preserve">Ground 21 appears to be a </w:t>
      </w:r>
      <w:r>
        <w:rPr>
          <w:rFonts w:ascii="Arial"/>
          <w:color w:val="000000"/>
          <w:sz w:val="24"/>
        </w:rPr>
        <w:t xml:space="preserve">repeated </w:t>
      </w:r>
      <w:r>
        <w:rPr>
          <w:rFonts w:ascii="Arial"/>
          <w:color w:val="000000"/>
          <w:sz w:val="24"/>
        </w:rPr>
        <w:t>complaint that the primary judge erred in not accepting Mr Kudrynski</w:t>
      </w:r>
      <w:r>
        <w:rPr>
          <w:rFonts w:ascii="Arial"/>
          <w:color w:val="000000"/>
          <w:sz w:val="24"/>
        </w:rPr>
        <w:t>’</w:t>
      </w:r>
      <w:r>
        <w:rPr>
          <w:rFonts w:ascii="Arial"/>
          <w:color w:val="000000"/>
          <w:sz w:val="24"/>
        </w:rPr>
        <w:t xml:space="preserve">s calculations in support of the figure of $160 million. No question of law is identified. </w:t>
      </w:r>
      <w:r>
        <w:rPr>
          <w:rFonts w:ascii="Arial"/>
          <w:color w:val="000000"/>
          <w:sz w:val="24"/>
        </w:rPr>
        <w:t>In any event, the primary judge fully explained why she rejected those calculations (see PJ[70(a)-(d)])</w:t>
      </w:r>
      <w:r>
        <w:rPr>
          <w:rFonts w:ascii="Arial"/>
          <w:color w:val="000000"/>
          <w:sz w:val="24"/>
        </w:rPr>
        <w:t xml:space="preserve"> </w:t>
      </w:r>
      <w:r>
        <w:rPr>
          <w:rFonts w:ascii="Arial"/>
          <w:color w:val="000000"/>
          <w:sz w:val="24"/>
        </w:rPr>
        <w:t>and no error is demonstrated.</w:t>
      </w:r>
    </w:p>
    <w:p>
      <w:pPr>
        <w:pStyle w:val="CaselawNumbered10"/>
        <w:numPr>
          <w:ilvl w:val="0"/>
          <w:numId w:val="42"/>
        </w:numPr>
        <w:spacing w:before="150" w:after="0"/>
        <w:ind w:left="600" w:hanging="600"/>
      </w:pPr>
      <w:r>
        <w:rPr>
          <w:rFonts w:ascii="Arial"/>
          <w:color w:val="000000"/>
          <w:sz w:val="24"/>
        </w:rPr>
        <w:t>Ground 22 complains that the primary judge erred in awarding costs against the applicants and claims that costs should have been ordered against the Council. This ground is entirely baseless</w:t>
      </w:r>
      <w:r>
        <w:rPr>
          <w:rFonts w:ascii="Arial"/>
          <w:color w:val="000000"/>
          <w:sz w:val="24"/>
        </w:rPr>
        <w:t xml:space="preserve"> </w:t>
      </w:r>
      <w:r>
        <w:rPr>
          <w:rFonts w:ascii="Arial"/>
          <w:color w:val="000000"/>
          <w:sz w:val="24"/>
        </w:rPr>
        <w:t>and irrational</w:t>
      </w:r>
      <w:r>
        <w:rPr>
          <w:rFonts w:ascii="Arial"/>
          <w:color w:val="000000"/>
          <w:sz w:val="24"/>
        </w:rPr>
        <w:t xml:space="preserve"> </w:t>
      </w:r>
      <w:r>
        <w:rPr>
          <w:rFonts w:ascii="Arial"/>
          <w:color w:val="000000"/>
          <w:sz w:val="24"/>
        </w:rPr>
        <w:t xml:space="preserve">in circumstances where order 3 below </w:t>
      </w:r>
      <w:r>
        <w:rPr>
          <w:rFonts w:ascii="Arial"/>
          <w:color w:val="000000"/>
          <w:sz w:val="24"/>
        </w:rPr>
        <w:t xml:space="preserve">actually </w:t>
      </w:r>
      <w:r>
        <w:rPr>
          <w:rFonts w:ascii="Arial"/>
          <w:color w:val="000000"/>
          <w:sz w:val="24"/>
        </w:rPr>
        <w:t>required the Council to pay the Kudrynskis</w:t>
      </w:r>
      <w:r>
        <w:rPr>
          <w:rFonts w:ascii="Arial"/>
          <w:color w:val="000000"/>
          <w:sz w:val="24"/>
        </w:rPr>
        <w:t xml:space="preserve">’ </w:t>
      </w:r>
      <w:r>
        <w:rPr>
          <w:rFonts w:ascii="Arial"/>
          <w:color w:val="000000"/>
          <w:sz w:val="24"/>
        </w:rPr>
        <w:t xml:space="preserve">legal costs, if any (see PJ[76]). </w:t>
      </w:r>
    </w:p>
    <w:p>
      <w:pPr>
        <w:pStyle w:val="CaselawNumbered10"/>
        <w:numPr>
          <w:ilvl w:val="0"/>
          <w:numId w:val="42"/>
        </w:numPr>
        <w:spacing w:before="150" w:after="0"/>
        <w:ind w:left="600" w:hanging="600"/>
      </w:pPr>
      <w:r>
        <w:rPr>
          <w:rFonts w:ascii="Arial"/>
          <w:color w:val="000000"/>
          <w:sz w:val="24"/>
        </w:rPr>
        <w:t>Ground 23 complains that the primary judge erred in failing to accept that the main issue in the case related to water levels. It is difficult to discern any question of law</w:t>
      </w:r>
      <w:r>
        <w:rPr>
          <w:rFonts w:ascii="Arial"/>
          <w:color w:val="000000"/>
          <w:sz w:val="24"/>
        </w:rPr>
        <w:t>. I</w:t>
      </w:r>
      <w:r>
        <w:rPr>
          <w:rFonts w:ascii="Arial"/>
          <w:color w:val="000000"/>
          <w:sz w:val="24"/>
        </w:rPr>
        <w:t>n any event, the ground must fail having regard to the statutory disregard</w:t>
      </w:r>
      <w:r>
        <w:rPr>
          <w:rFonts w:ascii="Arial"/>
          <w:color w:val="000000"/>
          <w:sz w:val="24"/>
        </w:rPr>
        <w:t xml:space="preserve"> </w:t>
      </w:r>
      <w:r>
        <w:rPr>
          <w:rFonts w:ascii="Arial"/>
          <w:color w:val="000000"/>
          <w:sz w:val="24"/>
        </w:rPr>
        <w:t>(see also [</w:t>
      </w:r>
      <w:hyperlink r:id="rId25">
        <w:r>
          <w:rPr>
            <w:rFonts w:ascii="Arial"/>
            <w:color w:val="000000"/>
            <w:sz w:val="24"/>
            <w:u w:val="single"/>
          </w:rPr>
          <w:t/>
        </w:r>
        <w:r>
          <w:rPr>
            <w:rFonts w:ascii="Arial"/>
            <w:color w:val="000000"/>
            <w:sz w:val="24"/>
          </w:rPr>
          <w:t>66</w:t>
        </w:r>
      </w:hyperlink>
      <w:hyperlink r:id="rId26">
        <w:r>
          <w:rPr>
            <w:rFonts w:ascii="Arial"/>
            <w:color w:val="000000"/>
            <w:sz w:val="24"/>
          </w:rPr>
          <w:t/>
        </w:r>
      </w:hyperlink>
      <w:r>
        <w:rPr>
          <w:rFonts w:ascii="Arial"/>
          <w:color w:val="000000"/>
          <w:sz w:val="24"/>
        </w:rPr>
        <w:t>] and [</w:t>
      </w:r>
      <w:hyperlink r:id="rId27">
        <w:r>
          <w:rPr>
            <w:rFonts w:ascii="Arial"/>
            <w:color w:val="000000"/>
            <w:sz w:val="24"/>
            <w:u w:val="single"/>
          </w:rPr>
          <w:t/>
        </w:r>
        <w:r>
          <w:rPr>
            <w:rFonts w:ascii="Arial"/>
            <w:color w:val="000000"/>
            <w:sz w:val="24"/>
          </w:rPr>
          <w:t>67</w:t>
        </w:r>
      </w:hyperlink>
      <w:hyperlink r:id="rId28">
        <w:r>
          <w:rPr>
            <w:rFonts w:ascii="Arial"/>
            <w:color w:val="000000"/>
            <w:sz w:val="24"/>
          </w:rPr>
          <w:t/>
        </w:r>
      </w:hyperlink>
      <w:r>
        <w:rPr>
          <w:rFonts w:ascii="Arial"/>
          <w:color w:val="000000"/>
          <w:sz w:val="24"/>
        </w:rPr>
        <w:t>] above)</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 xml:space="preserve">Ground 24 appears to be directed to a submission which was rejected by the primary judge, namely that the Land, together with two other nearby parcels, constituted </w:t>
      </w:r>
      <w:r>
        <w:rPr>
          <w:rFonts w:ascii="Arial"/>
          <w:color w:val="000000"/>
          <w:sz w:val="24"/>
        </w:rPr>
        <w:t>a</w:t>
      </w:r>
      <w:r>
        <w:rPr>
          <w:rFonts w:ascii="Arial"/>
          <w:color w:val="000000"/>
          <w:sz w:val="24"/>
        </w:rPr>
        <w:t xml:space="preserve"> </w:t>
      </w:r>
      <w:r>
        <w:rPr>
          <w:rFonts w:ascii="Arial"/>
          <w:color w:val="000000"/>
          <w:sz w:val="24"/>
        </w:rPr>
        <w:t>“</w:t>
      </w:r>
      <w:r>
        <w:rPr>
          <w:rFonts w:ascii="Arial"/>
          <w:color w:val="000000"/>
          <w:sz w:val="24"/>
        </w:rPr>
        <w:t>mining area</w:t>
      </w:r>
      <w:r>
        <w:rPr>
          <w:rFonts w:ascii="Arial"/>
          <w:color w:val="000000"/>
          <w:sz w:val="24"/>
        </w:rPr>
        <w:t>”</w:t>
      </w:r>
      <w:r>
        <w:rPr>
          <w:rFonts w:ascii="Arial"/>
          <w:color w:val="000000"/>
          <w:sz w:val="24"/>
        </w:rPr>
        <w:t>. No question of law is clearly identified</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complaint appears to be one of fact. In any event, as the primary judge pointed out at PJ[70(m)], the Land was not zoned for mining purposes and could not be valued as such. </w:t>
      </w:r>
    </w:p>
    <w:p>
      <w:pPr>
        <w:pStyle w:val="CaselawHeading3"/>
        <w:keepNext/>
        <w:spacing w:before="150" w:after="150" w:line="264"/>
        <w:ind w:left="0"/>
        <w:jc w:val="left"/>
      </w:pPr>
      <w:r>
        <w:rPr>
          <w:rFonts w:ascii="Arial"/>
        </w:rPr>
        <w:t>(ii) Procedural fairness grounds:</w:t>
      </w:r>
      <w:r>
        <w:rPr>
          <w:rFonts w:ascii="Arial"/>
        </w:rPr>
        <w:t xml:space="preserve"> </w:t>
      </w:r>
      <w:r>
        <w:rPr>
          <w:rFonts w:ascii="Arial"/>
        </w:rPr>
        <w:t>grounds 14-20</w:t>
      </w:r>
    </w:p>
    <w:p>
      <w:pPr>
        <w:pStyle w:val="CaselawNumbered10"/>
        <w:numPr>
          <w:ilvl w:val="0"/>
          <w:numId w:val="43"/>
        </w:numPr>
        <w:spacing w:before="150" w:after="0"/>
        <w:ind w:left="600" w:hanging="600"/>
      </w:pPr>
      <w:r>
        <w:rPr>
          <w:rFonts w:ascii="Arial"/>
          <w:color w:val="000000"/>
          <w:sz w:val="24"/>
        </w:rPr>
        <w:t xml:space="preserve">In relation to ground 14, there is no factual foundation for the complaint that the appellants were given </w:t>
      </w:r>
      <w:r>
        <w:rPr>
          <w:rFonts w:ascii="Arial"/>
          <w:color w:val="000000"/>
          <w:sz w:val="24"/>
        </w:rPr>
        <w:t xml:space="preserve">only </w:t>
      </w:r>
      <w:r>
        <w:rPr>
          <w:rFonts w:ascii="Arial"/>
          <w:color w:val="000000"/>
          <w:sz w:val="24"/>
        </w:rPr>
        <w:t>seven days</w:t>
      </w:r>
      <w:r>
        <w:rPr>
          <w:rFonts w:ascii="Arial"/>
          <w:color w:val="000000"/>
          <w:sz w:val="24"/>
        </w:rPr>
        <w:t xml:space="preserve">’ </w:t>
      </w:r>
      <w:r>
        <w:rPr>
          <w:rFonts w:ascii="Arial"/>
          <w:color w:val="000000"/>
          <w:sz w:val="24"/>
        </w:rPr>
        <w:t xml:space="preserve">notice to prepare for the three day </w:t>
      </w:r>
      <w:r>
        <w:rPr>
          <w:rFonts w:ascii="Arial"/>
          <w:color w:val="000000"/>
          <w:sz w:val="24"/>
        </w:rPr>
        <w:t xml:space="preserve">LEC </w:t>
      </w:r>
      <w:r>
        <w:rPr>
          <w:rFonts w:ascii="Arial"/>
          <w:color w:val="000000"/>
          <w:sz w:val="24"/>
        </w:rPr>
        <w:t>hearing. To the contrary, the evidence is clear that they had at least five months</w:t>
      </w:r>
      <w:r>
        <w:rPr>
          <w:rFonts w:ascii="Arial"/>
          <w:color w:val="000000"/>
          <w:sz w:val="24"/>
        </w:rPr>
        <w:t xml:space="preserve">’ </w:t>
      </w:r>
      <w:r>
        <w:rPr>
          <w:rFonts w:ascii="Arial"/>
          <w:color w:val="000000"/>
          <w:sz w:val="24"/>
        </w:rPr>
        <w:t>notice of the relisted hearing, as is evident from</w:t>
      </w:r>
      <w:r>
        <w:rPr>
          <w:rFonts w:ascii="Arial"/>
          <w:color w:val="000000"/>
          <w:sz w:val="24"/>
        </w:rPr>
        <w:t xml:space="preserve"> </w:t>
      </w:r>
      <w:r>
        <w:rPr>
          <w:rFonts w:ascii="Arial"/>
          <w:color w:val="000000"/>
          <w:sz w:val="24"/>
        </w:rPr>
        <w:t>the chronology of events set out at</w:t>
      </w:r>
      <w:r>
        <w:rPr>
          <w:rFonts w:ascii="Arial"/>
          <w:color w:val="000000"/>
          <w:sz w:val="24"/>
        </w:rPr>
        <w:t xml:space="preserve"> </w:t>
      </w:r>
      <w:r>
        <w:rPr>
          <w:rFonts w:ascii="Arial"/>
          <w:color w:val="000000"/>
          <w:sz w:val="24"/>
        </w:rPr>
        <w:t>PJ[12].</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In brief</w:t>
      </w:r>
      <w:r>
        <w:rPr>
          <w:rFonts w:ascii="Arial"/>
          <w:color w:val="000000"/>
          <w:sz w:val="24"/>
        </w:rPr>
        <w:t xml:space="preserve"> </w:t>
      </w:r>
      <w:r>
        <w:rPr>
          <w:rFonts w:ascii="Arial"/>
          <w:color w:val="000000"/>
          <w:sz w:val="24"/>
        </w:rPr>
        <w:t>(and in support of that chronology)</w:t>
      </w:r>
      <w:r>
        <w:rPr>
          <w:rFonts w:ascii="Arial"/>
          <w:color w:val="000000"/>
          <w:sz w:val="24"/>
        </w:rPr>
        <w:t>, email exchanges between LEC staff and the parties (including Mr Kudrynski) during the period 1 October 2021 to 17 February 2022 establish the following:</w:t>
      </w:r>
    </w:p>
    <w:p>
      <w:pPr>
        <w:pStyle w:val="CaselawNumbereda"/>
        <w:numPr>
          <w:ilvl w:val="0"/>
          <w:numId w:val="44"/>
        </w:numPr>
        <w:spacing w:before="150" w:after="0"/>
        <w:ind w:left="2100" w:hanging="750"/>
      </w:pPr>
      <w:r>
        <w:rPr>
          <w:rFonts w:ascii="Arial"/>
          <w:color w:val="000000"/>
          <w:sz w:val="24"/>
        </w:rPr>
        <w:t xml:space="preserve">On 1 October 2021, the parties were informed that Moore J had been assigned to </w:t>
      </w:r>
      <w:r>
        <w:rPr>
          <w:rFonts w:ascii="Arial"/>
          <w:color w:val="000000"/>
          <w:sz w:val="24"/>
        </w:rPr>
        <w:t>hear</w:t>
      </w:r>
      <w:r>
        <w:rPr>
          <w:rFonts w:ascii="Arial"/>
          <w:color w:val="000000"/>
          <w:sz w:val="24"/>
        </w:rPr>
        <w:t xml:space="preserve"> </w:t>
      </w:r>
      <w:r>
        <w:rPr>
          <w:rFonts w:ascii="Arial"/>
          <w:color w:val="000000"/>
          <w:sz w:val="24"/>
        </w:rPr>
        <w:t xml:space="preserve">and determine the compensation claim </w:t>
      </w:r>
      <w:r>
        <w:rPr>
          <w:rFonts w:ascii="Arial"/>
          <w:color w:val="000000"/>
          <w:sz w:val="24"/>
        </w:rPr>
        <w:t>(evidently for a three day hearing commencing 9 November 2021)</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parties were asked to advise when they could participate in a pre-trial directions hearing. </w:t>
      </w:r>
    </w:p>
    <w:p>
      <w:pPr>
        <w:pStyle w:val="CaselawNumbereda"/>
        <w:numPr>
          <w:ilvl w:val="0"/>
          <w:numId w:val="44"/>
        </w:numPr>
        <w:spacing w:before="150" w:after="0"/>
        <w:ind w:left="2100" w:hanging="750"/>
      </w:pPr>
      <w:r>
        <w:rPr>
          <w:rFonts w:ascii="Arial"/>
          <w:color w:val="000000"/>
          <w:sz w:val="24"/>
        </w:rPr>
        <w:t xml:space="preserve">On 6 October 2021, Mr Kudrynski responded, saying that he had suffered </w:t>
      </w:r>
      <w:r>
        <w:rPr>
          <w:rFonts w:ascii="Arial"/>
          <w:color w:val="000000"/>
          <w:sz w:val="24"/>
        </w:rPr>
        <w:t>“</w:t>
      </w:r>
      <w:r>
        <w:rPr>
          <w:rFonts w:ascii="Arial"/>
          <w:color w:val="000000"/>
          <w:sz w:val="24"/>
        </w:rPr>
        <w:t>a stroke</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breakdown </w:t>
      </w:r>
      <w:r>
        <w:rPr>
          <w:rFonts w:ascii="Arial"/>
          <w:color w:val="000000"/>
          <w:sz w:val="24"/>
        </w:rPr>
        <w:t>one</w:t>
      </w:r>
      <w:r>
        <w:rPr>
          <w:rFonts w:ascii="Arial"/>
          <w:color w:val="000000"/>
          <w:sz w:val="24"/>
        </w:rPr>
        <w:t xml:space="preserve"> </w:t>
      </w:r>
      <w:r>
        <w:rPr>
          <w:rFonts w:ascii="Arial"/>
          <w:color w:val="000000"/>
          <w:sz w:val="24"/>
        </w:rPr>
        <w:t>month ago</w:t>
      </w:r>
      <w:r>
        <w:rPr>
          <w:rFonts w:ascii="Arial"/>
          <w:color w:val="000000"/>
          <w:sz w:val="24"/>
        </w:rPr>
        <w:t xml:space="preserve">” </w:t>
      </w:r>
      <w:r>
        <w:rPr>
          <w:rFonts w:ascii="Arial"/>
          <w:color w:val="000000"/>
          <w:sz w:val="24"/>
        </w:rPr>
        <w:t xml:space="preserve">but still hoped that the case could proceed in November 2021 (as then scheduled). He then suggested that it might be preferable to defer the case until the coming </w:t>
      </w:r>
      <w:r>
        <w:rPr>
          <w:rFonts w:ascii="Arial"/>
          <w:color w:val="000000"/>
          <w:sz w:val="24"/>
        </w:rPr>
        <w:t>N</w:t>
      </w:r>
      <w:r>
        <w:rPr>
          <w:rFonts w:ascii="Arial"/>
          <w:color w:val="000000"/>
          <w:sz w:val="24"/>
        </w:rPr>
        <w:t xml:space="preserve">ew </w:t>
      </w:r>
      <w:r>
        <w:rPr>
          <w:rFonts w:ascii="Arial"/>
          <w:color w:val="000000"/>
          <w:sz w:val="24"/>
        </w:rPr>
        <w:t>Y</w:t>
      </w:r>
      <w:r>
        <w:rPr>
          <w:rFonts w:ascii="Arial"/>
          <w:color w:val="000000"/>
          <w:sz w:val="24"/>
        </w:rPr>
        <w:t xml:space="preserve">ear but if that could not occur, he would do his best to be there. </w:t>
      </w:r>
    </w:p>
    <w:p>
      <w:pPr>
        <w:pStyle w:val="CaselawNumbereda"/>
        <w:numPr>
          <w:ilvl w:val="0"/>
          <w:numId w:val="44"/>
        </w:numPr>
        <w:spacing w:before="150" w:after="0"/>
        <w:ind w:left="2100" w:hanging="750"/>
      </w:pPr>
      <w:r>
        <w:rPr>
          <w:rFonts w:ascii="Arial"/>
          <w:color w:val="000000"/>
          <w:sz w:val="24"/>
        </w:rPr>
        <w:t>On 7 October 2021, Moore J</w:t>
      </w:r>
      <w:r>
        <w:rPr>
          <w:rFonts w:ascii="Arial"/>
          <w:color w:val="000000"/>
          <w:sz w:val="24"/>
        </w:rPr>
        <w:t>’</w:t>
      </w:r>
      <w:r>
        <w:rPr>
          <w:rFonts w:ascii="Arial"/>
          <w:color w:val="000000"/>
          <w:sz w:val="24"/>
        </w:rPr>
        <w:t xml:space="preserve">s associate responded and set out some tentative proposals for the hearing to occur in the COVID environment, which enabled Mr Kudrynski either to attend in person for a hearing in Sydney or via </w:t>
      </w:r>
      <w:r>
        <w:rPr>
          <w:rFonts w:ascii="Arial"/>
          <w:color w:val="000000"/>
          <w:sz w:val="24"/>
        </w:rPr>
        <w:t>AVL</w:t>
      </w:r>
      <w:r>
        <w:rPr>
          <w:rFonts w:ascii="Arial"/>
          <w:color w:val="000000"/>
          <w:sz w:val="24"/>
        </w:rPr>
        <w:t>, commencing on 9, 10 and 11 November 2021. Depending upon the parties</w:t>
      </w:r>
      <w:r>
        <w:rPr>
          <w:rFonts w:ascii="Arial"/>
          <w:color w:val="000000"/>
          <w:sz w:val="24"/>
        </w:rPr>
        <w:t xml:space="preserve">’ </w:t>
      </w:r>
      <w:r>
        <w:rPr>
          <w:rFonts w:ascii="Arial"/>
          <w:color w:val="000000"/>
          <w:sz w:val="24"/>
        </w:rPr>
        <w:t xml:space="preserve">response, the associate said that Moore J could raise with the Chief Judge whether the hearing should be deferred until 2022. </w:t>
      </w:r>
    </w:p>
    <w:p>
      <w:pPr>
        <w:pStyle w:val="CaselawNumbereda"/>
        <w:numPr>
          <w:ilvl w:val="0"/>
          <w:numId w:val="44"/>
        </w:numPr>
        <w:spacing w:before="150" w:after="0"/>
        <w:ind w:left="2100" w:hanging="750"/>
      </w:pPr>
      <w:r>
        <w:rPr>
          <w:rFonts w:ascii="Arial"/>
          <w:color w:val="000000"/>
          <w:sz w:val="24"/>
        </w:rPr>
        <w:t xml:space="preserve">On 11 October 2021, Mr Kudrynski responded, saying that </w:t>
      </w:r>
      <w:r>
        <w:rPr>
          <w:rFonts w:ascii="Arial"/>
          <w:color w:val="000000"/>
          <w:sz w:val="24"/>
        </w:rPr>
        <w:t xml:space="preserve">it would take 12 weeks to recover from his stroke and he </w:t>
      </w:r>
      <w:r>
        <w:rPr>
          <w:rFonts w:ascii="Arial"/>
          <w:color w:val="000000"/>
          <w:sz w:val="24"/>
        </w:rPr>
        <w:t xml:space="preserve">asked for the hearing to be deferred until the New Year. </w:t>
      </w:r>
    </w:p>
    <w:p>
      <w:pPr>
        <w:pStyle w:val="CaselawNumbereda"/>
        <w:numPr>
          <w:ilvl w:val="0"/>
          <w:numId w:val="44"/>
        </w:numPr>
        <w:spacing w:before="150" w:after="0"/>
        <w:ind w:left="2100" w:hanging="750"/>
      </w:pPr>
      <w:r>
        <w:rPr>
          <w:rFonts w:ascii="Arial"/>
          <w:color w:val="000000"/>
          <w:sz w:val="24"/>
        </w:rPr>
        <w:t>On 11 October 2021, Moore J</w:t>
      </w:r>
      <w:r>
        <w:rPr>
          <w:rFonts w:ascii="Arial"/>
          <w:color w:val="000000"/>
          <w:sz w:val="24"/>
        </w:rPr>
        <w:t>’</w:t>
      </w:r>
      <w:r>
        <w:rPr>
          <w:rFonts w:ascii="Arial"/>
          <w:color w:val="000000"/>
          <w:sz w:val="24"/>
        </w:rPr>
        <w:t xml:space="preserve">s associate responded, saying that postponing the hearing would be raised with the Chief Judge </w:t>
      </w:r>
      <w:r>
        <w:rPr>
          <w:rFonts w:ascii="Arial"/>
          <w:color w:val="000000"/>
          <w:sz w:val="24"/>
        </w:rPr>
        <w:t xml:space="preserve">and </w:t>
      </w:r>
      <w:r>
        <w:rPr>
          <w:rFonts w:ascii="Arial"/>
          <w:color w:val="000000"/>
          <w:sz w:val="24"/>
        </w:rPr>
        <w:t>without the need for Mr Kudrynski to file a notice of motion because he was self-represented</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he Council</w:t>
      </w:r>
      <w:r>
        <w:rPr>
          <w:rFonts w:ascii="Arial"/>
          <w:color w:val="000000"/>
          <w:sz w:val="24"/>
        </w:rPr>
        <w:t>’</w:t>
      </w:r>
      <w:r>
        <w:rPr>
          <w:rFonts w:ascii="Arial"/>
          <w:color w:val="000000"/>
          <w:sz w:val="24"/>
        </w:rPr>
        <w:t xml:space="preserve">s solicitor was asked to provide his available dates for a hearing in February/March 2022. </w:t>
      </w:r>
    </w:p>
    <w:p>
      <w:pPr>
        <w:pStyle w:val="CaselawNumbereda"/>
        <w:numPr>
          <w:ilvl w:val="0"/>
          <w:numId w:val="44"/>
        </w:numPr>
        <w:spacing w:before="150" w:after="0"/>
        <w:ind w:left="2100" w:hanging="750"/>
      </w:pPr>
      <w:r>
        <w:rPr>
          <w:rFonts w:ascii="Arial"/>
          <w:color w:val="000000"/>
          <w:sz w:val="24"/>
        </w:rPr>
        <w:t xml:space="preserve">On 11 October 2021, the parties were advised that there needed to be a telephone directions hearing regarding progress of the matter. </w:t>
      </w:r>
    </w:p>
    <w:p>
      <w:pPr>
        <w:pStyle w:val="CaselawNumbereda"/>
        <w:numPr>
          <w:ilvl w:val="0"/>
          <w:numId w:val="44"/>
        </w:numPr>
        <w:spacing w:before="150" w:after="0"/>
        <w:ind w:left="2100" w:hanging="750"/>
      </w:pPr>
      <w:r>
        <w:rPr>
          <w:rFonts w:ascii="Arial"/>
          <w:color w:val="000000"/>
          <w:sz w:val="24"/>
        </w:rPr>
        <w:t xml:space="preserve">There is then a gap in the email correspondence, but it is evident that on 12 October 2021, at a directions hearing in which Mr Kudrynski participated, the matter was set down for hearing for three days commencing 14 March 2022. </w:t>
      </w:r>
    </w:p>
    <w:p>
      <w:pPr>
        <w:pStyle w:val="CaselawNumbereda"/>
        <w:numPr>
          <w:ilvl w:val="0"/>
          <w:numId w:val="44"/>
        </w:numPr>
        <w:spacing w:before="150" w:after="0"/>
        <w:ind w:left="2100" w:hanging="750"/>
      </w:pPr>
      <w:r>
        <w:rPr>
          <w:rFonts w:ascii="Arial"/>
          <w:color w:val="000000"/>
          <w:sz w:val="24"/>
        </w:rPr>
        <w:t xml:space="preserve">On 25 January 2022, Mr Kudrynski sought </w:t>
      </w:r>
      <w:r>
        <w:rPr>
          <w:rFonts w:ascii="Arial"/>
          <w:color w:val="000000"/>
          <w:sz w:val="24"/>
        </w:rPr>
        <w:t xml:space="preserve">AVL </w:t>
      </w:r>
      <w:r>
        <w:rPr>
          <w:rFonts w:ascii="Arial"/>
          <w:color w:val="000000"/>
          <w:sz w:val="24"/>
        </w:rPr>
        <w:t xml:space="preserve">details that he would use on the day of the hearing. </w:t>
      </w:r>
    </w:p>
    <w:p>
      <w:pPr>
        <w:pStyle w:val="CaselawNumbereda"/>
        <w:numPr>
          <w:ilvl w:val="0"/>
          <w:numId w:val="44"/>
        </w:numPr>
        <w:spacing w:before="150" w:after="0"/>
        <w:ind w:left="2100" w:hanging="750"/>
      </w:pPr>
      <w:r>
        <w:rPr>
          <w:rFonts w:ascii="Arial"/>
          <w:color w:val="000000"/>
          <w:sz w:val="24"/>
        </w:rPr>
        <w:t>On 28 January 2022, the Council</w:t>
      </w:r>
      <w:r>
        <w:rPr>
          <w:rFonts w:ascii="Arial"/>
          <w:color w:val="000000"/>
          <w:sz w:val="24"/>
        </w:rPr>
        <w:t>’</w:t>
      </w:r>
      <w:r>
        <w:rPr>
          <w:rFonts w:ascii="Arial"/>
          <w:color w:val="000000"/>
          <w:sz w:val="24"/>
        </w:rPr>
        <w:t xml:space="preserve">s solicitor responded saying that Mr Kudrynski should apply to the Court to </w:t>
      </w:r>
      <w:r>
        <w:rPr>
          <w:rFonts w:ascii="Arial"/>
          <w:color w:val="000000"/>
          <w:sz w:val="24"/>
        </w:rPr>
        <w:t xml:space="preserve">participate by </w:t>
      </w:r>
      <w:r>
        <w:rPr>
          <w:rFonts w:ascii="Arial"/>
          <w:color w:val="000000"/>
          <w:sz w:val="24"/>
        </w:rPr>
        <w:t>AVL</w:t>
      </w:r>
      <w:r>
        <w:rPr>
          <w:rFonts w:ascii="Arial"/>
          <w:color w:val="000000"/>
          <w:sz w:val="24"/>
        </w:rPr>
        <w:t xml:space="preserve">. </w:t>
      </w:r>
    </w:p>
    <w:p>
      <w:pPr>
        <w:pStyle w:val="CaselawNumbereda"/>
        <w:numPr>
          <w:ilvl w:val="0"/>
          <w:numId w:val="44"/>
        </w:numPr>
        <w:spacing w:before="150" w:after="0"/>
        <w:ind w:left="2100" w:hanging="750"/>
      </w:pPr>
      <w:r>
        <w:rPr>
          <w:rFonts w:ascii="Arial"/>
          <w:color w:val="000000"/>
          <w:sz w:val="24"/>
        </w:rPr>
        <w:t>On 31 January 2022, Moore J</w:t>
      </w:r>
      <w:r>
        <w:rPr>
          <w:rFonts w:ascii="Arial"/>
          <w:color w:val="000000"/>
          <w:sz w:val="24"/>
        </w:rPr>
        <w:t>’</w:t>
      </w:r>
      <w:r>
        <w:rPr>
          <w:rFonts w:ascii="Arial"/>
          <w:color w:val="000000"/>
          <w:sz w:val="24"/>
        </w:rPr>
        <w:t xml:space="preserve">s associate confirmed that Mr Kudrynski should take that course and added that </w:t>
      </w:r>
      <w:r>
        <w:rPr>
          <w:rFonts w:ascii="Arial"/>
          <w:color w:val="000000"/>
          <w:sz w:val="24"/>
        </w:rPr>
        <w:t>“</w:t>
      </w:r>
      <w:r>
        <w:rPr>
          <w:rFonts w:ascii="Arial"/>
          <w:color w:val="000000"/>
          <w:sz w:val="24"/>
        </w:rPr>
        <w:t>the matter has not been allocated a presiding member</w:t>
      </w:r>
      <w:r>
        <w:rPr>
          <w:rFonts w:ascii="Arial"/>
          <w:color w:val="000000"/>
          <w:sz w:val="24"/>
        </w:rPr>
        <w:t>”</w:t>
      </w:r>
      <w:r>
        <w:rPr>
          <w:rFonts w:ascii="Arial"/>
          <w:color w:val="000000"/>
          <w:sz w:val="24"/>
        </w:rPr>
        <w:t>. (It may be inferred that this was because the original hearing dates in November 2021 had been vacated). The associate added</w:t>
      </w:r>
      <w:r>
        <w:rPr>
          <w:rFonts w:ascii="Arial"/>
          <w:color w:val="000000"/>
          <w:sz w:val="24"/>
        </w:rPr>
        <w:t xml:space="preserve"> </w:t>
      </w:r>
      <w:r>
        <w:rPr>
          <w:rFonts w:ascii="Arial"/>
          <w:color w:val="000000"/>
          <w:sz w:val="24"/>
        </w:rPr>
        <w:t xml:space="preserve">that Moore J could hear any application concerning </w:t>
      </w:r>
      <w:r>
        <w:rPr>
          <w:rFonts w:ascii="Arial"/>
          <w:color w:val="000000"/>
          <w:sz w:val="24"/>
        </w:rPr>
        <w:t>AVL</w:t>
      </w:r>
      <w:r>
        <w:rPr>
          <w:rFonts w:ascii="Arial"/>
          <w:color w:val="000000"/>
          <w:sz w:val="24"/>
        </w:rPr>
        <w:t xml:space="preserve"> </w:t>
      </w:r>
      <w:r>
        <w:rPr>
          <w:rFonts w:ascii="Arial"/>
          <w:color w:val="000000"/>
          <w:sz w:val="24"/>
        </w:rPr>
        <w:t xml:space="preserve">because he presided over the Land Valuation and Compensation List on Fridays. </w:t>
      </w:r>
    </w:p>
    <w:p>
      <w:pPr>
        <w:pStyle w:val="CaselawNumbereda"/>
        <w:numPr>
          <w:ilvl w:val="0"/>
          <w:numId w:val="44"/>
        </w:numPr>
        <w:spacing w:before="150" w:after="0"/>
        <w:ind w:left="2100" w:hanging="750"/>
      </w:pPr>
      <w:r>
        <w:rPr>
          <w:rFonts w:ascii="Arial"/>
          <w:color w:val="000000"/>
          <w:sz w:val="24"/>
        </w:rPr>
        <w:t>On 7 February 2022, Moore J</w:t>
      </w:r>
      <w:r>
        <w:rPr>
          <w:rFonts w:ascii="Arial"/>
          <w:color w:val="000000"/>
          <w:sz w:val="24"/>
        </w:rPr>
        <w:t>’</w:t>
      </w:r>
      <w:r>
        <w:rPr>
          <w:rFonts w:ascii="Arial"/>
          <w:color w:val="000000"/>
          <w:sz w:val="24"/>
        </w:rPr>
        <w:t xml:space="preserve">s associate emailed Mr Kudrynski </w:t>
      </w:r>
      <w:r>
        <w:rPr>
          <w:rFonts w:ascii="Arial"/>
          <w:color w:val="000000"/>
          <w:sz w:val="24"/>
        </w:rPr>
        <w:t>and confirmed</w:t>
      </w:r>
      <w:r>
        <w:rPr>
          <w:rFonts w:ascii="Arial"/>
          <w:color w:val="000000"/>
          <w:sz w:val="24"/>
        </w:rPr>
        <w:t xml:space="preserve"> </w:t>
      </w:r>
      <w:r>
        <w:rPr>
          <w:rFonts w:ascii="Arial"/>
          <w:color w:val="000000"/>
          <w:sz w:val="24"/>
        </w:rPr>
        <w:t>that a trial judge had not yet been allocated</w:t>
      </w:r>
      <w:r>
        <w:rPr>
          <w:rFonts w:ascii="Arial"/>
          <w:color w:val="000000"/>
          <w:sz w:val="24"/>
        </w:rPr>
        <w:t>,</w:t>
      </w:r>
      <w:r>
        <w:rPr>
          <w:rFonts w:ascii="Arial"/>
          <w:color w:val="000000"/>
          <w:sz w:val="24"/>
        </w:rPr>
        <w:t xml:space="preserve"> </w:t>
      </w:r>
      <w:r>
        <w:rPr>
          <w:rFonts w:ascii="Arial"/>
          <w:color w:val="000000"/>
          <w:sz w:val="24"/>
        </w:rPr>
        <w:t>but that when this occurred that judge would conduct a pre-trial mention and the issue of Mr Kudrynski</w:t>
      </w:r>
      <w:r>
        <w:rPr>
          <w:rFonts w:ascii="Arial"/>
          <w:color w:val="000000"/>
          <w:sz w:val="24"/>
        </w:rPr>
        <w:t>’</w:t>
      </w:r>
      <w:r>
        <w:rPr>
          <w:rFonts w:ascii="Arial"/>
          <w:color w:val="000000"/>
          <w:sz w:val="24"/>
        </w:rPr>
        <w:t xml:space="preserve">s participation by </w:t>
      </w:r>
      <w:r>
        <w:rPr>
          <w:rFonts w:ascii="Arial"/>
          <w:color w:val="000000"/>
          <w:sz w:val="24"/>
        </w:rPr>
        <w:t>AVL</w:t>
      </w:r>
      <w:r>
        <w:rPr>
          <w:rFonts w:ascii="Arial"/>
          <w:color w:val="000000"/>
          <w:sz w:val="24"/>
        </w:rPr>
        <w:t xml:space="preserve"> </w:t>
      </w:r>
      <w:r>
        <w:rPr>
          <w:rFonts w:ascii="Arial"/>
          <w:color w:val="000000"/>
          <w:sz w:val="24"/>
        </w:rPr>
        <w:t xml:space="preserve">could be discussed then. </w:t>
      </w:r>
    </w:p>
    <w:p>
      <w:pPr>
        <w:pStyle w:val="CaselawNumbereda"/>
        <w:numPr>
          <w:ilvl w:val="0"/>
          <w:numId w:val="44"/>
        </w:numPr>
        <w:spacing w:before="150" w:after="0"/>
        <w:ind w:left="2100" w:hanging="750"/>
      </w:pPr>
      <w:r>
        <w:rPr>
          <w:rFonts w:ascii="Arial"/>
          <w:color w:val="000000"/>
          <w:sz w:val="24"/>
        </w:rPr>
        <w:t>On 13 February 2022, Mr Kudrynski emailed Moore J</w:t>
      </w:r>
      <w:r>
        <w:rPr>
          <w:rFonts w:ascii="Arial"/>
          <w:color w:val="000000"/>
          <w:sz w:val="24"/>
        </w:rPr>
        <w:t>’</w:t>
      </w:r>
      <w:r>
        <w:rPr>
          <w:rFonts w:ascii="Arial"/>
          <w:color w:val="000000"/>
          <w:sz w:val="24"/>
        </w:rPr>
        <w:t xml:space="preserve">s associate stating that he awaited further correspondence. </w:t>
      </w:r>
    </w:p>
    <w:p>
      <w:pPr>
        <w:pStyle w:val="CaselawNumbereda"/>
        <w:numPr>
          <w:ilvl w:val="0"/>
          <w:numId w:val="44"/>
        </w:numPr>
        <w:spacing w:before="150" w:after="0"/>
        <w:ind w:left="2100" w:hanging="750"/>
      </w:pPr>
      <w:r>
        <w:rPr>
          <w:rFonts w:ascii="Arial"/>
          <w:color w:val="000000"/>
          <w:sz w:val="24"/>
        </w:rPr>
        <w:t>On 14 February 2022, Moore J</w:t>
      </w:r>
      <w:r>
        <w:rPr>
          <w:rFonts w:ascii="Arial"/>
          <w:color w:val="000000"/>
          <w:sz w:val="24"/>
        </w:rPr>
        <w:t>’</w:t>
      </w:r>
      <w:r>
        <w:rPr>
          <w:rFonts w:ascii="Arial"/>
          <w:color w:val="000000"/>
          <w:sz w:val="24"/>
        </w:rPr>
        <w:t xml:space="preserve">s associate informed Mr Kudrynski that he should </w:t>
      </w:r>
      <w:r>
        <w:rPr>
          <w:rFonts w:ascii="Arial"/>
          <w:color w:val="000000"/>
          <w:sz w:val="24"/>
        </w:rPr>
        <w:t xml:space="preserve">email </w:t>
      </w:r>
      <w:r>
        <w:rPr>
          <w:rFonts w:ascii="Arial"/>
          <w:color w:val="000000"/>
          <w:sz w:val="24"/>
        </w:rPr>
        <w:t xml:space="preserve">any questions to the </w:t>
      </w:r>
      <w:r>
        <w:rPr>
          <w:rFonts w:ascii="Arial"/>
          <w:color w:val="000000"/>
          <w:sz w:val="24"/>
        </w:rPr>
        <w:t>LEC Registry</w:t>
      </w:r>
      <w:r>
        <w:rPr>
          <w:rFonts w:ascii="Arial"/>
          <w:color w:val="000000"/>
          <w:sz w:val="24"/>
        </w:rPr>
        <w:t xml:space="preserve"> </w:t>
      </w:r>
      <w:r>
        <w:rPr>
          <w:rFonts w:ascii="Arial"/>
          <w:color w:val="000000"/>
          <w:sz w:val="24"/>
        </w:rPr>
        <w:t xml:space="preserve">and not </w:t>
      </w:r>
      <w:r>
        <w:rPr>
          <w:rFonts w:ascii="Arial"/>
          <w:color w:val="000000"/>
          <w:sz w:val="24"/>
        </w:rPr>
        <w:t>to Moore J</w:t>
      </w:r>
      <w:r>
        <w:rPr>
          <w:rFonts w:ascii="Arial"/>
          <w:color w:val="000000"/>
          <w:sz w:val="24"/>
        </w:rPr>
        <w:t>’</w:t>
      </w:r>
      <w:r>
        <w:rPr>
          <w:rFonts w:ascii="Arial"/>
          <w:color w:val="000000"/>
          <w:sz w:val="24"/>
        </w:rPr>
        <w:t xml:space="preserve">s chambers in circumstances where Moore J had not been allocated to hear the matter. </w:t>
      </w:r>
    </w:p>
    <w:p>
      <w:pPr>
        <w:pStyle w:val="CaselawNumbereda"/>
        <w:numPr>
          <w:ilvl w:val="0"/>
          <w:numId w:val="44"/>
        </w:numPr>
        <w:spacing w:before="150" w:after="0"/>
        <w:ind w:left="2100" w:hanging="750"/>
      </w:pPr>
      <w:r>
        <w:rPr>
          <w:rFonts w:ascii="Arial"/>
          <w:color w:val="000000"/>
          <w:sz w:val="24"/>
        </w:rPr>
        <w:t>On 17 February 2022, Mr Kudrynski emailed Moore J</w:t>
      </w:r>
      <w:r>
        <w:rPr>
          <w:rFonts w:ascii="Arial"/>
          <w:color w:val="000000"/>
          <w:sz w:val="24"/>
        </w:rPr>
        <w:t>’</w:t>
      </w:r>
      <w:r>
        <w:rPr>
          <w:rFonts w:ascii="Arial"/>
          <w:color w:val="000000"/>
          <w:sz w:val="24"/>
        </w:rPr>
        <w:t xml:space="preserve">s associate stating: </w:t>
      </w:r>
    </w:p>
    <w:p>
      <w:pPr>
        <w:pStyle w:val="CaselawQuote1"/>
        <w:spacing w:before="150" w:after="150"/>
        <w:ind w:left="2850"/>
        <w:jc w:val="left"/>
      </w:pPr>
      <w:r>
        <w:rPr>
          <w:rFonts w:ascii="Arial"/>
          <w:color w:val="000000"/>
          <w:sz w:val="22"/>
        </w:rPr>
        <w:t xml:space="preserve">I do not know of a more forceful way of asking the court for the use of its video link in the upcoming trial of 13, 14 and 15 of March and the arrangements that were made on 12 October 2021. I must be able to use the video link as I am not capable of leaving home. </w:t>
      </w:r>
    </w:p>
    <w:p>
      <w:pPr>
        <w:pStyle w:val="CaselawNumbereda"/>
        <w:numPr>
          <w:ilvl w:val="0"/>
          <w:numId w:val="45"/>
        </w:numPr>
        <w:spacing w:before="150" w:after="0"/>
        <w:ind w:left="2100" w:hanging="750"/>
      </w:pPr>
      <w:r>
        <w:rPr>
          <w:rFonts w:ascii="Arial"/>
          <w:color w:val="000000"/>
          <w:sz w:val="24"/>
        </w:rPr>
        <w:t>On the same day, Moore J</w:t>
      </w:r>
      <w:r>
        <w:rPr>
          <w:rFonts w:ascii="Arial"/>
          <w:color w:val="000000"/>
          <w:sz w:val="24"/>
        </w:rPr>
        <w:t>’</w:t>
      </w:r>
      <w:r>
        <w:rPr>
          <w:rFonts w:ascii="Arial"/>
          <w:color w:val="000000"/>
          <w:sz w:val="24"/>
        </w:rPr>
        <w:t xml:space="preserve">s associate responded and asked again that Mr Kudrynski contact the </w:t>
      </w:r>
      <w:r>
        <w:rPr>
          <w:rFonts w:ascii="Arial"/>
          <w:color w:val="000000"/>
          <w:sz w:val="24"/>
        </w:rPr>
        <w:t>LEC Registry</w:t>
      </w:r>
      <w:r>
        <w:rPr>
          <w:rFonts w:ascii="Arial"/>
          <w:color w:val="000000"/>
          <w:sz w:val="24"/>
        </w:rPr>
        <w:t xml:space="preserve"> </w:t>
      </w:r>
      <w:r>
        <w:rPr>
          <w:rFonts w:ascii="Arial"/>
          <w:color w:val="000000"/>
          <w:sz w:val="24"/>
        </w:rPr>
        <w:t>because</w:t>
      </w:r>
      <w:r>
        <w:rPr>
          <w:rFonts w:ascii="Arial"/>
          <w:color w:val="000000"/>
          <w:sz w:val="24"/>
        </w:rPr>
        <w:t xml:space="preserve"> </w:t>
      </w:r>
      <w:r>
        <w:rPr>
          <w:rFonts w:ascii="Arial"/>
          <w:color w:val="000000"/>
          <w:sz w:val="24"/>
        </w:rPr>
        <w:t xml:space="preserve">Moore J was </w:t>
      </w:r>
      <w:r>
        <w:rPr>
          <w:rFonts w:ascii="Arial"/>
          <w:color w:val="000000"/>
          <w:sz w:val="24"/>
        </w:rPr>
        <w:t>“</w:t>
      </w:r>
      <w:r>
        <w:rPr>
          <w:rFonts w:ascii="Arial"/>
          <w:color w:val="000000"/>
          <w:sz w:val="24"/>
        </w:rPr>
        <w:t>not the judge for your matter</w:t>
      </w:r>
      <w:r>
        <w:rPr>
          <w:rFonts w:ascii="Arial"/>
          <w:color w:val="000000"/>
          <w:sz w:val="24"/>
        </w:rPr>
        <w:t>”</w:t>
      </w:r>
      <w:r>
        <w:rPr>
          <w:rFonts w:ascii="Arial"/>
          <w:color w:val="000000"/>
          <w:sz w:val="24"/>
        </w:rPr>
        <w:t xml:space="preserve">. </w:t>
      </w:r>
    </w:p>
    <w:p>
      <w:pPr>
        <w:pStyle w:val="CaselawNumbereda"/>
        <w:numPr>
          <w:ilvl w:val="0"/>
          <w:numId w:val="45"/>
        </w:numPr>
        <w:spacing w:before="150" w:after="0"/>
        <w:ind w:left="2100" w:hanging="750"/>
      </w:pPr>
      <w:r>
        <w:rPr>
          <w:rFonts w:ascii="Arial"/>
          <w:color w:val="000000"/>
          <w:sz w:val="24"/>
        </w:rPr>
        <w:t>It is undisputed that on 3 March 2022 the matter came before Pepper J</w:t>
      </w:r>
      <w:r>
        <w:rPr>
          <w:rFonts w:ascii="Arial"/>
          <w:color w:val="000000"/>
          <w:sz w:val="24"/>
        </w:rPr>
        <w:t xml:space="preserve"> </w:t>
      </w:r>
      <w:r>
        <w:rPr>
          <w:rFonts w:ascii="Arial"/>
          <w:color w:val="000000"/>
          <w:sz w:val="24"/>
        </w:rPr>
        <w:t>(</w:t>
      </w:r>
      <w:r>
        <w:rPr>
          <w:rFonts w:ascii="Arial"/>
          <w:color w:val="000000"/>
          <w:sz w:val="24"/>
        </w:rPr>
        <w:t>to whom the matter had been allocated</w:t>
      </w:r>
      <w:r>
        <w:rPr>
          <w:rFonts w:ascii="Arial"/>
          <w:color w:val="000000"/>
          <w:sz w:val="24"/>
        </w:rPr>
        <w:t>),</w:t>
      </w:r>
      <w:r>
        <w:rPr>
          <w:rFonts w:ascii="Arial"/>
          <w:color w:val="000000"/>
          <w:sz w:val="24"/>
        </w:rPr>
        <w:t xml:space="preserve"> </w:t>
      </w:r>
      <w:r>
        <w:rPr>
          <w:rFonts w:ascii="Arial"/>
          <w:color w:val="000000"/>
          <w:sz w:val="24"/>
        </w:rPr>
        <w:t xml:space="preserve">and it was confirmed at that time that the hearing would proceed as </w:t>
      </w:r>
      <w:r>
        <w:rPr>
          <w:rFonts w:ascii="Arial"/>
          <w:color w:val="000000"/>
          <w:sz w:val="24"/>
        </w:rPr>
        <w:t>previously</w:t>
      </w:r>
      <w:r>
        <w:rPr>
          <w:rFonts w:ascii="Arial"/>
          <w:color w:val="000000"/>
          <w:sz w:val="24"/>
        </w:rPr>
        <w:t xml:space="preserve"> </w:t>
      </w:r>
      <w:r>
        <w:rPr>
          <w:rFonts w:ascii="Arial"/>
          <w:color w:val="000000"/>
          <w:sz w:val="24"/>
        </w:rPr>
        <w:t>scheduled for three days commencing 14 March 2022.</w:t>
      </w:r>
    </w:p>
    <w:p>
      <w:pPr>
        <w:pStyle w:val="CaselawNumbered10"/>
        <w:numPr>
          <w:ilvl w:val="0"/>
          <w:numId w:val="46"/>
        </w:numPr>
        <w:spacing w:before="150" w:after="0"/>
        <w:ind w:left="600" w:hanging="600"/>
      </w:pPr>
      <w:r>
        <w:rPr>
          <w:rFonts w:ascii="Arial"/>
          <w:color w:val="000000"/>
          <w:sz w:val="24"/>
        </w:rPr>
        <w:t xml:space="preserve">All this evidence is clear. It may well be that Mr Kudrynski misunderstood the correspondence and events </w:t>
      </w:r>
      <w:r>
        <w:rPr>
          <w:rFonts w:ascii="Arial"/>
          <w:color w:val="000000"/>
          <w:sz w:val="24"/>
        </w:rPr>
        <w:t>but,</w:t>
      </w:r>
      <w:r>
        <w:rPr>
          <w:rFonts w:ascii="Arial"/>
          <w:color w:val="000000"/>
          <w:sz w:val="24"/>
        </w:rPr>
        <w:t xml:space="preserve"> </w:t>
      </w:r>
      <w:r>
        <w:rPr>
          <w:rFonts w:ascii="Arial"/>
          <w:color w:val="000000"/>
          <w:sz w:val="24"/>
        </w:rPr>
        <w:t xml:space="preserve">viewed objectively, his claim that the hearing was </w:t>
      </w:r>
      <w:r>
        <w:rPr>
          <w:rFonts w:ascii="Arial"/>
          <w:color w:val="000000"/>
          <w:sz w:val="24"/>
        </w:rPr>
        <w:t>“</w:t>
      </w:r>
      <w:r>
        <w:rPr>
          <w:rFonts w:ascii="Arial"/>
          <w:color w:val="000000"/>
          <w:sz w:val="24"/>
        </w:rPr>
        <w:t>sprung on</w:t>
      </w:r>
      <w:r>
        <w:rPr>
          <w:rFonts w:ascii="Arial"/>
          <w:color w:val="000000"/>
          <w:sz w:val="24"/>
        </w:rPr>
        <w:t>”</w:t>
      </w:r>
      <w:r>
        <w:rPr>
          <w:rFonts w:ascii="Arial"/>
          <w:color w:val="000000"/>
          <w:sz w:val="24"/>
        </w:rPr>
        <w:t xml:space="preserve"> </w:t>
      </w:r>
      <w:r>
        <w:rPr>
          <w:rFonts w:ascii="Arial"/>
          <w:color w:val="000000"/>
          <w:sz w:val="24"/>
        </w:rPr>
        <w:t>him is baseless.</w:t>
      </w:r>
    </w:p>
    <w:p>
      <w:pPr>
        <w:pStyle w:val="CaselawNumbered10"/>
        <w:numPr>
          <w:ilvl w:val="0"/>
          <w:numId w:val="46"/>
        </w:numPr>
        <w:spacing w:before="150" w:after="0"/>
        <w:ind w:left="600" w:hanging="600"/>
      </w:pPr>
      <w:r>
        <w:rPr>
          <w:rFonts w:ascii="Arial"/>
          <w:color w:val="000000"/>
          <w:sz w:val="24"/>
        </w:rPr>
        <w:t xml:space="preserve">Ground 15 is that the Council had </w:t>
      </w:r>
      <w:r>
        <w:rPr>
          <w:rFonts w:ascii="Arial"/>
          <w:color w:val="000000"/>
          <w:sz w:val="24"/>
        </w:rPr>
        <w:t>“</w:t>
      </w:r>
      <w:r>
        <w:rPr>
          <w:rFonts w:ascii="Arial"/>
          <w:color w:val="000000"/>
          <w:sz w:val="24"/>
        </w:rPr>
        <w:t xml:space="preserve">prepared the case for </w:t>
      </w:r>
      <w:r>
        <w:rPr>
          <w:rFonts w:ascii="Arial"/>
          <w:color w:val="000000"/>
          <w:sz w:val="24"/>
        </w:rPr>
        <w:t>[M</w:t>
      </w:r>
      <w:r>
        <w:rPr>
          <w:rFonts w:ascii="Arial"/>
          <w:color w:val="000000"/>
          <w:sz w:val="24"/>
        </w:rPr>
        <w:t>r</w:t>
      </w:r>
      <w:r>
        <w:rPr>
          <w:rFonts w:ascii="Arial"/>
          <w:color w:val="000000"/>
          <w:sz w:val="24"/>
        </w:rPr>
        <w:t xml:space="preserve"> </w:t>
      </w:r>
      <w:r>
        <w:rPr>
          <w:rFonts w:ascii="Arial"/>
          <w:color w:val="000000"/>
          <w:sz w:val="24"/>
        </w:rPr>
        <w:t>Kudrynski]</w:t>
      </w:r>
      <w:r>
        <w:rPr>
          <w:rFonts w:ascii="Arial"/>
          <w:color w:val="000000"/>
          <w:sz w:val="24"/>
        </w:rPr>
        <w:t xml:space="preserve"> </w:t>
      </w:r>
      <w:r>
        <w:rPr>
          <w:rFonts w:ascii="Arial"/>
          <w:color w:val="000000"/>
          <w:sz w:val="24"/>
        </w:rPr>
        <w:t>and inclu</w:t>
      </w:r>
      <w:r>
        <w:rPr>
          <w:rFonts w:ascii="Arial"/>
          <w:color w:val="000000"/>
          <w:sz w:val="24"/>
        </w:rPr>
        <w:t>d</w:t>
      </w:r>
      <w:r>
        <w:rPr>
          <w:rFonts w:ascii="Arial"/>
          <w:color w:val="000000"/>
          <w:sz w:val="24"/>
        </w:rPr>
        <w:t>ing much material which was against me including the PRD report which was some 10 years old</w:t>
      </w:r>
      <w:r>
        <w:rPr>
          <w:rFonts w:ascii="Arial"/>
          <w:color w:val="000000"/>
          <w:sz w:val="24"/>
        </w:rPr>
        <w:t>”</w:t>
      </w:r>
      <w:r>
        <w:rPr>
          <w:rFonts w:ascii="Arial"/>
          <w:color w:val="000000"/>
          <w:sz w:val="24"/>
        </w:rPr>
        <w:t xml:space="preserve">. </w:t>
      </w:r>
      <w:r>
        <w:rPr>
          <w:rFonts w:ascii="Arial"/>
          <w:color w:val="000000"/>
          <w:sz w:val="24"/>
        </w:rPr>
        <w:t xml:space="preserve">As explained above, the </w:t>
      </w:r>
      <w:r>
        <w:rPr>
          <w:rFonts w:ascii="Arial"/>
          <w:color w:val="000000"/>
          <w:sz w:val="24"/>
        </w:rPr>
        <w:t>applicants</w:t>
      </w:r>
      <w:r>
        <w:rPr>
          <w:rFonts w:ascii="Arial"/>
          <w:color w:val="000000"/>
          <w:sz w:val="24"/>
        </w:rPr>
        <w:t xml:space="preserve"> </w:t>
      </w:r>
      <w:r>
        <w:rPr>
          <w:rFonts w:ascii="Arial"/>
          <w:color w:val="000000"/>
          <w:sz w:val="24"/>
        </w:rPr>
        <w:t xml:space="preserve">said that they wished to rely on the PRD report and </w:t>
      </w:r>
      <w:r>
        <w:rPr>
          <w:rFonts w:ascii="Arial"/>
          <w:color w:val="000000"/>
          <w:sz w:val="24"/>
        </w:rPr>
        <w:t>it was the</w:t>
      </w:r>
      <w:r>
        <w:rPr>
          <w:rFonts w:ascii="Arial"/>
          <w:color w:val="000000"/>
          <w:sz w:val="24"/>
        </w:rPr>
        <w:t>m who</w:t>
      </w:r>
      <w:r>
        <w:rPr>
          <w:rFonts w:ascii="Arial"/>
          <w:color w:val="000000"/>
          <w:sz w:val="24"/>
        </w:rPr>
        <w:t xml:space="preserve"> </w:t>
      </w:r>
      <w:r>
        <w:rPr>
          <w:rFonts w:ascii="Arial"/>
          <w:color w:val="000000"/>
          <w:sz w:val="24"/>
        </w:rPr>
        <w:t>in fact tend</w:t>
      </w:r>
      <w:r>
        <w:rPr>
          <w:rFonts w:ascii="Arial"/>
          <w:color w:val="000000"/>
          <w:sz w:val="24"/>
        </w:rPr>
        <w:t>er</w:t>
      </w:r>
      <w:r>
        <w:rPr>
          <w:rFonts w:ascii="Arial"/>
          <w:color w:val="000000"/>
          <w:sz w:val="24"/>
        </w:rPr>
        <w:t>ed it</w:t>
      </w:r>
      <w:r>
        <w:rPr>
          <w:rFonts w:ascii="Arial"/>
          <w:color w:val="000000"/>
          <w:sz w:val="24"/>
        </w:rPr>
        <w:t xml:space="preserve"> </w:t>
      </w:r>
      <w:r>
        <w:rPr>
          <w:rFonts w:ascii="Arial"/>
          <w:color w:val="000000"/>
          <w:sz w:val="24"/>
        </w:rPr>
        <w:t>in their case</w:t>
      </w:r>
      <w:r>
        <w:rPr>
          <w:rFonts w:ascii="Arial"/>
          <w:color w:val="000000"/>
          <w:sz w:val="24"/>
        </w:rPr>
        <w:t xml:space="preserve">. Accordingly, </w:t>
      </w:r>
      <w:r>
        <w:rPr>
          <w:rFonts w:ascii="Arial"/>
          <w:color w:val="000000"/>
          <w:sz w:val="24"/>
        </w:rPr>
        <w:t>this complaint has no foundation</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G</w:t>
      </w:r>
      <w:r>
        <w:rPr>
          <w:rFonts w:ascii="Arial"/>
          <w:color w:val="000000"/>
          <w:sz w:val="24"/>
        </w:rPr>
        <w:t>rounds</w:t>
      </w:r>
      <w:r>
        <w:rPr>
          <w:rFonts w:ascii="Arial"/>
          <w:color w:val="000000"/>
          <w:sz w:val="24"/>
        </w:rPr>
        <w:t xml:space="preserve"> </w:t>
      </w:r>
      <w:r>
        <w:rPr>
          <w:rFonts w:ascii="Arial"/>
          <w:color w:val="000000"/>
          <w:sz w:val="24"/>
        </w:rPr>
        <w:t>16 and 17</w:t>
      </w:r>
      <w:r>
        <w:rPr>
          <w:rFonts w:ascii="Arial"/>
          <w:color w:val="000000"/>
          <w:sz w:val="24"/>
        </w:rPr>
        <w:t xml:space="preserve"> </w:t>
      </w:r>
      <w:r>
        <w:rPr>
          <w:rFonts w:ascii="Arial"/>
          <w:color w:val="000000"/>
          <w:sz w:val="24"/>
        </w:rPr>
        <w:t>both raise procedural fairness claims concerning final submissions below. Neither has any factual foundation. As to the complaint that Mr Kudrynski was not shown the Council</w:t>
      </w:r>
      <w:r>
        <w:rPr>
          <w:rFonts w:ascii="Arial"/>
          <w:color w:val="000000"/>
          <w:sz w:val="24"/>
        </w:rPr>
        <w:t>’</w:t>
      </w:r>
      <w:r>
        <w:rPr>
          <w:rFonts w:ascii="Arial"/>
          <w:color w:val="000000"/>
          <w:sz w:val="24"/>
        </w:rPr>
        <w:t xml:space="preserve">s final submissions or given a chance to respond to them, the Council filed and served an original outline of submissions dated 9 March 2022, which is five days before the hearing </w:t>
      </w:r>
      <w:r>
        <w:rPr>
          <w:rFonts w:ascii="Arial"/>
          <w:color w:val="000000"/>
          <w:sz w:val="24"/>
        </w:rPr>
        <w:t xml:space="preserve">commenced. An updated outline of submissions dated 15 March 2022 </w:t>
      </w:r>
      <w:r>
        <w:rPr>
          <w:rFonts w:ascii="Arial"/>
          <w:color w:val="000000"/>
          <w:sz w:val="24"/>
        </w:rPr>
        <w:t>was</w:t>
      </w:r>
      <w:r>
        <w:rPr>
          <w:rFonts w:ascii="Arial"/>
          <w:color w:val="000000"/>
          <w:sz w:val="24"/>
        </w:rPr>
        <w:t xml:space="preserve"> </w:t>
      </w:r>
      <w:r>
        <w:rPr>
          <w:rFonts w:ascii="Arial"/>
          <w:color w:val="000000"/>
          <w:sz w:val="24"/>
        </w:rPr>
        <w:t>then provided by the Council in response to the primary judge</w:t>
      </w:r>
      <w:r>
        <w:rPr>
          <w:rFonts w:ascii="Arial"/>
          <w:color w:val="000000"/>
          <w:sz w:val="24"/>
        </w:rPr>
        <w:t>’</w:t>
      </w:r>
      <w:r>
        <w:rPr>
          <w:rFonts w:ascii="Arial"/>
          <w:color w:val="000000"/>
          <w:sz w:val="24"/>
        </w:rPr>
        <w:t xml:space="preserve">s request that </w:t>
      </w:r>
      <w:r>
        <w:rPr>
          <w:rFonts w:ascii="Arial"/>
          <w:color w:val="000000"/>
          <w:sz w:val="24"/>
        </w:rPr>
        <w:t>its</w:t>
      </w:r>
      <w:r>
        <w:rPr>
          <w:rFonts w:ascii="Arial"/>
          <w:color w:val="000000"/>
          <w:sz w:val="24"/>
        </w:rPr>
        <w:t xml:space="preserve"> </w:t>
      </w:r>
      <w:r>
        <w:rPr>
          <w:rFonts w:ascii="Arial"/>
          <w:color w:val="000000"/>
          <w:sz w:val="24"/>
        </w:rPr>
        <w:t>submissions address Exhibits A and B, being the two reports which Mr Kudrynski tendered on the first day of the hearing. The primary judge referred to the Council</w:t>
      </w:r>
      <w:r>
        <w:rPr>
          <w:rFonts w:ascii="Arial"/>
          <w:color w:val="000000"/>
          <w:sz w:val="24"/>
        </w:rPr>
        <w:t>’</w:t>
      </w:r>
      <w:r>
        <w:rPr>
          <w:rFonts w:ascii="Arial"/>
          <w:color w:val="000000"/>
          <w:sz w:val="24"/>
        </w:rPr>
        <w:t xml:space="preserve">s updated submissions being received at the commencement of the second day of the hearing. Mr Kudrynski made no complaint that he had not received a copy. Mr Kudrynski was given </w:t>
      </w:r>
      <w:r>
        <w:rPr>
          <w:rFonts w:ascii="Arial"/>
          <w:color w:val="000000"/>
          <w:sz w:val="24"/>
        </w:rPr>
        <w:t>a fair</w:t>
      </w:r>
      <w:r>
        <w:rPr>
          <w:rFonts w:ascii="Arial"/>
          <w:color w:val="000000"/>
          <w:sz w:val="24"/>
        </w:rPr>
        <w:t xml:space="preserve"> </w:t>
      </w:r>
      <w:r>
        <w:rPr>
          <w:rFonts w:ascii="Arial"/>
          <w:color w:val="000000"/>
          <w:sz w:val="24"/>
        </w:rPr>
        <w:t xml:space="preserve">opportunity to respond to those submissions when he made his </w:t>
      </w:r>
      <w:r>
        <w:rPr>
          <w:rFonts w:ascii="Arial"/>
          <w:color w:val="000000"/>
          <w:sz w:val="24"/>
        </w:rPr>
        <w:t>closing</w:t>
      </w:r>
      <w:r>
        <w:rPr>
          <w:rFonts w:ascii="Arial"/>
          <w:color w:val="000000"/>
          <w:sz w:val="24"/>
        </w:rPr>
        <w:t xml:space="preserve"> </w:t>
      </w:r>
      <w:r>
        <w:rPr>
          <w:rFonts w:ascii="Arial"/>
          <w:color w:val="000000"/>
          <w:sz w:val="24"/>
        </w:rPr>
        <w:t xml:space="preserve">address the following day. </w:t>
      </w:r>
    </w:p>
    <w:p>
      <w:pPr>
        <w:pStyle w:val="CaselawNumbered10"/>
        <w:numPr>
          <w:ilvl w:val="0"/>
          <w:numId w:val="46"/>
        </w:numPr>
        <w:spacing w:before="150" w:after="0"/>
        <w:ind w:left="600" w:hanging="600"/>
      </w:pPr>
      <w:r>
        <w:rPr>
          <w:rFonts w:ascii="Arial"/>
          <w:color w:val="000000"/>
          <w:sz w:val="24"/>
        </w:rPr>
        <w:t>As to the complaint that Mr Kudrynski did not make any final submissions himself, this claim is also baseless. The transcript below confirms that Mr Kudrynski read out lengthy closing submissions on the final day of the hearing</w:t>
      </w:r>
      <w:r>
        <w:rPr>
          <w:rFonts w:ascii="Arial"/>
          <w:color w:val="000000"/>
          <w:sz w:val="24"/>
        </w:rPr>
        <w:t xml:space="preserve"> </w:t>
      </w:r>
      <w:r>
        <w:rPr>
          <w:rFonts w:ascii="Arial"/>
          <w:color w:val="000000"/>
          <w:sz w:val="24"/>
        </w:rPr>
        <w:t>and that he emailed a hard copy of those submissions to the LEC during the course of his closing address</w:t>
      </w:r>
      <w:r>
        <w:rPr>
          <w:rFonts w:ascii="Arial"/>
          <w:color w:val="000000"/>
          <w:sz w:val="24"/>
        </w:rPr>
        <w:t>. There</w:t>
      </w:r>
      <w:r>
        <w:rPr>
          <w:rFonts w:ascii="Arial"/>
          <w:color w:val="000000"/>
          <w:sz w:val="24"/>
        </w:rPr>
        <w:t xml:space="preserve"> </w:t>
      </w:r>
      <w:r>
        <w:rPr>
          <w:rFonts w:ascii="Arial"/>
          <w:color w:val="000000"/>
          <w:sz w:val="24"/>
        </w:rPr>
        <w:t xml:space="preserve">were frequent exchanges between Mr Kudrynski and the primary judge in relation to </w:t>
      </w:r>
      <w:r>
        <w:rPr>
          <w:rFonts w:ascii="Arial"/>
          <w:color w:val="000000"/>
          <w:sz w:val="24"/>
        </w:rPr>
        <w:t xml:space="preserve">parts of </w:t>
      </w:r>
      <w:r>
        <w:rPr>
          <w:rFonts w:ascii="Arial"/>
          <w:color w:val="000000"/>
          <w:sz w:val="24"/>
        </w:rPr>
        <w:t>those submissions</w:t>
      </w:r>
      <w:r>
        <w:rPr>
          <w:rFonts w:ascii="Arial"/>
          <w:color w:val="000000"/>
          <w:sz w:val="24"/>
        </w:rPr>
        <w:t>.</w:t>
      </w:r>
      <w:r>
        <w:rPr>
          <w:rFonts w:ascii="Arial"/>
          <w:color w:val="000000"/>
          <w:sz w:val="24"/>
        </w:rPr>
        <w:t xml:space="preserve"> </w:t>
      </w:r>
      <w:r>
        <w:rPr>
          <w:rFonts w:ascii="Arial"/>
          <w:color w:val="000000"/>
          <w:sz w:val="24"/>
        </w:rPr>
        <w:t>Th</w:t>
      </w:r>
      <w:r>
        <w:rPr>
          <w:rFonts w:ascii="Arial"/>
          <w:color w:val="000000"/>
          <w:sz w:val="24"/>
        </w:rPr>
        <w:t>e Council</w:t>
      </w:r>
      <w:r>
        <w:rPr>
          <w:rFonts w:ascii="Arial"/>
          <w:color w:val="000000"/>
          <w:sz w:val="24"/>
        </w:rPr>
        <w:t>’</w:t>
      </w:r>
      <w:r>
        <w:rPr>
          <w:rFonts w:ascii="Arial"/>
          <w:color w:val="000000"/>
          <w:sz w:val="24"/>
        </w:rPr>
        <w:t xml:space="preserve">s barrister </w:t>
      </w:r>
      <w:r>
        <w:rPr>
          <w:rFonts w:ascii="Arial"/>
          <w:color w:val="000000"/>
          <w:sz w:val="24"/>
        </w:rPr>
        <w:t xml:space="preserve">then </w:t>
      </w:r>
      <w:r>
        <w:rPr>
          <w:rFonts w:ascii="Arial"/>
          <w:color w:val="000000"/>
          <w:sz w:val="24"/>
        </w:rPr>
        <w:t>made closing oral submissions in response to those of Mr Kudrynski</w:t>
      </w:r>
      <w:r>
        <w:rPr>
          <w:rFonts w:ascii="Arial"/>
          <w:color w:val="000000"/>
          <w:sz w:val="24"/>
        </w:rPr>
        <w:t>.</w:t>
      </w:r>
      <w:r>
        <w:rPr>
          <w:rFonts w:ascii="Arial"/>
          <w:color w:val="000000"/>
          <w:sz w:val="24"/>
        </w:rPr>
        <w:t xml:space="preserve"> </w:t>
      </w:r>
      <w:r>
        <w:rPr>
          <w:rFonts w:ascii="Arial"/>
          <w:color w:val="000000"/>
          <w:sz w:val="24"/>
        </w:rPr>
        <w:t>Mr Kudrynski</w:t>
      </w:r>
      <w:r>
        <w:rPr>
          <w:rFonts w:ascii="Arial"/>
          <w:color w:val="000000"/>
          <w:sz w:val="24"/>
        </w:rPr>
        <w:t xml:space="preserve"> </w:t>
      </w:r>
      <w:r>
        <w:rPr>
          <w:rFonts w:ascii="Arial"/>
          <w:color w:val="000000"/>
          <w:sz w:val="24"/>
        </w:rPr>
        <w:t>then</w:t>
      </w:r>
      <w:r>
        <w:rPr>
          <w:rFonts w:ascii="Arial"/>
          <w:color w:val="000000"/>
          <w:sz w:val="24"/>
        </w:rPr>
        <w:t xml:space="preserve"> </w:t>
      </w:r>
      <w:r>
        <w:rPr>
          <w:rFonts w:ascii="Arial"/>
          <w:color w:val="000000"/>
          <w:sz w:val="24"/>
        </w:rPr>
        <w:t>availed himself of the opportunity to make oral submissions in reply. There was no procedural unfairness. Indeed it is evident from the transcript that the primary judge went to considerable lengths, including granting numerous adjournments, to assist Mr Kudrynski in his presentation of the applicants</w:t>
      </w:r>
      <w:r>
        <w:rPr>
          <w:rFonts w:ascii="Arial"/>
          <w:color w:val="000000"/>
          <w:sz w:val="24"/>
        </w:rPr>
        <w:t>’</w:t>
      </w:r>
      <w:r>
        <w:rPr>
          <w:rFonts w:ascii="Arial"/>
          <w:color w:val="000000"/>
          <w:sz w:val="24"/>
        </w:rPr>
        <w:t xml:space="preserve"> </w:t>
      </w:r>
      <w:r>
        <w:rPr>
          <w:rFonts w:ascii="Arial"/>
          <w:color w:val="000000"/>
          <w:sz w:val="24"/>
        </w:rPr>
        <w:t xml:space="preserve">case. </w:t>
      </w:r>
    </w:p>
    <w:p>
      <w:pPr>
        <w:pStyle w:val="CaselawNumbered10"/>
        <w:numPr>
          <w:ilvl w:val="0"/>
          <w:numId w:val="46"/>
        </w:numPr>
        <w:spacing w:before="150" w:after="0"/>
        <w:ind w:left="600" w:hanging="600"/>
      </w:pPr>
      <w:r>
        <w:rPr>
          <w:rFonts w:ascii="Arial"/>
          <w:color w:val="000000"/>
          <w:sz w:val="24"/>
        </w:rPr>
        <w:t xml:space="preserve">Grounds 18 and </w:t>
      </w:r>
      <w:r>
        <w:rPr>
          <w:rFonts w:ascii="Arial"/>
          <w:color w:val="000000"/>
          <w:sz w:val="24"/>
        </w:rPr>
        <w:t>19</w:t>
      </w:r>
      <w:r>
        <w:rPr>
          <w:rFonts w:ascii="Arial"/>
          <w:color w:val="000000"/>
          <w:sz w:val="24"/>
        </w:rPr>
        <w:t xml:space="preserve"> </w:t>
      </w:r>
      <w:r>
        <w:rPr>
          <w:rFonts w:ascii="Arial"/>
          <w:color w:val="000000"/>
          <w:sz w:val="24"/>
        </w:rPr>
        <w:t>appear to relate to the manner in which Mr Kudry</w:t>
      </w:r>
      <w:r>
        <w:rPr>
          <w:rFonts w:ascii="Arial"/>
          <w:color w:val="000000"/>
          <w:sz w:val="24"/>
        </w:rPr>
        <w:t>n</w:t>
      </w:r>
      <w:r>
        <w:rPr>
          <w:rFonts w:ascii="Arial"/>
          <w:color w:val="000000"/>
          <w:sz w:val="24"/>
        </w:rPr>
        <w:t xml:space="preserve">ski approached his </w:t>
      </w:r>
      <w:r>
        <w:rPr>
          <w:rFonts w:ascii="Arial"/>
          <w:color w:val="000000"/>
          <w:sz w:val="24"/>
        </w:rPr>
        <w:t xml:space="preserve">oral </w:t>
      </w:r>
      <w:r>
        <w:rPr>
          <w:rFonts w:ascii="Arial"/>
          <w:color w:val="000000"/>
          <w:sz w:val="24"/>
        </w:rPr>
        <w:t>examination of the Council</w:t>
      </w:r>
      <w:r>
        <w:rPr>
          <w:rFonts w:ascii="Arial"/>
          <w:color w:val="000000"/>
          <w:sz w:val="24"/>
        </w:rPr>
        <w:t>’</w:t>
      </w:r>
      <w:r>
        <w:rPr>
          <w:rFonts w:ascii="Arial"/>
          <w:color w:val="000000"/>
          <w:sz w:val="24"/>
        </w:rPr>
        <w:t xml:space="preserve">s </w:t>
      </w:r>
      <w:r>
        <w:rPr>
          <w:rFonts w:ascii="Arial"/>
          <w:color w:val="000000"/>
          <w:sz w:val="24"/>
        </w:rPr>
        <w:t>CEO</w:t>
      </w:r>
      <w:r>
        <w:rPr>
          <w:rFonts w:ascii="Arial"/>
          <w:color w:val="000000"/>
          <w:sz w:val="24"/>
        </w:rPr>
        <w:t xml:space="preserve">, Mr Waddell, who </w:t>
      </w:r>
      <w:r>
        <w:rPr>
          <w:rFonts w:ascii="Arial"/>
          <w:color w:val="000000"/>
          <w:sz w:val="24"/>
        </w:rPr>
        <w:t>gave</w:t>
      </w:r>
      <w:r>
        <w:rPr>
          <w:rFonts w:ascii="Arial"/>
          <w:color w:val="000000"/>
          <w:sz w:val="24"/>
        </w:rPr>
        <w:t xml:space="preserve"> </w:t>
      </w:r>
      <w:r>
        <w:rPr>
          <w:rFonts w:ascii="Arial"/>
          <w:color w:val="000000"/>
          <w:sz w:val="24"/>
        </w:rPr>
        <w:t xml:space="preserve">evidence pursuant to a subpoena issued by </w:t>
      </w:r>
      <w:r>
        <w:rPr>
          <w:rFonts w:ascii="Arial"/>
          <w:color w:val="000000"/>
          <w:sz w:val="24"/>
        </w:rPr>
        <w:t>the applicants</w:t>
      </w:r>
      <w:r>
        <w:rPr>
          <w:rFonts w:ascii="Arial"/>
          <w:color w:val="000000"/>
          <w:sz w:val="24"/>
        </w:rPr>
        <w:t>.</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 xml:space="preserve">Mr Kudrynski </w:t>
      </w:r>
      <w:r>
        <w:rPr>
          <w:rFonts w:ascii="Arial"/>
          <w:color w:val="000000"/>
          <w:sz w:val="24"/>
        </w:rPr>
        <w:t>e</w:t>
      </w:r>
      <w:r>
        <w:rPr>
          <w:rFonts w:ascii="Arial"/>
          <w:color w:val="000000"/>
          <w:sz w:val="24"/>
        </w:rPr>
        <w:t>xamine</w:t>
      </w:r>
      <w:r>
        <w:rPr>
          <w:rFonts w:ascii="Arial"/>
          <w:color w:val="000000"/>
          <w:sz w:val="24"/>
        </w:rPr>
        <w:t>d</w:t>
      </w:r>
      <w:r>
        <w:rPr>
          <w:rFonts w:ascii="Arial"/>
          <w:color w:val="000000"/>
          <w:sz w:val="24"/>
        </w:rPr>
        <w:t xml:space="preserve"> </w:t>
      </w:r>
      <w:r>
        <w:rPr>
          <w:rFonts w:ascii="Arial"/>
          <w:color w:val="000000"/>
          <w:sz w:val="24"/>
        </w:rPr>
        <w:t xml:space="preserve">Mr Waddell at length (over 43 pages of the transcript). At the conclusion of </w:t>
      </w:r>
      <w:r>
        <w:rPr>
          <w:rFonts w:ascii="Arial"/>
          <w:color w:val="000000"/>
          <w:sz w:val="24"/>
        </w:rPr>
        <w:t>that</w:t>
      </w:r>
      <w:r>
        <w:rPr>
          <w:rFonts w:ascii="Arial"/>
          <w:color w:val="000000"/>
          <w:sz w:val="24"/>
        </w:rPr>
        <w:t xml:space="preserve"> </w:t>
      </w:r>
      <w:r>
        <w:rPr>
          <w:rFonts w:ascii="Arial"/>
          <w:color w:val="000000"/>
          <w:sz w:val="24"/>
        </w:rPr>
        <w:t xml:space="preserve">examination, </w:t>
      </w:r>
      <w:r>
        <w:rPr>
          <w:rFonts w:ascii="Arial"/>
          <w:color w:val="000000"/>
          <w:sz w:val="24"/>
        </w:rPr>
        <w:t>Mr Waddell was excused</w:t>
      </w:r>
      <w:r>
        <w:rPr>
          <w:rFonts w:ascii="Arial"/>
          <w:color w:val="000000"/>
          <w:sz w:val="24"/>
        </w:rPr>
        <w:t xml:space="preserve"> </w:t>
      </w:r>
      <w:r>
        <w:rPr>
          <w:rFonts w:ascii="Arial"/>
          <w:color w:val="000000"/>
          <w:sz w:val="24"/>
        </w:rPr>
        <w:t>as a witness</w:t>
      </w:r>
      <w:r>
        <w:rPr>
          <w:rFonts w:ascii="Arial"/>
          <w:color w:val="000000"/>
          <w:sz w:val="24"/>
        </w:rPr>
        <w:t xml:space="preserve">. The following day (being the second day of the hearing), Mr Kudrynski said that he would like to recall Mr Waddell. After hearing submissions, the primary judge disallowed that request but permitted Mr Kudrynski to prepare two questions in writing for Mr Waddell to answer. Both questions related to matters </w:t>
      </w:r>
      <w:r>
        <w:rPr>
          <w:rFonts w:ascii="Arial"/>
          <w:color w:val="000000"/>
          <w:sz w:val="24"/>
        </w:rPr>
        <w:t>concerning</w:t>
      </w:r>
      <w:r>
        <w:rPr>
          <w:rFonts w:ascii="Arial"/>
          <w:color w:val="000000"/>
          <w:sz w:val="24"/>
        </w:rPr>
        <w:t xml:space="preserve"> </w:t>
      </w:r>
      <w:r>
        <w:rPr>
          <w:rFonts w:ascii="Arial"/>
          <w:color w:val="000000"/>
          <w:sz w:val="24"/>
        </w:rPr>
        <w:t>pumping</w:t>
      </w:r>
      <w:r>
        <w:rPr>
          <w:rFonts w:ascii="Arial"/>
          <w:color w:val="000000"/>
          <w:sz w:val="24"/>
        </w:rPr>
        <w:t xml:space="preserve">. </w:t>
      </w:r>
      <w:r>
        <w:rPr>
          <w:rFonts w:ascii="Arial"/>
          <w:color w:val="000000"/>
          <w:sz w:val="24"/>
        </w:rPr>
        <w:t>Mr Waddell</w:t>
      </w:r>
      <w:r>
        <w:rPr>
          <w:rFonts w:ascii="Arial"/>
          <w:color w:val="000000"/>
          <w:sz w:val="24"/>
        </w:rPr>
        <w:t>’</w:t>
      </w:r>
      <w:r>
        <w:rPr>
          <w:rFonts w:ascii="Arial"/>
          <w:color w:val="000000"/>
          <w:sz w:val="24"/>
        </w:rPr>
        <w:t xml:space="preserve">s answer to both questions was: </w:t>
      </w:r>
      <w:r>
        <w:rPr>
          <w:rFonts w:ascii="Arial"/>
          <w:color w:val="000000"/>
          <w:sz w:val="24"/>
        </w:rPr>
        <w:t>“</w:t>
      </w:r>
      <w:r>
        <w:rPr>
          <w:rFonts w:ascii="Arial"/>
          <w:color w:val="000000"/>
          <w:sz w:val="24"/>
        </w:rPr>
        <w:t>I do not know</w:t>
      </w:r>
      <w:r>
        <w:rPr>
          <w:rFonts w:ascii="Arial"/>
          <w:color w:val="000000"/>
          <w:sz w:val="24"/>
        </w:rPr>
        <w:t>”</w:t>
      </w:r>
      <w:r>
        <w:rPr>
          <w:rFonts w:ascii="Arial"/>
          <w:color w:val="000000"/>
          <w:sz w:val="24"/>
        </w:rPr>
        <w:t xml:space="preserve">. The written questions and answers were then tendered as Exhibit 4. </w:t>
      </w:r>
    </w:p>
    <w:p>
      <w:pPr>
        <w:pStyle w:val="CaselawNumbered10"/>
        <w:numPr>
          <w:ilvl w:val="0"/>
          <w:numId w:val="46"/>
        </w:numPr>
        <w:spacing w:before="150" w:after="0"/>
        <w:ind w:left="600" w:hanging="600"/>
      </w:pPr>
      <w:r>
        <w:rPr>
          <w:rFonts w:ascii="Arial"/>
          <w:color w:val="000000"/>
          <w:sz w:val="24"/>
        </w:rPr>
        <w:t xml:space="preserve">It is difficult to understand these grounds in circumstances where the Court, Mr Waddell and the Council </w:t>
      </w:r>
      <w:r>
        <w:rPr>
          <w:rFonts w:ascii="Arial"/>
          <w:color w:val="000000"/>
          <w:sz w:val="24"/>
        </w:rPr>
        <w:t xml:space="preserve">all </w:t>
      </w:r>
      <w:r>
        <w:rPr>
          <w:rFonts w:ascii="Arial"/>
          <w:color w:val="000000"/>
          <w:sz w:val="24"/>
        </w:rPr>
        <w:t>acceded to Mr Kudrynski</w:t>
      </w:r>
      <w:r>
        <w:rPr>
          <w:rFonts w:ascii="Arial"/>
          <w:color w:val="000000"/>
          <w:sz w:val="24"/>
        </w:rPr>
        <w:t>’</w:t>
      </w:r>
      <w:r>
        <w:rPr>
          <w:rFonts w:ascii="Arial"/>
          <w:color w:val="000000"/>
          <w:sz w:val="24"/>
        </w:rPr>
        <w:t xml:space="preserve">s further questions in writing being provided to Mr Waddell after the hearing had finished. </w:t>
      </w:r>
      <w:r>
        <w:rPr>
          <w:rFonts w:ascii="Arial"/>
          <w:color w:val="000000"/>
          <w:sz w:val="24"/>
        </w:rPr>
        <w:t xml:space="preserve">It appears Mr Kudrynski does not accept the substance of the answers given. This is a question of fact, not a question of law for the purposes of s 57(1) of the </w:t>
      </w:r>
      <w:r>
        <w:rPr>
          <w:rFonts w:ascii="Arial"/>
          <w:i/>
          <w:color w:val="000000"/>
          <w:sz w:val="24"/>
        </w:rPr>
        <w:t xml:space="preserve">Land and Environment Court Act. </w:t>
      </w:r>
    </w:p>
    <w:p>
      <w:pPr>
        <w:pStyle w:val="CaselawNumbered10"/>
        <w:numPr>
          <w:ilvl w:val="0"/>
          <w:numId w:val="46"/>
        </w:numPr>
        <w:spacing w:before="150" w:after="0"/>
        <w:ind w:left="600" w:hanging="600"/>
      </w:pPr>
      <w:r>
        <w:rPr>
          <w:rFonts w:ascii="Arial"/>
          <w:color w:val="000000"/>
          <w:sz w:val="24"/>
        </w:rPr>
        <w:t xml:space="preserve">Ground 20 is another complaint of procedural unfairness in </w:t>
      </w:r>
      <w:r>
        <w:rPr>
          <w:rFonts w:ascii="Arial"/>
          <w:color w:val="000000"/>
          <w:sz w:val="24"/>
        </w:rPr>
        <w:t>respect</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 xml:space="preserve">three </w:t>
      </w:r>
      <w:r>
        <w:rPr>
          <w:rFonts w:ascii="Arial"/>
          <w:color w:val="000000"/>
          <w:sz w:val="24"/>
        </w:rPr>
        <w:t>day</w:t>
      </w:r>
      <w:r>
        <w:rPr>
          <w:rFonts w:ascii="Arial"/>
          <w:color w:val="000000"/>
          <w:sz w:val="24"/>
        </w:rPr>
        <w:t xml:space="preserve"> </w:t>
      </w:r>
      <w:r>
        <w:rPr>
          <w:rFonts w:ascii="Arial"/>
          <w:color w:val="000000"/>
          <w:sz w:val="24"/>
        </w:rPr>
        <w:t xml:space="preserve">hearing </w:t>
      </w:r>
      <w:r>
        <w:rPr>
          <w:rFonts w:ascii="Arial"/>
          <w:color w:val="000000"/>
          <w:sz w:val="24"/>
        </w:rPr>
        <w:t>commencing on 14 March 2022 and Mr Kudrynski</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claim </w:t>
      </w:r>
      <w:r>
        <w:rPr>
          <w:rFonts w:ascii="Arial"/>
          <w:color w:val="000000"/>
          <w:sz w:val="24"/>
        </w:rPr>
        <w:t xml:space="preserve">that it was </w:t>
      </w:r>
      <w:r>
        <w:rPr>
          <w:rFonts w:ascii="Arial"/>
          <w:color w:val="000000"/>
          <w:sz w:val="24"/>
        </w:rPr>
        <w:t>“</w:t>
      </w:r>
      <w:r>
        <w:rPr>
          <w:rFonts w:ascii="Arial"/>
          <w:color w:val="000000"/>
          <w:sz w:val="24"/>
        </w:rPr>
        <w:t>sprung upon</w:t>
      </w:r>
      <w:r>
        <w:rPr>
          <w:rFonts w:ascii="Arial"/>
          <w:color w:val="000000"/>
          <w:sz w:val="24"/>
        </w:rPr>
        <w:t xml:space="preserve">” </w:t>
      </w:r>
      <w:r>
        <w:rPr>
          <w:rFonts w:ascii="Arial"/>
          <w:color w:val="000000"/>
          <w:sz w:val="24"/>
        </w:rPr>
        <w:t>him</w:t>
      </w:r>
      <w:r>
        <w:rPr>
          <w:rFonts w:ascii="Arial"/>
          <w:color w:val="000000"/>
          <w:sz w:val="24"/>
        </w:rPr>
        <w:t>. It overlaps with ground 14</w:t>
      </w:r>
      <w:r>
        <w:rPr>
          <w:rFonts w:ascii="Arial"/>
          <w:color w:val="000000"/>
          <w:sz w:val="24"/>
        </w:rPr>
        <w:t xml:space="preserve"> </w:t>
      </w:r>
      <w:r>
        <w:rPr>
          <w:rFonts w:ascii="Arial"/>
          <w:color w:val="000000"/>
          <w:sz w:val="24"/>
        </w:rPr>
        <w:t>(see at [</w:t>
      </w:r>
      <w:hyperlink r:id="rId29">
        <w:r>
          <w:rPr>
            <w:rFonts w:ascii="Arial"/>
            <w:color w:val="000000"/>
            <w:sz w:val="24"/>
            <w:u w:val="single"/>
          </w:rPr>
          <w:t/>
        </w:r>
        <w:r>
          <w:rPr>
            <w:rFonts w:ascii="Arial"/>
            <w:color w:val="000000"/>
            <w:sz w:val="24"/>
          </w:rPr>
          <w:t>87</w:t>
        </w:r>
      </w:hyperlink>
      <w:hyperlink r:id="rId30">
        <w:r>
          <w:rPr>
            <w:rFonts w:ascii="Arial"/>
            <w:color w:val="000000"/>
            <w:sz w:val="24"/>
          </w:rPr>
          <w:t/>
        </w:r>
      </w:hyperlink>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w:t>
      </w:r>
      <w:hyperlink r:id="rId31">
        <w:r>
          <w:rPr>
            <w:rFonts w:ascii="Arial"/>
            <w:color w:val="000000"/>
            <w:sz w:val="24"/>
            <w:u w:val="single"/>
          </w:rPr>
          <w:t/>
        </w:r>
        <w:r>
          <w:rPr>
            <w:rFonts w:ascii="Arial"/>
            <w:color w:val="000000"/>
            <w:sz w:val="24"/>
          </w:rPr>
          <w:t>89</w:t>
        </w:r>
      </w:hyperlink>
      <w:hyperlink r:id="rId32">
        <w:r>
          <w:rPr>
            <w:rFonts w:ascii="Arial"/>
            <w:color w:val="000000"/>
            <w:sz w:val="24"/>
          </w:rPr>
          <w:t/>
        </w:r>
      </w:hyperlink>
      <w:r>
        <w:rPr>
          <w:rFonts w:ascii="Arial"/>
          <w:color w:val="000000"/>
          <w:sz w:val="24"/>
        </w:rPr>
        <w:t>] above)</w:t>
      </w:r>
      <w:r>
        <w:rPr>
          <w:rFonts w:ascii="Arial"/>
          <w:color w:val="000000"/>
          <w:sz w:val="24"/>
        </w:rPr>
        <w:t xml:space="preserve">. The complaint is baseless. The primary judge went to considerable lengths to clarify the circumstances in which the matter was relisted on 12 October 2021 to be heard by a different judge commencing </w:t>
      </w:r>
      <w:r>
        <w:rPr>
          <w:rFonts w:ascii="Arial"/>
          <w:color w:val="000000"/>
          <w:sz w:val="24"/>
        </w:rPr>
        <w:t xml:space="preserve">on </w:t>
      </w:r>
      <w:r>
        <w:rPr>
          <w:rFonts w:ascii="Arial"/>
          <w:color w:val="000000"/>
          <w:sz w:val="24"/>
        </w:rPr>
        <w:t>14 March 2022. It is evident that</w:t>
      </w:r>
      <w:r>
        <w:rPr>
          <w:rFonts w:ascii="Arial"/>
          <w:color w:val="000000"/>
          <w:sz w:val="24"/>
        </w:rPr>
        <w:t xml:space="preserve">, at the time, </w:t>
      </w:r>
      <w:r>
        <w:rPr>
          <w:rFonts w:ascii="Arial"/>
          <w:color w:val="000000"/>
          <w:sz w:val="24"/>
        </w:rPr>
        <w:t xml:space="preserve"> </w:t>
      </w:r>
      <w:r>
        <w:rPr>
          <w:rFonts w:ascii="Arial"/>
          <w:color w:val="000000"/>
          <w:sz w:val="24"/>
        </w:rPr>
        <w:t>Mr Kudrynski misunderstood that although Moore J would no longer hear the matter once it was adjourned at Mr Kudrynski</w:t>
      </w:r>
      <w:r>
        <w:rPr>
          <w:rFonts w:ascii="Arial"/>
          <w:color w:val="000000"/>
          <w:sz w:val="24"/>
        </w:rPr>
        <w:t>’</w:t>
      </w:r>
      <w:r>
        <w:rPr>
          <w:rFonts w:ascii="Arial"/>
          <w:color w:val="000000"/>
          <w:sz w:val="24"/>
        </w:rPr>
        <w:t xml:space="preserve">s request because of his </w:t>
      </w:r>
      <w:r>
        <w:rPr>
          <w:rFonts w:ascii="Arial"/>
          <w:color w:val="000000"/>
          <w:sz w:val="24"/>
        </w:rPr>
        <w:t xml:space="preserve">own </w:t>
      </w:r>
      <w:r>
        <w:rPr>
          <w:rFonts w:ascii="Arial"/>
          <w:color w:val="000000"/>
          <w:sz w:val="24"/>
        </w:rPr>
        <w:t xml:space="preserve">ill-health, the hearing would nevertheless proceed before another judge commencing on 14 March 2022. </w:t>
      </w:r>
    </w:p>
    <w:p>
      <w:pPr>
        <w:pStyle w:val="CaselawNumbered10"/>
        <w:numPr>
          <w:ilvl w:val="0"/>
          <w:numId w:val="46"/>
        </w:numPr>
        <w:spacing w:before="150" w:after="0"/>
        <w:ind w:left="600" w:hanging="600"/>
      </w:pPr>
      <w:r>
        <w:rPr>
          <w:rFonts w:ascii="Arial"/>
          <w:color w:val="000000"/>
          <w:sz w:val="24"/>
        </w:rPr>
        <w:t>As the primary judge pointed out to Mr Kudrynski when he complained about these matters</w:t>
      </w:r>
      <w:r>
        <w:rPr>
          <w:rFonts w:ascii="Arial"/>
          <w:color w:val="000000"/>
          <w:sz w:val="24"/>
        </w:rPr>
        <w:t xml:space="preserve"> </w:t>
      </w:r>
      <w:r>
        <w:rPr>
          <w:rFonts w:ascii="Arial"/>
          <w:color w:val="000000"/>
          <w:sz w:val="24"/>
        </w:rPr>
        <w:t>in oral address</w:t>
      </w:r>
      <w:r>
        <w:rPr>
          <w:rFonts w:ascii="Arial"/>
          <w:color w:val="000000"/>
          <w:sz w:val="24"/>
        </w:rPr>
        <w:t>, there was a directions hearing before her Honour on 3 March 2022</w:t>
      </w:r>
      <w:r>
        <w:rPr>
          <w:rFonts w:ascii="Arial"/>
          <w:color w:val="000000"/>
          <w:sz w:val="24"/>
        </w:rPr>
        <w:t>.</w:t>
      </w:r>
      <w:r>
        <w:rPr>
          <w:rFonts w:ascii="Arial"/>
          <w:color w:val="000000"/>
          <w:sz w:val="24"/>
        </w:rPr>
        <w:t xml:space="preserve"> </w:t>
      </w:r>
      <w:r>
        <w:rPr>
          <w:rFonts w:ascii="Arial"/>
          <w:color w:val="000000"/>
          <w:sz w:val="24"/>
        </w:rPr>
        <w:t xml:space="preserve">Mr Kudrynski appeared </w:t>
      </w:r>
      <w:r>
        <w:rPr>
          <w:rFonts w:ascii="Arial"/>
          <w:color w:val="000000"/>
          <w:sz w:val="24"/>
        </w:rPr>
        <w:t xml:space="preserve">at that time </w:t>
      </w:r>
      <w:r>
        <w:rPr>
          <w:rFonts w:ascii="Arial"/>
          <w:color w:val="000000"/>
          <w:sz w:val="24"/>
        </w:rPr>
        <w:t xml:space="preserve">but said nothing about the hearing proceeding on 14 March 2022. </w:t>
      </w:r>
    </w:p>
    <w:p>
      <w:pPr>
        <w:pStyle w:val="CaselawNumbered10"/>
        <w:numPr>
          <w:ilvl w:val="0"/>
          <w:numId w:val="46"/>
        </w:numPr>
        <w:spacing w:before="150" w:after="0"/>
        <w:ind w:left="600" w:hanging="600"/>
      </w:pPr>
      <w:r>
        <w:rPr>
          <w:rFonts w:ascii="Arial"/>
          <w:color w:val="000000"/>
          <w:sz w:val="24"/>
        </w:rPr>
        <w:t>Finally,</w:t>
      </w:r>
      <w:r>
        <w:rPr>
          <w:rFonts w:ascii="Arial"/>
          <w:color w:val="000000"/>
          <w:sz w:val="24"/>
        </w:rPr>
        <w:t xml:space="preserve"> </w:t>
      </w:r>
      <w:r>
        <w:rPr>
          <w:rFonts w:ascii="Arial"/>
          <w:color w:val="000000"/>
          <w:sz w:val="24"/>
        </w:rPr>
        <w:t>after a lengthy exchange with Mr Kudrynski concerning</w:t>
      </w:r>
      <w:r>
        <w:rPr>
          <w:rFonts w:ascii="Arial"/>
          <w:color w:val="000000"/>
          <w:sz w:val="24"/>
        </w:rPr>
        <w:t xml:space="preserve"> </w:t>
      </w:r>
      <w:r>
        <w:rPr>
          <w:rFonts w:ascii="Arial"/>
          <w:color w:val="000000"/>
          <w:sz w:val="24"/>
        </w:rPr>
        <w:t xml:space="preserve">the </w:t>
      </w:r>
      <w:r>
        <w:rPr>
          <w:rFonts w:ascii="Arial"/>
          <w:color w:val="000000"/>
          <w:sz w:val="24"/>
        </w:rPr>
        <w:t xml:space="preserve">case management </w:t>
      </w:r>
      <w:r>
        <w:rPr>
          <w:rFonts w:ascii="Arial"/>
          <w:color w:val="000000"/>
          <w:sz w:val="24"/>
        </w:rPr>
        <w:t xml:space="preserve">history </w:t>
      </w:r>
      <w:r>
        <w:rPr>
          <w:rFonts w:ascii="Arial"/>
          <w:color w:val="000000"/>
          <w:sz w:val="24"/>
        </w:rPr>
        <w:t xml:space="preserve">and the matter being relisted for hearing, the primary judge made clear to Mr Kudrynski that she did not accept that he had somehow been prejudiced in his preparation for the hearing, to which Mr Kudrynski responded: </w:t>
      </w:r>
    </w:p>
    <w:p>
      <w:pPr>
        <w:pStyle w:val="CaselawQuote"/>
        <w:spacing w:before="150" w:after="150"/>
        <w:ind w:left="1350"/>
        <w:jc w:val="left"/>
      </w:pPr>
      <w:r>
        <w:rPr>
          <w:rFonts w:ascii="Arial"/>
          <w:color w:val="000000"/>
          <w:sz w:val="22"/>
        </w:rPr>
        <w:t>Well, if that’s the case, I accept the result…</w:t>
      </w:r>
    </w:p>
    <w:p>
      <w:pPr>
        <w:pStyle w:val="CaselawNumbered10"/>
        <w:numPr>
          <w:ilvl w:val="0"/>
          <w:numId w:val="47"/>
        </w:numPr>
        <w:spacing w:before="150" w:after="0"/>
        <w:ind w:left="600" w:hanging="600"/>
      </w:pPr>
      <w:r>
        <w:rPr>
          <w:rFonts w:ascii="Arial"/>
          <w:color w:val="000000"/>
          <w:sz w:val="24"/>
        </w:rPr>
        <w:t>Although, on the face of it, t</w:t>
      </w:r>
      <w:r>
        <w:rPr>
          <w:rFonts w:ascii="Arial"/>
          <w:color w:val="000000"/>
          <w:sz w:val="24"/>
        </w:rPr>
        <w:t xml:space="preserve">his </w:t>
      </w:r>
      <w:r>
        <w:rPr>
          <w:rFonts w:ascii="Arial"/>
          <w:color w:val="000000"/>
          <w:sz w:val="24"/>
        </w:rPr>
        <w:t>answer may accept the correctness of the primary judge</w:t>
      </w:r>
      <w:r>
        <w:rPr>
          <w:rFonts w:ascii="Arial"/>
          <w:color w:val="000000"/>
          <w:sz w:val="24"/>
        </w:rPr>
        <w:t>’</w:t>
      </w:r>
      <w:r>
        <w:rPr>
          <w:rFonts w:ascii="Arial"/>
          <w:color w:val="000000"/>
          <w:sz w:val="24"/>
        </w:rPr>
        <w:t xml:space="preserve">s assessment, it is not necessary to decide this issue by any such concession. </w:t>
      </w:r>
      <w:r>
        <w:rPr>
          <w:rFonts w:ascii="Arial"/>
          <w:color w:val="000000"/>
          <w:sz w:val="24"/>
        </w:rPr>
        <w:t xml:space="preserve"> </w:t>
      </w:r>
    </w:p>
    <w:p>
      <w:pPr>
        <w:pStyle w:val="CaselawHeading2"/>
        <w:keepNext/>
        <w:spacing w:before="150" w:after="150" w:line="264"/>
        <w:ind w:left="0"/>
        <w:jc w:val="left"/>
      </w:pPr>
      <w:r>
        <w:rPr>
          <w:rFonts w:ascii="Arial"/>
        </w:rPr>
        <w:t>(g)</w:t>
      </w:r>
      <w:r>
        <w:rPr>
          <w:rFonts w:ascii="Arial"/>
        </w:rPr>
        <w:t>   </w:t>
      </w:r>
      <w:r>
        <w:rPr>
          <w:rFonts w:ascii="Arial"/>
        </w:rPr>
        <w:t>Conclusion</w:t>
      </w:r>
    </w:p>
    <w:p>
      <w:pPr>
        <w:pStyle w:val="CaselawNumbered10"/>
        <w:numPr>
          <w:ilvl w:val="0"/>
          <w:numId w:val="48"/>
        </w:numPr>
        <w:spacing w:before="150" w:after="0"/>
        <w:ind w:left="600" w:hanging="600"/>
      </w:pPr>
      <w:r>
        <w:rPr>
          <w:rFonts w:ascii="Arial"/>
          <w:color w:val="000000"/>
          <w:sz w:val="24"/>
        </w:rPr>
        <w:t xml:space="preserve">For these reasons, </w:t>
      </w:r>
      <w:r>
        <w:rPr>
          <w:rFonts w:ascii="Arial"/>
          <w:color w:val="000000"/>
          <w:sz w:val="24"/>
        </w:rPr>
        <w:t>each of the 24 grounds of appeal is rejected. None describes or identifies a question of law which</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the subject of any order or decision of the primary judge, let alone a question </w:t>
      </w:r>
      <w:r>
        <w:rPr>
          <w:rFonts w:ascii="Arial"/>
          <w:color w:val="000000"/>
          <w:sz w:val="24"/>
        </w:rPr>
        <w:t xml:space="preserve">which </w:t>
      </w:r>
      <w:r>
        <w:rPr>
          <w:rFonts w:ascii="Arial"/>
          <w:color w:val="000000"/>
          <w:sz w:val="24"/>
        </w:rPr>
        <w:t>was decided contrary to law. It follows that the appeal should be dismissed with costs.</w:t>
      </w:r>
      <w:r>
        <w:rPr>
          <w:rFonts w:ascii="Arial"/>
          <w:color w:val="000000"/>
          <w:sz w:val="24"/>
        </w:rPr>
        <w:t xml:space="preserve"> </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5"/>
    <w:lvlOverride w:ilvl="0">
      <w:startOverride w:val="1"/>
    </w:lvlOverride>
  </w:num>
  <w:num w:numId="24">
    <w:abstractNumId w:val="16"/>
    <w:lvlOverride w:ilvl="0">
      <w:startOverride w:val="7"/>
    </w:lvlOverride>
  </w:num>
  <w:num w:numId="25">
    <w:abstractNumId w:val="16"/>
    <w:lvlOverride w:ilvl="0">
      <w:startOverride w:val="10"/>
    </w:lvlOverride>
  </w:num>
  <w:num w:numId="26">
    <w:abstractNumId w:val="10"/>
    <w:lvlOverride w:ilvl="0">
      <w:startOverride w:val="1"/>
    </w:lvlOverride>
  </w:num>
  <w:num w:numId="27">
    <w:abstractNumId w:val="16"/>
    <w:lvlOverride w:ilvl="0">
      <w:startOverride w:val="13"/>
    </w:lvlOverride>
  </w:num>
  <w:num w:numId="28">
    <w:abstractNumId w:val="16"/>
    <w:lvlOverride w:ilvl="0">
      <w:startOverride w:val="16"/>
    </w:lvlOverride>
  </w:num>
  <w:num w:numId="29">
    <w:abstractNumId w:val="16"/>
    <w:lvlOverride w:ilvl="0">
      <w:startOverride w:val="20"/>
    </w:lvlOverride>
  </w:num>
  <w:num w:numId="30">
    <w:abstractNumId w:val="16"/>
    <w:lvlOverride w:ilvl="0">
      <w:startOverride w:val="32"/>
    </w:lvlOverride>
  </w:num>
  <w:num w:numId="31">
    <w:abstractNumId w:val="16"/>
    <w:lvlOverride w:ilvl="0">
      <w:startOverride w:val="34"/>
    </w:lvlOverride>
  </w:num>
  <w:num w:numId="32">
    <w:abstractNumId w:val="16"/>
    <w:lvlOverride w:ilvl="0">
      <w:startOverride w:val="35"/>
    </w:lvlOverride>
  </w:num>
  <w:num w:numId="33">
    <w:abstractNumId w:val="16"/>
    <w:lvlOverride w:ilvl="0">
      <w:startOverride w:val="37"/>
    </w:lvlOverride>
  </w:num>
  <w:num w:numId="34">
    <w:abstractNumId w:val="15"/>
    <w:lvlOverride w:ilvl="0">
      <w:startOverride w:val="1"/>
    </w:lvlOverride>
  </w:num>
  <w:num w:numId="35">
    <w:abstractNumId w:val="16"/>
    <w:lvlOverride w:ilvl="0">
      <w:startOverride w:val="38"/>
    </w:lvlOverride>
  </w:num>
  <w:num w:numId="36">
    <w:abstractNumId w:val="16"/>
    <w:lvlOverride w:ilvl="0">
      <w:startOverride w:val="46"/>
    </w:lvlOverride>
  </w:num>
  <w:num w:numId="37">
    <w:abstractNumId w:val="16"/>
    <w:lvlOverride w:ilvl="0">
      <w:startOverride w:val="48"/>
    </w:lvlOverride>
  </w:num>
  <w:num w:numId="38">
    <w:abstractNumId w:val="16"/>
    <w:lvlOverride w:ilvl="0">
      <w:startOverride w:val="49"/>
    </w:lvlOverride>
  </w:num>
  <w:num w:numId="39">
    <w:abstractNumId w:val="16"/>
    <w:lvlOverride w:ilvl="0">
      <w:startOverride w:val="55"/>
    </w:lvlOverride>
  </w:num>
  <w:num w:numId="40">
    <w:abstractNumId w:val="16"/>
    <w:lvlOverride w:ilvl="0">
      <w:startOverride w:val="59"/>
    </w:lvlOverride>
  </w:num>
  <w:num w:numId="41">
    <w:abstractNumId w:val="16"/>
    <w:lvlOverride w:ilvl="0">
      <w:startOverride w:val="61"/>
    </w:lvlOverride>
  </w:num>
  <w:num w:numId="42">
    <w:abstractNumId w:val="16"/>
    <w:lvlOverride w:ilvl="0">
      <w:startOverride w:val="65"/>
    </w:lvlOverride>
  </w:num>
  <w:num w:numId="43">
    <w:abstractNumId w:val="16"/>
    <w:lvlOverride w:ilvl="0">
      <w:startOverride w:val="86"/>
    </w:lvlOverride>
  </w:num>
  <w:num w:numId="44">
    <w:abstractNumId w:val="15"/>
    <w:lvlOverride w:ilvl="0">
      <w:startOverride w:val="1"/>
    </w:lvlOverride>
  </w:num>
  <w:num w:numId="45">
    <w:abstractNumId w:val="15"/>
    <w:lvlOverride w:ilvl="0">
      <w:startOverride w:val="15"/>
    </w:lvlOverride>
  </w:num>
  <w:num w:numId="46">
    <w:abstractNumId w:val="16"/>
    <w:lvlOverride w:ilvl="0">
      <w:startOverride w:val="88"/>
    </w:lvlOverride>
  </w:num>
  <w:num w:numId="47">
    <w:abstractNumId w:val="16"/>
    <w:lvlOverride w:ilvl="0">
      <w:startOverride w:val="98"/>
    </w:lvlOverride>
  </w:num>
  <w:num w:numId="48">
    <w:abstractNumId w:val="16"/>
    <w:lvlOverride w:ilvl="0">
      <w:startOverride w:val="99"/>
    </w:lvlOverride>
  </w:num>
  <w:numIdMacAtCleanup w:val="21"/>
</w:numbering>
</file>

<file path=word/settings.xml><?xml version="1.0" encoding="utf-8"?>
<w:setting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Ref159313243" Type="http://schemas.openxmlformats.org/officeDocument/2006/relationships/hyperlink" Id="rId13"/><Relationship TargetMode="External" Target="#_Ref159313243" Type="http://schemas.openxmlformats.org/officeDocument/2006/relationships/hyperlink" Id="rId14"/><Relationship TargetMode="External" Target="#_Ref159313292" Type="http://schemas.openxmlformats.org/officeDocument/2006/relationships/hyperlink" Id="rId15"/><Relationship TargetMode="External" Target="#_Ref159313292" Type="http://schemas.openxmlformats.org/officeDocument/2006/relationships/hyperlink" Id="rId16"/><Relationship TargetMode="External" Target="#_Ref157409931" Type="http://schemas.openxmlformats.org/officeDocument/2006/relationships/hyperlink" Id="rId17"/><Relationship TargetMode="External" Target="#_Ref157409931" Type="http://schemas.openxmlformats.org/officeDocument/2006/relationships/hyperlink" Id="rId18"/><Relationship TargetMode="External" Target="#_Ref157411536" Type="http://schemas.openxmlformats.org/officeDocument/2006/relationships/hyperlink" Id="rId19"/><Relationship TargetMode="External" Target="#_Ref157411536" Type="http://schemas.openxmlformats.org/officeDocument/2006/relationships/hyperlink" Id="rId20"/><Relationship TargetMode="External" Target="#_Ref158190375" Type="http://schemas.openxmlformats.org/officeDocument/2006/relationships/hyperlink" Id="rId21"/><Relationship TargetMode="External" Target="#_Ref158190375" Type="http://schemas.openxmlformats.org/officeDocument/2006/relationships/hyperlink" Id="rId22"/><Relationship TargetMode="External" Target="#_Ref158213765" Type="http://schemas.openxmlformats.org/officeDocument/2006/relationships/hyperlink" Id="rId23"/><Relationship TargetMode="External" Target="#_Ref158213765" Type="http://schemas.openxmlformats.org/officeDocument/2006/relationships/hyperlink" Id="rId24"/><Relationship TargetMode="External" Target="#_Ref158213871" Type="http://schemas.openxmlformats.org/officeDocument/2006/relationships/hyperlink" Id="rId25"/><Relationship TargetMode="External" Target="#_Ref158213871" Type="http://schemas.openxmlformats.org/officeDocument/2006/relationships/hyperlink" Id="rId26"/><Relationship TargetMode="External" Target="#_Ref158213872" Type="http://schemas.openxmlformats.org/officeDocument/2006/relationships/hyperlink" Id="rId27"/><Relationship TargetMode="External" Target="#_Ref158213872" Type="http://schemas.openxmlformats.org/officeDocument/2006/relationships/hyperlink" Id="rId28"/><Relationship TargetMode="External" Target="#_Ref158192993" Type="http://schemas.openxmlformats.org/officeDocument/2006/relationships/hyperlink" Id="rId29"/><Relationship TargetMode="External" Target="#_Ref158192993" Type="http://schemas.openxmlformats.org/officeDocument/2006/relationships/hyperlink" Id="rId30"/><Relationship TargetMode="External" Target="#_Ref158214007" Type="http://schemas.openxmlformats.org/officeDocument/2006/relationships/hyperlink" Id="rId31"/><Relationship TargetMode="External" Target="#_Ref158214007" Type="http://schemas.openxmlformats.org/officeDocument/2006/relationships/hyperlink" Id="rId32"/></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