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document.glossary+xml" PartName="/word/glossary/document.xml"/>
  <Override ContentType="application/vnd.openxmlformats-officedocument.wordprocessingml.fontTable+xml" PartName="/word/glossary/fontTable.xml"/>
  <Override ContentType="application/vnd.openxmlformats-officedocument.wordprocessingml.settings+xml" PartName="/word/glossary/settings.xml"/>
  <Override ContentType="application/vnd.openxmlformats-officedocument.wordprocessingml.styles+xml" PartName="/word/glossary/styles.xml"/>
  <Override ContentType="application/vnd.ms-word.stylesWithEffects+xml" PartName="/word/glossary/stylesWithEffects.xml"/>
  <Override ContentType="application/vnd.openxmlformats-officedocument.wordprocessingml.webSettings+xml" PartName="/word/glossary/webSetting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Target="docProps/app.xml" Type="http://schemas.openxmlformats.org/officeDocument/2006/relationships/extended-properties" Id="rId3"/><Relationship Target="docProps/core.xml" Type="http://schemas.openxmlformats.org/package/2006/relationships/metadata/core-properties" Id="rId2"/><Relationship Target="word/document.xml" Type="http://schemas.openxmlformats.org/officeDocument/2006/relationships/officeDocument" Id="rId1"/></Relationships>
</file>

<file path=word/document.xml><?xml version="1.0" encoding="utf-8"?>
<w:document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body>
    <!-- Modified by docx4j 8.1.6 (Apache licensed) using REFERENCE JAXB in Red Hat, Inc. Java 1.8.0_372 on Linux -->
    <w:tbl>
      <w:tblPr>
        <w:tblW w:w="0" w:type="auto"/>
        <w:tblLayout w:type="fixed"/>
        <w:tblLook w:firstRow="1" w:lastRow="0" w:firstColumn="1" w:lastColumn="0" w:noHBand="0" w:noVBand="1" w:val="04A0"/>
        <w:tblCaption w:val="titletable"/>
      </w:tblPr>
      <w:tblGrid>
        <w:gridCol w:w="2977"/>
        <w:gridCol w:w="5245"/>
      </w:tblGrid>
      <w:tr w:rsidR="002D6852" w:rsidTr="00EF4519">
        <w:tc>
          <w:tcPr>
            <w:tcW w:w="2977" w:type="dxa"/>
          </w:tcPr>
          <w:p w:rsidRPr="00EF4519" w:rsidR="002D6852" w:rsidP="00EF4519" w:rsidRDefault="006A4211">
            <w:r w:rsidRPr="00EF4519">
              <w:rPr>
                <w:noProof/>
              </w:rPr>
              <w:drawing>
                <wp:inline distT="0" distB="0" distL="0" distR="0">
                  <wp:extent cx="1171575" cy="809625"/>
                  <wp:effectExtent l="0" t="0" r="9525" b="9525"/>
                  <wp:docPr id="1" name="Picture 1" descr="State Crest_85pixels_height"/>
                  <wp:cNvGraphicFramePr>
                    <a:graphicFrameLocks noChangeAspect="true"/>
                  </wp:cNvGraphicFramePr>
                  <a:graphic>
                    <a:graphicData uri="http://schemas.openxmlformats.org/drawingml/2006/picture">
                      <pic:pic>
                        <pic:nvPicPr>
                          <pic:cNvPr id="0" name="Picture 1" descr="State Crest_85pixels_height"/>
                          <pic:cNvPicPr>
                            <a:picLocks noChangeAspect="true" noChangeArrowheads="true"/>
                          </pic:cNvPicPr>
                        </pic:nvPicPr>
                        <pic:blipFill>
                          <a:blip r:embed="rId9">
                            <a:extLst>
                              <a:ext uri="{28A0092B-C50C-407E-A947-70E740481C1C}">
                                <a14:useLocalDpi val="false"/>
                              </a:ext>
                            </a:extLst>
                          </a:blip>
                          <a:srcRect/>
                          <a:stretch>
                            <a:fillRect/>
                          </a:stretch>
                        </pic:blipFill>
                        <pic:spPr bwMode="auto">
                          <a:xfrm>
                            <a:off x="0" y="0"/>
                            <a:ext cx="1171575" cy="809625"/>
                          </a:xfrm>
                          <a:prstGeom prst="rect">
                            <a:avLst/>
                          </a:prstGeom>
                          <a:noFill/>
                          <a:ln>
                            <a:noFill/>
                          </a:ln>
                        </pic:spPr>
                      </pic:pic>
                    </a:graphicData>
                  </a:graphic>
                </wp:inline>
              </w:drawing>
            </w:r>
          </w:p>
        </w:tc>
        <w:tc>
          <w:tcPr>
            <w:tcW w:w="5245" w:type="dxa"/>
          </w:tcPr>
          <w:p w:rsidRPr="005B5E79" w:rsidR="00C27F1D" w:rsidP="005B5E79" w:rsidRDefault="0081465C">
            <w:r>
              <w:br/>
            </w:r>
            <w:sdt>
              <w:sdtPr>
                <w:alias w:val="Court Title"/>
                <w:tag w:val="courtName"/>
                <w:id w:val="-597174554"/>
                <w:placeholder>
                  <w:docPart w:val="2287E3D7A5999C449F68774214E87459"/>
                </w:placeholder>
                <w:text/>
              </w:sdtPr>
              <w:sdtEndPr/>
              <w:sdtContent>
                <w:r w:rsidR="001B7A55">
                  <w:t>Land and Environment Court</w:t>
                </w:r>
              </w:sdtContent>
            </w:sdt>
          </w:p>
          <w:p w:rsidRPr="00EF4519" w:rsidR="002D6852" w:rsidP="00EF4519" w:rsidRDefault="00C27F1D">
            <w:r w:rsidRPr="00EF4519">
              <w:t>New South Wales</w:t>
            </w:r>
          </w:p>
        </w:tc>
      </w:tr>
    </w:tbl>
    <w:p w:rsidR="00C27F1D" w:rsidP="003C5ECC" w:rsidRDefault="00C27F1D">
      <w:pPr>
        <w:pBdr>
          <w:bottom w:val="single" w:color="auto" w:sz="6" w:space="1"/>
        </w:pBdr>
      </w:pPr>
    </w:p>
    <w:p w:rsidRPr="003C5ECC" w:rsidR="005B5E79" w:rsidP="003C5ECC" w:rsidRDefault="005B5E79"/>
    <w:tbl>
      <w:tblPr>
        <w:tblW w:w="5000" w:type="pct"/>
        <w:tblLook w:firstRow="1" w:lastRow="0" w:firstColumn="1" w:lastColumn="0" w:noHBand="0" w:noVBand="1" w:val="04A0"/>
        <w:tblCaption w:val="coversheet"/>
      </w:tblPr>
      <w:tblGrid>
        <w:gridCol w:w="3085"/>
        <w:gridCol w:w="6157"/>
      </w:tblGrid>
      <w:tr w:rsidR="00856777" w:rsidTr="00AC2B81">
        <w:trPr>
          <w:trHeight w:val="412"/>
        </w:trPr>
        <w:tc>
          <w:tcPr>
            <w:tcW w:w="1669" w:type="pct"/>
          </w:tcPr>
          <w:p w:rsidRPr="00EF4519" w:rsidR="00856777" w:rsidP="00E827DB" w:rsidRDefault="00856777">
            <w:r>
              <w:t>C</w:t>
            </w:r>
            <w:r w:rsidRPr="00EF4519">
              <w:t xml:space="preserve">ase Name: </w:t>
            </w:r>
          </w:p>
        </w:tc>
        <w:tc>
          <w:tcPr>
            <w:tcW w:w="3331" w:type="pct"/>
          </w:tcPr>
          <w:p w:rsidR="00856777" w:rsidP="001B7A55" w:rsidRDefault="00882F5B">
            <w:sdt>
              <w:sdtPr>
                <w:alias w:val="Case Name"/>
                <w:tag w:val="title"/>
                <w:id w:val="-1112213263"/>
                <w:placeholder>
                  <w:docPart w:val="23714A54DE1C5349A32215100E23C70C"/>
                </w:placeholder>
                <w:showingPlcHdr/>
                <w:text w:multiLine="true"/>
              </w:sdtPr>
              <w:sdtEndPr/>
              <w:sdtContent>
                <w:r>
                  <w:t xml:space="preserve">Billyard Avenue Developments Pty Limited ATF Billyard Avenue Development Trust v The Council of the City of Sydney</w:t>
                </w:r>
              </w:sdtContent>
            </w:sdt>
          </w:p>
        </w:tc>
      </w:tr>
      <w:tr w:rsidR="00E827DB" w:rsidTr="00AC2B81">
        <w:trPr>
          <w:trHeight w:val="320"/>
        </w:trPr>
        <w:tc>
          <w:tcPr>
            <w:tcW w:w="1669" w:type="pct"/>
          </w:tcPr>
          <w:p w:rsidRPr="00EF4519" w:rsidR="00E827DB" w:rsidP="00E827DB" w:rsidRDefault="00E827DB">
            <w:r>
              <w:t>Medium Neutral Citation:</w:t>
            </w:r>
            <w:r w:rsidRPr="00EF4519">
              <w:t xml:space="preserve"> </w:t>
            </w:r>
          </w:p>
        </w:tc>
        <w:tc>
          <w:tcPr>
            <w:tcW w:w="3331" w:type="pct"/>
          </w:tcPr>
          <w:p w:rsidR="00E827DB" w:rsidP="00D37BAC" w:rsidRDefault="00882F5B">
            <w:sdt>
              <w:sdtPr>
                <w:alias w:val="Medium Neutral Citation"/>
                <w:tag w:val="mnc"/>
                <w:id w:val="-1833444343"/>
                <w:placeholder>
                  <w:docPart w:val="CEA0958D29B321449DAA1A3408663E44"/>
                </w:placeholder>
                <w:showingPlcHdr/>
                <w:text w:multiLine="true"/>
              </w:sdtPr>
              <w:sdtEndPr/>
              <w:sdtContent>
                <w:r>
                  <w:t xml:space="preserve">[2024] NSWLEC 1825</w:t>
                </w:r>
              </w:sdtContent>
            </w:sdt>
          </w:p>
        </w:tc>
      </w:tr>
      <w:tr w:rsidR="00E827DB" w:rsidTr="00AC2B81">
        <w:trPr>
          <w:trHeight w:val="370"/>
        </w:trPr>
        <w:tc>
          <w:tcPr>
            <w:tcW w:w="1669" w:type="pct"/>
          </w:tcPr>
          <w:p w:rsidRPr="00EF4519" w:rsidR="00E827DB" w:rsidP="00E827DB" w:rsidRDefault="00E827DB">
            <w:r>
              <w:t>Hearing Date</w:t>
            </w:r>
            <w:r w:rsidRPr="00EF4519">
              <w:t xml:space="preserve">(s): </w:t>
            </w:r>
          </w:p>
        </w:tc>
        <w:tc>
          <w:tcPr>
            <w:tcW w:w="3331" w:type="pct"/>
          </w:tcPr>
          <w:p w:rsidR="00E827DB" w:rsidP="004967FE" w:rsidRDefault="00882F5B">
            <w:sdt>
              <w:sdtPr>
                <w:alias w:val="Hearing Date(s)"/>
                <w:tag w:val="hearingDates"/>
                <w:id w:val="855157727"/>
                <w:placeholder>
                  <w:docPart w:val="9CA603291F38E74C952F4F0686E7F43F"/>
                </w:placeholder>
                <w:showingPlcHdr/>
                <w:text w:multiLine="true"/>
              </w:sdtPr>
              <w:sdtEndPr/>
              <w:sdtContent>
                <w:r>
                  <w:t xml:space="preserve">5-6 November 2024</w:t>
                </w:r>
              </w:sdtContent>
            </w:sdt>
          </w:p>
        </w:tc>
      </w:tr>
      <w:tr w:rsidR="00B006AC" w:rsidTr="00AC2B81">
        <w:trPr>
          <w:trHeight w:val="370"/>
        </w:trPr>
        <w:tc>
          <w:tcPr>
            <w:tcW w:w="1669" w:type="pct"/>
          </w:tcPr>
          <w:p w:rsidR="00B006AC" w:rsidP="00E827DB" w:rsidRDefault="00B006AC">
            <w:r>
              <w:t>Date of Orders:</w:t>
            </w:r>
          </w:p>
        </w:tc>
        <w:tc>
          <w:tcPr>
            <w:tcW w:w="3331" w:type="pct"/>
          </w:tcPr>
          <w:p w:rsidR="00B006AC" w:rsidP="004967FE" w:rsidRDefault="00882F5B">
            <w:sdt>
              <w:sdtPr>
                <w:alias w:val="Date of Orders"/>
                <w:tag w:val="orderDate"/>
                <w:id w:val="-56163930"/>
                <w:placeholder>
                  <w:docPart w:val="001534073BC94C468D9A6C5C3502283B"/>
                </w:placeholder>
                <w:showingPlcHdr/>
                <w:date w:fullDate="2014-09-10T00:00:00Z">
                  <w:dateFormat w:val="d MMMM yyyy"/>
                  <w:lid w:val="en-AU"/>
                  <w:storeMappedDataAs w:val="dateTime"/>
                  <w:calendar w:val="gregorian"/>
                </w:date>
              </w:sdtPr>
              <w:sdtEndPr/>
              <w:sdtContent>
                <w:r>
                  <w:t xml:space="preserve">19 December 2024</w:t>
                </w:r>
              </w:sdtContent>
            </w:sdt>
          </w:p>
        </w:tc>
      </w:tr>
      <w:tr w:rsidR="00251EE4" w:rsidTr="00AC2B81">
        <w:trPr>
          <w:trHeight w:val="329"/>
        </w:trPr>
        <w:tc>
          <w:tcPr>
            <w:tcW w:w="1669" w:type="pct"/>
          </w:tcPr>
          <w:p w:rsidRPr="00EF4519" w:rsidR="00251EE4" w:rsidP="00E827DB" w:rsidRDefault="00251EE4">
            <w:r>
              <w:t>Decision Date:</w:t>
            </w:r>
            <w:r w:rsidRPr="00EF4519" w:rsidR="00B914EB">
              <w:t xml:space="preserve"> </w:t>
            </w:r>
          </w:p>
        </w:tc>
        <w:tc>
          <w:tcPr>
            <w:tcW w:w="3331" w:type="pct"/>
          </w:tcPr>
          <w:p w:rsidR="00251EE4" w:rsidP="001B7A55" w:rsidRDefault="00882F5B">
            <w:sdt>
              <w:sdtPr>
                <w:alias w:val="Decision Date"/>
                <w:tag w:val="decisionDate"/>
                <w:id w:val="-2113426060"/>
                <w:placeholder>
                  <w:docPart w:val="49E1DA3C6A1E71459A736F86010B5AED"/>
                </w:placeholder>
                <w:showingPlcHdr/>
                <w:date w:fullDate="2014-07-10T00:00:00Z">
                  <w:dateFormat w:val="d MMMM yyyy"/>
                  <w:lid w:val="en-AU"/>
                  <w:storeMappedDataAs w:val="dateTime"/>
                  <w:calendar w:val="gregorian"/>
                </w:date>
              </w:sdtPr>
              <w:sdtEndPr/>
              <w:sdtContent>
                <w:r>
                  <w:t xml:space="preserve">19 December 2024</w:t>
                </w:r>
              </w:sdtContent>
            </w:sdt>
          </w:p>
        </w:tc>
      </w:tr>
      <w:tr w:rsidR="00251EE4" w:rsidTr="00AC2B81">
        <w:trPr>
          <w:trHeight w:val="365"/>
        </w:trPr>
        <w:tc>
          <w:tcPr>
            <w:tcW w:w="1669" w:type="pct"/>
          </w:tcPr>
          <w:p w:rsidRPr="00EF4519" w:rsidR="00251EE4" w:rsidP="00E827DB" w:rsidRDefault="000A6DFA">
            <w:r>
              <w:t>Jurisdiction</w:t>
            </w:r>
            <w:r w:rsidRPr="00EF4519" w:rsidR="00251EE4">
              <w:t>:</w:t>
            </w:r>
            <w:r w:rsidRPr="00EF4519" w:rsidR="00B914EB">
              <w:t xml:space="preserve"> </w:t>
            </w:r>
          </w:p>
        </w:tc>
        <w:sdt>
          <w:sdtPr>
            <w:alias w:val="Jurisdiction"/>
            <w:tag w:val="jurisdiction"/>
            <w:id w:val="207232766"/>
            <w:placeholder>
              <w:docPart w:val="5D455C8DB3370C429E683BD45AAD2263"/>
            </w:placeholder>
            <w:showingPlcHdr/>
            <w:text/>
          </w:sdtPr>
          <w:sdtEndPr/>
          <w:sdtContent>
            <w:tc>
              <w:tcPr>
                <w:tcW w:w="3331" w:type="pct"/>
              </w:tcPr>
              <w:p w:rsidR="00251EE4" w:rsidP="001B7A55" w:rsidRDefault="001B7A55">
                <w:r>
                  <w:t xml:space="preserve">Class 1</w:t>
                </w:r>
              </w:p>
            </w:tc>
          </w:sdtContent>
        </w:sdt>
      </w:tr>
      <w:tr w:rsidR="00251EE4" w:rsidTr="00AC2B81">
        <w:trPr>
          <w:trHeight w:val="273"/>
        </w:trPr>
        <w:tc>
          <w:tcPr>
            <w:tcW w:w="1669" w:type="pct"/>
          </w:tcPr>
          <w:p w:rsidRPr="00EF4519" w:rsidR="00251EE4" w:rsidP="00E827DB" w:rsidRDefault="00251EE4">
            <w:r>
              <w:t>Before:</w:t>
            </w:r>
            <w:r w:rsidRPr="00EF4519" w:rsidR="00B914EB">
              <w:t xml:space="preserve"> </w:t>
            </w:r>
          </w:p>
        </w:tc>
        <w:sdt>
          <w:sdtPr>
            <w:alias w:val="Before"/>
            <w:tag w:val="before"/>
            <w:id w:val="-437217807"/>
            <w:placeholder>
              <w:docPart w:val="8E1FCF9D9BCC7544965FEDDA8E4336E8"/>
            </w:placeholder>
            <w:showingPlcHdr/>
            <w:text w:multiLine="true"/>
          </w:sdtPr>
          <w:sdtEndPr/>
          <w:sdtContent>
            <w:tc>
              <w:tcPr>
                <w:tcW w:w="3331" w:type="pct"/>
              </w:tcPr>
              <w:p w:rsidR="00251EE4" w:rsidP="001B7A55" w:rsidRDefault="001B7A55">
                <w:r>
                  <w:t xml:space="preserve">Walsh C</w:t>
                </w:r>
              </w:p>
            </w:tc>
          </w:sdtContent>
        </w:sdt>
      </w:tr>
      <w:tr w:rsidR="00251EE4" w:rsidTr="00AC2B81">
        <w:trPr>
          <w:trHeight w:val="465"/>
        </w:trPr>
        <w:tc>
          <w:tcPr>
            <w:tcW w:w="1669" w:type="pct"/>
          </w:tcPr>
          <w:p w:rsidRPr="00EF4519" w:rsidR="00251EE4" w:rsidP="00E827DB" w:rsidRDefault="00251EE4">
            <w:r>
              <w:t>Decision:</w:t>
            </w:r>
            <w:r w:rsidRPr="00EF4519" w:rsidR="00B914EB">
              <w:t xml:space="preserve"> </w:t>
            </w:r>
          </w:p>
        </w:tc>
        <w:tc>
          <w:tcPr>
            <w:tcW w:w="3331" w:type="pct"/>
          </w:tcPr>
          <w:p w:rsidR="00251EE4" w:rsidP="001B7A55" w:rsidRDefault="00882F5B">
            <w:sdt>
              <w:sdtPr>
                <w:rPr>
                  <w:rFonts w:cs="Arial"/>
                </w:rPr>
                <w:alias w:val="Decision"/>
                <w:tag w:val="decision"/>
                <w:id w:val="-1050373838"/>
                <w:placeholder>
                  <w:docPart w:val="BB94B27A1B38FB49AA2427CB2341BFF9"/>
                </w:placeholder>
                <w:showingPlcHdr/>
                <w:text w:multiLine="true"/>
              </w:sdtPr>
              <w:sdtEndPr/>
              <w:sdtContent>
                <w:r>
                  <w:t xml:space="preserve">The Court orders that:</w:t>
                </w:r>
                <w:r>
                  <w:br/>
                </w:r>
                <w:r>
                  <w:t xml:space="preserve">(1) The appeal is dismissed.</w:t>
                </w:r>
                <w:r>
                  <w:br/>
                </w:r>
                <w:r>
                  <w:t xml:space="preserve">(2) Development Application No. D/2023/727 for the demolition of existing buildings/trees, construction of two new residential flat buildings (including excavation for a shared basement structure), site landscaping and provision for utilities and stormwater infrastructure at 21C Billyard Avenue and 10 Onslow Avenue, Elizabeth Bay 2011 NSW is refused.</w:t>
                </w:r>
                <w:r>
                  <w:br/>
                </w:r>
                <w:r>
                  <w:t xml:space="preserve">(3) The Exhibits are returned, with the exception of Exhibits 2 and A-G which are retained.</w:t>
                </w:r>
              </w:sdtContent>
            </w:sdt>
          </w:p>
        </w:tc>
      </w:tr>
      <w:tr w:rsidR="00251EE4" w:rsidTr="00AC2B81">
        <w:trPr>
          <w:trHeight w:val="373"/>
        </w:trPr>
        <w:tc>
          <w:tcPr>
            <w:tcW w:w="1669" w:type="pct"/>
          </w:tcPr>
          <w:p w:rsidRPr="00EF4519" w:rsidR="00251EE4" w:rsidP="00E827DB" w:rsidRDefault="00251EE4">
            <w:r>
              <w:t>Catchwords:</w:t>
            </w:r>
            <w:r w:rsidRPr="00EF4519" w:rsidR="00B914EB">
              <w:t xml:space="preserve"> </w:t>
            </w:r>
          </w:p>
        </w:tc>
        <w:tc>
          <w:tcPr>
            <w:tcW w:w="3331" w:type="pct"/>
          </w:tcPr>
          <w:p w:rsidR="00251EE4" w:rsidP="001B7A55" w:rsidRDefault="00882F5B">
            <w:sdt>
              <w:sdtPr>
                <w:alias w:val="Catchwords"/>
                <w:tag w:val="catchwords"/>
                <w:id w:val="-2097856291"/>
                <w:placeholder>
                  <w:docPart w:val="9628263C21A0F347B1037F8B6E2E16E6"/>
                </w:placeholder>
                <w:showingPlcHdr/>
                <w:text w:multiLine="true"/>
              </w:sdtPr>
              <w:sdtEndPr/>
              <w:sdtContent>
                <w:r>
                  <w:t xml:space="preserve">APPEAL – development application – consent orders – demolition of existing residential flat buildings – construction of new – residential flat buildings – building height contravention – whether in the public interest – whether consistent with the objective of providing for the housing needs of the community – finding that jurisdiction not available – lay objections – view loss – building massing</w:t>
                </w:r>
              </w:sdtContent>
            </w:sdt>
          </w:p>
        </w:tc>
      </w:tr>
      <w:tr w:rsidR="00251EE4" w:rsidTr="00AC2B81">
        <w:trPr>
          <w:trHeight w:val="281"/>
        </w:trPr>
        <w:tc>
          <w:tcPr>
            <w:tcW w:w="1669" w:type="pct"/>
          </w:tcPr>
          <w:p w:rsidRPr="00EF4519" w:rsidR="00251EE4" w:rsidP="00E827DB" w:rsidRDefault="00251EE4">
            <w:r>
              <w:t>Legislation Cited:</w:t>
            </w:r>
            <w:r w:rsidRPr="00EF4519" w:rsidR="00B914EB">
              <w:t xml:space="preserve"> </w:t>
            </w:r>
          </w:p>
        </w:tc>
        <w:tc>
          <w:tcPr>
            <w:tcW w:w="3331" w:type="pct"/>
          </w:tcPr>
          <w:p w:rsidR="00251EE4" w:rsidP="001B7A55" w:rsidRDefault="00882F5B">
            <w:sdt>
              <w:sdtPr>
                <w:alias w:val="Legislation Cited"/>
                <w:tag w:val="legislationCited"/>
                <w:id w:val="-2034725931"/>
                <w:placeholder>
                  <w:docPart w:val="5A00766E1BC20A46B675FA54E3371F87"/>
                </w:placeholder>
                <w:showingPlcHdr/>
                <w:text w:multiLine="true"/>
              </w:sdtPr>
              <w:sdtEndPr/>
              <w:sdtContent>
                <w:r>
                  <w:t xml:space="preserve">Environment Planning and Assessment Act 1979, ss 1.3, 4.15, 8.7, 8.15</w:t>
                </w:r>
                <w:r>
                  <w:br/>
                </w:r>
                <w:r>
                  <w:t xml:space="preserve">Land and Environment Court Act 1979, s 34</w:t>
                </w:r>
                <w:r>
                  <w:br/>
                </w:r>
                <w:r>
                  <w:t xml:space="preserve">Protection of the Environment Administration Act 1991, s 6</w:t>
                </w:r>
                <w:r>
                  <w:br/>
                </w:r>
                <w:r>
                  <w:t xml:space="preserve"> </w:t>
                </w:r>
                <w:r>
                  <w:br/>
                </w:r>
                <w:r>
                  <w:t xml:space="preserve">Standard Instrument (Local Environmental Plans) Order 2006</w:t>
                </w:r>
                <w:r>
                  <w:br/>
                </w:r>
                <w:r>
                  <w:t xml:space="preserve">State Environmental Planning Policy (Housing) 2021, Chs 2, 4, Sch 9, s 46</w:t>
                </w:r>
                <w:r>
                  <w:br/>
                </w:r>
                <w:r>
                  <w:t xml:space="preserve">Sydney Local Environmental Plan 2012, cll 2.3, 2.7, 4.3, 4.4, 4.6, 5.10, 6.21, 6.21C, 7.13, Sch 5</w:t>
                </w:r>
              </w:sdtContent>
            </w:sdt>
          </w:p>
        </w:tc>
      </w:tr>
      <w:tr w:rsidR="00251EE4" w:rsidTr="00AC2B81">
        <w:trPr>
          <w:trHeight w:val="331"/>
        </w:trPr>
        <w:tc>
          <w:tcPr>
            <w:tcW w:w="1669" w:type="pct"/>
          </w:tcPr>
          <w:p w:rsidRPr="00EF4519" w:rsidR="00251EE4" w:rsidP="00E827DB" w:rsidRDefault="00251EE4">
            <w:r>
              <w:t>Cases Cited:</w:t>
            </w:r>
            <w:r w:rsidRPr="00EF4519" w:rsidR="00B914EB">
              <w:t xml:space="preserve"> </w:t>
            </w:r>
          </w:p>
        </w:tc>
        <w:tc>
          <w:tcPr>
            <w:tcW w:w="3331" w:type="pct"/>
          </w:tcPr>
          <w:p w:rsidR="00251EE4" w:rsidP="001B7A55" w:rsidRDefault="00882F5B">
            <w:sdt>
              <w:sdtPr>
                <w:alias w:val="Cases Cited"/>
                <w:tag w:val="casesCited"/>
                <w:id w:val="-230469519"/>
                <w:placeholder>
                  <w:docPart w:val="A23E6993E6A8F64D83520CA63B49071B"/>
                </w:placeholder>
                <w:showingPlcHdr/>
                <w:text w:multiLine="true"/>
              </w:sdtPr>
              <w:sdtEndPr/>
              <w:sdtContent>
                <w:r>
                  <w:t xml:space="preserve">Australian Turf Club v Liverpool City Council (No 2) [2014] NSWLEC 1099</w:t>
                </w:r>
                <w:r>
                  <w:br/>
                </w:r>
                <w:r>
                  <w:t xml:space="preserve">Bulga Milbrodale Progress Association Inc v Minister for Planning and Infrastructure and Warkworth Mining Limited (2013) 194 LGERA 347; [2013] NSWLEC 48</w:t>
                </w:r>
                <w:r>
                  <w:br/>
                </w:r>
                <w:r>
                  <w:t xml:space="preserve">Cumberland Council v Tony Younan; Cumberland Council v Ronney Oueik; Cumberland Council v H &amp; M Renovations Pty Ltd [2018] NSWLEC 145</w:t>
                </w:r>
                <w:r>
                  <w:br/>
                </w:r>
                <w:r>
                  <w:t xml:space="preserve">GFM Investment Group Pty Ltd in its capacity as Trustee for GFM Home Trust Subtrust No. 7 v Inner West Council [2023] NSWLEC 1112</w:t>
                </w:r>
                <w:r>
                  <w:br/>
                </w:r>
                <w:r>
                  <w:t xml:space="preserve">Hunter Quarries Pty Ltd v Alexandra Mexon as Administrator for the Estate of the Late Ryan Messenger (2018) 98 NSWLR 526; [2018] NSWCA 178</w:t>
                </w:r>
                <w:r>
                  <w:br/>
                </w:r>
                <w:r>
                  <w:t xml:space="preserve">Initial Action Pty Ltd v Woollahra Municipal Council (2018) 236 LGERA 256; [2018] NSWLEC 118</w:t>
                </w:r>
                <w:r>
                  <w:br/>
                </w:r>
                <w:r>
                  <w:t xml:space="preserve">Station Lane Pty Ltd v Penrith City Council [2024] NSWLEC 1797</w:t>
                </w:r>
                <w:r>
                  <w:br/>
                </w:r>
                <w:r>
                  <w:t xml:space="preserve">Tenacity Consulting v Warringah (2004) 134 LGERA 23; [2004] NSWLEC 140</w:t>
                </w:r>
              </w:sdtContent>
            </w:sdt>
          </w:p>
        </w:tc>
      </w:tr>
      <w:tr w:rsidR="00251EE4" w:rsidTr="00AC2B81">
        <w:trPr>
          <w:trHeight w:val="381"/>
        </w:trPr>
        <w:tc>
          <w:tcPr>
            <w:tcW w:w="1669" w:type="pct"/>
          </w:tcPr>
          <w:p w:rsidRPr="00EF4519" w:rsidR="00251EE4" w:rsidP="00E827DB" w:rsidRDefault="00251EE4">
            <w:r>
              <w:t>Texts Cited:</w:t>
            </w:r>
            <w:r w:rsidRPr="00EF4519" w:rsidR="00B914EB">
              <w:t xml:space="preserve"> </w:t>
            </w:r>
          </w:p>
        </w:tc>
        <w:tc>
          <w:tcPr>
            <w:tcW w:w="3331" w:type="pct"/>
          </w:tcPr>
          <w:p w:rsidR="00251EE4" w:rsidP="00856777" w:rsidRDefault="00882F5B">
            <w:sdt>
              <w:sdtPr>
                <w:alias w:val="Texts Cited"/>
                <w:tag w:val="textsCited"/>
                <w:id w:val="-368456736"/>
                <w:placeholder>
                  <w:docPart w:val="060452A863326F40B8E9CC07DB6917FD"/>
                </w:placeholder>
                <w:showingPlcHdr/>
                <w:text w:multiLine="true"/>
              </w:sdtPr>
              <w:sdtEndPr/>
              <w:sdtContent>
                <w:r>
                  <w:t xml:space="preserve">Apartment Design Guide July 2015</w:t>
                </w:r>
                <w:r>
                  <w:br/>
                </w:r>
                <w:r>
                  <w:t xml:space="preserve">Land and Environment Court of New South Wales, Practice Note - Class 1 Development Appeals</w:t>
                </w:r>
                <w:r>
                  <w:br/>
                </w:r>
                <w:r>
                  <w:t xml:space="preserve">National Housing Supply and Affordability Council, State of the Housing System, 2024</w:t>
                </w:r>
                <w:r>
                  <w:br/>
                </w:r>
                <w:r>
                  <w:t xml:space="preserve">Sydney Development Control Plan 2012</w:t>
                </w:r>
              </w:sdtContent>
            </w:sdt>
          </w:p>
        </w:tc>
      </w:tr>
      <w:tr w:rsidR="00251EE4" w:rsidTr="00AC2B81">
        <w:trPr>
          <w:trHeight w:val="430"/>
        </w:trPr>
        <w:tc>
          <w:tcPr>
            <w:tcW w:w="1669" w:type="pct"/>
          </w:tcPr>
          <w:p w:rsidRPr="00EF4519" w:rsidR="00251EE4" w:rsidP="00E827DB" w:rsidRDefault="00251EE4">
            <w:r>
              <w:t>Category:</w:t>
            </w:r>
            <w:r w:rsidRPr="00EF4519" w:rsidR="00B914EB">
              <w:t xml:space="preserve"> </w:t>
            </w:r>
          </w:p>
        </w:tc>
        <w:sdt>
          <w:sdtPr>
            <w:alias w:val="Category"/>
            <w:tag w:val="category"/>
            <w:id w:val="1018119699"/>
            <w:placeholder>
              <w:docPart w:val="6628CDE8242ABE4A8E58F2768A081E0C"/>
            </w:placeholder>
            <w:showingPlcHdr/>
            <w:text w:multiLine="true"/>
          </w:sdtPr>
          <w:sdtEndPr/>
          <w:sdtContent>
            <w:tc>
              <w:tcPr>
                <w:tcW w:w="3331" w:type="pct"/>
              </w:tcPr>
              <w:p w:rsidR="00251EE4" w:rsidP="001B7A55" w:rsidRDefault="001B7A55">
                <w:r>
                  <w:t xml:space="preserve">Principal judgment</w:t>
                </w:r>
              </w:p>
            </w:tc>
          </w:sdtContent>
        </w:sdt>
      </w:tr>
      <w:tr w:rsidR="00831DA1" w:rsidTr="00AC2B81">
        <w:trPr>
          <w:trHeight w:val="480"/>
        </w:trPr>
        <w:tc>
          <w:tcPr>
            <w:tcW w:w="1669" w:type="pct"/>
          </w:tcPr>
          <w:p w:rsidRPr="00EF4519" w:rsidR="00831DA1" w:rsidP="00E827DB" w:rsidRDefault="00831DA1">
            <w:r>
              <w:t>Parties:</w:t>
            </w:r>
            <w:r w:rsidRPr="00EF4519" w:rsidR="00B914EB">
              <w:t xml:space="preserve"> </w:t>
            </w:r>
          </w:p>
        </w:tc>
        <w:tc>
          <w:tcPr>
            <w:tcW w:w="3331" w:type="pct"/>
          </w:tcPr>
          <w:p w:rsidR="00831DA1" w:rsidP="001B7A55" w:rsidRDefault="00882F5B">
            <w:sdt>
              <w:sdtPr>
                <w:alias w:val="Parties"/>
                <w:tag w:val="parties"/>
                <w:id w:val="-806626852"/>
                <w:placeholder>
                  <w:docPart w:val="B3EE222B3A0F7C449BC3F6E77D0B866B"/>
                </w:placeholder>
                <w:showingPlcHdr/>
                <w:text w:multiLine="true"/>
              </w:sdtPr>
              <w:sdtEndPr/>
              <w:sdtContent>
                <w:r>
                  <w:t xml:space="preserve">Billyard Avenue Developments Pty Limited ATF Billyard Avenue Development Trust (Applicant)</w:t>
                </w:r>
                <w:r>
                  <w:br/>
                </w:r>
                <w:r>
                  <w:t xml:space="preserve">The Council of the City of Sydney (Respondent)</w:t>
                </w:r>
              </w:sdtContent>
            </w:sdt>
          </w:p>
        </w:tc>
      </w:tr>
      <w:tr w:rsidR="00251EE4" w:rsidTr="00AC2B81">
        <w:trPr>
          <w:trHeight w:val="247"/>
        </w:trPr>
        <w:tc>
          <w:tcPr>
            <w:tcW w:w="1669" w:type="pct"/>
          </w:tcPr>
          <w:p w:rsidRPr="00EF4519" w:rsidR="00251EE4" w:rsidP="00E827DB" w:rsidRDefault="00251EE4">
            <w:r>
              <w:t>Representation:</w:t>
            </w:r>
            <w:r w:rsidRPr="00EF4519" w:rsidR="00B914EB">
              <w:t xml:space="preserve"> </w:t>
            </w:r>
          </w:p>
        </w:tc>
        <w:tc>
          <w:tcPr>
            <w:tcW w:w="3331" w:type="pct"/>
          </w:tcPr>
          <w:p w:rsidR="00251EE4" w:rsidP="001B7A55" w:rsidRDefault="00882F5B">
            <w:sdt>
              <w:sdtPr>
                <w:alias w:val="Represenation"/>
                <w:tag w:val="representation"/>
                <w:id w:val="-1683732415"/>
                <w:placeholder>
                  <w:docPart w:val="1A38A171EF11A54DB21B83C7D4CB0CBA"/>
                </w:placeholder>
                <w:showingPlcHdr/>
                <w:text w:multiLine="true"/>
              </w:sdtPr>
              <w:sdtEndPr/>
              <w:sdtContent>
                <w:r>
                  <w:t xml:space="preserve">Counsel:</w:t>
                </w:r>
                <w:r>
                  <w:br/>
                </w:r>
                <w:r>
                  <w:t xml:space="preserve">R Lancaster SC (Applicant)</w:t>
                </w:r>
                <w:r>
                  <w:br/>
                </w:r>
                <w:r>
                  <w:t xml:space="preserve">F Berglund (Respondent)</w:t>
                </w:r>
                <w:r>
                  <w:br/>
                </w:r>
                <w:r>
                  <w:t xml:space="preserve"/>
                </w:r>
                <w:r>
                  <w:br/>
                </w:r>
                <w:r>
                  <w:t xml:space="preserve">Solicitors:</w:t>
                </w:r>
                <w:r>
                  <w:br/>
                </w:r>
                <w:r>
                  <w:t xml:space="preserve">Mills Oakley (Applicant)</w:t>
                </w:r>
                <w:r>
                  <w:br/>
                </w:r>
                <w:r>
                  <w:t xml:space="preserve">The Council of the City of Sydney (Respondent)</w:t>
                </w:r>
              </w:sdtContent>
            </w:sdt>
          </w:p>
        </w:tc>
      </w:tr>
      <w:tr w:rsidR="00251EE4" w:rsidTr="00AC2B81">
        <w:trPr>
          <w:trHeight w:val="297"/>
        </w:trPr>
        <w:tc>
          <w:tcPr>
            <w:tcW w:w="1669" w:type="pct"/>
          </w:tcPr>
          <w:p w:rsidRPr="00EF4519" w:rsidR="00251EE4" w:rsidP="00E827DB" w:rsidRDefault="00ED3424">
            <w:r>
              <w:t>File Num</w:t>
            </w:r>
            <w:r w:rsidRPr="00EF4519" w:rsidR="00162707">
              <w:t>ber</w:t>
            </w:r>
            <w:r w:rsidRPr="00EF4519" w:rsidR="00201CA2">
              <w:t>(s)</w:t>
            </w:r>
            <w:r w:rsidRPr="00EF4519">
              <w:t>:</w:t>
            </w:r>
            <w:r w:rsidRPr="00EF4519" w:rsidR="00B914EB">
              <w:t xml:space="preserve"> </w:t>
            </w:r>
          </w:p>
        </w:tc>
        <w:tc>
          <w:tcPr>
            <w:tcW w:w="3331" w:type="pct"/>
          </w:tcPr>
          <w:p w:rsidR="00251EE4" w:rsidP="001B7A55" w:rsidRDefault="00882F5B">
            <w:sdt>
              <w:sdtPr>
                <w:alias w:val="File Numbers"/>
                <w:tag w:val="fileNumbers"/>
                <w:id w:val="161209586"/>
                <w:placeholder>
                  <w:docPart w:val="C38290365A6BEE4A83D8CA3C9A53E9A8"/>
                </w:placeholder>
                <w:showingPlcHdr/>
                <w:text w:multiLine="true"/>
              </w:sdtPr>
              <w:sdtEndPr/>
              <w:sdtContent>
                <w:r>
                  <w:t xml:space="preserve">2023/440488</w:t>
                </w:r>
              </w:sdtContent>
            </w:sdt>
          </w:p>
        </w:tc>
      </w:tr>
      <w:tr w:rsidR="00277342" w:rsidTr="00AC2B81">
        <w:trPr>
          <w:trHeight w:val="361"/>
        </w:trPr>
        <w:tc>
          <w:tcPr>
            <w:tcW w:w="1669" w:type="pct"/>
          </w:tcPr>
          <w:p w:rsidRPr="00EF4519" w:rsidR="00277342" w:rsidP="00E827DB" w:rsidRDefault="00277342">
            <w:r>
              <w:t>Publication Restriction:</w:t>
            </w:r>
            <w:r w:rsidRPr="00EF4519" w:rsidR="00B914EB">
              <w:t xml:space="preserve"> </w:t>
            </w:r>
          </w:p>
        </w:tc>
        <w:tc>
          <w:tcPr>
            <w:tcW w:w="3331" w:type="pct"/>
          </w:tcPr>
          <w:p w:rsidR="00277342" w:rsidP="001B7A55" w:rsidRDefault="00882F5B">
            <w:sdt>
              <w:sdtPr>
                <w:alias w:val="Publication Restriction"/>
                <w:tag w:val="publicationRestriction"/>
                <w:id w:val="-1536037816"/>
                <w:placeholder>
                  <w:docPart w:val="A7B47E2D68429748B46F94DAB4579B86"/>
                </w:placeholder>
                <w:showingPlcHdr/>
                <w:text w:multiLine="true"/>
              </w:sdtPr>
              <w:sdtEndPr/>
              <w:sdtContent>
                <w:r>
                  <w:t xml:space="preserve">Nil</w:t>
                </w:r>
              </w:sdtContent>
            </w:sdt>
          </w:p>
        </w:tc>
      </w:tr>
    </w:tbl>
    <w:p>
      <w:pPr>
        <w:pStyle w:val="CaselawHeading1"/>
        <w:keepNext/>
        <w:spacing w:before="150" w:after="150" w:line="264"/>
        <w:ind w:left="0"/>
      </w:pPr>
      <w:r>
        <w:rPr>
          <w:rFonts w:ascii="Arial"/>
        </w:rPr>
        <w:t>Judgment</w:t>
      </w:r>
    </w:p>
    <w:p>
      <w:pPr>
        <w:pStyle w:val="CaselawNumbered10"/>
        <w:numPr>
          <w:ilvl w:val="0"/>
          <w:numId w:val="22"/>
        </w:numPr>
        <w:spacing w:before="150" w:after="0"/>
        <w:ind w:left="600" w:hanging="600"/>
      </w:pPr>
      <w:r>
        <w:rPr>
          <w:rFonts w:ascii="Arial"/>
          <w:color w:val="000000"/>
          <w:sz w:val="24"/>
        </w:rPr>
        <w:t>Th</w:t>
      </w:r>
      <w:r>
        <w:rPr>
          <w:rFonts w:ascii="Arial"/>
          <w:color w:val="000000"/>
          <w:sz w:val="24"/>
        </w:rPr>
        <w:t xml:space="preserve">e applicant has lodged </w:t>
      </w:r>
      <w:r>
        <w:rPr>
          <w:rFonts w:ascii="Arial"/>
          <w:color w:val="000000"/>
          <w:sz w:val="24"/>
        </w:rPr>
        <w:t xml:space="preserve">an appeal under </w:t>
      </w:r>
      <w:r>
        <w:rPr>
          <w:rFonts w:ascii="Arial"/>
          <w:color w:val="000000"/>
          <w:sz w:val="24"/>
        </w:rPr>
        <w:t xml:space="preserve">s 8.7 of the </w:t>
      </w:r>
      <w:r>
        <w:rPr>
          <w:rFonts w:ascii="Arial"/>
          <w:i/>
          <w:color w:val="000000"/>
          <w:sz w:val="24"/>
        </w:rPr>
        <w:t>Environmental Planning and Assessment Act 1979</w:t>
      </w:r>
      <w:r>
        <w:rPr>
          <w:rFonts w:ascii="Arial"/>
          <w:color w:val="000000"/>
          <w:sz w:val="24"/>
        </w:rPr>
        <w:t xml:space="preserve"> </w:t>
      </w:r>
      <w:r>
        <w:rPr>
          <w:rFonts w:ascii="Arial"/>
          <w:color w:val="000000"/>
          <w:sz w:val="24"/>
        </w:rPr>
        <w:t>(E</w:t>
      </w:r>
      <w:r>
        <w:rPr>
          <w:rFonts w:ascii="Arial"/>
          <w:color w:val="000000"/>
          <w:sz w:val="24"/>
        </w:rPr>
        <w:t xml:space="preserve">PA Act) against the </w:t>
      </w:r>
      <w:r>
        <w:rPr>
          <w:rFonts w:ascii="Arial"/>
          <w:color w:val="000000"/>
          <w:sz w:val="24"/>
        </w:rPr>
        <w:t xml:space="preserve">deemed </w:t>
      </w:r>
      <w:r>
        <w:rPr>
          <w:rFonts w:ascii="Arial"/>
          <w:color w:val="000000"/>
          <w:sz w:val="24"/>
        </w:rPr>
        <w:t xml:space="preserve">refusal by </w:t>
      </w:r>
      <w:r>
        <w:rPr>
          <w:rFonts w:ascii="Arial"/>
          <w:color w:val="000000"/>
          <w:sz w:val="24"/>
        </w:rPr>
        <w:t xml:space="preserve">the </w:t>
      </w:r>
      <w:r>
        <w:rPr>
          <w:rFonts w:ascii="Arial"/>
          <w:color w:val="000000"/>
          <w:sz w:val="24"/>
        </w:rPr>
        <w:t xml:space="preserve">Council </w:t>
      </w:r>
      <w:r>
        <w:rPr>
          <w:rFonts w:ascii="Arial"/>
          <w:color w:val="000000"/>
          <w:sz w:val="24"/>
        </w:rPr>
        <w:t xml:space="preserve">of the City of Sydney Local Planning Panel </w:t>
      </w:r>
      <w:r>
        <w:rPr>
          <w:rFonts w:ascii="Arial"/>
          <w:color w:val="000000"/>
          <w:sz w:val="24"/>
        </w:rPr>
        <w:t>(</w:t>
      </w:r>
      <w:r>
        <w:rPr>
          <w:rFonts w:ascii="Arial"/>
          <w:color w:val="000000"/>
          <w:sz w:val="24"/>
        </w:rPr>
        <w:t>LPP</w:t>
      </w:r>
      <w:r>
        <w:rPr>
          <w:rFonts w:ascii="Arial"/>
          <w:color w:val="000000"/>
          <w:sz w:val="24"/>
        </w:rPr>
        <w:t xml:space="preserve">) of </w:t>
      </w:r>
      <w:r>
        <w:rPr>
          <w:rFonts w:ascii="Arial"/>
          <w:color w:val="000000"/>
          <w:sz w:val="24"/>
        </w:rPr>
        <w:t>development</w:t>
      </w:r>
      <w:r>
        <w:rPr>
          <w:rFonts w:ascii="Arial"/>
          <w:color w:val="000000"/>
          <w:sz w:val="24"/>
        </w:rPr>
        <w:t xml:space="preserve"> </w:t>
      </w:r>
      <w:r>
        <w:rPr>
          <w:rFonts w:ascii="Arial"/>
          <w:color w:val="000000"/>
          <w:sz w:val="24"/>
        </w:rPr>
        <w:t xml:space="preserve">application </w:t>
      </w:r>
      <w:r>
        <w:rPr>
          <w:rFonts w:ascii="Arial"/>
          <w:color w:val="000000"/>
          <w:sz w:val="24"/>
        </w:rPr>
        <w:t>D/2023/727</w:t>
      </w:r>
      <w:r>
        <w:rPr>
          <w:rFonts w:ascii="Arial"/>
          <w:color w:val="000000"/>
          <w:sz w:val="24"/>
        </w:rPr>
        <w:t xml:space="preserve"> </w:t>
      </w:r>
      <w:r>
        <w:rPr>
          <w:rFonts w:ascii="Arial"/>
          <w:color w:val="000000"/>
          <w:sz w:val="24"/>
        </w:rPr>
        <w:t>(DA)</w:t>
      </w:r>
      <w:r>
        <w:rPr>
          <w:rFonts w:ascii="Arial"/>
          <w:color w:val="000000"/>
          <w:sz w:val="24"/>
        </w:rPr>
        <w:t xml:space="preserve">, </w:t>
      </w:r>
      <w:r>
        <w:rPr>
          <w:rFonts w:ascii="Arial"/>
          <w:color w:val="000000"/>
          <w:sz w:val="24"/>
        </w:rPr>
        <w:t>lodged on 14 August 2023</w:t>
      </w:r>
      <w:r>
        <w:rPr>
          <w:rFonts w:ascii="Arial"/>
          <w:color w:val="000000"/>
          <w:sz w:val="24"/>
        </w:rPr>
        <w:t xml:space="preserve">. The DA seeks consent </w:t>
      </w:r>
      <w:r>
        <w:rPr>
          <w:rFonts w:ascii="Arial"/>
          <w:color w:val="000000"/>
          <w:sz w:val="24"/>
        </w:rPr>
        <w:t xml:space="preserve">for the demolition of </w:t>
      </w:r>
      <w:r>
        <w:rPr>
          <w:rFonts w:ascii="Arial"/>
          <w:color w:val="000000"/>
          <w:sz w:val="24"/>
        </w:rPr>
        <w:t>existing buildings and construction of</w:t>
      </w:r>
      <w:r>
        <w:rPr>
          <w:rFonts w:ascii="Arial"/>
          <w:color w:val="000000"/>
          <w:sz w:val="24"/>
        </w:rPr>
        <w:t xml:space="preserve"> </w:t>
      </w:r>
      <w:r>
        <w:rPr>
          <w:rFonts w:ascii="Arial"/>
          <w:color w:val="000000"/>
          <w:sz w:val="24"/>
        </w:rPr>
        <w:t xml:space="preserve">two new residential flat buildings with basement car parking </w:t>
      </w:r>
      <w:r>
        <w:rPr>
          <w:rFonts w:ascii="Arial"/>
          <w:color w:val="000000"/>
          <w:sz w:val="24"/>
        </w:rPr>
        <w:t xml:space="preserve">across two parcels of land </w:t>
      </w:r>
      <w:r>
        <w:rPr>
          <w:rFonts w:ascii="Arial"/>
          <w:color w:val="000000"/>
          <w:sz w:val="24"/>
        </w:rPr>
        <w:t>at 21C Billyard Avenue and</w:t>
      </w:r>
      <w:r>
        <w:rPr>
          <w:rFonts w:ascii="Arial"/>
          <w:color w:val="000000"/>
          <w:sz w:val="24"/>
        </w:rPr>
        <w:t xml:space="preserve"> </w:t>
      </w:r>
      <w:r>
        <w:rPr>
          <w:rFonts w:ascii="Arial"/>
          <w:color w:val="000000"/>
          <w:sz w:val="24"/>
        </w:rPr>
        <w:t>10 Onslow Avenue, Elizabeth Bay NSW (site).</w:t>
      </w:r>
      <w:r>
        <w:rPr>
          <w:rFonts w:ascii="Arial"/>
          <w:color w:val="000000"/>
          <w:sz w:val="24"/>
        </w:rPr>
        <w:t xml:space="preserve"> </w:t>
      </w:r>
      <w:r>
        <w:rPr>
          <w:rFonts w:ascii="Arial"/>
          <w:color w:val="000000"/>
          <w:sz w:val="24"/>
        </w:rPr>
        <w:t>The Council of the City of Sydney (Council) is the respondent in this appeal by virtue of s 8.15(4) of the EPA Act</w:t>
      </w:r>
      <w:r>
        <w:rPr>
          <w:rFonts w:ascii="Arial"/>
          <w:color w:val="000000"/>
          <w:sz w:val="24"/>
        </w:rPr>
        <w:t>.</w:t>
      </w:r>
    </w:p>
    <w:p>
      <w:pPr>
        <w:pStyle w:val="CaselawHeading2"/>
        <w:keepNext/>
        <w:spacing w:before="150" w:after="150" w:line="264"/>
        <w:ind w:left="0"/>
        <w:jc w:val="left"/>
      </w:pPr>
      <w:r>
        <w:rPr>
          <w:rFonts w:ascii="Arial"/>
        </w:rPr>
        <w:t>Background to the proceedings</w:t>
      </w:r>
    </w:p>
    <w:p>
      <w:pPr>
        <w:pStyle w:val="CaselawNumbered10"/>
        <w:numPr>
          <w:ilvl w:val="0"/>
          <w:numId w:val="23"/>
        </w:numPr>
        <w:spacing w:before="150" w:after="0"/>
        <w:ind w:left="600" w:hanging="600"/>
      </w:pPr>
      <w:r>
        <w:rPr>
          <w:rFonts w:ascii="Arial"/>
          <w:color w:val="000000"/>
          <w:sz w:val="24"/>
        </w:rPr>
        <w:t xml:space="preserve">The proceedings originally came before me on 12 June 2024 as a conciliation conference under the provisions of s 34(1) of the </w:t>
      </w:r>
      <w:r>
        <w:rPr>
          <w:rFonts w:ascii="Arial"/>
          <w:i/>
          <w:color w:val="000000"/>
          <w:sz w:val="24"/>
        </w:rPr>
        <w:t>Land and Environment Court Act 1979</w:t>
      </w:r>
      <w:r>
        <w:rPr>
          <w:rFonts w:ascii="Arial"/>
          <w:color w:val="000000"/>
          <w:sz w:val="24"/>
        </w:rPr>
        <w:t xml:space="preserve">. The conciliation proceedings commenced with a site inspection. During this site inspection the Court and the parties to the proceedings had the opportunity to undertake inspections from </w:t>
      </w:r>
      <w:r>
        <w:rPr>
          <w:rFonts w:ascii="Arial"/>
          <w:color w:val="000000"/>
          <w:sz w:val="24"/>
        </w:rPr>
        <w:t xml:space="preserve">quite a large </w:t>
      </w:r>
      <w:r>
        <w:rPr>
          <w:rFonts w:ascii="Arial"/>
          <w:color w:val="000000"/>
          <w:sz w:val="24"/>
        </w:rPr>
        <w:t>a number of</w:t>
      </w:r>
      <w:r>
        <w:rPr>
          <w:rFonts w:ascii="Arial"/>
          <w:color w:val="000000"/>
          <w:sz w:val="24"/>
        </w:rPr>
        <w:t xml:space="preserve"> </w:t>
      </w:r>
      <w:r>
        <w:rPr>
          <w:rFonts w:ascii="Arial"/>
          <w:color w:val="000000"/>
          <w:sz w:val="24"/>
        </w:rPr>
        <w:t>properties</w:t>
      </w:r>
      <w:r>
        <w:rPr>
          <w:rFonts w:ascii="Arial"/>
          <w:color w:val="000000"/>
          <w:sz w:val="24"/>
        </w:rPr>
        <w:t>, in each case residential properties within apartment blocks</w:t>
      </w:r>
      <w:r>
        <w:rPr>
          <w:rFonts w:ascii="Arial"/>
          <w:color w:val="000000"/>
          <w:sz w:val="24"/>
        </w:rPr>
        <w:t xml:space="preserve">, residents of which had made objections against the proposal. </w:t>
      </w:r>
    </w:p>
    <w:p>
      <w:pPr>
        <w:pStyle w:val="CaselawNumbered10"/>
        <w:numPr>
          <w:ilvl w:val="0"/>
          <w:numId w:val="23"/>
        </w:numPr>
        <w:spacing w:before="150" w:after="0"/>
        <w:ind w:left="600" w:hanging="600"/>
      </w:pPr>
      <w:r>
        <w:rPr>
          <w:rFonts w:ascii="Arial"/>
          <w:color w:val="000000"/>
          <w:sz w:val="24"/>
        </w:rPr>
        <w:t>A</w:t>
      </w:r>
      <w:r>
        <w:rPr>
          <w:rFonts w:ascii="Arial"/>
          <w:color w:val="000000"/>
          <w:sz w:val="24"/>
        </w:rPr>
        <w:t xml:space="preserve"> </w:t>
      </w:r>
      <w:r>
        <w:rPr>
          <w:rFonts w:ascii="Arial"/>
          <w:color w:val="000000"/>
          <w:sz w:val="24"/>
        </w:rPr>
        <w:t xml:space="preserve">formal conciliated agreement did not eventuate (I terminated the conciliation conference on </w:t>
      </w:r>
      <w:r>
        <w:rPr>
          <w:rFonts w:ascii="Arial"/>
          <w:color w:val="000000"/>
          <w:sz w:val="24"/>
        </w:rPr>
        <w:t>9 August 2024). However, subsequently the Chief Judge delegated the hearing of the appeal back to me, and the parties have subsequently agreed that the evidence from the conciliation conference could be accepted into the evidence for this hearing. In turn</w:t>
      </w:r>
      <w:r>
        <w:rPr>
          <w:rFonts w:ascii="Arial"/>
          <w:color w:val="000000"/>
          <w:sz w:val="24"/>
        </w:rPr>
        <w:t>,</w:t>
      </w:r>
      <w:r>
        <w:rPr>
          <w:rFonts w:ascii="Arial"/>
          <w:color w:val="000000"/>
          <w:sz w:val="24"/>
        </w:rPr>
        <w:t xml:space="preserve"> </w:t>
      </w:r>
      <w:r>
        <w:rPr>
          <w:rFonts w:ascii="Arial"/>
          <w:color w:val="000000"/>
          <w:sz w:val="24"/>
        </w:rPr>
        <w:t>I determined that, r</w:t>
      </w:r>
      <w:r>
        <w:rPr>
          <w:rFonts w:ascii="Arial"/>
          <w:color w:val="000000"/>
          <w:sz w:val="24"/>
        </w:rPr>
        <w:t>a</w:t>
      </w:r>
      <w:r>
        <w:rPr>
          <w:rFonts w:ascii="Arial"/>
          <w:color w:val="000000"/>
          <w:sz w:val="24"/>
        </w:rPr>
        <w:t xml:space="preserve">ther than the usual practice of commencing </w:t>
      </w:r>
      <w:r>
        <w:rPr>
          <w:rFonts w:ascii="Arial"/>
          <w:color w:val="000000"/>
          <w:sz w:val="24"/>
        </w:rPr>
        <w:t xml:space="preserve">hearing proceedings </w:t>
      </w:r>
      <w:r>
        <w:rPr>
          <w:rFonts w:ascii="Arial"/>
          <w:color w:val="000000"/>
          <w:sz w:val="24"/>
        </w:rPr>
        <w:t>with an on-site inspection, th</w:t>
      </w:r>
      <w:r>
        <w:rPr>
          <w:rFonts w:ascii="Arial"/>
          <w:color w:val="000000"/>
          <w:sz w:val="24"/>
        </w:rPr>
        <w:t>is</w:t>
      </w:r>
      <w:r>
        <w:rPr>
          <w:rFonts w:ascii="Arial"/>
          <w:color w:val="000000"/>
          <w:sz w:val="24"/>
        </w:rPr>
        <w:t xml:space="preserve"> </w:t>
      </w:r>
      <w:r>
        <w:rPr>
          <w:rFonts w:ascii="Arial"/>
          <w:color w:val="000000"/>
          <w:sz w:val="24"/>
        </w:rPr>
        <w:t>hearing proceedings commenced in Court on 5 November 2024.</w:t>
      </w:r>
    </w:p>
    <w:p>
      <w:pPr>
        <w:pStyle w:val="CaselawNumbered10"/>
        <w:numPr>
          <w:ilvl w:val="0"/>
          <w:numId w:val="23"/>
        </w:numPr>
        <w:spacing w:before="150" w:after="0"/>
        <w:ind w:left="600" w:hanging="600"/>
      </w:pPr>
      <w:r>
        <w:rPr>
          <w:rFonts w:ascii="Arial"/>
          <w:color w:val="000000"/>
          <w:sz w:val="24"/>
        </w:rPr>
        <w:t xml:space="preserve">Prior to the hearing, </w:t>
      </w:r>
      <w:r>
        <w:rPr>
          <w:rFonts w:ascii="Arial"/>
          <w:color w:val="000000"/>
          <w:sz w:val="24"/>
        </w:rPr>
        <w:t xml:space="preserve">the parties had been involved in </w:t>
      </w:r>
      <w:r>
        <w:rPr>
          <w:rFonts w:ascii="Arial"/>
          <w:color w:val="000000"/>
          <w:sz w:val="24"/>
        </w:rPr>
        <w:t>further extended dialogue</w:t>
      </w:r>
      <w:r>
        <w:rPr>
          <w:rFonts w:ascii="Arial"/>
          <w:color w:val="000000"/>
          <w:sz w:val="24"/>
        </w:rPr>
        <w:t>. This dialogue included detailed work</w:t>
      </w:r>
      <w:r>
        <w:rPr>
          <w:rFonts w:ascii="Arial"/>
          <w:color w:val="000000"/>
          <w:sz w:val="24"/>
        </w:rPr>
        <w:t xml:space="preserve"> </w:t>
      </w:r>
      <w:r>
        <w:rPr>
          <w:rFonts w:ascii="Arial"/>
          <w:color w:val="000000"/>
          <w:sz w:val="24"/>
        </w:rPr>
        <w:t xml:space="preserve">between experts appointed by the parties </w:t>
      </w:r>
      <w:r>
        <w:rPr>
          <w:rFonts w:ascii="Arial"/>
          <w:color w:val="000000"/>
          <w:sz w:val="24"/>
        </w:rPr>
        <w:t>which resulted in</w:t>
      </w:r>
      <w:r>
        <w:rPr>
          <w:rFonts w:ascii="Arial"/>
          <w:color w:val="000000"/>
          <w:sz w:val="24"/>
        </w:rPr>
        <w:t xml:space="preserve"> </w:t>
      </w:r>
      <w:r>
        <w:rPr>
          <w:rFonts w:ascii="Arial"/>
          <w:color w:val="000000"/>
          <w:sz w:val="24"/>
        </w:rPr>
        <w:t>agreed amendment</w:t>
      </w:r>
      <w:r>
        <w:rPr>
          <w:rFonts w:ascii="Arial"/>
          <w:color w:val="000000"/>
          <w:sz w:val="24"/>
        </w:rPr>
        <w:t>s</w:t>
      </w:r>
      <w:r>
        <w:rPr>
          <w:rFonts w:ascii="Arial"/>
          <w:color w:val="000000"/>
          <w:sz w:val="24"/>
        </w:rPr>
        <w:t xml:space="preserve"> </w:t>
      </w:r>
      <w:r>
        <w:rPr>
          <w:rFonts w:ascii="Arial"/>
          <w:color w:val="000000"/>
          <w:sz w:val="24"/>
        </w:rPr>
        <w:t xml:space="preserve">to the </w:t>
      </w:r>
      <w:r>
        <w:rPr>
          <w:rFonts w:ascii="Arial"/>
          <w:color w:val="000000"/>
          <w:sz w:val="24"/>
        </w:rPr>
        <w:t>DA</w:t>
      </w:r>
      <w:r>
        <w:rPr>
          <w:rFonts w:ascii="Arial"/>
          <w:color w:val="000000"/>
          <w:sz w:val="24"/>
        </w:rPr>
        <w:t xml:space="preserve"> </w:t>
      </w:r>
      <w:r>
        <w:rPr>
          <w:rFonts w:ascii="Arial"/>
          <w:color w:val="000000"/>
          <w:sz w:val="24"/>
        </w:rPr>
        <w:t xml:space="preserve">now </w:t>
      </w:r>
      <w:r>
        <w:rPr>
          <w:rFonts w:ascii="Arial"/>
          <w:color w:val="000000"/>
          <w:sz w:val="24"/>
        </w:rPr>
        <w:t>before the Court</w:t>
      </w:r>
      <w:r>
        <w:rPr>
          <w:rFonts w:ascii="Arial"/>
          <w:color w:val="000000"/>
          <w:sz w:val="24"/>
        </w:rPr>
        <w:t>. Again sometime prior to the hearing</w:t>
      </w:r>
      <w:r>
        <w:rPr>
          <w:rFonts w:ascii="Arial"/>
          <w:color w:val="000000"/>
          <w:sz w:val="24"/>
        </w:rPr>
        <w:t xml:space="preserve">, </w:t>
      </w:r>
      <w:r>
        <w:rPr>
          <w:rFonts w:ascii="Arial"/>
          <w:color w:val="000000"/>
          <w:sz w:val="24"/>
        </w:rPr>
        <w:t xml:space="preserve">the parties made clear </w:t>
      </w:r>
      <w:r>
        <w:rPr>
          <w:rFonts w:ascii="Arial"/>
          <w:color w:val="000000"/>
          <w:sz w:val="24"/>
        </w:rPr>
        <w:t xml:space="preserve">to the Court </w:t>
      </w:r>
      <w:r>
        <w:rPr>
          <w:rFonts w:ascii="Arial"/>
          <w:color w:val="000000"/>
          <w:sz w:val="24"/>
        </w:rPr>
        <w:t xml:space="preserve">an intention to request final orders from these proceedings be that of the </w:t>
      </w:r>
      <w:r>
        <w:rPr>
          <w:rFonts w:ascii="Arial"/>
          <w:color w:val="000000"/>
          <w:sz w:val="24"/>
        </w:rPr>
        <w:t>upholding of the appeal and the granting of consent to the DA</w:t>
      </w:r>
      <w:r>
        <w:rPr>
          <w:rFonts w:ascii="Arial"/>
          <w:color w:val="000000"/>
          <w:sz w:val="24"/>
        </w:rPr>
        <w:t>, subject to agreed conditions</w:t>
      </w:r>
      <w:r>
        <w:rPr>
          <w:rFonts w:ascii="Arial"/>
          <w:color w:val="000000"/>
          <w:sz w:val="24"/>
        </w:rPr>
        <w:t xml:space="preserve">. Consent orders to this effect were initially filed by the parties on </w:t>
      </w:r>
      <w:r>
        <w:rPr>
          <w:rFonts w:ascii="Arial"/>
          <w:color w:val="000000"/>
          <w:sz w:val="24"/>
        </w:rPr>
        <w:t xml:space="preserve">29 October 2024 and the final version was filed on </w:t>
      </w:r>
      <w:r>
        <w:rPr>
          <w:rFonts w:ascii="Arial"/>
          <w:color w:val="000000"/>
          <w:sz w:val="24"/>
        </w:rPr>
        <w:t>8 November 2024.</w:t>
      </w:r>
      <w:r>
        <w:rPr>
          <w:rFonts w:ascii="Arial"/>
          <w:color w:val="000000"/>
          <w:sz w:val="24"/>
        </w:rPr>
        <w:t xml:space="preserve"> </w:t>
      </w:r>
      <w:r>
        <w:rPr>
          <w:rFonts w:ascii="Arial"/>
          <w:color w:val="000000"/>
          <w:sz w:val="24"/>
        </w:rPr>
        <w:t xml:space="preserve">With this, the Council is indicating to the Court its position </w:t>
      </w:r>
      <w:r>
        <w:rPr>
          <w:rFonts w:ascii="Arial"/>
          <w:color w:val="000000"/>
          <w:sz w:val="24"/>
        </w:rPr>
        <w:t xml:space="preserve">that it is satisfied that the amended plans </w:t>
      </w:r>
      <w:r>
        <w:rPr>
          <w:rFonts w:ascii="Arial"/>
          <w:color w:val="000000"/>
          <w:sz w:val="24"/>
        </w:rPr>
        <w:t xml:space="preserve">and agreed conditions </w:t>
      </w:r>
      <w:r>
        <w:rPr>
          <w:rFonts w:ascii="Arial"/>
          <w:color w:val="000000"/>
          <w:sz w:val="24"/>
        </w:rPr>
        <w:t xml:space="preserve">resolve the issues raised by </w:t>
      </w:r>
      <w:r>
        <w:rPr>
          <w:rFonts w:ascii="Arial"/>
          <w:color w:val="000000"/>
          <w:sz w:val="24"/>
        </w:rPr>
        <w:t>it</w:t>
      </w:r>
      <w:r>
        <w:rPr>
          <w:rFonts w:ascii="Arial"/>
          <w:color w:val="000000"/>
          <w:sz w:val="24"/>
        </w:rPr>
        <w:t xml:space="preserve"> </w:t>
      </w:r>
      <w:r>
        <w:rPr>
          <w:rFonts w:ascii="Arial"/>
          <w:color w:val="000000"/>
          <w:sz w:val="24"/>
        </w:rPr>
        <w:t>in the Amended Statement of Facts and Contentions filed 1</w:t>
      </w:r>
      <w:r>
        <w:rPr>
          <w:rFonts w:ascii="Arial"/>
          <w:color w:val="000000"/>
          <w:sz w:val="24"/>
        </w:rPr>
        <w:t>1 September 2024</w:t>
      </w:r>
      <w:r>
        <w:rPr>
          <w:rFonts w:ascii="Arial"/>
          <w:color w:val="000000"/>
          <w:sz w:val="24"/>
        </w:rPr>
        <w:t xml:space="preserve"> </w:t>
      </w:r>
      <w:r>
        <w:rPr>
          <w:rFonts w:ascii="Arial"/>
          <w:color w:val="000000"/>
          <w:sz w:val="24"/>
        </w:rPr>
        <w:t xml:space="preserve">(Ex </w:t>
      </w:r>
      <w:r>
        <w:rPr>
          <w:rFonts w:ascii="Arial"/>
          <w:color w:val="000000"/>
          <w:sz w:val="24"/>
        </w:rPr>
        <w:t>2</w:t>
      </w:r>
      <w:r>
        <w:rPr>
          <w:rFonts w:ascii="Arial"/>
          <w:color w:val="000000"/>
          <w:sz w:val="24"/>
        </w:rPr>
        <w:t>)</w:t>
      </w:r>
      <w:r>
        <w:rPr>
          <w:rFonts w:ascii="Arial"/>
          <w:color w:val="000000"/>
          <w:sz w:val="24"/>
        </w:rPr>
        <w:t xml:space="preserve"> </w:t>
      </w:r>
      <w:r>
        <w:rPr>
          <w:rFonts w:ascii="Arial"/>
          <w:color w:val="000000"/>
          <w:sz w:val="24"/>
        </w:rPr>
        <w:t>and that Council is otherwise satisfied with the proposal</w:t>
      </w:r>
      <w:r>
        <w:rPr>
          <w:rFonts w:ascii="Arial"/>
          <w:color w:val="000000"/>
          <w:sz w:val="24"/>
        </w:rPr>
        <w:t xml:space="preserve">. </w:t>
      </w:r>
    </w:p>
    <w:p>
      <w:pPr>
        <w:pStyle w:val="CaselawNumbered10"/>
        <w:numPr>
          <w:ilvl w:val="0"/>
          <w:numId w:val="23"/>
        </w:numPr>
        <w:spacing w:before="150" w:after="0"/>
        <w:ind w:left="600" w:hanging="600"/>
      </w:pPr>
      <w:r>
        <w:rPr>
          <w:rFonts w:ascii="Arial"/>
          <w:color w:val="000000"/>
          <w:sz w:val="24"/>
        </w:rPr>
        <w:t>The Court</w:t>
      </w:r>
      <w:r>
        <w:rPr>
          <w:rFonts w:ascii="Arial"/>
          <w:color w:val="000000"/>
          <w:sz w:val="24"/>
        </w:rPr>
        <w:t>’</w:t>
      </w:r>
      <w:r>
        <w:rPr>
          <w:rFonts w:ascii="Arial"/>
          <w:color w:val="000000"/>
          <w:sz w:val="24"/>
        </w:rPr>
        <w:t>s Practice Note - Class 1 Development Appeals (</w:t>
      </w:r>
      <w:r>
        <w:rPr>
          <w:rFonts w:ascii="Arial"/>
          <w:color w:val="000000"/>
          <w:sz w:val="24"/>
        </w:rPr>
        <w:t>Practice Note</w:t>
      </w:r>
      <w:r>
        <w:rPr>
          <w:rFonts w:ascii="Arial"/>
          <w:color w:val="000000"/>
          <w:sz w:val="24"/>
        </w:rPr>
        <w:t xml:space="preserve">) sets out the procedural requirements </w:t>
      </w:r>
      <w:r>
        <w:rPr>
          <w:rFonts w:ascii="Arial"/>
          <w:color w:val="000000"/>
          <w:sz w:val="24"/>
        </w:rPr>
        <w:t xml:space="preserve">for consent orders matters </w:t>
      </w:r>
      <w:r>
        <w:rPr>
          <w:rFonts w:ascii="Arial"/>
          <w:color w:val="000000"/>
          <w:sz w:val="24"/>
        </w:rPr>
        <w:t>at par 99:</w:t>
      </w:r>
    </w:p>
    <w:p>
      <w:pPr>
        <w:pStyle w:val="CaselawCoversheet"/>
        <w:spacing w:before="150" w:after="150"/>
        <w:ind w:left="1350"/>
        <w:jc w:val="left"/>
      </w:pPr>
      <w:r>
        <w:rPr>
          <w:rFonts w:ascii="Arial"/>
          <w:color w:val="000000"/>
          <w:sz w:val="24"/>
        </w:rPr>
        <w:t xml:space="preserve">“Any application for consent final orders in development appeals will be listed before the Court for determination. The parties will be required to present such evidence as is necessary to allow the Court to determine whether it is lawful and </w:t>
      </w:r>
      <w:r>
        <w:rPr>
          <w:rFonts w:ascii="Arial"/>
          <w:color w:val="000000"/>
          <w:sz w:val="24"/>
        </w:rPr>
        <w:t>appropriate to grant the consent or approval having regard to the whole of the relevant circumstances</w:t>
      </w:r>
      <w:r>
        <w:rPr>
          <w:rFonts w:ascii="Arial"/>
          <w:color w:val="000000"/>
          <w:sz w:val="24"/>
        </w:rPr>
        <w:t xml:space="preserve">, including the proposed conditions. The consent authority will be required to demonstrate that relevant statutory provisions have been complied with and that any objection by any person has been properly </w:t>
      </w:r>
      <w:r>
        <w:rPr>
          <w:rFonts w:ascii="Arial"/>
          <w:color w:val="000000"/>
          <w:sz w:val="24"/>
        </w:rPr>
        <w:t>taken into account. Additionally, the consent authority will be required to demonstrate that it has given reasonable notice to all persons who objected to the proposal of the following:</w:t>
      </w:r>
    </w:p>
    <w:p>
      <w:pPr>
        <w:pStyle w:val="CaselawCoversheet"/>
        <w:spacing w:before="150" w:after="150"/>
        <w:ind w:left="1350"/>
        <w:jc w:val="left"/>
      </w:pPr>
      <w:r>
        <w:rPr>
          <w:rFonts w:ascii="Arial"/>
          <w:color w:val="000000"/>
          <w:sz w:val="24"/>
        </w:rPr>
        <w:t>(i) the content of the proposed orders (including the proposed conditions of consent);</w:t>
      </w:r>
    </w:p>
    <w:p>
      <w:pPr>
        <w:pStyle w:val="CaselawCoversheet"/>
        <w:spacing w:before="150" w:after="150"/>
        <w:ind w:left="1350"/>
        <w:jc w:val="left"/>
      </w:pPr>
      <w:r>
        <w:rPr>
          <w:rFonts w:ascii="Arial"/>
          <w:color w:val="000000"/>
          <w:sz w:val="24"/>
        </w:rPr>
        <w:t>(ii) the date of the hearing by the Court to consider making the proposed consent orders; and</w:t>
      </w:r>
    </w:p>
    <w:p>
      <w:pPr>
        <w:pStyle w:val="CaselawCoversheet"/>
        <w:spacing w:before="150" w:after="150"/>
        <w:ind w:left="1350"/>
        <w:jc w:val="left"/>
      </w:pPr>
      <w:r>
        <w:rPr>
          <w:rFonts w:ascii="Arial"/>
          <w:color w:val="000000"/>
          <w:sz w:val="24"/>
        </w:rPr>
        <w:t xml:space="preserve">(iii) the opportunity for any such person to be heard, </w:t>
      </w:r>
    </w:p>
    <w:p>
      <w:pPr>
        <w:pStyle w:val="CaselawCoversheet"/>
        <w:spacing w:before="150" w:after="150"/>
        <w:ind w:left="1350"/>
        <w:jc w:val="left"/>
      </w:pPr>
      <w:r>
        <w:rPr>
          <w:rFonts w:ascii="Arial"/>
          <w:color w:val="000000"/>
          <w:sz w:val="24"/>
        </w:rPr>
        <w:t>or that, in the circumstances of the case, notification is not necessary.”</w:t>
      </w:r>
    </w:p>
    <w:p>
      <w:pPr>
        <w:pStyle w:val="CaselawNumbered10"/>
        <w:numPr>
          <w:ilvl w:val="0"/>
          <w:numId w:val="24"/>
        </w:numPr>
        <w:spacing w:before="150" w:after="0"/>
        <w:ind w:left="600" w:hanging="600"/>
      </w:pPr>
      <w:r>
        <w:rPr>
          <w:rFonts w:ascii="Arial"/>
          <w:color w:val="000000"/>
          <w:sz w:val="24"/>
        </w:rPr>
        <w:t>This makes clear that n</w:t>
      </w:r>
      <w:r>
        <w:rPr>
          <w:rFonts w:ascii="Arial"/>
          <w:color w:val="000000"/>
          <w:sz w:val="24"/>
        </w:rPr>
        <w:t>otwithstanding the position of the parties, the obligation upon the Court in the appeal remains to determine whether it is lawful and appropriate to grant the consen</w:t>
      </w:r>
      <w:r>
        <w:rPr>
          <w:rFonts w:ascii="Arial"/>
          <w:color w:val="000000"/>
          <w:sz w:val="24"/>
        </w:rPr>
        <w:t xml:space="preserve">t </w:t>
      </w:r>
      <w:r>
        <w:rPr>
          <w:rFonts w:ascii="Arial"/>
          <w:color w:val="000000"/>
          <w:sz w:val="24"/>
        </w:rPr>
        <w:t>having regard to the whole of the relevant circumstances.</w:t>
      </w:r>
    </w:p>
    <w:p>
      <w:pPr>
        <w:pStyle w:val="CaselawNumbered10"/>
        <w:numPr>
          <w:ilvl w:val="0"/>
          <w:numId w:val="24"/>
        </w:numPr>
        <w:spacing w:before="150" w:after="0"/>
        <w:ind w:left="600" w:hanging="600"/>
      </w:pPr>
      <w:r>
        <w:rPr>
          <w:rFonts w:ascii="Arial"/>
          <w:color w:val="000000"/>
          <w:sz w:val="24"/>
        </w:rPr>
        <w:t>P</w:t>
      </w:r>
      <w:r>
        <w:rPr>
          <w:rFonts w:ascii="Arial"/>
          <w:color w:val="000000"/>
          <w:sz w:val="24"/>
        </w:rPr>
        <w:t>ar</w:t>
      </w:r>
      <w:r>
        <w:rPr>
          <w:rFonts w:ascii="Arial"/>
          <w:color w:val="000000"/>
          <w:sz w:val="24"/>
        </w:rPr>
        <w:t>agraph</w:t>
      </w:r>
      <w:r>
        <w:rPr>
          <w:rFonts w:ascii="Arial"/>
          <w:color w:val="000000"/>
          <w:sz w:val="24"/>
        </w:rPr>
        <w:t xml:space="preserve"> </w:t>
      </w:r>
      <w:r>
        <w:rPr>
          <w:rFonts w:ascii="Arial"/>
          <w:color w:val="000000"/>
          <w:sz w:val="24"/>
        </w:rPr>
        <w:t>99</w:t>
      </w:r>
      <w:r>
        <w:rPr>
          <w:rFonts w:ascii="Arial"/>
          <w:color w:val="000000"/>
          <w:sz w:val="24"/>
        </w:rPr>
        <w:t xml:space="preserve"> </w:t>
      </w:r>
      <w:r>
        <w:rPr>
          <w:rFonts w:ascii="Arial"/>
          <w:color w:val="000000"/>
          <w:sz w:val="24"/>
        </w:rPr>
        <w:t>of the Practice Note also maps out a series of procedural requirements</w:t>
      </w:r>
      <w:r>
        <w:rPr>
          <w:rFonts w:ascii="Arial"/>
          <w:color w:val="000000"/>
          <w:sz w:val="24"/>
        </w:rPr>
        <w:t xml:space="preserve">, </w:t>
      </w:r>
      <w:r>
        <w:rPr>
          <w:rFonts w:ascii="Arial"/>
          <w:color w:val="000000"/>
          <w:sz w:val="24"/>
        </w:rPr>
        <w:t xml:space="preserve">in particular </w:t>
      </w:r>
      <w:r>
        <w:rPr>
          <w:rFonts w:ascii="Arial"/>
          <w:color w:val="000000"/>
          <w:sz w:val="24"/>
        </w:rPr>
        <w:t>in regard to</w:t>
      </w:r>
      <w:r>
        <w:rPr>
          <w:rFonts w:ascii="Arial"/>
          <w:color w:val="000000"/>
          <w:sz w:val="24"/>
        </w:rPr>
        <w:t xml:space="preserve"> </w:t>
      </w:r>
      <w:r>
        <w:rPr>
          <w:rFonts w:ascii="Arial"/>
          <w:color w:val="000000"/>
          <w:sz w:val="24"/>
        </w:rPr>
        <w:t xml:space="preserve">the giving of notice to those who have objected to a proposal. The required notice includes: (1) the particulars of the consent orders, (2) advice on the hearing dates and (3) the opportunity to be heard at the Court hearing. I accept the advice of the parties that the relevant </w:t>
      </w:r>
      <w:r>
        <w:rPr>
          <w:rFonts w:ascii="Arial"/>
          <w:color w:val="000000"/>
          <w:sz w:val="24"/>
        </w:rPr>
        <w:t xml:space="preserve">notice has been given. Indeed, </w:t>
      </w:r>
      <w:r>
        <w:rPr>
          <w:rFonts w:ascii="Arial"/>
          <w:color w:val="000000"/>
          <w:sz w:val="24"/>
        </w:rPr>
        <w:t>a number of</w:t>
      </w:r>
      <w:r>
        <w:rPr>
          <w:rFonts w:ascii="Arial"/>
          <w:color w:val="000000"/>
          <w:sz w:val="24"/>
        </w:rPr>
        <w:t xml:space="preserve"> </w:t>
      </w:r>
      <w:r>
        <w:rPr>
          <w:rFonts w:ascii="Arial"/>
          <w:color w:val="000000"/>
          <w:sz w:val="24"/>
        </w:rPr>
        <w:t xml:space="preserve">objectors did elect to give lay evidence in the proceedings, which </w:t>
      </w:r>
      <w:r>
        <w:rPr>
          <w:rFonts w:ascii="Arial"/>
          <w:color w:val="000000"/>
          <w:sz w:val="24"/>
        </w:rPr>
        <w:t xml:space="preserve">(among other lay submissions) </w:t>
      </w:r>
      <w:r>
        <w:rPr>
          <w:rFonts w:ascii="Arial"/>
          <w:color w:val="000000"/>
          <w:sz w:val="24"/>
        </w:rPr>
        <w:t xml:space="preserve">I </w:t>
      </w:r>
      <w:r>
        <w:rPr>
          <w:rFonts w:ascii="Arial"/>
          <w:color w:val="000000"/>
          <w:sz w:val="24"/>
        </w:rPr>
        <w:t xml:space="preserve">have given </w:t>
      </w:r>
      <w:r>
        <w:rPr>
          <w:rFonts w:ascii="Arial"/>
          <w:color w:val="000000"/>
          <w:sz w:val="24"/>
        </w:rPr>
        <w:t xml:space="preserve">consideration to. </w:t>
      </w:r>
    </w:p>
    <w:p>
      <w:pPr>
        <w:pStyle w:val="CaselawNumbered10"/>
        <w:numPr>
          <w:ilvl w:val="0"/>
          <w:numId w:val="24"/>
        </w:numPr>
        <w:spacing w:before="150" w:after="0"/>
        <w:ind w:left="600" w:hanging="600"/>
      </w:pPr>
      <w:r>
        <w:rPr>
          <w:rFonts w:ascii="Arial"/>
          <w:color w:val="000000"/>
          <w:sz w:val="24"/>
        </w:rPr>
        <w:t>S</w:t>
      </w:r>
      <w:r>
        <w:rPr>
          <w:rFonts w:ascii="Arial"/>
          <w:color w:val="000000"/>
          <w:sz w:val="24"/>
        </w:rPr>
        <w:t xml:space="preserve">omething of an iterative approach to the consideration of lay evidence was adopted in these proceedings. </w:t>
      </w:r>
      <w:r>
        <w:rPr>
          <w:rFonts w:ascii="Arial"/>
          <w:color w:val="000000"/>
          <w:sz w:val="24"/>
        </w:rPr>
        <w:t xml:space="preserve"> </w:t>
      </w:r>
      <w:r>
        <w:rPr>
          <w:rFonts w:ascii="Arial"/>
          <w:color w:val="000000"/>
          <w:sz w:val="24"/>
        </w:rPr>
        <w:t xml:space="preserve">The first step was the preparation of combined joint report by the planning and design experts prior to the hearing which specifically addressed the already documented </w:t>
      </w:r>
      <w:r>
        <w:rPr>
          <w:rFonts w:ascii="Arial"/>
          <w:color w:val="000000"/>
          <w:sz w:val="24"/>
        </w:rPr>
        <w:t xml:space="preserve">lay </w:t>
      </w:r>
      <w:r>
        <w:rPr>
          <w:rFonts w:ascii="Arial"/>
          <w:color w:val="000000"/>
          <w:sz w:val="24"/>
        </w:rPr>
        <w:t xml:space="preserve">objections. </w:t>
      </w:r>
      <w:r>
        <w:rPr>
          <w:rFonts w:ascii="Arial"/>
          <w:color w:val="000000"/>
          <w:sz w:val="24"/>
        </w:rPr>
        <w:t xml:space="preserve">Two </w:t>
      </w:r>
      <w:r>
        <w:rPr>
          <w:rFonts w:ascii="Arial"/>
          <w:color w:val="000000"/>
          <w:sz w:val="24"/>
        </w:rPr>
        <w:t xml:space="preserve">joint expert </w:t>
      </w:r>
      <w:r>
        <w:rPr>
          <w:rFonts w:ascii="Arial"/>
          <w:color w:val="000000"/>
          <w:sz w:val="24"/>
        </w:rPr>
        <w:t xml:space="preserve">reports eventuated which were tendered and marked Ex 4 and </w:t>
      </w:r>
      <w:r>
        <w:rPr>
          <w:rFonts w:ascii="Arial"/>
          <w:color w:val="000000"/>
          <w:sz w:val="24"/>
        </w:rPr>
        <w:t xml:space="preserve">Ex </w:t>
      </w:r>
      <w:r>
        <w:rPr>
          <w:rFonts w:ascii="Arial"/>
          <w:color w:val="000000"/>
          <w:sz w:val="24"/>
        </w:rPr>
        <w:t>7</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 xml:space="preserve">second step involved the presentation of further lay evidence from </w:t>
      </w:r>
      <w:r>
        <w:rPr>
          <w:rFonts w:ascii="Arial"/>
          <w:color w:val="000000"/>
          <w:sz w:val="24"/>
        </w:rPr>
        <w:t>a number of</w:t>
      </w:r>
      <w:r>
        <w:rPr>
          <w:rFonts w:ascii="Arial"/>
          <w:color w:val="000000"/>
          <w:sz w:val="24"/>
        </w:rPr>
        <w:t xml:space="preserve"> </w:t>
      </w:r>
      <w:r>
        <w:rPr>
          <w:rFonts w:ascii="Arial"/>
          <w:color w:val="000000"/>
          <w:sz w:val="24"/>
        </w:rPr>
        <w:t>the objectors (both written and orally</w:t>
      </w:r>
      <w:r>
        <w:rPr>
          <w:rFonts w:ascii="Arial"/>
          <w:color w:val="000000"/>
          <w:sz w:val="24"/>
        </w:rPr>
        <w:t>)</w:t>
      </w:r>
      <w:r>
        <w:rPr>
          <w:rFonts w:ascii="Arial"/>
          <w:color w:val="000000"/>
          <w:sz w:val="24"/>
        </w:rPr>
        <w:t xml:space="preserve"> </w:t>
      </w:r>
      <w:r>
        <w:rPr>
          <w:rFonts w:ascii="Arial"/>
          <w:color w:val="000000"/>
          <w:sz w:val="24"/>
        </w:rPr>
        <w:t xml:space="preserve">in-Court. </w:t>
      </w:r>
      <w:r>
        <w:rPr>
          <w:rFonts w:ascii="Arial"/>
          <w:color w:val="000000"/>
          <w:sz w:val="24"/>
        </w:rPr>
        <w:t>A number of</w:t>
      </w:r>
      <w:r>
        <w:rPr>
          <w:rFonts w:ascii="Arial"/>
          <w:color w:val="000000"/>
          <w:sz w:val="24"/>
        </w:rPr>
        <w:t xml:space="preserve"> </w:t>
      </w:r>
      <w:r>
        <w:rPr>
          <w:rFonts w:ascii="Arial"/>
          <w:color w:val="000000"/>
          <w:sz w:val="24"/>
        </w:rPr>
        <w:t>specialist town planners were acting for the objectors in that regard. In the third step I asked the experts to return to the witness box (after the completion of each objector submission, individually) to respond to this lay evidence</w:t>
      </w:r>
      <w:r>
        <w:rPr>
          <w:rFonts w:ascii="Arial"/>
          <w:color w:val="000000"/>
          <w:sz w:val="24"/>
        </w:rPr>
        <w:t>, relevantly (</w:t>
      </w:r>
      <w:r>
        <w:rPr>
          <w:rFonts w:ascii="Arial"/>
          <w:color w:val="000000"/>
          <w:sz w:val="24"/>
        </w:rPr>
        <w:t>ie</w:t>
      </w:r>
      <w:r>
        <w:rPr>
          <w:rFonts w:ascii="Arial"/>
          <w:color w:val="000000"/>
          <w:sz w:val="24"/>
        </w:rPr>
        <w:t xml:space="preserve"> </w:t>
      </w:r>
      <w:r>
        <w:rPr>
          <w:rFonts w:ascii="Arial"/>
          <w:color w:val="000000"/>
          <w:sz w:val="24"/>
        </w:rPr>
        <w:t>essentially in terms of responding to points of particular interest raised by me)</w:t>
      </w:r>
      <w:r>
        <w:rPr>
          <w:rFonts w:ascii="Arial"/>
          <w:color w:val="000000"/>
          <w:sz w:val="24"/>
        </w:rPr>
        <w:t xml:space="preserve">. Sometimes, during the second step, I asked the objectors their opinion on certain of the points raised in the written expert evidence. </w:t>
      </w:r>
    </w:p>
    <w:p>
      <w:pPr>
        <w:pStyle w:val="CaselawNumbered10"/>
        <w:numPr>
          <w:ilvl w:val="0"/>
          <w:numId w:val="24"/>
        </w:numPr>
        <w:spacing w:before="150" w:after="0"/>
        <w:ind w:left="600" w:hanging="600"/>
      </w:pPr>
      <w:r>
        <w:rPr>
          <w:rFonts w:ascii="Arial"/>
          <w:color w:val="000000"/>
          <w:sz w:val="24"/>
        </w:rPr>
        <w:t>Also</w:t>
      </w:r>
      <w:r>
        <w:rPr>
          <w:rFonts w:ascii="Arial"/>
          <w:color w:val="000000"/>
          <w:sz w:val="24"/>
        </w:rPr>
        <w:t xml:space="preserve">, </w:t>
      </w:r>
      <w:r>
        <w:rPr>
          <w:rFonts w:ascii="Arial"/>
          <w:color w:val="000000"/>
          <w:sz w:val="24"/>
        </w:rPr>
        <w:t>in regard to</w:t>
      </w:r>
      <w:r>
        <w:rPr>
          <w:rFonts w:ascii="Arial"/>
          <w:color w:val="000000"/>
          <w:sz w:val="24"/>
        </w:rPr>
        <w:t xml:space="preserve"> </w:t>
      </w:r>
      <w:r>
        <w:rPr>
          <w:rFonts w:ascii="Arial"/>
          <w:color w:val="000000"/>
          <w:sz w:val="24"/>
        </w:rPr>
        <w:t>procedure, I will note that after hearing this evidence in Court, I elected to revisit the site</w:t>
      </w:r>
      <w:r>
        <w:rPr>
          <w:rFonts w:ascii="Arial"/>
          <w:color w:val="000000"/>
          <w:sz w:val="24"/>
        </w:rPr>
        <w:t>,</w:t>
      </w:r>
      <w:r>
        <w:rPr>
          <w:rFonts w:ascii="Arial"/>
          <w:color w:val="000000"/>
          <w:sz w:val="24"/>
        </w:rPr>
        <w:t xml:space="preserve"> </w:t>
      </w:r>
      <w:r>
        <w:rPr>
          <w:rFonts w:ascii="Arial"/>
          <w:color w:val="000000"/>
          <w:sz w:val="24"/>
        </w:rPr>
        <w:t>in any event</w:t>
      </w:r>
      <w:r>
        <w:rPr>
          <w:rFonts w:ascii="Arial"/>
          <w:color w:val="000000"/>
          <w:sz w:val="24"/>
        </w:rPr>
        <w:t>,</w:t>
      </w:r>
      <w:r>
        <w:rPr>
          <w:rFonts w:ascii="Arial"/>
          <w:color w:val="000000"/>
          <w:sz w:val="24"/>
        </w:rPr>
        <w:t xml:space="preserve"> </w:t>
      </w:r>
      <w:r>
        <w:rPr>
          <w:rFonts w:ascii="Arial"/>
          <w:color w:val="000000"/>
          <w:sz w:val="24"/>
        </w:rPr>
        <w:t xml:space="preserve">to </w:t>
      </w:r>
      <w:r>
        <w:rPr>
          <w:rFonts w:ascii="Arial"/>
          <w:color w:val="000000"/>
          <w:sz w:val="24"/>
        </w:rPr>
        <w:t xml:space="preserve">inspect from a </w:t>
      </w:r>
      <w:r>
        <w:rPr>
          <w:rFonts w:ascii="Arial"/>
          <w:color w:val="000000"/>
          <w:sz w:val="24"/>
        </w:rPr>
        <w:t xml:space="preserve">selected </w:t>
      </w:r>
      <w:r>
        <w:rPr>
          <w:rFonts w:ascii="Arial"/>
          <w:color w:val="000000"/>
          <w:sz w:val="24"/>
        </w:rPr>
        <w:t xml:space="preserve">number of </w:t>
      </w:r>
      <w:r>
        <w:rPr>
          <w:rFonts w:ascii="Arial"/>
          <w:color w:val="000000"/>
          <w:sz w:val="24"/>
        </w:rPr>
        <w:t>properties. That is, some uncertainty remained in my mind which was best addressed by revisiting</w:t>
      </w:r>
      <w:r>
        <w:rPr>
          <w:rFonts w:ascii="Arial"/>
          <w:color w:val="000000"/>
          <w:sz w:val="24"/>
        </w:rPr>
        <w:t xml:space="preserve"> </w:t>
      </w:r>
      <w:r>
        <w:rPr>
          <w:rFonts w:ascii="Arial"/>
          <w:color w:val="000000"/>
          <w:sz w:val="24"/>
        </w:rPr>
        <w:t>certain locations</w:t>
      </w:r>
      <w:r>
        <w:rPr>
          <w:rFonts w:ascii="Arial"/>
          <w:color w:val="000000"/>
          <w:sz w:val="24"/>
        </w:rPr>
        <w:t xml:space="preserve">. </w:t>
      </w:r>
    </w:p>
    <w:p>
      <w:pPr>
        <w:pStyle w:val="CaselawNumbered10"/>
        <w:numPr>
          <w:ilvl w:val="0"/>
          <w:numId w:val="24"/>
        </w:numPr>
        <w:spacing w:before="150" w:after="0"/>
        <w:ind w:left="600" w:hanging="600"/>
      </w:pPr>
      <w:r>
        <w:rPr>
          <w:rFonts w:ascii="Arial"/>
          <w:color w:val="000000"/>
          <w:sz w:val="24"/>
        </w:rPr>
        <w:t>Finally</w:t>
      </w:r>
      <w:r>
        <w:rPr>
          <w:rFonts w:ascii="Arial"/>
          <w:color w:val="000000"/>
          <w:sz w:val="24"/>
        </w:rPr>
        <w:t xml:space="preserve"> </w:t>
      </w:r>
      <w:r>
        <w:rPr>
          <w:rFonts w:ascii="Arial"/>
          <w:color w:val="000000"/>
          <w:sz w:val="24"/>
        </w:rPr>
        <w:t xml:space="preserve">here, I note that </w:t>
      </w:r>
      <w:r>
        <w:rPr>
          <w:rFonts w:ascii="Arial"/>
          <w:color w:val="000000"/>
          <w:sz w:val="24"/>
        </w:rPr>
        <w:t xml:space="preserve">Paragraph 99 </w:t>
      </w:r>
      <w:r>
        <w:rPr>
          <w:rFonts w:ascii="Arial"/>
          <w:color w:val="000000"/>
          <w:sz w:val="24"/>
        </w:rPr>
        <w:t xml:space="preserve">of the Practice Note </w:t>
      </w:r>
      <w:r>
        <w:rPr>
          <w:rFonts w:ascii="Arial"/>
          <w:color w:val="000000"/>
          <w:sz w:val="24"/>
        </w:rPr>
        <w:t xml:space="preserve">also indicates </w:t>
      </w:r>
      <w:r>
        <w:rPr>
          <w:rFonts w:ascii="Arial"/>
          <w:color w:val="000000"/>
          <w:sz w:val="24"/>
        </w:rPr>
        <w:t>the obvious</w:t>
      </w:r>
      <w:r>
        <w:rPr>
          <w:rFonts w:ascii="Arial"/>
          <w:color w:val="000000"/>
          <w:sz w:val="24"/>
        </w:rPr>
        <w:t xml:space="preserve"> </w:t>
      </w:r>
      <w:r>
        <w:rPr>
          <w:rFonts w:ascii="Arial"/>
          <w:color w:val="000000"/>
          <w:sz w:val="24"/>
        </w:rPr>
        <w:t>requirement to demonstrate</w:t>
      </w:r>
      <w:r>
        <w:rPr>
          <w:rFonts w:ascii="Arial"/>
          <w:color w:val="000000"/>
          <w:sz w:val="24"/>
        </w:rPr>
        <w:t>, for consent orders matters,</w:t>
      </w:r>
      <w:r>
        <w:rPr>
          <w:rFonts w:ascii="Arial"/>
          <w:color w:val="000000"/>
          <w:sz w:val="24"/>
        </w:rPr>
        <w:t xml:space="preserve"> </w:t>
      </w:r>
      <w:r>
        <w:rPr>
          <w:rFonts w:ascii="Arial"/>
          <w:color w:val="000000"/>
          <w:sz w:val="24"/>
        </w:rPr>
        <w:t xml:space="preserve">that the relevant statutory provisions have been complied with and that objections have been properly taken into account. </w:t>
      </w:r>
      <w:r>
        <w:rPr>
          <w:rFonts w:ascii="Arial"/>
          <w:color w:val="000000"/>
          <w:sz w:val="24"/>
        </w:rPr>
        <w:t>The rest of the judgement adheres to these requirements.</w:t>
      </w:r>
    </w:p>
    <w:p>
      <w:pPr>
        <w:pStyle w:val="CaselawHeading2"/>
        <w:keepNext/>
        <w:spacing w:before="150" w:after="150" w:line="264"/>
        <w:ind w:left="0"/>
        <w:jc w:val="left"/>
      </w:pPr>
      <w:r>
        <w:rPr>
          <w:rFonts w:ascii="Arial"/>
        </w:rPr>
        <w:t>Site</w:t>
      </w:r>
      <w:r>
        <w:rPr>
          <w:rFonts w:ascii="Arial"/>
        </w:rPr>
        <w:t xml:space="preserve"> and locality</w:t>
      </w:r>
    </w:p>
    <w:p>
      <w:pPr>
        <w:pStyle w:val="CaselawNumbered10"/>
        <w:numPr>
          <w:ilvl w:val="0"/>
          <w:numId w:val="25"/>
        </w:numPr>
        <w:spacing w:before="150" w:after="0"/>
        <w:ind w:left="600" w:hanging="600"/>
      </w:pPr>
      <w:r>
        <w:rPr>
          <w:rFonts w:ascii="Arial"/>
          <w:color w:val="000000"/>
          <w:sz w:val="24"/>
        </w:rPr>
        <w:t>I rely on</w:t>
      </w:r>
      <w:r>
        <w:rPr>
          <w:rFonts w:ascii="Arial"/>
          <w:color w:val="000000"/>
          <w:sz w:val="24"/>
        </w:rPr>
        <w:t xml:space="preserve"> </w:t>
      </w:r>
      <w:r>
        <w:rPr>
          <w:rFonts w:ascii="Arial"/>
          <w:color w:val="000000"/>
          <w:sz w:val="24"/>
        </w:rPr>
        <w:t>Council</w:t>
      </w:r>
      <w:r>
        <w:rPr>
          <w:rFonts w:ascii="Arial"/>
          <w:color w:val="000000"/>
          <w:sz w:val="24"/>
        </w:rPr>
        <w:t>’</w:t>
      </w:r>
      <w:r>
        <w:rPr>
          <w:rFonts w:ascii="Arial"/>
          <w:color w:val="000000"/>
          <w:sz w:val="24"/>
        </w:rPr>
        <w:t xml:space="preserve">s </w:t>
      </w:r>
      <w:r>
        <w:rPr>
          <w:rFonts w:ascii="Arial"/>
          <w:color w:val="000000"/>
          <w:sz w:val="24"/>
        </w:rPr>
        <w:t xml:space="preserve">Amended </w:t>
      </w:r>
      <w:r>
        <w:rPr>
          <w:rFonts w:ascii="Arial"/>
          <w:color w:val="000000"/>
          <w:sz w:val="24"/>
        </w:rPr>
        <w:t>Statement of Facts and Contentions (</w:t>
      </w:r>
      <w:r>
        <w:rPr>
          <w:rFonts w:ascii="Arial"/>
          <w:color w:val="000000"/>
          <w:sz w:val="24"/>
        </w:rPr>
        <w:t xml:space="preserve">Ex </w:t>
      </w:r>
      <w:r>
        <w:rPr>
          <w:rFonts w:ascii="Arial"/>
          <w:color w:val="000000"/>
          <w:sz w:val="24"/>
        </w:rPr>
        <w:t>2</w:t>
      </w:r>
      <w:r>
        <w:rPr>
          <w:rFonts w:ascii="Arial"/>
          <w:color w:val="000000"/>
          <w:sz w:val="24"/>
        </w:rPr>
        <w:t>)</w:t>
      </w:r>
      <w:r>
        <w:rPr>
          <w:rFonts w:ascii="Arial"/>
          <w:color w:val="000000"/>
          <w:sz w:val="24"/>
        </w:rPr>
        <w:t xml:space="preserve">, </w:t>
      </w:r>
      <w:r>
        <w:rPr>
          <w:rFonts w:ascii="Arial"/>
          <w:color w:val="000000"/>
          <w:sz w:val="24"/>
        </w:rPr>
        <w:t>and the applica</w:t>
      </w:r>
      <w:r>
        <w:rPr>
          <w:rFonts w:ascii="Arial"/>
          <w:color w:val="000000"/>
          <w:sz w:val="24"/>
        </w:rPr>
        <w:t xml:space="preserve">tion </w:t>
      </w:r>
      <w:r>
        <w:rPr>
          <w:rFonts w:ascii="Arial"/>
          <w:color w:val="000000"/>
          <w:sz w:val="24"/>
        </w:rPr>
        <w:t xml:space="preserve">plans </w:t>
      </w:r>
      <w:r>
        <w:rPr>
          <w:rFonts w:ascii="Arial"/>
          <w:color w:val="000000"/>
          <w:sz w:val="24"/>
        </w:rPr>
        <w:t xml:space="preserve">(which I reference relevantly) </w:t>
      </w:r>
      <w:r>
        <w:rPr>
          <w:rFonts w:ascii="Arial"/>
          <w:color w:val="000000"/>
          <w:sz w:val="24"/>
        </w:rPr>
        <w:t xml:space="preserve">for certain of the descriptive material </w:t>
      </w:r>
      <w:r>
        <w:rPr>
          <w:rFonts w:ascii="Arial"/>
          <w:color w:val="000000"/>
          <w:sz w:val="24"/>
        </w:rPr>
        <w:t>in this section and otherwise in the judgement.</w:t>
      </w:r>
      <w:r>
        <w:rPr>
          <w:rFonts w:ascii="Arial"/>
          <w:color w:val="000000"/>
          <w:sz w:val="24"/>
        </w:rPr>
        <w:t xml:space="preserve"> </w:t>
      </w:r>
    </w:p>
    <w:p>
      <w:pPr>
        <w:pStyle w:val="CaselawNumbered10"/>
        <w:numPr>
          <w:ilvl w:val="0"/>
          <w:numId w:val="25"/>
        </w:numPr>
        <w:spacing w:before="150" w:after="0"/>
        <w:ind w:left="600" w:hanging="600"/>
      </w:pPr>
      <w:r>
        <w:rPr>
          <w:rFonts w:ascii="Arial"/>
          <w:color w:val="000000"/>
          <w:sz w:val="24"/>
        </w:rPr>
        <w:t xml:space="preserve">The </w:t>
      </w:r>
      <w:r>
        <w:rPr>
          <w:rFonts w:ascii="Arial"/>
          <w:color w:val="000000"/>
          <w:sz w:val="24"/>
        </w:rPr>
        <w:t>site</w:t>
      </w:r>
      <w:r>
        <w:rPr>
          <w:rFonts w:ascii="Arial"/>
          <w:color w:val="000000"/>
          <w:sz w:val="24"/>
        </w:rPr>
        <w:t xml:space="preserve"> </w:t>
      </w:r>
      <w:r>
        <w:rPr>
          <w:rFonts w:ascii="Arial"/>
          <w:color w:val="000000"/>
          <w:sz w:val="24"/>
        </w:rPr>
        <w:t xml:space="preserve">is regular in shape and has an area of </w:t>
      </w:r>
      <w:r>
        <w:rPr>
          <w:rFonts w:ascii="Arial"/>
          <w:color w:val="000000"/>
          <w:sz w:val="24"/>
        </w:rPr>
        <w:t>about</w:t>
      </w:r>
      <w:r>
        <w:rPr>
          <w:rFonts w:ascii="Arial"/>
          <w:color w:val="000000"/>
          <w:sz w:val="24"/>
        </w:rPr>
        <w:t xml:space="preserve"> </w:t>
      </w:r>
      <w:r>
        <w:rPr>
          <w:rFonts w:ascii="Arial"/>
          <w:color w:val="000000"/>
          <w:sz w:val="24"/>
        </w:rPr>
        <w:t xml:space="preserve">1464 </w:t>
      </w:r>
      <w:r>
        <w:rPr>
          <w:rFonts w:ascii="Arial"/>
          <w:color w:val="000000"/>
          <w:sz w:val="24"/>
        </w:rPr>
        <w:t>m2</w:t>
      </w:r>
      <w:r>
        <w:rPr>
          <w:rFonts w:ascii="Arial"/>
          <w:color w:val="000000"/>
          <w:sz w:val="24"/>
        </w:rPr>
        <w:t xml:space="preserve">. </w:t>
      </w:r>
      <w:r>
        <w:rPr>
          <w:rFonts w:ascii="Arial"/>
          <w:color w:val="000000"/>
          <w:sz w:val="24"/>
        </w:rPr>
        <w:t xml:space="preserve">It has a substantial </w:t>
      </w:r>
      <w:r>
        <w:rPr>
          <w:rFonts w:ascii="Arial"/>
          <w:color w:val="000000"/>
          <w:sz w:val="24"/>
        </w:rPr>
        <w:t>crossfall</w:t>
      </w:r>
      <w:r>
        <w:rPr>
          <w:rFonts w:ascii="Arial"/>
          <w:color w:val="000000"/>
          <w:sz w:val="24"/>
        </w:rPr>
        <w:t xml:space="preserve"> </w:t>
      </w:r>
      <w:r>
        <w:rPr>
          <w:rFonts w:ascii="Arial"/>
          <w:color w:val="000000"/>
          <w:sz w:val="24"/>
        </w:rPr>
        <w:t>of approximately 15m from what I will call the western boundary at Onslow Avenue to eastern boundary at Billyard Avenue.</w:t>
      </w:r>
      <w:r>
        <w:rPr>
          <w:rFonts w:ascii="Arial"/>
          <w:color w:val="000000"/>
          <w:sz w:val="24"/>
        </w:rPr>
        <w:t xml:space="preserve"> </w:t>
      </w:r>
      <w:r>
        <w:rPr>
          <w:rFonts w:ascii="Arial"/>
          <w:color w:val="000000"/>
          <w:sz w:val="24"/>
        </w:rPr>
        <w:t xml:space="preserve">There are separate residential apartment buildings fronting </w:t>
      </w:r>
      <w:r>
        <w:rPr>
          <w:rFonts w:ascii="Arial"/>
          <w:color w:val="000000"/>
          <w:sz w:val="24"/>
        </w:rPr>
        <w:t xml:space="preserve">Billyard </w:t>
      </w:r>
      <w:r>
        <w:rPr>
          <w:rFonts w:ascii="Arial"/>
          <w:color w:val="000000"/>
          <w:sz w:val="24"/>
        </w:rPr>
        <w:t xml:space="preserve">Street </w:t>
      </w:r>
      <w:r>
        <w:rPr>
          <w:rFonts w:ascii="Arial"/>
          <w:color w:val="000000"/>
          <w:sz w:val="24"/>
        </w:rPr>
        <w:t>and Onslow Avenue</w:t>
      </w:r>
      <w:r>
        <w:rPr>
          <w:rFonts w:ascii="Arial"/>
          <w:color w:val="000000"/>
          <w:sz w:val="24"/>
        </w:rPr>
        <w:t xml:space="preserve"> </w:t>
      </w:r>
      <w:r>
        <w:rPr>
          <w:rFonts w:ascii="Arial"/>
          <w:color w:val="000000"/>
          <w:sz w:val="24"/>
        </w:rPr>
        <w:t xml:space="preserve">providing for a total of 28 apartments. </w:t>
      </w:r>
    </w:p>
    <w:p>
      <w:pPr>
        <w:pStyle w:val="CaselawNormal"/>
        <w:spacing w:before="150" w:after="150"/>
        <w:ind w:left="600"/>
        <w:jc w:val="left"/>
      </w:pPr>
      <w:r>
        <w:drawing>
          <wp:inline distT="0" distB="0" distL="0" distR="0">
            <wp:extent cx="4295775" cy="37242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3"/>
                    <a:stretch>
                      <a:fillRect/>
                    </a:stretch>
                  </pic:blipFill>
                  <pic:spPr>
                    <a:xfrm>
                      <a:off x="0" y="0"/>
                      <a:ext cx="4295775" cy="3724275"/>
                    </a:xfrm>
                    <a:prstGeom prst="rect">
                      <a:avLst/>
                    </a:prstGeom>
                  </pic:spPr>
                </pic:pic>
              </a:graphicData>
            </a:graphic>
          </wp:inline>
        </w:drawing>
      </w:r>
    </w:p>
    <w:p>
      <w:pPr>
        <w:pStyle w:val="CaselawCoversheet"/>
        <w:spacing w:before="150" w:after="150"/>
        <w:ind w:left="1350"/>
        <w:jc w:val="left"/>
      </w:pPr>
      <w:r>
        <w:rPr>
          <w:rFonts w:ascii="Arial"/>
          <w:color w:val="000000"/>
          <w:sz w:val="24"/>
        </w:rPr>
        <w:t xml:space="preserve">Figure </w:t>
      </w:r>
      <w:r>
        <w:rPr>
          <w:rFonts w:ascii="Arial"/>
          <w:color w:val="000000"/>
          <w:sz w:val="24"/>
        </w:rPr>
        <w:t>1</w:t>
      </w:r>
      <w:r>
        <w:rPr>
          <w:rFonts w:ascii="Arial"/>
          <w:color w:val="000000"/>
          <w:sz w:val="24"/>
        </w:rPr>
        <w:t xml:space="preserve"> – Snapshot of existing building at 10 Onslow Avenue (source: Ex 2 p </w:t>
      </w:r>
      <w:r>
        <w:rPr>
          <w:rFonts w:ascii="Arial"/>
          <w:color w:val="000000"/>
          <w:sz w:val="24"/>
        </w:rPr>
        <w:t>9)</w:t>
      </w:r>
    </w:p>
    <w:p>
      <w:pPr>
        <w:pStyle w:val="CaselawNormal"/>
        <w:spacing w:before="150" w:after="150"/>
        <w:ind w:left="600"/>
        <w:jc w:val="left"/>
      </w:pPr>
      <w:r>
        <w:drawing>
          <wp:inline distT="0" distB="0" distL="0" distR="0">
            <wp:extent cx="3937000" cy="40894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4"/>
                    <a:stretch>
                      <a:fillRect/>
                    </a:stretch>
                  </pic:blipFill>
                  <pic:spPr>
                    <a:xfrm>
                      <a:off x="0" y="0"/>
                      <a:ext cx="3937000" cy="4089400"/>
                    </a:xfrm>
                    <a:prstGeom prst="rect">
                      <a:avLst/>
                    </a:prstGeom>
                  </pic:spPr>
                </pic:pic>
              </a:graphicData>
            </a:graphic>
          </wp:inline>
        </w:drawing>
      </w:r>
    </w:p>
    <w:p>
      <w:pPr>
        <w:pStyle w:val="CaselawCoversheet"/>
        <w:spacing w:before="150" w:after="150"/>
        <w:ind w:left="1350"/>
        <w:jc w:val="left"/>
      </w:pPr>
      <w:r>
        <w:rPr>
          <w:rFonts w:ascii="Arial"/>
          <w:color w:val="000000"/>
          <w:sz w:val="24"/>
        </w:rPr>
        <w:t xml:space="preserve">Figure </w:t>
      </w:r>
      <w:r>
        <w:rPr>
          <w:rFonts w:ascii="Arial"/>
          <w:color w:val="000000"/>
          <w:sz w:val="24"/>
        </w:rPr>
        <w:t>2</w:t>
      </w:r>
      <w:r>
        <w:rPr>
          <w:rFonts w:ascii="Arial"/>
          <w:color w:val="000000"/>
          <w:sz w:val="24"/>
        </w:rPr>
        <w:t xml:space="preserve"> – Snapshot of existing building at 21C Billyard Avenue (source: Ex 2 p 13) </w:t>
      </w:r>
    </w:p>
    <w:p>
      <w:pPr>
        <w:pStyle w:val="CaselawNormal"/>
        <w:spacing w:before="150" w:after="150"/>
        <w:ind w:left="600"/>
        <w:jc w:val="left"/>
      </w:pPr>
      <w:r>
        <w:drawing>
          <wp:inline distT="0" distB="0" distL="0" distR="0">
            <wp:extent cx="5731510" cy="317991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5"/>
                    <a:stretch>
                      <a:fillRect/>
                    </a:stretch>
                  </pic:blipFill>
                  <pic:spPr>
                    <a:xfrm>
                      <a:off x="0" y="0"/>
                      <a:ext cx="5731510" cy="3179915"/>
                    </a:xfrm>
                    <a:prstGeom prst="rect">
                      <a:avLst/>
                    </a:prstGeom>
                  </pic:spPr>
                </pic:pic>
              </a:graphicData>
            </a:graphic>
          </wp:inline>
        </w:drawing>
      </w:r>
    </w:p>
    <w:p>
      <w:pPr>
        <w:pStyle w:val="CaselawCoversheet"/>
        <w:spacing w:before="150" w:after="150"/>
        <w:ind w:left="1350"/>
        <w:jc w:val="left"/>
      </w:pPr>
      <w:r>
        <w:rPr>
          <w:rFonts w:ascii="Arial"/>
          <w:color w:val="000000"/>
          <w:sz w:val="24"/>
        </w:rPr>
        <w:t xml:space="preserve">Figure </w:t>
      </w:r>
      <w:r>
        <w:rPr>
          <w:rFonts w:ascii="Arial"/>
          <w:color w:val="000000"/>
          <w:sz w:val="24"/>
        </w:rPr>
        <w:t>3</w:t>
      </w:r>
      <w:r>
        <w:rPr>
          <w:rFonts w:ascii="Arial"/>
          <w:color w:val="000000"/>
          <w:sz w:val="24"/>
        </w:rPr>
        <w:t xml:space="preserve"> – Site highlighted in aerial photo (source: Ex 2 p 5)</w:t>
      </w:r>
    </w:p>
    <w:p>
      <w:pPr>
        <w:pStyle w:val="CaselawNumbered10"/>
        <w:numPr>
          <w:ilvl w:val="0"/>
          <w:numId w:val="26"/>
        </w:numPr>
        <w:spacing w:before="150" w:after="0"/>
        <w:ind w:left="600" w:hanging="600"/>
      </w:pPr>
      <w:r>
        <w:rPr>
          <w:rFonts w:ascii="Arial"/>
          <w:color w:val="000000"/>
          <w:sz w:val="24"/>
        </w:rPr>
        <w:t xml:space="preserve">The area surrounding the </w:t>
      </w:r>
      <w:r>
        <w:rPr>
          <w:rFonts w:ascii="Arial"/>
          <w:color w:val="000000"/>
          <w:sz w:val="24"/>
        </w:rPr>
        <w:t>site</w:t>
      </w:r>
      <w:r>
        <w:rPr>
          <w:rFonts w:ascii="Arial"/>
          <w:color w:val="000000"/>
          <w:sz w:val="24"/>
        </w:rPr>
        <w:t xml:space="preserve"> </w:t>
      </w:r>
      <w:r>
        <w:rPr>
          <w:rFonts w:ascii="Arial"/>
          <w:color w:val="000000"/>
          <w:sz w:val="24"/>
        </w:rPr>
        <w:t>is characterised by a mixture of land uses</w:t>
      </w:r>
      <w:r>
        <w:rPr>
          <w:rFonts w:ascii="Arial"/>
          <w:color w:val="000000"/>
          <w:sz w:val="24"/>
        </w:rPr>
        <w:t xml:space="preserve"> </w:t>
      </w:r>
      <w:r>
        <w:rPr>
          <w:rFonts w:ascii="Arial"/>
          <w:color w:val="000000"/>
          <w:sz w:val="24"/>
        </w:rPr>
        <w:t>but</w:t>
      </w:r>
      <w:r>
        <w:rPr>
          <w:rFonts w:ascii="Arial"/>
          <w:color w:val="000000"/>
          <w:sz w:val="24"/>
        </w:rPr>
        <w:t xml:space="preserve"> </w:t>
      </w:r>
      <w:r>
        <w:rPr>
          <w:rFonts w:ascii="Arial"/>
          <w:color w:val="000000"/>
          <w:sz w:val="24"/>
        </w:rPr>
        <w:t xml:space="preserve">primarily residential accommodation </w:t>
      </w:r>
      <w:r>
        <w:rPr>
          <w:rFonts w:ascii="Arial"/>
          <w:color w:val="000000"/>
          <w:sz w:val="24"/>
        </w:rPr>
        <w:t xml:space="preserve">and </w:t>
      </w:r>
      <w:r>
        <w:rPr>
          <w:rFonts w:ascii="Arial"/>
          <w:color w:val="000000"/>
          <w:sz w:val="24"/>
        </w:rPr>
        <w:t>comprising residential flat buildings</w:t>
      </w:r>
      <w:r>
        <w:rPr>
          <w:rFonts w:ascii="Arial"/>
          <w:color w:val="000000"/>
          <w:sz w:val="24"/>
        </w:rPr>
        <w:t>,</w:t>
      </w:r>
      <w:r>
        <w:rPr>
          <w:rFonts w:ascii="Arial"/>
          <w:color w:val="000000"/>
          <w:sz w:val="24"/>
        </w:rPr>
        <w:t xml:space="preserve"> </w:t>
      </w:r>
      <w:r>
        <w:rPr>
          <w:rFonts w:ascii="Arial"/>
          <w:color w:val="000000"/>
          <w:sz w:val="24"/>
        </w:rPr>
        <w:t>a number of</w:t>
      </w:r>
      <w:r>
        <w:rPr>
          <w:rFonts w:ascii="Arial"/>
          <w:color w:val="000000"/>
          <w:sz w:val="24"/>
        </w:rPr>
        <w:t xml:space="preserve"> </w:t>
      </w:r>
      <w:r>
        <w:rPr>
          <w:rFonts w:ascii="Arial"/>
          <w:color w:val="000000"/>
          <w:sz w:val="24"/>
        </w:rPr>
        <w:t xml:space="preserve">which are heritage listed. Nearby </w:t>
      </w:r>
      <w:r>
        <w:rPr>
          <w:rFonts w:ascii="Arial"/>
          <w:color w:val="000000"/>
          <w:sz w:val="24"/>
        </w:rPr>
        <w:t>buildings</w:t>
      </w:r>
      <w:r>
        <w:rPr>
          <w:rFonts w:ascii="Arial"/>
          <w:color w:val="000000"/>
          <w:sz w:val="24"/>
        </w:rPr>
        <w:t xml:space="preserve"> </w:t>
      </w:r>
      <w:r>
        <w:rPr>
          <w:rFonts w:ascii="Arial"/>
          <w:color w:val="000000"/>
          <w:sz w:val="24"/>
        </w:rPr>
        <w:t xml:space="preserve">display </w:t>
      </w:r>
      <w:r>
        <w:rPr>
          <w:rFonts w:ascii="Arial"/>
          <w:color w:val="000000"/>
          <w:sz w:val="24"/>
        </w:rPr>
        <w:t xml:space="preserve">considerable </w:t>
      </w:r>
      <w:r>
        <w:rPr>
          <w:rFonts w:ascii="Arial"/>
          <w:color w:val="000000"/>
          <w:sz w:val="24"/>
        </w:rPr>
        <w:t xml:space="preserve">variety in terms of </w:t>
      </w:r>
      <w:r>
        <w:rPr>
          <w:rFonts w:ascii="Arial"/>
          <w:color w:val="000000"/>
          <w:sz w:val="24"/>
        </w:rPr>
        <w:t>build date</w:t>
      </w:r>
      <w:r>
        <w:rPr>
          <w:rFonts w:ascii="Arial"/>
          <w:color w:val="000000"/>
          <w:sz w:val="24"/>
        </w:rPr>
        <w:t xml:space="preserve">, architectural form, </w:t>
      </w:r>
      <w:r>
        <w:rPr>
          <w:rFonts w:ascii="Arial"/>
          <w:color w:val="000000"/>
          <w:sz w:val="24"/>
        </w:rPr>
        <w:t xml:space="preserve">spatial and </w:t>
      </w:r>
      <w:r>
        <w:rPr>
          <w:rFonts w:ascii="Arial"/>
          <w:color w:val="000000"/>
          <w:sz w:val="24"/>
        </w:rPr>
        <w:t xml:space="preserve">landscape setting </w:t>
      </w:r>
      <w:r>
        <w:rPr>
          <w:rFonts w:ascii="Arial"/>
          <w:color w:val="000000"/>
          <w:sz w:val="24"/>
        </w:rPr>
        <w:t xml:space="preserve">and built heights. This area sits near the foreshore of Sydney Harbour and many properties enjoy harbour views. </w:t>
      </w:r>
    </w:p>
    <w:p>
      <w:pPr>
        <w:pStyle w:val="CaselawHeading2"/>
        <w:keepNext/>
        <w:spacing w:before="150" w:after="150" w:line="264"/>
        <w:ind w:left="0"/>
        <w:jc w:val="left"/>
      </w:pPr>
      <w:r>
        <w:rPr>
          <w:rFonts w:ascii="Arial"/>
        </w:rPr>
        <w:t>Proposal</w:t>
      </w:r>
    </w:p>
    <w:p>
      <w:pPr>
        <w:pStyle w:val="CaselawNumbered10"/>
        <w:numPr>
          <w:ilvl w:val="0"/>
          <w:numId w:val="27"/>
        </w:numPr>
        <w:spacing w:before="150" w:after="0"/>
        <w:ind w:left="600" w:hanging="600"/>
      </w:pPr>
      <w:r>
        <w:rPr>
          <w:rFonts w:ascii="Arial"/>
          <w:color w:val="000000"/>
          <w:sz w:val="24"/>
        </w:rPr>
        <w:t>After demolition</w:t>
      </w:r>
      <w:r>
        <w:rPr>
          <w:rFonts w:ascii="Arial"/>
          <w:color w:val="000000"/>
          <w:sz w:val="24"/>
        </w:rPr>
        <w:t>,</w:t>
      </w:r>
      <w:r>
        <w:rPr>
          <w:rFonts w:ascii="Arial"/>
          <w:color w:val="000000"/>
          <w:sz w:val="24"/>
        </w:rPr>
        <w:t xml:space="preserve"> </w:t>
      </w:r>
      <w:r>
        <w:rPr>
          <w:rFonts w:ascii="Arial"/>
          <w:color w:val="000000"/>
          <w:sz w:val="24"/>
        </w:rPr>
        <w:t xml:space="preserve">site excavation and preparation </w:t>
      </w:r>
      <w:r>
        <w:rPr>
          <w:rFonts w:ascii="Arial"/>
          <w:color w:val="000000"/>
          <w:sz w:val="24"/>
        </w:rPr>
        <w:t>works</w:t>
      </w:r>
      <w:r>
        <w:rPr>
          <w:rFonts w:ascii="Arial"/>
          <w:color w:val="000000"/>
          <w:sz w:val="24"/>
        </w:rPr>
        <w:t>, t</w:t>
      </w:r>
      <w:r>
        <w:rPr>
          <w:rFonts w:ascii="Arial"/>
          <w:color w:val="000000"/>
          <w:sz w:val="24"/>
        </w:rPr>
        <w:t>he proposal involves construction and use of two residential flat buildings comprising a total of 20 apartments</w:t>
      </w:r>
      <w:r>
        <w:rPr>
          <w:rFonts w:ascii="Arial"/>
          <w:color w:val="000000"/>
          <w:sz w:val="24"/>
        </w:rPr>
        <w:t>,</w:t>
      </w:r>
      <w:r>
        <w:rPr>
          <w:rFonts w:ascii="Arial"/>
          <w:color w:val="000000"/>
          <w:sz w:val="24"/>
        </w:rPr>
        <w:t xml:space="preserve"> </w:t>
      </w:r>
      <w:r>
        <w:rPr>
          <w:rFonts w:ascii="Arial"/>
          <w:color w:val="000000"/>
          <w:sz w:val="24"/>
        </w:rPr>
        <w:t xml:space="preserve">including an eight </w:t>
      </w:r>
      <w:r>
        <w:rPr>
          <w:rFonts w:ascii="Arial"/>
          <w:color w:val="000000"/>
          <w:sz w:val="24"/>
        </w:rPr>
        <w:t>level</w:t>
      </w:r>
      <w:r>
        <w:rPr>
          <w:rFonts w:ascii="Arial"/>
          <w:color w:val="000000"/>
          <w:sz w:val="24"/>
        </w:rPr>
        <w:t xml:space="preserve"> </w:t>
      </w:r>
      <w:r>
        <w:rPr>
          <w:rFonts w:ascii="Arial"/>
          <w:color w:val="000000"/>
          <w:sz w:val="24"/>
        </w:rPr>
        <w:t xml:space="preserve">building fronting Onslow Avenue (two levels of which would sit beneath the road level) and a five </w:t>
      </w:r>
      <w:r>
        <w:rPr>
          <w:rFonts w:ascii="Arial"/>
          <w:color w:val="000000"/>
          <w:sz w:val="24"/>
        </w:rPr>
        <w:t>level</w:t>
      </w:r>
      <w:r>
        <w:rPr>
          <w:rFonts w:ascii="Arial"/>
          <w:color w:val="000000"/>
          <w:sz w:val="24"/>
        </w:rPr>
        <w:t xml:space="preserve"> </w:t>
      </w:r>
      <w:r>
        <w:rPr>
          <w:rFonts w:ascii="Arial"/>
          <w:color w:val="000000"/>
          <w:sz w:val="24"/>
        </w:rPr>
        <w:t xml:space="preserve">building fronting Billyard Avenue. </w:t>
      </w:r>
    </w:p>
    <w:p>
      <w:pPr>
        <w:pStyle w:val="CaselawNumbered10"/>
        <w:numPr>
          <w:ilvl w:val="0"/>
          <w:numId w:val="27"/>
        </w:numPr>
        <w:spacing w:before="150" w:after="0"/>
        <w:ind w:left="600" w:hanging="600"/>
      </w:pPr>
      <w:r>
        <w:rPr>
          <w:rFonts w:ascii="Arial"/>
          <w:color w:val="000000"/>
          <w:sz w:val="24"/>
        </w:rPr>
        <w:t xml:space="preserve">There would be </w:t>
      </w:r>
      <w:r>
        <w:rPr>
          <w:rFonts w:ascii="Arial"/>
          <w:color w:val="000000"/>
          <w:sz w:val="24"/>
        </w:rPr>
        <w:t xml:space="preserve">excavation of up to 13m in depth for the </w:t>
      </w:r>
      <w:r>
        <w:rPr>
          <w:rFonts w:ascii="Arial"/>
          <w:color w:val="000000"/>
          <w:sz w:val="24"/>
        </w:rPr>
        <w:t xml:space="preserve">basement </w:t>
      </w:r>
      <w:r>
        <w:rPr>
          <w:rFonts w:ascii="Arial"/>
          <w:color w:val="000000"/>
          <w:sz w:val="24"/>
        </w:rPr>
        <w:t>(</w:t>
      </w:r>
      <w:r>
        <w:rPr>
          <w:rFonts w:ascii="Arial"/>
          <w:color w:val="000000"/>
          <w:sz w:val="24"/>
        </w:rPr>
        <w:t xml:space="preserve">straddling the sloping </w:t>
      </w:r>
      <w:r>
        <w:rPr>
          <w:rFonts w:ascii="Arial"/>
          <w:color w:val="000000"/>
          <w:sz w:val="24"/>
        </w:rPr>
        <w:t xml:space="preserve">(double) </w:t>
      </w:r>
      <w:r>
        <w:rPr>
          <w:rFonts w:ascii="Arial"/>
          <w:color w:val="000000"/>
          <w:sz w:val="24"/>
        </w:rPr>
        <w:t>block</w:t>
      </w:r>
      <w:r>
        <w:rPr>
          <w:rFonts w:ascii="Arial"/>
          <w:color w:val="000000"/>
          <w:sz w:val="24"/>
        </w:rPr>
        <w:t>)</w:t>
      </w:r>
      <w:r>
        <w:rPr>
          <w:rFonts w:ascii="Arial"/>
          <w:color w:val="000000"/>
          <w:sz w:val="24"/>
        </w:rPr>
        <w:t xml:space="preserve"> </w:t>
      </w:r>
      <w:r>
        <w:rPr>
          <w:rFonts w:ascii="Arial"/>
          <w:color w:val="000000"/>
          <w:sz w:val="24"/>
        </w:rPr>
        <w:t>for parking</w:t>
      </w:r>
      <w:r>
        <w:rPr>
          <w:rFonts w:ascii="Arial"/>
          <w:color w:val="000000"/>
          <w:sz w:val="24"/>
        </w:rPr>
        <w:t>,</w:t>
      </w:r>
      <w:r>
        <w:rPr>
          <w:rFonts w:ascii="Arial"/>
          <w:color w:val="000000"/>
          <w:sz w:val="24"/>
        </w:rPr>
        <w:t xml:space="preserve"> </w:t>
      </w:r>
      <w:r>
        <w:rPr>
          <w:rFonts w:ascii="Arial"/>
          <w:color w:val="000000"/>
          <w:sz w:val="24"/>
        </w:rPr>
        <w:t>utilities</w:t>
      </w:r>
      <w:r>
        <w:rPr>
          <w:rFonts w:ascii="Arial"/>
          <w:color w:val="000000"/>
          <w:sz w:val="24"/>
        </w:rPr>
        <w:t xml:space="preserve"> </w:t>
      </w:r>
      <w:r>
        <w:rPr>
          <w:rFonts w:ascii="Arial"/>
          <w:color w:val="000000"/>
          <w:sz w:val="24"/>
        </w:rPr>
        <w:t>and certain communal uses</w:t>
      </w:r>
      <w:r>
        <w:rPr>
          <w:rFonts w:ascii="Arial"/>
          <w:color w:val="000000"/>
          <w:sz w:val="24"/>
        </w:rPr>
        <w:t xml:space="preserve">. Fourteen new trees would be planted </w:t>
      </w:r>
      <w:r>
        <w:rPr>
          <w:rFonts w:ascii="Arial"/>
          <w:color w:val="000000"/>
          <w:sz w:val="24"/>
        </w:rPr>
        <w:t xml:space="preserve">including within deep soil zones at the Billyard Avenue frontage </w:t>
      </w:r>
      <w:r>
        <w:rPr>
          <w:rFonts w:ascii="Arial"/>
          <w:color w:val="000000"/>
          <w:sz w:val="24"/>
        </w:rPr>
        <w:t>(although 16 on-site trees would be removed).</w:t>
      </w:r>
      <w:r>
        <w:rPr>
          <w:rFonts w:ascii="Arial"/>
          <w:color w:val="000000"/>
          <w:sz w:val="24"/>
        </w:rPr>
        <w:t xml:space="preserve"> </w:t>
      </w:r>
      <w:r>
        <w:rPr>
          <w:rFonts w:ascii="Arial"/>
          <w:color w:val="000000"/>
          <w:sz w:val="24"/>
        </w:rPr>
        <w:t xml:space="preserve">Communal open space </w:t>
      </w:r>
      <w:r>
        <w:rPr>
          <w:rFonts w:ascii="Arial"/>
          <w:color w:val="000000"/>
          <w:sz w:val="24"/>
        </w:rPr>
        <w:t>would</w:t>
      </w:r>
      <w:r>
        <w:rPr>
          <w:rFonts w:ascii="Arial"/>
          <w:color w:val="000000"/>
          <w:sz w:val="24"/>
        </w:rPr>
        <w:t xml:space="preserve"> </w:t>
      </w:r>
      <w:r>
        <w:rPr>
          <w:rFonts w:ascii="Arial"/>
          <w:color w:val="000000"/>
          <w:sz w:val="24"/>
        </w:rPr>
        <w:t xml:space="preserve">also </w:t>
      </w:r>
      <w:r>
        <w:rPr>
          <w:rFonts w:ascii="Arial"/>
          <w:color w:val="000000"/>
          <w:sz w:val="24"/>
        </w:rPr>
        <w:t xml:space="preserve">be </w:t>
      </w:r>
      <w:r>
        <w:rPr>
          <w:rFonts w:ascii="Arial"/>
          <w:color w:val="000000"/>
          <w:sz w:val="24"/>
        </w:rPr>
        <w:t>provided including at the rooftops, with shade canopies.</w:t>
      </w:r>
    </w:p>
    <w:p>
      <w:pPr>
        <w:pStyle w:val="CaselawHeading2"/>
        <w:keepNext/>
        <w:spacing w:before="150" w:after="150" w:line="264"/>
        <w:ind w:left="0"/>
        <w:jc w:val="left"/>
      </w:pPr>
      <w:r>
        <w:rPr>
          <w:rFonts w:ascii="Arial"/>
        </w:rPr>
        <w:t>Statutory considerations</w:t>
      </w:r>
    </w:p>
    <w:p>
      <w:pPr>
        <w:pStyle w:val="CaselawNumbered10"/>
        <w:numPr>
          <w:ilvl w:val="0"/>
          <w:numId w:val="28"/>
        </w:numPr>
        <w:spacing w:before="150" w:after="0"/>
        <w:ind w:left="600" w:hanging="600"/>
      </w:pPr>
      <w:r>
        <w:rPr>
          <w:rFonts w:ascii="Arial"/>
          <w:color w:val="000000"/>
          <w:sz w:val="24"/>
        </w:rPr>
        <w:t xml:space="preserve">For this outline I rely on both Ex </w:t>
      </w:r>
      <w:r>
        <w:rPr>
          <w:rFonts w:ascii="Arial"/>
          <w:color w:val="000000"/>
          <w:sz w:val="24"/>
        </w:rPr>
        <w:t>2</w:t>
      </w:r>
      <w:r>
        <w:rPr>
          <w:rFonts w:ascii="Arial"/>
          <w:color w:val="000000"/>
          <w:sz w:val="24"/>
        </w:rPr>
        <w:t xml:space="preserve"> </w:t>
      </w:r>
      <w:r>
        <w:rPr>
          <w:rFonts w:ascii="Arial"/>
          <w:color w:val="000000"/>
          <w:sz w:val="24"/>
        </w:rPr>
        <w:t>and the applicant</w:t>
      </w:r>
      <w:r>
        <w:rPr>
          <w:rFonts w:ascii="Arial"/>
          <w:color w:val="000000"/>
          <w:sz w:val="24"/>
        </w:rPr>
        <w:t>’</w:t>
      </w:r>
      <w:r>
        <w:rPr>
          <w:rFonts w:ascii="Arial"/>
          <w:color w:val="000000"/>
          <w:sz w:val="24"/>
        </w:rPr>
        <w:t>s closing written submissions filed on 4 November 2024 (AWS).</w:t>
      </w:r>
    </w:p>
    <w:p>
      <w:pPr>
        <w:pStyle w:val="CaselawHeading3"/>
        <w:keepNext/>
        <w:spacing w:before="150" w:after="150" w:line="264"/>
        <w:ind w:left="0"/>
        <w:jc w:val="left"/>
      </w:pPr>
      <w:r>
        <w:rPr>
          <w:rFonts w:ascii="Arial"/>
        </w:rPr>
        <w:t>Sydney</w:t>
      </w:r>
      <w:r>
        <w:rPr>
          <w:rFonts w:ascii="Arial"/>
        </w:rPr>
        <w:t xml:space="preserve"> Local Environmental Plan 2012</w:t>
      </w:r>
    </w:p>
    <w:p>
      <w:pPr>
        <w:pStyle w:val="CaselawNumbered10"/>
        <w:numPr>
          <w:ilvl w:val="0"/>
          <w:numId w:val="29"/>
        </w:numPr>
        <w:spacing w:before="150" w:after="0"/>
        <w:ind w:left="600" w:hanging="600"/>
      </w:pPr>
      <w:r>
        <w:rPr>
          <w:rFonts w:ascii="Arial"/>
          <w:color w:val="000000"/>
          <w:sz w:val="24"/>
        </w:rPr>
        <w:t>Sydney Local Environmental Plan 2012</w:t>
      </w:r>
      <w:r>
        <w:rPr>
          <w:rFonts w:ascii="Arial"/>
          <w:color w:val="000000"/>
          <w:sz w:val="24"/>
        </w:rPr>
        <w:t xml:space="preserve"> </w:t>
      </w:r>
      <w:r>
        <w:rPr>
          <w:rFonts w:ascii="Arial"/>
          <w:color w:val="000000"/>
          <w:sz w:val="24"/>
        </w:rPr>
        <w:t>(SLEP) applies to the site and selected provisions are outlined below.</w:t>
      </w:r>
    </w:p>
    <w:p>
      <w:pPr>
        <w:pStyle w:val="CaselawNumbered10"/>
        <w:numPr>
          <w:ilvl w:val="0"/>
          <w:numId w:val="29"/>
        </w:numPr>
        <w:spacing w:before="150" w:after="0"/>
        <w:ind w:left="600" w:hanging="600"/>
      </w:pPr>
      <w:r>
        <w:rPr>
          <w:rFonts w:ascii="Arial"/>
          <w:color w:val="000000"/>
          <w:sz w:val="24"/>
        </w:rPr>
        <w:t xml:space="preserve">The site is </w:t>
      </w:r>
      <w:r>
        <w:rPr>
          <w:rFonts w:ascii="Arial"/>
          <w:color w:val="000000"/>
          <w:sz w:val="24"/>
        </w:rPr>
        <w:t>zoned R1 General Residential</w:t>
      </w:r>
      <w:r>
        <w:rPr>
          <w:rFonts w:ascii="Arial"/>
          <w:color w:val="000000"/>
          <w:sz w:val="24"/>
        </w:rPr>
        <w:t xml:space="preserve">. </w:t>
      </w:r>
      <w:r>
        <w:rPr>
          <w:rFonts w:ascii="Arial"/>
          <w:color w:val="000000"/>
          <w:sz w:val="24"/>
        </w:rPr>
        <w:t xml:space="preserve">Under cl 2.3(2), a </w:t>
      </w:r>
      <w:r>
        <w:rPr>
          <w:rFonts w:ascii="Arial"/>
          <w:color w:val="000000"/>
          <w:sz w:val="24"/>
        </w:rPr>
        <w:t xml:space="preserve">consent authority must have regard to the </w:t>
      </w:r>
      <w:r>
        <w:rPr>
          <w:rFonts w:ascii="Arial"/>
          <w:color w:val="000000"/>
          <w:sz w:val="24"/>
        </w:rPr>
        <w:t xml:space="preserve">relevant zone </w:t>
      </w:r>
      <w:r>
        <w:rPr>
          <w:rFonts w:ascii="Arial"/>
          <w:color w:val="000000"/>
          <w:sz w:val="24"/>
        </w:rPr>
        <w:t>objectives when determining a development application</w:t>
      </w:r>
      <w:r>
        <w:rPr>
          <w:rFonts w:ascii="Arial"/>
          <w:color w:val="000000"/>
          <w:sz w:val="24"/>
        </w:rPr>
        <w:t>. In this instance I note the R1 zone objectives are as follows:</w:t>
      </w:r>
    </w:p>
    <w:p>
      <w:pPr>
        <w:pStyle w:val="CaselawCoversheet"/>
        <w:spacing w:before="150" w:after="150"/>
        <w:ind w:left="1350"/>
        <w:jc w:val="left"/>
      </w:pPr>
      <w:r>
        <w:rPr>
          <w:rFonts w:ascii="Arial"/>
          <w:color w:val="000000"/>
          <w:sz w:val="24"/>
        </w:rPr>
        <w:t>•  </w:t>
      </w:r>
      <w:r>
        <w:rPr>
          <w:rFonts w:ascii="Arial"/>
          <w:color w:val="000000"/>
          <w:sz w:val="24"/>
        </w:rPr>
        <w:t>To provide for the housing needs of the community.</w:t>
      </w:r>
    </w:p>
    <w:p>
      <w:pPr>
        <w:pStyle w:val="CaselawCoversheet"/>
        <w:spacing w:before="150" w:after="150"/>
        <w:ind w:left="1350"/>
        <w:jc w:val="left"/>
      </w:pPr>
      <w:r>
        <w:rPr>
          <w:rFonts w:ascii="Arial"/>
          <w:color w:val="000000"/>
          <w:sz w:val="24"/>
        </w:rPr>
        <w:t>•  To provide for a variety of housing types and densities.</w:t>
      </w:r>
    </w:p>
    <w:p>
      <w:pPr>
        <w:pStyle w:val="CaselawCoversheet"/>
        <w:spacing w:before="150" w:after="150"/>
        <w:ind w:left="1350"/>
        <w:jc w:val="left"/>
      </w:pPr>
      <w:r>
        <w:rPr>
          <w:rFonts w:ascii="Arial"/>
          <w:color w:val="000000"/>
          <w:sz w:val="24"/>
        </w:rPr>
        <w:t>•  To enable other land uses that provide facilities or services to meet the day to day needs of residents.</w:t>
      </w:r>
    </w:p>
    <w:p>
      <w:pPr>
        <w:pStyle w:val="CaselawCoversheet"/>
        <w:spacing w:before="150" w:after="150"/>
        <w:ind w:left="1350"/>
        <w:jc w:val="left"/>
      </w:pPr>
      <w:r>
        <w:rPr>
          <w:rFonts w:ascii="Arial"/>
          <w:color w:val="000000"/>
          <w:sz w:val="24"/>
        </w:rPr>
        <w:t>•  To maintain the existing land use pattern of predominantly residential uses.</w:t>
      </w:r>
    </w:p>
    <w:p>
      <w:pPr>
        <w:pStyle w:val="CaselawNumbered10"/>
        <w:numPr>
          <w:ilvl w:val="0"/>
          <w:numId w:val="30"/>
        </w:numPr>
        <w:spacing w:before="150" w:after="0"/>
        <w:ind w:left="600" w:hanging="600"/>
      </w:pPr>
      <w:r>
        <w:rPr>
          <w:rFonts w:ascii="Arial"/>
          <w:color w:val="000000"/>
          <w:sz w:val="24"/>
        </w:rPr>
        <w:t>The proposed residential flat buildings are</w:t>
      </w:r>
      <w:r>
        <w:rPr>
          <w:rFonts w:ascii="Arial"/>
          <w:color w:val="000000"/>
          <w:sz w:val="24"/>
        </w:rPr>
        <w:t xml:space="preserve"> </w:t>
      </w:r>
      <w:r>
        <w:rPr>
          <w:rFonts w:ascii="Arial"/>
          <w:color w:val="000000"/>
          <w:sz w:val="24"/>
        </w:rPr>
        <w:t>permissible with consent</w:t>
      </w:r>
      <w:r>
        <w:rPr>
          <w:rFonts w:ascii="Arial"/>
          <w:color w:val="000000"/>
          <w:sz w:val="24"/>
        </w:rPr>
        <w:t xml:space="preserve"> </w:t>
      </w:r>
      <w:r>
        <w:rPr>
          <w:rFonts w:ascii="Arial"/>
          <w:color w:val="000000"/>
          <w:sz w:val="24"/>
        </w:rPr>
        <w:t>within this</w:t>
      </w:r>
      <w:r>
        <w:rPr>
          <w:rFonts w:ascii="Arial"/>
          <w:color w:val="000000"/>
          <w:sz w:val="24"/>
        </w:rPr>
        <w:t xml:space="preserve"> </w:t>
      </w:r>
      <w:r>
        <w:rPr>
          <w:rFonts w:ascii="Arial"/>
          <w:color w:val="000000"/>
          <w:sz w:val="24"/>
        </w:rPr>
        <w:t>zone</w:t>
      </w:r>
      <w:r>
        <w:rPr>
          <w:rFonts w:ascii="Arial"/>
          <w:color w:val="000000"/>
          <w:sz w:val="24"/>
        </w:rPr>
        <w:t xml:space="preserve">. </w:t>
      </w:r>
      <w:r>
        <w:rPr>
          <w:rFonts w:ascii="Arial"/>
          <w:color w:val="000000"/>
          <w:sz w:val="24"/>
        </w:rPr>
        <w:t xml:space="preserve"> </w:t>
      </w:r>
      <w:r>
        <w:rPr>
          <w:rFonts w:ascii="Arial"/>
          <w:color w:val="000000"/>
          <w:sz w:val="24"/>
        </w:rPr>
        <w:t>Demolition is permissible with consent under cl 2.7.</w:t>
      </w:r>
    </w:p>
    <w:p>
      <w:pPr>
        <w:pStyle w:val="CaselawNumbered10"/>
        <w:numPr>
          <w:ilvl w:val="0"/>
          <w:numId w:val="30"/>
        </w:numPr>
        <w:spacing w:before="150" w:after="0"/>
        <w:ind w:left="600" w:hanging="600"/>
      </w:pPr>
      <w:r>
        <w:rPr>
          <w:rFonts w:ascii="Arial"/>
          <w:color w:val="000000"/>
          <w:sz w:val="24"/>
        </w:rPr>
        <w:t>Clause 4.3 specifies that the</w:t>
      </w:r>
      <w:r>
        <w:rPr>
          <w:rFonts w:ascii="Arial"/>
          <w:color w:val="000000"/>
          <w:sz w:val="24"/>
        </w:rPr>
        <w:t xml:space="preserve"> </w:t>
      </w:r>
      <w:r>
        <w:rPr>
          <w:rFonts w:ascii="Arial"/>
          <w:color w:val="000000"/>
          <w:sz w:val="24"/>
        </w:rPr>
        <w:t>maximum height of any building on the Billyard Avenue portion of the</w:t>
      </w:r>
      <w:r>
        <w:rPr>
          <w:rFonts w:ascii="Arial"/>
          <w:color w:val="000000"/>
          <w:sz w:val="24"/>
        </w:rPr>
        <w:t xml:space="preserve"> </w:t>
      </w:r>
      <w:r>
        <w:rPr>
          <w:rFonts w:ascii="Arial"/>
          <w:color w:val="000000"/>
          <w:sz w:val="24"/>
        </w:rPr>
        <w:t>site is 15 m and the maximum height of any building on the</w:t>
      </w:r>
      <w:r>
        <w:rPr>
          <w:rFonts w:ascii="Arial"/>
          <w:color w:val="000000"/>
          <w:sz w:val="24"/>
        </w:rPr>
        <w:t xml:space="preserve"> </w:t>
      </w:r>
      <w:r>
        <w:rPr>
          <w:rFonts w:ascii="Arial"/>
          <w:color w:val="000000"/>
          <w:sz w:val="24"/>
        </w:rPr>
        <w:t>Onslow Avenue portion of the site is 22 m.</w:t>
      </w:r>
      <w:r>
        <w:rPr>
          <w:rFonts w:ascii="Arial"/>
          <w:color w:val="000000"/>
          <w:sz w:val="24"/>
        </w:rPr>
        <w:t xml:space="preserve"> </w:t>
      </w:r>
      <w:r>
        <w:rPr>
          <w:rFonts w:ascii="Arial"/>
          <w:color w:val="000000"/>
          <w:sz w:val="24"/>
        </w:rPr>
        <w:t xml:space="preserve">The </w:t>
      </w:r>
      <w:r>
        <w:rPr>
          <w:rFonts w:ascii="Arial"/>
          <w:color w:val="000000"/>
          <w:sz w:val="24"/>
        </w:rPr>
        <w:t>proposal</w:t>
      </w:r>
      <w:r>
        <w:rPr>
          <w:rFonts w:ascii="Arial"/>
          <w:color w:val="000000"/>
          <w:sz w:val="24"/>
        </w:rPr>
        <w:t xml:space="preserve"> </w:t>
      </w:r>
      <w:r>
        <w:rPr>
          <w:rFonts w:ascii="Arial"/>
          <w:color w:val="000000"/>
          <w:sz w:val="24"/>
        </w:rPr>
        <w:t xml:space="preserve">breaches the </w:t>
      </w:r>
      <w:r>
        <w:rPr>
          <w:rFonts w:ascii="Arial"/>
          <w:color w:val="000000"/>
          <w:sz w:val="24"/>
        </w:rPr>
        <w:t xml:space="preserve">relevant </w:t>
      </w:r>
      <w:r>
        <w:rPr>
          <w:rFonts w:ascii="Arial"/>
          <w:color w:val="000000"/>
          <w:sz w:val="24"/>
        </w:rPr>
        <w:t>height control</w:t>
      </w:r>
      <w:r>
        <w:rPr>
          <w:rFonts w:ascii="Arial"/>
          <w:color w:val="000000"/>
          <w:sz w:val="24"/>
        </w:rPr>
        <w:t xml:space="preserve">s. </w:t>
      </w:r>
      <w:r>
        <w:rPr>
          <w:rFonts w:ascii="Arial"/>
          <w:color w:val="000000"/>
          <w:sz w:val="24"/>
        </w:rPr>
        <w:t xml:space="preserve"> </w:t>
      </w:r>
    </w:p>
    <w:p>
      <w:pPr>
        <w:pStyle w:val="CaselawNumbered10"/>
        <w:numPr>
          <w:ilvl w:val="0"/>
          <w:numId w:val="30"/>
        </w:numPr>
        <w:spacing w:before="150" w:after="0"/>
        <w:ind w:left="600" w:hanging="600"/>
      </w:pPr>
      <w:r>
        <w:rPr>
          <w:rFonts w:ascii="Arial"/>
          <w:color w:val="000000"/>
          <w:sz w:val="24"/>
        </w:rPr>
        <w:t>Clause 4.4 specifies that the maximum floor space ratio (FSR) of any building on the site is 4.5</w:t>
      </w:r>
      <w:r>
        <w:rPr>
          <w:rFonts w:ascii="Arial"/>
          <w:color w:val="000000"/>
          <w:sz w:val="24"/>
        </w:rPr>
        <w:t xml:space="preserve">:1. </w:t>
      </w:r>
      <w:r>
        <w:rPr>
          <w:rFonts w:ascii="Arial"/>
          <w:color w:val="000000"/>
          <w:sz w:val="24"/>
        </w:rPr>
        <w:t xml:space="preserve"> </w:t>
      </w:r>
      <w:r>
        <w:rPr>
          <w:rFonts w:ascii="Arial"/>
          <w:color w:val="000000"/>
          <w:sz w:val="24"/>
        </w:rPr>
        <w:t>Only 57% of the permissible GFA is used (AWS par 72).</w:t>
      </w:r>
    </w:p>
    <w:p>
      <w:pPr>
        <w:pStyle w:val="CaselawNumbered10"/>
        <w:numPr>
          <w:ilvl w:val="0"/>
          <w:numId w:val="30"/>
        </w:numPr>
        <w:spacing w:before="150" w:after="0"/>
        <w:ind w:left="600" w:hanging="600"/>
      </w:pPr>
      <w:r>
        <w:rPr>
          <w:rFonts w:ascii="Arial"/>
          <w:color w:val="000000"/>
          <w:sz w:val="24"/>
        </w:rPr>
        <w:t>Clause 4.6 (</w:t>
      </w:r>
      <w:r>
        <w:rPr>
          <w:rFonts w:ascii="Arial"/>
          <w:color w:val="000000"/>
          <w:sz w:val="24"/>
        </w:rPr>
        <w:t xml:space="preserve">relevant </w:t>
      </w:r>
      <w:r>
        <w:rPr>
          <w:rFonts w:ascii="Arial"/>
          <w:color w:val="000000"/>
          <w:sz w:val="24"/>
        </w:rPr>
        <w:t>as applicable at the time of lodgement of the DA)</w:t>
      </w:r>
      <w:r>
        <w:rPr>
          <w:rFonts w:ascii="Arial"/>
          <w:color w:val="000000"/>
          <w:sz w:val="24"/>
        </w:rPr>
        <w:t xml:space="preserve"> </w:t>
      </w:r>
      <w:r>
        <w:rPr>
          <w:rFonts w:ascii="Arial"/>
          <w:color w:val="000000"/>
          <w:sz w:val="24"/>
        </w:rPr>
        <w:t xml:space="preserve">specifies that development consent must not be granted for development that contravenes a development standard unless </w:t>
      </w:r>
      <w:r>
        <w:rPr>
          <w:rFonts w:ascii="Arial"/>
          <w:color w:val="000000"/>
          <w:sz w:val="24"/>
        </w:rPr>
        <w:t xml:space="preserve">relevant matters </w:t>
      </w:r>
      <w:r>
        <w:rPr>
          <w:rFonts w:ascii="Arial"/>
          <w:color w:val="000000"/>
          <w:sz w:val="24"/>
        </w:rPr>
        <w:t xml:space="preserve">have been satisfied. </w:t>
      </w:r>
      <w:r>
        <w:rPr>
          <w:rFonts w:ascii="Arial"/>
          <w:color w:val="000000"/>
          <w:sz w:val="24"/>
        </w:rPr>
        <w:t>The particulars of this are outlined below.</w:t>
      </w:r>
    </w:p>
    <w:p>
      <w:pPr>
        <w:pStyle w:val="CaselawNumbered10"/>
        <w:numPr>
          <w:ilvl w:val="0"/>
          <w:numId w:val="30"/>
        </w:numPr>
        <w:spacing w:before="150" w:after="0"/>
        <w:ind w:left="600" w:hanging="600"/>
      </w:pPr>
      <w:r>
        <w:rPr>
          <w:rFonts w:ascii="Arial"/>
          <w:color w:val="000000"/>
          <w:sz w:val="24"/>
        </w:rPr>
        <w:t>The site is located within the Elizabeth and Rushcutters Bay Heritage Conservation Area (</w:t>
      </w:r>
      <w:r>
        <w:rPr>
          <w:rFonts w:ascii="Arial"/>
          <w:color w:val="000000"/>
          <w:sz w:val="24"/>
        </w:rPr>
        <w:t>HCA</w:t>
      </w:r>
      <w:r>
        <w:rPr>
          <w:rFonts w:ascii="Arial"/>
          <w:color w:val="000000"/>
          <w:sz w:val="24"/>
        </w:rPr>
        <w:t>) under Schedule 5 of the SLEP. Clause 5.10</w:t>
      </w:r>
      <w:r>
        <w:rPr>
          <w:rFonts w:ascii="Arial"/>
          <w:color w:val="000000"/>
          <w:sz w:val="24"/>
        </w:rPr>
        <w:t>(4)</w:t>
      </w:r>
      <w:r>
        <w:rPr>
          <w:rFonts w:ascii="Arial"/>
          <w:color w:val="000000"/>
          <w:sz w:val="24"/>
        </w:rPr>
        <w:t xml:space="preserve"> </w:t>
      </w:r>
      <w:r>
        <w:rPr>
          <w:rFonts w:ascii="Arial"/>
          <w:color w:val="000000"/>
          <w:sz w:val="24"/>
        </w:rPr>
        <w:t xml:space="preserve">requires that the consent authority consider the effect of the proposed development on the heritage significance of the </w:t>
      </w:r>
      <w:r>
        <w:rPr>
          <w:rFonts w:ascii="Arial"/>
          <w:color w:val="000000"/>
          <w:sz w:val="24"/>
        </w:rPr>
        <w:t>HCA</w:t>
      </w:r>
      <w:r>
        <w:rPr>
          <w:rFonts w:ascii="Arial"/>
          <w:color w:val="000000"/>
          <w:sz w:val="24"/>
        </w:rPr>
        <w:t xml:space="preserve">. </w:t>
      </w:r>
    </w:p>
    <w:p>
      <w:pPr>
        <w:pStyle w:val="CaselawNumbered10"/>
        <w:numPr>
          <w:ilvl w:val="0"/>
          <w:numId w:val="30"/>
        </w:numPr>
        <w:spacing w:before="150" w:after="0"/>
        <w:ind w:left="600" w:hanging="600"/>
      </w:pPr>
      <w:r>
        <w:rPr>
          <w:rFonts w:ascii="Arial"/>
          <w:color w:val="000000"/>
          <w:sz w:val="24"/>
        </w:rPr>
        <w:t xml:space="preserve">Clause 6.21C requires that development consent must not be granted unless, in the opinion of the consent authority, the proposed development exhibits design excellence and that regard must be given to </w:t>
      </w:r>
      <w:r>
        <w:rPr>
          <w:rFonts w:ascii="Arial"/>
          <w:color w:val="000000"/>
          <w:sz w:val="24"/>
        </w:rPr>
        <w:t>certain</w:t>
      </w:r>
      <w:r>
        <w:rPr>
          <w:rFonts w:ascii="Arial"/>
          <w:color w:val="000000"/>
          <w:sz w:val="24"/>
        </w:rPr>
        <w:t xml:space="preserve"> </w:t>
      </w:r>
      <w:r>
        <w:rPr>
          <w:rFonts w:ascii="Arial"/>
          <w:color w:val="000000"/>
          <w:sz w:val="24"/>
        </w:rPr>
        <w:t xml:space="preserve">matters set out in </w:t>
      </w:r>
      <w:r>
        <w:rPr>
          <w:rFonts w:ascii="Arial"/>
          <w:color w:val="000000"/>
          <w:sz w:val="24"/>
        </w:rPr>
        <w:t>subcl</w:t>
      </w:r>
      <w:r>
        <w:rPr>
          <w:rFonts w:ascii="Arial"/>
          <w:color w:val="000000"/>
          <w:sz w:val="24"/>
        </w:rPr>
        <w:t xml:space="preserve"> </w:t>
      </w:r>
      <w:r>
        <w:rPr>
          <w:rFonts w:ascii="Arial"/>
          <w:color w:val="000000"/>
          <w:sz w:val="24"/>
        </w:rPr>
        <w:t>6.21C</w:t>
      </w:r>
      <w:r>
        <w:rPr>
          <w:rFonts w:ascii="Arial"/>
          <w:color w:val="000000"/>
          <w:sz w:val="24"/>
        </w:rPr>
        <w:t>(2) in considering this question</w:t>
      </w:r>
      <w:r>
        <w:rPr>
          <w:rFonts w:ascii="Arial"/>
          <w:color w:val="000000"/>
          <w:sz w:val="24"/>
        </w:rPr>
        <w:t xml:space="preserve">. </w:t>
      </w:r>
    </w:p>
    <w:p>
      <w:pPr>
        <w:pStyle w:val="CaselawNumbered10"/>
        <w:numPr>
          <w:ilvl w:val="0"/>
          <w:numId w:val="30"/>
        </w:numPr>
        <w:spacing w:before="150" w:after="0"/>
        <w:ind w:left="600" w:hanging="600"/>
      </w:pPr>
      <w:r>
        <w:rPr>
          <w:rFonts w:ascii="Arial"/>
          <w:color w:val="000000"/>
          <w:sz w:val="24"/>
        </w:rPr>
        <w:t xml:space="preserve">Clause 7.13 states that the consent authority may, when granting development consent to development to which this clause applies, impose a condition </w:t>
      </w:r>
      <w:r>
        <w:rPr>
          <w:rFonts w:ascii="Arial"/>
          <w:color w:val="000000"/>
          <w:sz w:val="24"/>
        </w:rPr>
        <w:t xml:space="preserve">levying the </w:t>
      </w:r>
      <w:r>
        <w:rPr>
          <w:rFonts w:ascii="Arial"/>
          <w:color w:val="000000"/>
          <w:sz w:val="24"/>
        </w:rPr>
        <w:t xml:space="preserve">applicable affordable housing contribution </w:t>
      </w:r>
      <w:r>
        <w:rPr>
          <w:rFonts w:ascii="Arial"/>
          <w:color w:val="000000"/>
          <w:sz w:val="24"/>
        </w:rPr>
        <w:t>(</w:t>
      </w:r>
      <w:r>
        <w:rPr>
          <w:rFonts w:ascii="Arial"/>
          <w:color w:val="000000"/>
          <w:sz w:val="24"/>
        </w:rPr>
        <w:t>to be satisfied by way of a monetary contribution and/or dedication</w:t>
      </w:r>
      <w:r>
        <w:rPr>
          <w:rFonts w:ascii="Arial"/>
          <w:color w:val="000000"/>
          <w:sz w:val="24"/>
        </w:rPr>
        <w:t>)</w:t>
      </w:r>
      <w:r>
        <w:rPr>
          <w:rFonts w:ascii="Arial"/>
          <w:color w:val="000000"/>
          <w:sz w:val="24"/>
        </w:rPr>
        <w:t xml:space="preserve">. </w:t>
      </w:r>
      <w:r>
        <w:rPr>
          <w:rFonts w:ascii="Arial"/>
          <w:color w:val="000000"/>
          <w:sz w:val="24"/>
        </w:rPr>
        <w:t>The clause applies here and a requirement for payment of this contribution has been incorporated into the agreed conditions of consent.</w:t>
      </w:r>
    </w:p>
    <w:p>
      <w:pPr>
        <w:pStyle w:val="CaselawHeading3"/>
        <w:keepNext/>
        <w:spacing w:before="150" w:after="150" w:line="264"/>
        <w:ind w:left="0"/>
        <w:jc w:val="left"/>
      </w:pPr>
      <w:r>
        <w:rPr>
          <w:rFonts w:ascii="Arial"/>
        </w:rPr>
        <w:t>State Environmental Planning Policy (Housing) 2021 (‘Housing SEPP’)</w:t>
      </w:r>
    </w:p>
    <w:p>
      <w:pPr>
        <w:pStyle w:val="CaselawNumbered10"/>
        <w:numPr>
          <w:ilvl w:val="0"/>
          <w:numId w:val="31"/>
        </w:numPr>
        <w:spacing w:before="150" w:after="0"/>
        <w:ind w:left="600" w:hanging="600"/>
      </w:pPr>
      <w:r>
        <w:rPr>
          <w:rFonts w:ascii="Arial"/>
          <w:color w:val="000000"/>
          <w:sz w:val="24"/>
        </w:rPr>
        <w:t xml:space="preserve">Chapters 2 and 4 of </w:t>
      </w:r>
      <w:r>
        <w:rPr>
          <w:rFonts w:ascii="Arial"/>
          <w:color w:val="000000"/>
          <w:sz w:val="24"/>
        </w:rPr>
        <w:t>State Environmental Planning Policy (Housing) 2021 (SEPP</w:t>
      </w:r>
      <w:r>
        <w:rPr>
          <w:rFonts w:ascii="Arial"/>
          <w:color w:val="000000"/>
          <w:sz w:val="24"/>
        </w:rPr>
        <w:t xml:space="preserve"> </w:t>
      </w:r>
      <w:r>
        <w:rPr>
          <w:rFonts w:ascii="Arial"/>
          <w:color w:val="000000"/>
          <w:sz w:val="24"/>
        </w:rPr>
        <w:t>Housing)</w:t>
      </w:r>
      <w:r>
        <w:rPr>
          <w:rFonts w:ascii="Arial"/>
          <w:color w:val="000000"/>
          <w:sz w:val="24"/>
        </w:rPr>
        <w:t xml:space="preserve"> </w:t>
      </w:r>
      <w:r>
        <w:rPr>
          <w:rFonts w:ascii="Arial"/>
          <w:color w:val="000000"/>
          <w:sz w:val="24"/>
        </w:rPr>
        <w:t>warrant comment here.</w:t>
      </w:r>
    </w:p>
    <w:p>
      <w:pPr>
        <w:pStyle w:val="CaselawHeading4"/>
        <w:keepNext/>
        <w:spacing w:before="150" w:after="150" w:line="264"/>
        <w:ind w:left="600"/>
        <w:jc w:val="left"/>
      </w:pPr>
      <w:r>
        <w:rPr>
          <w:rFonts w:ascii="Arial"/>
        </w:rPr>
        <w:t>Chapter 2 – Affordable Housing</w:t>
      </w:r>
    </w:p>
    <w:p>
      <w:pPr>
        <w:pStyle w:val="CaselawNumbered10"/>
        <w:numPr>
          <w:ilvl w:val="0"/>
          <w:numId w:val="32"/>
        </w:numPr>
        <w:spacing w:before="150" w:after="0"/>
        <w:ind w:left="600" w:hanging="600"/>
      </w:pPr>
      <w:r>
        <w:rPr>
          <w:rFonts w:ascii="Arial"/>
          <w:color w:val="000000"/>
          <w:sz w:val="24"/>
        </w:rPr>
        <w:t xml:space="preserve">Part 3 within Chapter 2 is concerned with the retention of existing affordable housing. However, its provisions do not apply in this matter as, essentially, </w:t>
      </w:r>
      <w:r>
        <w:rPr>
          <w:rFonts w:ascii="Arial"/>
          <w:color w:val="000000"/>
          <w:sz w:val="24"/>
        </w:rPr>
        <w:t xml:space="preserve">under s 46(2)(a) the part does not apply to strata subdivided </w:t>
      </w:r>
      <w:r>
        <w:rPr>
          <w:rFonts w:ascii="Arial"/>
          <w:color w:val="000000"/>
          <w:sz w:val="24"/>
        </w:rPr>
        <w:t xml:space="preserve">buildings </w:t>
      </w:r>
      <w:r>
        <w:rPr>
          <w:rFonts w:ascii="Arial"/>
          <w:color w:val="000000"/>
          <w:sz w:val="24"/>
        </w:rPr>
        <w:t>(existing buildings on the site are strata subdivided (AWS par 56)).</w:t>
      </w:r>
    </w:p>
    <w:p>
      <w:pPr>
        <w:pStyle w:val="CaselawHeading4"/>
        <w:keepNext/>
        <w:spacing w:before="150" w:after="150" w:line="264"/>
        <w:ind w:left="600"/>
        <w:jc w:val="left"/>
      </w:pPr>
      <w:r>
        <w:rPr>
          <w:rFonts w:ascii="Arial"/>
        </w:rPr>
        <w:t>Chapter 4 – Design of residential apartment development</w:t>
      </w:r>
    </w:p>
    <w:p>
      <w:pPr>
        <w:pStyle w:val="CaselawNumbered10"/>
        <w:numPr>
          <w:ilvl w:val="0"/>
          <w:numId w:val="33"/>
        </w:numPr>
        <w:spacing w:before="150" w:after="0"/>
        <w:ind w:left="600" w:hanging="600"/>
      </w:pPr>
      <w:r>
        <w:rPr>
          <w:rFonts w:ascii="Arial"/>
          <w:color w:val="000000"/>
          <w:sz w:val="24"/>
        </w:rPr>
        <w:t>In determining a development application for residential apartment development, a consent authority is to consider:</w:t>
      </w:r>
    </w:p>
    <w:p>
      <w:pPr>
        <w:pStyle w:val="CaselawBullet"/>
        <w:numPr>
          <w:ilvl w:val="0"/>
          <w:numId w:val="34"/>
        </w:numPr>
        <w:spacing w:before="150" w:after="0"/>
        <w:ind w:left="600" w:hanging="250"/>
      </w:pPr>
      <w:r>
        <w:rPr>
          <w:rFonts w:ascii="Arial"/>
          <w:color w:val="000000"/>
          <w:sz w:val="24"/>
        </w:rPr>
        <w:t xml:space="preserve">the advice (if any) obtained from a design review </w:t>
      </w:r>
      <w:r>
        <w:rPr>
          <w:rFonts w:ascii="Arial"/>
          <w:color w:val="000000"/>
          <w:sz w:val="24"/>
        </w:rPr>
        <w:t>panel;</w:t>
      </w:r>
    </w:p>
    <w:p>
      <w:pPr>
        <w:pStyle w:val="CaselawBullet"/>
        <w:numPr>
          <w:ilvl w:val="0"/>
          <w:numId w:val="34"/>
        </w:numPr>
        <w:spacing w:before="150" w:after="0"/>
        <w:ind w:left="600" w:hanging="250"/>
      </w:pPr>
      <w:r>
        <w:rPr>
          <w:rFonts w:ascii="Arial"/>
          <w:color w:val="000000"/>
          <w:sz w:val="24"/>
        </w:rPr>
        <w:t>the design quality of the development when evaluated in accordance with the design quality principles (at Schedule 9 of SEPP Housing); and</w:t>
      </w:r>
    </w:p>
    <w:p>
      <w:pPr>
        <w:pStyle w:val="CaselawBullet"/>
        <w:numPr>
          <w:ilvl w:val="0"/>
          <w:numId w:val="34"/>
        </w:numPr>
        <w:spacing w:before="150" w:after="0"/>
        <w:ind w:left="600" w:hanging="250"/>
      </w:pPr>
      <w:r>
        <w:rPr>
          <w:rFonts w:ascii="Arial"/>
          <w:color w:val="000000"/>
          <w:sz w:val="24"/>
        </w:rPr>
        <w:t>the Apartment Design Guide.</w:t>
      </w:r>
      <w:r>
        <w:rPr>
          <w:rFonts w:ascii="Arial"/>
          <w:color w:val="000000"/>
          <w:sz w:val="24"/>
        </w:rPr>
        <w:t xml:space="preserve"> </w:t>
      </w:r>
    </w:p>
    <w:p>
      <w:pPr>
        <w:pStyle w:val="CaselawNumbered10"/>
        <w:numPr>
          <w:ilvl w:val="0"/>
          <w:numId w:val="35"/>
        </w:numPr>
        <w:spacing w:before="150" w:after="0"/>
        <w:ind w:left="600" w:hanging="600"/>
      </w:pPr>
      <w:r>
        <w:rPr>
          <w:rFonts w:ascii="Arial"/>
          <w:color w:val="000000"/>
          <w:sz w:val="24"/>
        </w:rPr>
        <w:t xml:space="preserve">I note that a </w:t>
      </w:r>
      <w:r>
        <w:rPr>
          <w:rFonts w:ascii="Arial"/>
          <w:color w:val="000000"/>
          <w:sz w:val="24"/>
        </w:rPr>
        <w:t xml:space="preserve">Design Verification Statement </w:t>
      </w:r>
      <w:r>
        <w:rPr>
          <w:rFonts w:ascii="Arial"/>
          <w:color w:val="000000"/>
          <w:sz w:val="24"/>
        </w:rPr>
        <w:t xml:space="preserve">(DVS) prepared by SDS was included in the Class 1 application </w:t>
      </w:r>
      <w:r>
        <w:rPr>
          <w:rFonts w:ascii="Arial"/>
          <w:color w:val="000000"/>
          <w:sz w:val="24"/>
        </w:rPr>
        <w:t>(</w:t>
      </w:r>
      <w:r>
        <w:rPr>
          <w:rFonts w:ascii="Arial"/>
          <w:color w:val="000000"/>
          <w:sz w:val="24"/>
        </w:rPr>
        <w:t>Tab 26 Ex A</w:t>
      </w:r>
      <w:r>
        <w:rPr>
          <w:rFonts w:ascii="Arial"/>
          <w:color w:val="000000"/>
          <w:sz w:val="24"/>
        </w:rPr>
        <w:t>)</w:t>
      </w:r>
      <w:r>
        <w:rPr>
          <w:rFonts w:ascii="Arial"/>
          <w:color w:val="000000"/>
          <w:sz w:val="24"/>
        </w:rPr>
        <w:t>, and the advice in the AWS</w:t>
      </w:r>
      <w:r>
        <w:rPr>
          <w:rFonts w:ascii="Arial"/>
          <w:color w:val="000000"/>
          <w:sz w:val="24"/>
        </w:rPr>
        <w:t xml:space="preserve"> </w:t>
      </w:r>
      <w:r>
        <w:rPr>
          <w:rFonts w:ascii="Arial"/>
          <w:color w:val="000000"/>
          <w:sz w:val="24"/>
        </w:rPr>
        <w:t>that it demonstrates</w:t>
      </w:r>
      <w:r>
        <w:rPr>
          <w:rFonts w:ascii="Arial"/>
          <w:color w:val="000000"/>
          <w:sz w:val="24"/>
        </w:rPr>
        <w:t xml:space="preserve"> </w:t>
      </w:r>
      <w:r>
        <w:rPr>
          <w:rFonts w:ascii="Arial"/>
          <w:color w:val="000000"/>
          <w:sz w:val="24"/>
        </w:rPr>
        <w:t>how the design quality principles are achieved and demonstrates how the objectives of Parts 3 and 4 of the ADG have been addressed</w:t>
      </w:r>
      <w:r>
        <w:rPr>
          <w:rFonts w:ascii="Arial"/>
          <w:color w:val="000000"/>
          <w:sz w:val="24"/>
        </w:rPr>
        <w:t>. The AWS (par 61) indicates the following findings from the (DVS):</w:t>
      </w:r>
    </w:p>
    <w:p>
      <w:pPr>
        <w:pStyle w:val="CaselawCoversheet"/>
        <w:spacing w:before="150" w:after="150"/>
        <w:ind w:left="1350"/>
        <w:jc w:val="left"/>
      </w:pPr>
      <w:r>
        <w:rPr>
          <w:rFonts w:ascii="Arial"/>
          <w:color w:val="000000"/>
          <w:sz w:val="24"/>
        </w:rPr>
        <w:t>“</w:t>
      </w:r>
      <w:r>
        <w:rPr>
          <w:rFonts w:ascii="Arial"/>
          <w:color w:val="000000"/>
          <w:sz w:val="24"/>
        </w:rPr>
        <w:t xml:space="preserve">Minimum apartment size: All apartments meet the minimum requirements of the ADG. </w:t>
      </w:r>
    </w:p>
    <w:p>
      <w:pPr>
        <w:pStyle w:val="CaselawCoversheet"/>
        <w:spacing w:before="150" w:after="150"/>
        <w:ind w:left="1350"/>
        <w:jc w:val="left"/>
      </w:pPr>
      <w:r>
        <w:rPr>
          <w:rFonts w:ascii="Arial"/>
          <w:color w:val="000000"/>
          <w:sz w:val="24"/>
        </w:rPr>
        <w:t xml:space="preserve">Solar access: A total of 95% of apartments achieve the ADG recommendation for solar access to living areas and private open space – compliant with the ADG (which targets 70%). </w:t>
      </w:r>
    </w:p>
    <w:p>
      <w:pPr>
        <w:pStyle w:val="CaselawCoversheet"/>
        <w:spacing w:before="150" w:after="150"/>
        <w:ind w:left="1350"/>
        <w:jc w:val="left"/>
      </w:pPr>
      <w:r>
        <w:rPr>
          <w:rFonts w:ascii="Arial"/>
          <w:color w:val="000000"/>
          <w:sz w:val="24"/>
        </w:rPr>
        <w:t xml:space="preserve">Natural ventilation: 100% of apartments will achieve the ADG recommendation for natural cross ventilation, compliant with the ADG (which targets 60%). </w:t>
      </w:r>
    </w:p>
    <w:p>
      <w:pPr>
        <w:pStyle w:val="CaselawCoversheet"/>
        <w:spacing w:before="150" w:after="150"/>
        <w:ind w:left="1350"/>
        <w:jc w:val="left"/>
      </w:pPr>
      <w:r>
        <w:rPr>
          <w:rFonts w:ascii="Arial"/>
          <w:color w:val="000000"/>
          <w:sz w:val="24"/>
        </w:rPr>
        <w:t xml:space="preserve">Building separation: </w:t>
      </w:r>
      <w:r>
        <w:rPr>
          <w:rFonts w:ascii="Arial"/>
          <w:color w:val="000000"/>
          <w:sz w:val="24"/>
        </w:rPr>
        <w:t>…</w:t>
      </w:r>
      <w:r>
        <w:rPr>
          <w:rFonts w:ascii="Arial"/>
          <w:color w:val="000000"/>
          <w:sz w:val="24"/>
        </w:rPr>
        <w:t xml:space="preserve"> appropriate visual privacy outcomes are achieved using solid walls and the positioning of windows / primary living spaces away from side boundary interfaces. </w:t>
      </w:r>
    </w:p>
    <w:p>
      <w:pPr>
        <w:pStyle w:val="CaselawCoversheet"/>
        <w:spacing w:before="150" w:after="150"/>
        <w:ind w:left="1350"/>
        <w:jc w:val="left"/>
      </w:pPr>
      <w:r>
        <w:rPr>
          <w:rFonts w:ascii="Arial"/>
          <w:color w:val="000000"/>
          <w:sz w:val="24"/>
        </w:rPr>
        <w:t xml:space="preserve">Communal open space: The proposal includes 415sqm of communal open space, totalling 28% of the site area. Post the Section 34 conference, this includes the provision of communal open space to both the Billyard Avenue and Onslow Avenue buildings. This exceeds the ADG guidance of 25%. </w:t>
      </w:r>
    </w:p>
    <w:p>
      <w:pPr>
        <w:pStyle w:val="CaselawCoversheet"/>
        <w:spacing w:before="150" w:after="150"/>
        <w:ind w:left="1350"/>
        <w:jc w:val="left"/>
      </w:pPr>
      <w:r>
        <w:rPr>
          <w:rFonts w:ascii="Arial"/>
          <w:color w:val="000000"/>
          <w:sz w:val="24"/>
        </w:rPr>
        <w:t xml:space="preserve">Private open space: All apartments comfortably exceed the ADG recommended areas for balconies. </w:t>
      </w:r>
    </w:p>
    <w:p>
      <w:pPr>
        <w:pStyle w:val="CaselawCoversheet"/>
        <w:spacing w:before="150" w:after="150"/>
        <w:ind w:left="1350"/>
        <w:jc w:val="left"/>
      </w:pPr>
      <w:r>
        <w:rPr>
          <w:rFonts w:ascii="Arial"/>
          <w:color w:val="000000"/>
          <w:sz w:val="24"/>
        </w:rPr>
        <w:t xml:space="preserve">Deep soil zone: 11.85% of the site accounts for deep soil planting (with a minimum dimension of 3m), compliant with the ADG control (7%). </w:t>
      </w:r>
    </w:p>
    <w:p>
      <w:pPr>
        <w:pStyle w:val="CaselawCoversheet"/>
        <w:spacing w:before="150" w:after="150"/>
        <w:ind w:left="1350"/>
        <w:jc w:val="left"/>
      </w:pPr>
      <w:r>
        <w:rPr>
          <w:rFonts w:ascii="Arial"/>
          <w:color w:val="000000"/>
          <w:sz w:val="24"/>
        </w:rPr>
        <w:t>Storage: Apartments are provided with storage facilities meeting or exceeding the ADG criteria.”</w:t>
      </w:r>
    </w:p>
    <w:p>
      <w:pPr>
        <w:pStyle w:val="CaselawHeading3"/>
        <w:keepNext/>
        <w:spacing w:before="150" w:after="150" w:line="264"/>
        <w:ind w:left="0"/>
        <w:jc w:val="left"/>
      </w:pPr>
      <w:r>
        <w:rPr>
          <w:rFonts w:ascii="Arial"/>
        </w:rPr>
        <w:t>Other statutory considerations</w:t>
      </w:r>
    </w:p>
    <w:p>
      <w:pPr>
        <w:pStyle w:val="CaselawNumbered10"/>
        <w:numPr>
          <w:ilvl w:val="0"/>
          <w:numId w:val="36"/>
        </w:numPr>
        <w:spacing w:before="150" w:after="0"/>
        <w:ind w:left="600" w:hanging="600"/>
      </w:pPr>
      <w:r>
        <w:rPr>
          <w:rFonts w:ascii="Arial"/>
          <w:color w:val="000000"/>
          <w:sz w:val="24"/>
        </w:rPr>
        <w:t xml:space="preserve">There are </w:t>
      </w:r>
      <w:r>
        <w:rPr>
          <w:rFonts w:ascii="Arial"/>
          <w:color w:val="000000"/>
          <w:sz w:val="24"/>
        </w:rPr>
        <w:t>a number of</w:t>
      </w:r>
      <w:r>
        <w:rPr>
          <w:rFonts w:ascii="Arial"/>
          <w:color w:val="000000"/>
          <w:sz w:val="24"/>
        </w:rPr>
        <w:t xml:space="preserve"> </w:t>
      </w:r>
      <w:r>
        <w:rPr>
          <w:rFonts w:ascii="Arial"/>
          <w:color w:val="000000"/>
          <w:sz w:val="24"/>
        </w:rPr>
        <w:t xml:space="preserve">other </w:t>
      </w:r>
      <w:r>
        <w:rPr>
          <w:rFonts w:ascii="Arial"/>
          <w:color w:val="000000"/>
          <w:sz w:val="24"/>
        </w:rPr>
        <w:t>environmental planning instrument</w:t>
      </w:r>
      <w:r>
        <w:rPr>
          <w:rFonts w:ascii="Arial"/>
          <w:color w:val="000000"/>
          <w:sz w:val="24"/>
        </w:rPr>
        <w:t xml:space="preserve"> </w:t>
      </w:r>
      <w:r>
        <w:rPr>
          <w:rFonts w:ascii="Arial"/>
          <w:color w:val="000000"/>
          <w:sz w:val="24"/>
        </w:rPr>
        <w:t xml:space="preserve">considerations which apply to the evaluation of this proposal. However, the above capture the matters of </w:t>
      </w:r>
      <w:r>
        <w:rPr>
          <w:rFonts w:ascii="Arial"/>
          <w:color w:val="000000"/>
          <w:sz w:val="24"/>
        </w:rPr>
        <w:t>at least some</w:t>
      </w:r>
      <w:r>
        <w:rPr>
          <w:rFonts w:ascii="Arial"/>
          <w:color w:val="000000"/>
          <w:sz w:val="24"/>
        </w:rPr>
        <w:t xml:space="preserve"> </w:t>
      </w:r>
      <w:r>
        <w:rPr>
          <w:rFonts w:ascii="Arial"/>
          <w:color w:val="000000"/>
          <w:sz w:val="24"/>
        </w:rPr>
        <w:t xml:space="preserve">relevance </w:t>
      </w:r>
      <w:r>
        <w:rPr>
          <w:rFonts w:ascii="Arial"/>
          <w:color w:val="000000"/>
          <w:sz w:val="24"/>
        </w:rPr>
        <w:t>to my ultimate</w:t>
      </w:r>
      <w:r>
        <w:rPr>
          <w:rFonts w:ascii="Arial"/>
          <w:color w:val="000000"/>
          <w:sz w:val="24"/>
        </w:rPr>
        <w:t xml:space="preserve"> </w:t>
      </w:r>
      <w:r>
        <w:rPr>
          <w:rFonts w:ascii="Arial"/>
          <w:color w:val="000000"/>
          <w:sz w:val="24"/>
        </w:rPr>
        <w:t>determination.</w:t>
      </w:r>
    </w:p>
    <w:p>
      <w:pPr>
        <w:pStyle w:val="CaselawHeading3"/>
        <w:keepNext/>
        <w:spacing w:before="150" w:after="150" w:line="264"/>
        <w:ind w:left="0"/>
        <w:jc w:val="left"/>
      </w:pPr>
      <w:r>
        <w:rPr>
          <w:rFonts w:ascii="Arial"/>
        </w:rPr>
        <w:t>Sydney Development Control Plan 2012 (</w:t>
      </w:r>
      <w:r>
        <w:rPr>
          <w:rFonts w:ascii="Arial"/>
        </w:rPr>
        <w:t>SDCP</w:t>
      </w:r>
      <w:r>
        <w:rPr>
          <w:rFonts w:ascii="Arial"/>
        </w:rPr>
        <w:t>)</w:t>
      </w:r>
    </w:p>
    <w:p>
      <w:pPr>
        <w:pStyle w:val="CaselawNumbered10"/>
        <w:numPr>
          <w:ilvl w:val="0"/>
          <w:numId w:val="37"/>
        </w:numPr>
        <w:spacing w:before="150" w:after="0"/>
        <w:ind w:left="600" w:hanging="600"/>
      </w:pPr>
      <w:r>
        <w:rPr>
          <w:rFonts w:ascii="Arial"/>
          <w:color w:val="000000"/>
          <w:sz w:val="24"/>
        </w:rPr>
        <w:t>SDCP also applies. Relevant provisions are considered below.</w:t>
      </w:r>
    </w:p>
    <w:p>
      <w:pPr>
        <w:pStyle w:val="CaselawHeading2"/>
        <w:keepNext/>
        <w:spacing w:before="150" w:after="150" w:line="264"/>
        <w:ind w:left="0"/>
        <w:jc w:val="left"/>
      </w:pPr>
      <w:r>
        <w:rPr>
          <w:rFonts w:ascii="Arial"/>
        </w:rPr>
        <w:t>Issues and evidence</w:t>
      </w:r>
    </w:p>
    <w:p>
      <w:pPr>
        <w:pStyle w:val="CaselawHeading3"/>
        <w:keepNext/>
        <w:spacing w:before="150" w:after="150" w:line="264"/>
        <w:ind w:left="0"/>
        <w:jc w:val="left"/>
      </w:pPr>
      <w:r>
        <w:rPr>
          <w:rFonts w:ascii="Arial"/>
        </w:rPr>
        <w:t>Expert evidence</w:t>
      </w:r>
    </w:p>
    <w:p>
      <w:pPr>
        <w:pStyle w:val="CaselawNumbered10"/>
        <w:numPr>
          <w:ilvl w:val="0"/>
          <w:numId w:val="38"/>
        </w:numPr>
        <w:spacing w:before="150" w:after="0"/>
        <w:ind w:left="600" w:hanging="600"/>
      </w:pPr>
      <w:r>
        <w:rPr>
          <w:rFonts w:ascii="Arial"/>
          <w:color w:val="000000"/>
          <w:sz w:val="24"/>
        </w:rPr>
        <w:t>Council</w:t>
      </w:r>
      <w:r>
        <w:rPr>
          <w:rFonts w:ascii="Arial"/>
          <w:color w:val="000000"/>
          <w:sz w:val="24"/>
        </w:rPr>
        <w:t>’</w:t>
      </w:r>
      <w:r>
        <w:rPr>
          <w:rFonts w:ascii="Arial"/>
          <w:color w:val="000000"/>
          <w:sz w:val="24"/>
        </w:rPr>
        <w:t>s contentions against the proposal leading into the hearing were documented in Ex 2. As indicated, by the time of the hearing and with further amendments to the proposal, the relevant experts had come to an agreement that all of Council</w:t>
      </w:r>
      <w:r>
        <w:rPr>
          <w:rFonts w:ascii="Arial"/>
          <w:color w:val="000000"/>
          <w:sz w:val="24"/>
        </w:rPr>
        <w:t>’</w:t>
      </w:r>
      <w:r>
        <w:rPr>
          <w:rFonts w:ascii="Arial"/>
          <w:color w:val="000000"/>
          <w:sz w:val="24"/>
        </w:rPr>
        <w:t xml:space="preserve">s contentions were now satisfied. </w:t>
      </w:r>
      <w:r>
        <w:rPr>
          <w:rFonts w:ascii="Arial"/>
          <w:color w:val="000000"/>
          <w:sz w:val="24"/>
        </w:rPr>
        <w:t>I accepted that t</w:t>
      </w:r>
      <w:r>
        <w:rPr>
          <w:rFonts w:ascii="Arial"/>
          <w:color w:val="000000"/>
          <w:sz w:val="24"/>
        </w:rPr>
        <w:t xml:space="preserve">he </w:t>
      </w:r>
      <w:r>
        <w:rPr>
          <w:rFonts w:ascii="Arial"/>
          <w:color w:val="000000"/>
          <w:sz w:val="24"/>
        </w:rPr>
        <w:t xml:space="preserve">particular </w:t>
      </w:r>
      <w:r>
        <w:rPr>
          <w:rFonts w:ascii="Arial"/>
          <w:color w:val="000000"/>
          <w:sz w:val="24"/>
        </w:rPr>
        <w:t>expert</w:t>
      </w:r>
      <w:r>
        <w:rPr>
          <w:rFonts w:ascii="Arial"/>
          <w:color w:val="000000"/>
          <w:sz w:val="24"/>
        </w:rPr>
        <w:t>ise</w:t>
      </w:r>
      <w:r>
        <w:rPr>
          <w:rFonts w:ascii="Arial"/>
          <w:color w:val="000000"/>
          <w:sz w:val="24"/>
        </w:rPr>
        <w:t xml:space="preserve"> </w:t>
      </w:r>
      <w:r>
        <w:rPr>
          <w:rFonts w:ascii="Arial"/>
          <w:color w:val="000000"/>
          <w:sz w:val="24"/>
        </w:rPr>
        <w:t>areas of the relevance to me in these proceedings, as they now stood, were adequately covered by the experts put forward</w:t>
      </w:r>
      <w:r>
        <w:rPr>
          <w:rFonts w:ascii="Arial"/>
          <w:color w:val="000000"/>
          <w:sz w:val="24"/>
        </w:rPr>
        <w:t xml:space="preserve"> </w:t>
      </w:r>
      <w:r>
        <w:rPr>
          <w:rFonts w:ascii="Arial"/>
          <w:color w:val="000000"/>
          <w:sz w:val="24"/>
        </w:rPr>
        <w:t>to the hearing</w:t>
      </w:r>
      <w:r>
        <w:rPr>
          <w:rFonts w:ascii="Arial"/>
          <w:color w:val="000000"/>
          <w:sz w:val="24"/>
        </w:rPr>
        <w:t xml:space="preserve"> </w:t>
      </w:r>
      <w:r>
        <w:rPr>
          <w:rFonts w:ascii="Arial"/>
          <w:color w:val="000000"/>
          <w:sz w:val="24"/>
        </w:rPr>
        <w:t xml:space="preserve">by the parties. The experts are indicated in the table below. </w:t>
      </w:r>
    </w:p>
    <w:tbl>
      <w:tblPr>
        <w:tblW w:w="0" w:type="auto"/>
        <w:tblCellSpacing w:w="0" w:type="auto"/>
        <w:tblInd w:w="115" w:type="dxa"/>
        <w:tblBorders>
          <w:top w:val="single" w:color="DDDDDD" w:sz="6" w:space="0"/>
          <w:left w:val="single" w:color="DDDDDD" w:sz="6" w:space="0"/>
          <w:bottom w:val="single" w:color="DDDDDD" w:sz="6" w:space="0"/>
          <w:right w:val="single" w:color="DDDDDD" w:sz="6" w:space="0"/>
          <w:insideH w:val="single" w:color="DDDDDD" w:sz="6" w:space="0"/>
          <w:insideV w:val="single" w:color="DDDDDD" w:sz="6" w:space="0"/>
        </w:tblBorders>
      </w:tblPr>
      <w:tblGrid>
        <w:gridCol w:w="1849"/>
        <w:gridCol w:w="3701"/>
        <w:gridCol w:w="1868"/>
      </w:tblGrid>
      <w:tr>
        <w:trPr/>
        <w:tc>
          <w:tcPr>
            <w:tcW w:w="1849" w:type="dxa"/>
            <w:vAlign w:val="center"/>
          </w:tcPr>
          <w:p>
            <w:pPr>
              <w:pStyle w:val="CaselawNormal"/>
              <w:spacing w:before="150" w:after="150"/>
              <w:ind w:left="600"/>
              <w:jc w:val="left"/>
            </w:pPr>
            <w:r>
              <w:rPr>
                <w:rFonts w:ascii="Arial"/>
                <w:color w:val="000000"/>
                <w:sz w:val="24"/>
              </w:rPr>
              <w:t>Expert</w:t>
            </w:r>
          </w:p>
        </w:tc>
        <w:tc>
          <w:tcPr>
            <w:tcW w:w="3701" w:type="dxa"/>
            <w:vAlign w:val="center"/>
          </w:tcPr>
          <w:p>
            <w:pPr>
              <w:pStyle w:val="CaselawNormal"/>
              <w:spacing w:before="150" w:after="150"/>
              <w:ind w:left="600"/>
              <w:jc w:val="left"/>
            </w:pPr>
            <w:r>
              <w:rPr>
                <w:rFonts w:ascii="Arial"/>
                <w:color w:val="000000"/>
                <w:sz w:val="24"/>
              </w:rPr>
              <w:t>Expertise</w:t>
            </w:r>
          </w:p>
        </w:tc>
        <w:tc>
          <w:tcPr>
            <w:tcW w:w="1868" w:type="dxa"/>
            <w:vAlign w:val="center"/>
          </w:tcPr>
          <w:p>
            <w:pPr>
              <w:pStyle w:val="CaselawNormal"/>
              <w:spacing w:before="150" w:after="150"/>
              <w:ind w:left="600"/>
              <w:jc w:val="left"/>
            </w:pPr>
            <w:r>
              <w:rPr>
                <w:rFonts w:ascii="Arial"/>
                <w:color w:val="000000"/>
                <w:sz w:val="24"/>
              </w:rPr>
              <w:t>Appointed by</w:t>
            </w:r>
          </w:p>
        </w:tc>
      </w:tr>
      <w:tr>
        <w:trPr/>
        <w:tc>
          <w:tcPr>
            <w:tcW w:w="1849" w:type="dxa"/>
            <w:vAlign w:val="center"/>
          </w:tcPr>
          <w:p>
            <w:pPr>
              <w:pStyle w:val="CaselawNormal"/>
              <w:spacing w:before="150" w:after="150"/>
              <w:ind w:left="600"/>
              <w:jc w:val="left"/>
            </w:pPr>
            <w:r>
              <w:rPr>
                <w:rFonts w:ascii="Arial"/>
                <w:color w:val="000000"/>
                <w:sz w:val="24"/>
              </w:rPr>
              <w:t>W Smart</w:t>
            </w:r>
          </w:p>
        </w:tc>
        <w:tc>
          <w:tcPr>
            <w:tcW w:w="3701" w:type="dxa"/>
            <w:vAlign w:val="center"/>
          </w:tcPr>
          <w:p>
            <w:pPr>
              <w:pStyle w:val="CaselawNormal"/>
              <w:spacing w:before="150" w:after="150"/>
              <w:ind w:left="600"/>
              <w:jc w:val="left"/>
            </w:pPr>
            <w:r>
              <w:rPr>
                <w:rFonts w:ascii="Arial"/>
                <w:color w:val="000000"/>
                <w:sz w:val="24"/>
              </w:rPr>
              <w:t>Architecture</w:t>
            </w:r>
          </w:p>
        </w:tc>
        <w:tc>
          <w:tcPr>
            <w:tcW w:w="1868" w:type="dxa"/>
            <w:vAlign w:val="center"/>
          </w:tcPr>
          <w:p>
            <w:pPr>
              <w:pStyle w:val="CaselawNormal"/>
              <w:spacing w:before="150" w:after="150"/>
              <w:ind w:left="600"/>
              <w:jc w:val="left"/>
            </w:pPr>
            <w:r>
              <w:rPr>
                <w:rFonts w:ascii="Arial"/>
                <w:color w:val="000000"/>
                <w:sz w:val="24"/>
              </w:rPr>
              <w:t>Applicant</w:t>
            </w:r>
          </w:p>
        </w:tc>
      </w:tr>
      <w:tr>
        <w:trPr/>
        <w:tc>
          <w:tcPr>
            <w:tcW w:w="1849" w:type="dxa"/>
            <w:vAlign w:val="center"/>
          </w:tcPr>
          <w:p>
            <w:pPr>
              <w:pStyle w:val="CaselawNormal"/>
              <w:spacing w:before="150" w:after="150"/>
              <w:ind w:left="600"/>
              <w:jc w:val="left"/>
            </w:pPr>
            <w:r>
              <w:rPr>
                <w:rFonts w:ascii="Arial"/>
                <w:color w:val="000000"/>
                <w:sz w:val="24"/>
              </w:rPr>
              <w:t>A Harvey</w:t>
            </w:r>
          </w:p>
        </w:tc>
        <w:tc>
          <w:tcPr>
            <w:tcW w:w="3701" w:type="dxa"/>
            <w:vAlign w:val="center"/>
          </w:tcPr>
          <w:p>
            <w:pPr>
              <w:pStyle w:val="CaselawNormal"/>
              <w:spacing w:before="150" w:after="150"/>
              <w:ind w:left="600"/>
              <w:jc w:val="left"/>
            </w:pPr>
            <w:r>
              <w:rPr>
                <w:rFonts w:ascii="Arial"/>
                <w:color w:val="000000"/>
                <w:sz w:val="24"/>
              </w:rPr>
              <w:t>Town planning</w:t>
            </w:r>
          </w:p>
        </w:tc>
        <w:tc>
          <w:tcPr>
            <w:tcW w:w="1868" w:type="dxa"/>
            <w:vAlign w:val="center"/>
          </w:tcPr>
          <w:p>
            <w:pPr>
              <w:pStyle w:val="CaselawNormal"/>
              <w:spacing w:before="150" w:after="150"/>
              <w:ind w:left="600"/>
              <w:jc w:val="left"/>
            </w:pPr>
            <w:r>
              <w:rPr>
                <w:rFonts w:ascii="Arial"/>
                <w:color w:val="000000"/>
                <w:sz w:val="24"/>
              </w:rPr>
              <w:t>Applicant</w:t>
            </w:r>
          </w:p>
        </w:tc>
      </w:tr>
      <w:tr>
        <w:trPr/>
        <w:tc>
          <w:tcPr>
            <w:tcW w:w="1849" w:type="dxa"/>
            <w:vAlign w:val="center"/>
          </w:tcPr>
          <w:p>
            <w:pPr>
              <w:pStyle w:val="CaselawNormal"/>
              <w:spacing w:before="150" w:after="150"/>
              <w:ind w:left="600"/>
              <w:jc w:val="left"/>
            </w:pPr>
            <w:r>
              <w:rPr>
                <w:rFonts w:ascii="Arial"/>
                <w:color w:val="000000"/>
                <w:sz w:val="24"/>
              </w:rPr>
              <w:t xml:space="preserve">J </w:t>
            </w:r>
            <w:r>
              <w:rPr>
                <w:rFonts w:ascii="Arial"/>
                <w:color w:val="000000"/>
                <w:sz w:val="24"/>
              </w:rPr>
              <w:t>Maze-Riley</w:t>
            </w:r>
          </w:p>
        </w:tc>
        <w:tc>
          <w:tcPr>
            <w:tcW w:w="3701" w:type="dxa"/>
            <w:vAlign w:val="center"/>
          </w:tcPr>
          <w:p>
            <w:pPr>
              <w:pStyle w:val="CaselawNormal"/>
              <w:spacing w:before="150" w:after="150"/>
              <w:ind w:left="600"/>
              <w:jc w:val="left"/>
            </w:pPr>
            <w:r>
              <w:rPr>
                <w:rFonts w:ascii="Arial"/>
                <w:color w:val="000000"/>
                <w:sz w:val="24"/>
              </w:rPr>
              <w:t xml:space="preserve">Visual impact </w:t>
            </w:r>
            <w:r>
              <w:rPr>
                <w:rFonts w:ascii="Arial"/>
                <w:color w:val="000000"/>
                <w:sz w:val="24"/>
              </w:rPr>
              <w:t>assessment</w:t>
            </w:r>
          </w:p>
        </w:tc>
        <w:tc>
          <w:tcPr>
            <w:tcW w:w="1868" w:type="dxa"/>
            <w:vAlign w:val="center"/>
          </w:tcPr>
          <w:p>
            <w:pPr>
              <w:pStyle w:val="CaselawNormal"/>
              <w:spacing w:before="150" w:after="150"/>
              <w:ind w:left="600"/>
              <w:jc w:val="left"/>
            </w:pPr>
            <w:r>
              <w:rPr>
                <w:rFonts w:ascii="Arial"/>
                <w:color w:val="000000"/>
                <w:sz w:val="24"/>
              </w:rPr>
              <w:t>Applicant</w:t>
            </w:r>
          </w:p>
        </w:tc>
      </w:tr>
      <w:tr>
        <w:trPr/>
        <w:tc>
          <w:tcPr>
            <w:tcW w:w="1849" w:type="dxa"/>
            <w:vAlign w:val="center"/>
          </w:tcPr>
          <w:p>
            <w:pPr>
              <w:pStyle w:val="CaselawNormal"/>
              <w:spacing w:before="150" w:after="150"/>
              <w:ind w:left="600"/>
              <w:jc w:val="left"/>
            </w:pPr>
            <w:r>
              <w:rPr>
                <w:rFonts w:ascii="Arial"/>
                <w:color w:val="000000"/>
                <w:sz w:val="24"/>
              </w:rPr>
              <w:t xml:space="preserve">J </w:t>
            </w:r>
            <w:r>
              <w:rPr>
                <w:rFonts w:ascii="Arial"/>
                <w:color w:val="000000"/>
                <w:sz w:val="24"/>
              </w:rPr>
              <w:t>Pressick</w:t>
            </w:r>
          </w:p>
        </w:tc>
        <w:tc>
          <w:tcPr>
            <w:tcW w:w="3701" w:type="dxa"/>
            <w:vAlign w:val="center"/>
          </w:tcPr>
          <w:p>
            <w:pPr>
              <w:pStyle w:val="CaselawNormal"/>
              <w:spacing w:before="150" w:after="150"/>
              <w:ind w:left="600"/>
              <w:jc w:val="left"/>
            </w:pPr>
            <w:r>
              <w:rPr>
                <w:rFonts w:ascii="Arial"/>
                <w:color w:val="000000"/>
                <w:sz w:val="24"/>
              </w:rPr>
              <w:t>Urban design</w:t>
            </w:r>
          </w:p>
        </w:tc>
        <w:tc>
          <w:tcPr>
            <w:tcW w:w="1868" w:type="dxa"/>
            <w:vAlign w:val="center"/>
          </w:tcPr>
          <w:p>
            <w:pPr>
              <w:pStyle w:val="CaselawNormal"/>
              <w:spacing w:before="150" w:after="150"/>
              <w:ind w:left="600"/>
              <w:jc w:val="left"/>
            </w:pPr>
            <w:r>
              <w:rPr>
                <w:rFonts w:ascii="Arial"/>
                <w:color w:val="000000"/>
                <w:sz w:val="24"/>
              </w:rPr>
              <w:t>Council</w:t>
            </w:r>
          </w:p>
        </w:tc>
      </w:tr>
      <w:tr>
        <w:trPr/>
        <w:tc>
          <w:tcPr>
            <w:tcW w:w="1849" w:type="dxa"/>
            <w:vAlign w:val="center"/>
          </w:tcPr>
          <w:p>
            <w:pPr>
              <w:pStyle w:val="CaselawNormal"/>
              <w:spacing w:before="150" w:after="150"/>
              <w:ind w:left="600"/>
              <w:jc w:val="left"/>
            </w:pPr>
            <w:r>
              <w:rPr>
                <w:rFonts w:ascii="Arial"/>
                <w:color w:val="000000"/>
                <w:sz w:val="24"/>
              </w:rPr>
              <w:t>J Errington</w:t>
            </w:r>
          </w:p>
        </w:tc>
        <w:tc>
          <w:tcPr>
            <w:tcW w:w="3701" w:type="dxa"/>
            <w:vAlign w:val="center"/>
          </w:tcPr>
          <w:p>
            <w:pPr>
              <w:pStyle w:val="CaselawNormal"/>
              <w:spacing w:before="150" w:after="150"/>
              <w:ind w:left="600"/>
              <w:jc w:val="left"/>
            </w:pPr>
            <w:r>
              <w:rPr>
                <w:rFonts w:ascii="Arial"/>
                <w:color w:val="000000"/>
                <w:sz w:val="24"/>
              </w:rPr>
              <w:t>Town planning</w:t>
            </w:r>
          </w:p>
        </w:tc>
        <w:tc>
          <w:tcPr>
            <w:tcW w:w="1868" w:type="dxa"/>
            <w:vAlign w:val="center"/>
          </w:tcPr>
          <w:p>
            <w:pPr>
              <w:pStyle w:val="CaselawNormal"/>
              <w:spacing w:before="150" w:after="150"/>
              <w:ind w:left="600"/>
              <w:jc w:val="left"/>
            </w:pPr>
            <w:r>
              <w:rPr>
                <w:rFonts w:ascii="Arial"/>
                <w:color w:val="000000"/>
                <w:sz w:val="24"/>
              </w:rPr>
              <w:t>Council</w:t>
            </w:r>
          </w:p>
        </w:tc>
      </w:tr>
    </w:tbl>
    <w:p>
      <w:pPr>
        <w:pStyle w:val="CaselawNumbered10"/>
        <w:numPr>
          <w:ilvl w:val="0"/>
          <w:numId w:val="39"/>
        </w:numPr>
        <w:spacing w:before="150" w:after="0"/>
        <w:ind w:left="600" w:hanging="600"/>
      </w:pPr>
      <w:r>
        <w:rPr>
          <w:rFonts w:ascii="Arial"/>
          <w:color w:val="000000"/>
          <w:sz w:val="24"/>
        </w:rPr>
        <w:t>The essentially shared position of this group of experts was documented in a report which was marked Ex 4. They also prepared a supplementary report (Ex 7)</w:t>
      </w:r>
      <w:r>
        <w:rPr>
          <w:rFonts w:ascii="Arial"/>
          <w:color w:val="000000"/>
          <w:sz w:val="24"/>
        </w:rPr>
        <w:t xml:space="preserve"> </w:t>
      </w:r>
      <w:r>
        <w:rPr>
          <w:rFonts w:ascii="Arial"/>
          <w:color w:val="000000"/>
          <w:sz w:val="24"/>
        </w:rPr>
        <w:t xml:space="preserve">which addressed an error </w:t>
      </w:r>
      <w:r>
        <w:rPr>
          <w:rFonts w:ascii="Arial"/>
          <w:color w:val="000000"/>
          <w:sz w:val="24"/>
        </w:rPr>
        <w:t xml:space="preserve">raised by objectors </w:t>
      </w:r>
      <w:r>
        <w:rPr>
          <w:rFonts w:ascii="Arial"/>
          <w:color w:val="000000"/>
          <w:sz w:val="24"/>
        </w:rPr>
        <w:t>in regard to</w:t>
      </w:r>
      <w:r>
        <w:rPr>
          <w:rFonts w:ascii="Arial"/>
          <w:color w:val="000000"/>
          <w:sz w:val="24"/>
        </w:rPr>
        <w:t xml:space="preserve"> </w:t>
      </w:r>
      <w:r>
        <w:rPr>
          <w:rFonts w:ascii="Arial"/>
          <w:color w:val="000000"/>
          <w:sz w:val="24"/>
        </w:rPr>
        <w:t>height plane calculations which Ex 4 had been based upon</w:t>
      </w:r>
      <w:r>
        <w:rPr>
          <w:rFonts w:ascii="Arial"/>
          <w:color w:val="000000"/>
          <w:sz w:val="24"/>
        </w:rPr>
        <w:t>.</w:t>
      </w:r>
    </w:p>
    <w:p>
      <w:pPr>
        <w:pStyle w:val="CaselawNumbered10"/>
        <w:numPr>
          <w:ilvl w:val="0"/>
          <w:numId w:val="39"/>
        </w:numPr>
        <w:spacing w:before="150" w:after="0"/>
        <w:ind w:left="600" w:hanging="600"/>
      </w:pPr>
      <w:r>
        <w:rPr>
          <w:rFonts w:ascii="Arial"/>
          <w:color w:val="000000"/>
          <w:sz w:val="24"/>
        </w:rPr>
        <w:t xml:space="preserve">Ex 4 covered </w:t>
      </w:r>
      <w:r>
        <w:rPr>
          <w:rFonts w:ascii="Arial"/>
          <w:color w:val="000000"/>
          <w:sz w:val="24"/>
        </w:rPr>
        <w:t>a number of</w:t>
      </w:r>
      <w:r>
        <w:rPr>
          <w:rFonts w:ascii="Arial"/>
          <w:color w:val="000000"/>
          <w:sz w:val="24"/>
        </w:rPr>
        <w:t xml:space="preserve"> </w:t>
      </w:r>
      <w:r>
        <w:rPr>
          <w:rFonts w:ascii="Arial"/>
          <w:color w:val="000000"/>
          <w:sz w:val="24"/>
        </w:rPr>
        <w:t>areas, as follows:</w:t>
      </w:r>
    </w:p>
    <w:p>
      <w:pPr>
        <w:pStyle w:val="CaselawNumbered1"/>
        <w:numPr>
          <w:ilvl w:val="0"/>
          <w:numId w:val="40"/>
        </w:numPr>
        <w:spacing w:before="150" w:after="0"/>
        <w:ind w:left="1350" w:hanging="750"/>
      </w:pPr>
      <w:r>
        <w:rPr>
          <w:rFonts w:ascii="Arial"/>
          <w:color w:val="000000"/>
          <w:sz w:val="24"/>
        </w:rPr>
        <w:t xml:space="preserve">Documentation of </w:t>
      </w:r>
      <w:r>
        <w:rPr>
          <w:rFonts w:ascii="Arial"/>
          <w:color w:val="000000"/>
          <w:sz w:val="24"/>
        </w:rPr>
        <w:t>a number of</w:t>
      </w:r>
      <w:r>
        <w:rPr>
          <w:rFonts w:ascii="Arial"/>
          <w:color w:val="000000"/>
          <w:sz w:val="24"/>
        </w:rPr>
        <w:t xml:space="preserve"> </w:t>
      </w:r>
      <w:r>
        <w:rPr>
          <w:rFonts w:ascii="Arial"/>
          <w:color w:val="000000"/>
          <w:sz w:val="24"/>
        </w:rPr>
        <w:t>agreed amendments to the DA and matters requiring additional information, each subsequently taken up either via amending documentation or consent conditions</w:t>
      </w:r>
      <w:r>
        <w:rPr>
          <w:rFonts w:ascii="Arial"/>
          <w:color w:val="000000"/>
          <w:sz w:val="24"/>
        </w:rPr>
        <w:t>.</w:t>
      </w:r>
    </w:p>
    <w:p>
      <w:pPr>
        <w:pStyle w:val="CaselawNumbered1"/>
        <w:numPr>
          <w:ilvl w:val="0"/>
          <w:numId w:val="40"/>
        </w:numPr>
        <w:spacing w:before="150" w:after="0"/>
        <w:ind w:left="1350" w:hanging="750"/>
      </w:pPr>
      <w:r>
        <w:rPr>
          <w:rFonts w:ascii="Arial"/>
          <w:color w:val="000000"/>
          <w:sz w:val="24"/>
        </w:rPr>
        <w:t xml:space="preserve">Response to each of the individual outstanding contentions as documented in Ex 2 and an ultimate finding that </w:t>
      </w:r>
      <w:r>
        <w:rPr>
          <w:rFonts w:ascii="Arial"/>
          <w:color w:val="000000"/>
          <w:sz w:val="24"/>
        </w:rPr>
        <w:t>each of the nominated contentions were now resolved based on the agreed amendments (Ex 4 par 3).</w:t>
      </w:r>
    </w:p>
    <w:p>
      <w:pPr>
        <w:pStyle w:val="CaselawNumbered1"/>
        <w:numPr>
          <w:ilvl w:val="0"/>
          <w:numId w:val="40"/>
        </w:numPr>
        <w:spacing w:before="150" w:after="0"/>
        <w:ind w:left="1350" w:hanging="750"/>
      </w:pPr>
      <w:r>
        <w:rPr>
          <w:rFonts w:ascii="Arial"/>
          <w:color w:val="000000"/>
          <w:sz w:val="24"/>
        </w:rPr>
        <w:t xml:space="preserve">A consideration of lay </w:t>
      </w:r>
      <w:r>
        <w:rPr>
          <w:rFonts w:ascii="Arial"/>
          <w:color w:val="000000"/>
          <w:sz w:val="24"/>
        </w:rPr>
        <w:t xml:space="preserve">objecting </w:t>
      </w:r>
      <w:r>
        <w:rPr>
          <w:rFonts w:ascii="Arial"/>
          <w:color w:val="000000"/>
          <w:sz w:val="24"/>
        </w:rPr>
        <w:t xml:space="preserve">submissions. Here the experts synthesised the objecting submissions into 32 </w:t>
      </w:r>
      <w:r>
        <w:rPr>
          <w:rFonts w:ascii="Arial"/>
          <w:color w:val="000000"/>
          <w:sz w:val="24"/>
        </w:rPr>
        <w:t>topics</w:t>
      </w:r>
      <w:r>
        <w:rPr>
          <w:rFonts w:ascii="Arial"/>
          <w:color w:val="000000"/>
          <w:sz w:val="24"/>
        </w:rPr>
        <w:t xml:space="preserve"> </w:t>
      </w:r>
      <w:r>
        <w:rPr>
          <w:rFonts w:ascii="Arial"/>
          <w:color w:val="000000"/>
          <w:sz w:val="24"/>
        </w:rPr>
        <w:t xml:space="preserve">and provided agreed </w:t>
      </w:r>
      <w:r>
        <w:rPr>
          <w:rFonts w:ascii="Arial"/>
          <w:color w:val="000000"/>
          <w:sz w:val="24"/>
        </w:rPr>
        <w:t xml:space="preserve">point form </w:t>
      </w:r>
      <w:r>
        <w:rPr>
          <w:rFonts w:ascii="Arial"/>
          <w:color w:val="000000"/>
          <w:sz w:val="24"/>
        </w:rPr>
        <w:t>responses with respect to each. Again</w:t>
      </w:r>
      <w:r>
        <w:rPr>
          <w:rFonts w:ascii="Arial"/>
          <w:color w:val="000000"/>
          <w:sz w:val="24"/>
        </w:rPr>
        <w:t>,</w:t>
      </w:r>
      <w:r>
        <w:rPr>
          <w:rFonts w:ascii="Arial"/>
          <w:color w:val="000000"/>
          <w:sz w:val="24"/>
        </w:rPr>
        <w:t xml:space="preserve"> </w:t>
      </w:r>
      <w:r>
        <w:rPr>
          <w:rFonts w:ascii="Arial"/>
          <w:color w:val="000000"/>
          <w:sz w:val="24"/>
        </w:rPr>
        <w:t xml:space="preserve">the ultimate finding was of agreement that there were adequate responses to each of the </w:t>
      </w:r>
      <w:r>
        <w:rPr>
          <w:rFonts w:ascii="Arial"/>
          <w:color w:val="000000"/>
          <w:sz w:val="24"/>
        </w:rPr>
        <w:t>identified topics</w:t>
      </w:r>
      <w:r>
        <w:rPr>
          <w:rFonts w:ascii="Arial"/>
          <w:color w:val="000000"/>
          <w:sz w:val="24"/>
        </w:rPr>
        <w:t>.</w:t>
      </w:r>
    </w:p>
    <w:p>
      <w:pPr>
        <w:pStyle w:val="CaselawNumbered10"/>
        <w:numPr>
          <w:ilvl w:val="0"/>
          <w:numId w:val="41"/>
        </w:numPr>
        <w:spacing w:before="150" w:after="0"/>
        <w:ind w:left="600" w:hanging="600"/>
      </w:pPr>
      <w:r>
        <w:rPr>
          <w:rFonts w:ascii="Arial"/>
          <w:color w:val="000000"/>
          <w:sz w:val="24"/>
        </w:rPr>
        <w:t xml:space="preserve">The </w:t>
      </w:r>
      <w:r>
        <w:rPr>
          <w:rFonts w:ascii="Arial"/>
          <w:color w:val="000000"/>
          <w:sz w:val="24"/>
        </w:rPr>
        <w:t>attachments to Ex 4</w:t>
      </w:r>
      <w:r>
        <w:rPr>
          <w:rFonts w:ascii="Arial"/>
          <w:color w:val="000000"/>
          <w:sz w:val="24"/>
        </w:rPr>
        <w:t xml:space="preserve"> </w:t>
      </w:r>
      <w:r>
        <w:rPr>
          <w:rFonts w:ascii="Arial"/>
          <w:color w:val="000000"/>
          <w:sz w:val="24"/>
        </w:rPr>
        <w:t>included</w:t>
      </w:r>
      <w:r>
        <w:rPr>
          <w:rFonts w:ascii="Arial"/>
          <w:color w:val="000000"/>
          <w:sz w:val="24"/>
        </w:rPr>
        <w:t xml:space="preserve"> </w:t>
      </w:r>
      <w:r>
        <w:rPr>
          <w:rFonts w:ascii="Arial"/>
          <w:color w:val="000000"/>
          <w:sz w:val="24"/>
        </w:rPr>
        <w:t>a</w:t>
      </w:r>
      <w:r>
        <w:rPr>
          <w:rFonts w:ascii="Arial"/>
          <w:color w:val="000000"/>
          <w:sz w:val="24"/>
        </w:rPr>
        <w:t xml:space="preserve"> </w:t>
      </w:r>
      <w:r>
        <w:rPr>
          <w:rFonts w:ascii="Arial"/>
          <w:color w:val="000000"/>
          <w:sz w:val="24"/>
        </w:rPr>
        <w:t>final view sharing report arising from joint conferencing (Appendix D)</w:t>
      </w:r>
      <w:r>
        <w:rPr>
          <w:rFonts w:ascii="Arial"/>
          <w:color w:val="000000"/>
          <w:sz w:val="24"/>
        </w:rPr>
        <w:t>.</w:t>
      </w:r>
      <w:r>
        <w:rPr>
          <w:rFonts w:ascii="Arial"/>
          <w:color w:val="000000"/>
          <w:sz w:val="24"/>
        </w:rPr>
        <w:t xml:space="preserve"> </w:t>
      </w:r>
    </w:p>
    <w:p>
      <w:pPr>
        <w:pStyle w:val="CaselawHeading3"/>
        <w:keepNext/>
        <w:spacing w:before="150" w:after="150" w:line="264"/>
        <w:ind w:left="0"/>
        <w:jc w:val="left"/>
      </w:pPr>
      <w:r>
        <w:rPr>
          <w:rFonts w:ascii="Arial"/>
        </w:rPr>
        <w:t>Lay submissions</w:t>
      </w:r>
    </w:p>
    <w:p>
      <w:pPr>
        <w:pStyle w:val="CaselawNumbered10"/>
        <w:numPr>
          <w:ilvl w:val="0"/>
          <w:numId w:val="42"/>
        </w:numPr>
        <w:spacing w:before="150" w:after="0"/>
        <w:ind w:left="600" w:hanging="600"/>
      </w:pPr>
      <w:r>
        <w:rPr>
          <w:rFonts w:ascii="Arial"/>
          <w:color w:val="000000"/>
          <w:sz w:val="24"/>
        </w:rPr>
        <w:t xml:space="preserve">There have been </w:t>
      </w:r>
      <w:r>
        <w:rPr>
          <w:rFonts w:ascii="Arial"/>
          <w:color w:val="000000"/>
          <w:sz w:val="24"/>
        </w:rPr>
        <w:t>a large number of</w:t>
      </w:r>
      <w:r>
        <w:rPr>
          <w:rFonts w:ascii="Arial"/>
          <w:color w:val="000000"/>
          <w:sz w:val="24"/>
        </w:rPr>
        <w:t xml:space="preserve"> </w:t>
      </w:r>
      <w:r>
        <w:rPr>
          <w:rFonts w:ascii="Arial"/>
          <w:color w:val="000000"/>
          <w:sz w:val="24"/>
        </w:rPr>
        <w:t xml:space="preserve">lay </w:t>
      </w:r>
      <w:r>
        <w:rPr>
          <w:rFonts w:ascii="Arial"/>
          <w:color w:val="000000"/>
          <w:sz w:val="24"/>
        </w:rPr>
        <w:t xml:space="preserve">submissions </w:t>
      </w:r>
      <w:r>
        <w:rPr>
          <w:rFonts w:ascii="Arial"/>
          <w:color w:val="000000"/>
          <w:sz w:val="24"/>
        </w:rPr>
        <w:t xml:space="preserve">objecting </w:t>
      </w:r>
      <w:r>
        <w:rPr>
          <w:rFonts w:ascii="Arial"/>
          <w:color w:val="000000"/>
          <w:sz w:val="24"/>
        </w:rPr>
        <w:t xml:space="preserve">to this proposal, </w:t>
      </w:r>
      <w:r>
        <w:rPr>
          <w:rFonts w:ascii="Arial"/>
          <w:color w:val="000000"/>
          <w:sz w:val="24"/>
        </w:rPr>
        <w:t xml:space="preserve">and a considerably lesser number of supportive </w:t>
      </w:r>
      <w:r>
        <w:rPr>
          <w:rFonts w:ascii="Arial"/>
          <w:color w:val="000000"/>
          <w:sz w:val="24"/>
        </w:rPr>
        <w:t xml:space="preserve">lay </w:t>
      </w:r>
      <w:r>
        <w:rPr>
          <w:rFonts w:ascii="Arial"/>
          <w:color w:val="000000"/>
          <w:sz w:val="24"/>
        </w:rPr>
        <w:t xml:space="preserve">submissions. The objecting submissions were </w:t>
      </w:r>
      <w:r>
        <w:rPr>
          <w:rFonts w:ascii="Arial"/>
          <w:color w:val="000000"/>
          <w:sz w:val="24"/>
        </w:rPr>
        <w:t xml:space="preserve">in written and </w:t>
      </w:r>
      <w:r>
        <w:rPr>
          <w:rFonts w:ascii="Arial"/>
          <w:color w:val="000000"/>
          <w:sz w:val="24"/>
        </w:rPr>
        <w:t xml:space="preserve">oral </w:t>
      </w:r>
      <w:r>
        <w:rPr>
          <w:rFonts w:ascii="Arial"/>
          <w:color w:val="000000"/>
          <w:sz w:val="24"/>
        </w:rPr>
        <w:t xml:space="preserve">form </w:t>
      </w:r>
      <w:r>
        <w:rPr>
          <w:rFonts w:ascii="Arial"/>
          <w:color w:val="000000"/>
          <w:sz w:val="24"/>
        </w:rPr>
        <w:t>(</w:t>
      </w:r>
      <w:r>
        <w:rPr>
          <w:rFonts w:ascii="Arial"/>
          <w:color w:val="000000"/>
          <w:sz w:val="24"/>
        </w:rPr>
        <w:t>provided</w:t>
      </w:r>
      <w:r>
        <w:rPr>
          <w:rFonts w:ascii="Arial"/>
          <w:color w:val="000000"/>
          <w:sz w:val="24"/>
        </w:rPr>
        <w:t xml:space="preserve"> </w:t>
      </w:r>
      <w:r>
        <w:rPr>
          <w:rFonts w:ascii="Arial"/>
          <w:color w:val="000000"/>
          <w:sz w:val="24"/>
        </w:rPr>
        <w:t xml:space="preserve">both in Court </w:t>
      </w:r>
      <w:r>
        <w:rPr>
          <w:rFonts w:ascii="Arial"/>
          <w:color w:val="000000"/>
          <w:sz w:val="24"/>
        </w:rPr>
        <w:t xml:space="preserve">during the hearing </w:t>
      </w:r>
      <w:r>
        <w:rPr>
          <w:rFonts w:ascii="Arial"/>
          <w:color w:val="000000"/>
          <w:sz w:val="24"/>
        </w:rPr>
        <w:t xml:space="preserve">and during the site inspection </w:t>
      </w:r>
      <w:r>
        <w:rPr>
          <w:rFonts w:ascii="Arial"/>
          <w:color w:val="000000"/>
          <w:sz w:val="24"/>
        </w:rPr>
        <w:t xml:space="preserve">stage of the s 34 conciliation conference). Council filed a volume of written submissions which was marked Ex 6 in the proceedings. There were also </w:t>
      </w:r>
      <w:r>
        <w:rPr>
          <w:rFonts w:ascii="Arial"/>
          <w:color w:val="000000"/>
          <w:sz w:val="24"/>
        </w:rPr>
        <w:t>a number of</w:t>
      </w:r>
      <w:r>
        <w:rPr>
          <w:rFonts w:ascii="Arial"/>
          <w:color w:val="000000"/>
          <w:sz w:val="24"/>
        </w:rPr>
        <w:t xml:space="preserve"> </w:t>
      </w:r>
      <w:r>
        <w:rPr>
          <w:rFonts w:ascii="Arial"/>
          <w:color w:val="000000"/>
          <w:sz w:val="24"/>
        </w:rPr>
        <w:t xml:space="preserve">accompanying written </w:t>
      </w:r>
      <w:r>
        <w:rPr>
          <w:rFonts w:ascii="Arial"/>
          <w:color w:val="000000"/>
          <w:sz w:val="24"/>
        </w:rPr>
        <w:t xml:space="preserve">submissions, diagrams or speaking notes prepared by those giving oral </w:t>
      </w:r>
      <w:r>
        <w:rPr>
          <w:rFonts w:ascii="Arial"/>
          <w:color w:val="000000"/>
          <w:sz w:val="24"/>
        </w:rPr>
        <w:t>evidence</w:t>
      </w:r>
      <w:r>
        <w:rPr>
          <w:rFonts w:ascii="Arial"/>
          <w:color w:val="000000"/>
          <w:sz w:val="24"/>
        </w:rPr>
        <w:t xml:space="preserve"> </w:t>
      </w:r>
      <w:r>
        <w:rPr>
          <w:rFonts w:ascii="Arial"/>
          <w:color w:val="000000"/>
          <w:sz w:val="24"/>
        </w:rPr>
        <w:t>in Court, which were tendered into evidence</w:t>
      </w:r>
      <w:r>
        <w:rPr>
          <w:rFonts w:ascii="Arial"/>
          <w:color w:val="000000"/>
          <w:sz w:val="24"/>
        </w:rPr>
        <w:t>, relevantly.</w:t>
      </w:r>
    </w:p>
    <w:p>
      <w:pPr>
        <w:pStyle w:val="CaselawNumbered10"/>
        <w:numPr>
          <w:ilvl w:val="0"/>
          <w:numId w:val="42"/>
        </w:numPr>
        <w:spacing w:before="150" w:after="0"/>
        <w:ind w:left="600" w:hanging="600"/>
      </w:pPr>
      <w:r>
        <w:rPr>
          <w:rFonts w:ascii="Arial"/>
          <w:color w:val="000000"/>
          <w:sz w:val="24"/>
        </w:rPr>
        <w:t xml:space="preserve">I </w:t>
      </w:r>
      <w:r>
        <w:rPr>
          <w:rFonts w:ascii="Arial"/>
          <w:color w:val="000000"/>
          <w:sz w:val="24"/>
        </w:rPr>
        <w:t>have</w:t>
      </w:r>
      <w:r>
        <w:rPr>
          <w:rFonts w:ascii="Arial"/>
          <w:color w:val="000000"/>
          <w:sz w:val="24"/>
        </w:rPr>
        <w:t xml:space="preserve"> </w:t>
      </w:r>
      <w:r>
        <w:rPr>
          <w:rFonts w:ascii="Arial"/>
          <w:color w:val="000000"/>
          <w:sz w:val="24"/>
        </w:rPr>
        <w:t>note</w:t>
      </w:r>
      <w:r>
        <w:rPr>
          <w:rFonts w:ascii="Arial"/>
          <w:color w:val="000000"/>
          <w:sz w:val="24"/>
        </w:rPr>
        <w:t>d</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 xml:space="preserve">number of lay submissions supportive of the proposal. </w:t>
      </w:r>
      <w:r>
        <w:rPr>
          <w:rFonts w:ascii="Arial"/>
          <w:color w:val="000000"/>
          <w:sz w:val="24"/>
        </w:rPr>
        <w:t>I think I have reviewed each of the supportive submissions from the last round of notification. The common themes of these submissions included support for the architectural scheme itself, seeing it as respectful of local heritage and providing for a development which would breathe some new life into the already unique local area</w:t>
      </w:r>
      <w:r>
        <w:rPr>
          <w:rFonts w:ascii="Arial"/>
          <w:color w:val="000000"/>
          <w:sz w:val="24"/>
        </w:rPr>
        <w:t>,</w:t>
      </w:r>
      <w:r>
        <w:rPr>
          <w:rFonts w:ascii="Arial"/>
          <w:color w:val="000000"/>
          <w:sz w:val="24"/>
        </w:rPr>
        <w:t xml:space="preserve"> </w:t>
      </w:r>
      <w:r>
        <w:rPr>
          <w:rFonts w:ascii="Arial"/>
          <w:color w:val="000000"/>
          <w:sz w:val="24"/>
        </w:rPr>
        <w:t>“</w:t>
      </w:r>
      <w:r>
        <w:rPr>
          <w:rFonts w:ascii="Arial"/>
          <w:color w:val="000000"/>
          <w:sz w:val="24"/>
        </w:rPr>
        <w:t>a leap forward to a brighter future</w:t>
      </w:r>
      <w:r>
        <w:rPr>
          <w:rFonts w:ascii="Arial"/>
          <w:color w:val="000000"/>
          <w:sz w:val="24"/>
        </w:rPr>
        <w:t>”</w:t>
      </w:r>
      <w:r>
        <w:rPr>
          <w:rFonts w:ascii="Arial"/>
          <w:color w:val="000000"/>
          <w:sz w:val="24"/>
        </w:rPr>
        <w:t>. The proposal would address</w:t>
      </w:r>
      <w:r>
        <w:rPr>
          <w:rFonts w:ascii="Arial"/>
          <w:color w:val="000000"/>
          <w:sz w:val="24"/>
        </w:rPr>
        <w:t xml:space="preserve"> </w:t>
      </w:r>
      <w:r>
        <w:rPr>
          <w:rFonts w:ascii="Arial"/>
          <w:color w:val="000000"/>
          <w:sz w:val="24"/>
        </w:rPr>
        <w:t>“</w:t>
      </w:r>
      <w:r>
        <w:rPr>
          <w:rFonts w:ascii="Arial"/>
          <w:color w:val="000000"/>
          <w:sz w:val="24"/>
        </w:rPr>
        <w:t>pressing needs</w:t>
      </w:r>
      <w:r>
        <w:rPr>
          <w:rFonts w:ascii="Arial"/>
          <w:color w:val="000000"/>
          <w:sz w:val="24"/>
        </w:rPr>
        <w:t xml:space="preserve">” </w:t>
      </w:r>
      <w:r>
        <w:rPr>
          <w:rFonts w:ascii="Arial"/>
          <w:color w:val="000000"/>
          <w:sz w:val="24"/>
        </w:rPr>
        <w:t xml:space="preserve">(Ex </w:t>
      </w:r>
      <w:r>
        <w:rPr>
          <w:rFonts w:ascii="Arial"/>
          <w:color w:val="000000"/>
          <w:sz w:val="24"/>
        </w:rPr>
        <w:t xml:space="preserve">3 </w:t>
      </w:r>
      <w:r>
        <w:rPr>
          <w:rFonts w:ascii="Arial"/>
          <w:color w:val="000000"/>
          <w:sz w:val="24"/>
        </w:rPr>
        <w:t xml:space="preserve">p 1219). A quote from the following three submissions assists me in understanding the </w:t>
      </w:r>
      <w:r>
        <w:rPr>
          <w:rFonts w:ascii="Arial"/>
          <w:color w:val="000000"/>
          <w:sz w:val="24"/>
        </w:rPr>
        <w:t xml:space="preserve">particular </w:t>
      </w:r>
      <w:r>
        <w:rPr>
          <w:rFonts w:ascii="Arial"/>
          <w:color w:val="000000"/>
          <w:sz w:val="24"/>
        </w:rPr>
        <w:t>“</w:t>
      </w:r>
      <w:r>
        <w:rPr>
          <w:rFonts w:ascii="Arial"/>
          <w:color w:val="000000"/>
          <w:sz w:val="24"/>
        </w:rPr>
        <w:t>need</w:t>
      </w:r>
      <w:r>
        <w:rPr>
          <w:rFonts w:ascii="Arial"/>
          <w:color w:val="000000"/>
          <w:sz w:val="24"/>
        </w:rPr>
        <w:t>”</w:t>
      </w:r>
      <w:r>
        <w:rPr>
          <w:rFonts w:ascii="Arial"/>
          <w:color w:val="000000"/>
          <w:sz w:val="24"/>
        </w:rPr>
        <w:t xml:space="preserve"> </w:t>
      </w:r>
      <w:r>
        <w:rPr>
          <w:rFonts w:ascii="Arial"/>
          <w:color w:val="000000"/>
          <w:sz w:val="24"/>
        </w:rPr>
        <w:t xml:space="preserve">which the proposal was seen to be able to address (Ex </w:t>
      </w:r>
      <w:r>
        <w:rPr>
          <w:rFonts w:ascii="Arial"/>
          <w:color w:val="000000"/>
          <w:sz w:val="24"/>
        </w:rPr>
        <w:t xml:space="preserve">3 </w:t>
      </w:r>
      <w:r>
        <w:rPr>
          <w:rFonts w:ascii="Arial"/>
          <w:color w:val="000000"/>
          <w:sz w:val="24"/>
        </w:rPr>
        <w:t>p 1234 and p 1237, p 1244):</w:t>
      </w:r>
    </w:p>
    <w:p>
      <w:pPr>
        <w:pStyle w:val="CaselawCoversheet"/>
        <w:spacing w:before="150" w:after="150"/>
        <w:ind w:left="1350"/>
        <w:jc w:val="left"/>
      </w:pPr>
      <w:r>
        <w:rPr>
          <w:rFonts w:ascii="Arial"/>
          <w:color w:val="000000"/>
          <w:sz w:val="24"/>
        </w:rPr>
        <w:t>“</w:t>
      </w:r>
      <w:r>
        <w:rPr>
          <w:rFonts w:ascii="Arial"/>
          <w:color w:val="000000"/>
          <w:sz w:val="24"/>
        </w:rPr>
        <w:t xml:space="preserve">Elizabeth Bay is renowned for its unique charm, characterised by a blend of historical architecture, lush green spaces, and </w:t>
      </w:r>
      <w:r>
        <w:rPr>
          <w:rFonts w:ascii="Arial"/>
          <w:color w:val="000000"/>
          <w:sz w:val="24"/>
        </w:rPr>
        <w:t>[a]</w:t>
      </w:r>
      <w:r>
        <w:rPr>
          <w:rFonts w:ascii="Arial"/>
          <w:color w:val="000000"/>
          <w:sz w:val="24"/>
        </w:rPr>
        <w:t xml:space="preserve"> dynamic community spirit. Howeve</w:t>
      </w:r>
      <w:r>
        <w:rPr>
          <w:rFonts w:ascii="Arial"/>
          <w:color w:val="000000"/>
          <w:sz w:val="24"/>
        </w:rPr>
        <w:t>r, some areas within our suburb have aged and require thoughtful redevelopment to meet contemporary standards and the needs of our growing population.”</w:t>
      </w:r>
    </w:p>
    <w:p>
      <w:pPr>
        <w:pStyle w:val="CaselawNumbered10"/>
        <w:numPr>
          <w:ilvl w:val="0"/>
          <w:numId w:val="43"/>
        </w:numPr>
        <w:spacing w:before="150" w:after="0"/>
        <w:ind w:left="600" w:hanging="600"/>
      </w:pPr>
      <w:r>
        <w:rPr>
          <w:rFonts w:ascii="Arial"/>
          <w:color w:val="000000"/>
          <w:sz w:val="24"/>
        </w:rPr>
        <w:t xml:space="preserve">A suggested outcome of some submissions was that the new development will support increased owner occupation of apartments. One of the submissions suggested a long list of significant building defects and deficiencies (Ex p 1230), </w:t>
      </w:r>
      <w:r>
        <w:rPr>
          <w:rFonts w:ascii="Arial"/>
          <w:color w:val="000000"/>
          <w:sz w:val="24"/>
        </w:rPr>
        <w:t>a line of argument</w:t>
      </w:r>
      <w:r>
        <w:rPr>
          <w:rFonts w:ascii="Arial"/>
          <w:color w:val="000000"/>
          <w:sz w:val="24"/>
        </w:rPr>
        <w:t xml:space="preserve"> </w:t>
      </w:r>
      <w:r>
        <w:rPr>
          <w:rFonts w:ascii="Arial"/>
          <w:color w:val="000000"/>
          <w:sz w:val="24"/>
        </w:rPr>
        <w:t xml:space="preserve">not supported in submissions </w:t>
      </w:r>
      <w:r>
        <w:rPr>
          <w:rFonts w:ascii="Arial"/>
          <w:color w:val="000000"/>
          <w:sz w:val="24"/>
        </w:rPr>
        <w:t xml:space="preserve">by the parties </w:t>
      </w:r>
      <w:r>
        <w:rPr>
          <w:rFonts w:ascii="Arial"/>
          <w:color w:val="000000"/>
          <w:sz w:val="24"/>
        </w:rPr>
        <w:t>or expert evidence.</w:t>
      </w:r>
    </w:p>
    <w:p>
      <w:pPr>
        <w:pStyle w:val="CaselawNumbered10"/>
        <w:numPr>
          <w:ilvl w:val="0"/>
          <w:numId w:val="43"/>
        </w:numPr>
        <w:spacing w:before="150" w:after="0"/>
        <w:ind w:left="600" w:hanging="600"/>
      </w:pPr>
      <w:r>
        <w:rPr>
          <w:rFonts w:ascii="Arial"/>
          <w:color w:val="000000"/>
          <w:sz w:val="24"/>
        </w:rPr>
        <w:t>A point arising in both objecting and supportive submissions was that the other side was selfishly interested in their own private financial benefits. These kinds of concerns are commonplace</w:t>
      </w:r>
      <w:r>
        <w:rPr>
          <w:rFonts w:ascii="Arial"/>
          <w:color w:val="000000"/>
          <w:sz w:val="24"/>
        </w:rPr>
        <w:t xml:space="preserve">. It </w:t>
      </w:r>
      <w:r>
        <w:rPr>
          <w:rFonts w:ascii="Arial"/>
          <w:color w:val="000000"/>
          <w:sz w:val="24"/>
        </w:rPr>
        <w:t>is the substance of the arguments put in any such submissions which is of concern to me here.</w:t>
      </w:r>
    </w:p>
    <w:p>
      <w:pPr>
        <w:pStyle w:val="CaselawHeading4"/>
        <w:keepNext/>
        <w:spacing w:before="150" w:after="150" w:line="264"/>
        <w:ind w:left="600"/>
        <w:jc w:val="left"/>
      </w:pPr>
      <w:r>
        <w:rPr>
          <w:rFonts w:ascii="Arial"/>
        </w:rPr>
        <w:t>Primary</w:t>
      </w:r>
      <w:r>
        <w:rPr>
          <w:rFonts w:ascii="Arial"/>
        </w:rPr>
        <w:t xml:space="preserve"> issues </w:t>
      </w:r>
      <w:r>
        <w:rPr>
          <w:rFonts w:ascii="Arial"/>
        </w:rPr>
        <w:t>arising</w:t>
      </w:r>
      <w:r>
        <w:rPr>
          <w:rFonts w:ascii="Arial"/>
        </w:rPr>
        <w:t xml:space="preserve"> from lay objecting </w:t>
      </w:r>
      <w:r>
        <w:rPr>
          <w:rFonts w:ascii="Arial"/>
        </w:rPr>
        <w:t>submissions</w:t>
      </w:r>
    </w:p>
    <w:p>
      <w:pPr>
        <w:pStyle w:val="CaselawNumbered10"/>
        <w:numPr>
          <w:ilvl w:val="0"/>
          <w:numId w:val="44"/>
        </w:numPr>
        <w:spacing w:before="150" w:after="0"/>
        <w:ind w:left="600" w:hanging="600"/>
      </w:pPr>
      <w:r>
        <w:rPr>
          <w:rFonts w:ascii="Arial"/>
          <w:color w:val="000000"/>
          <w:sz w:val="24"/>
        </w:rPr>
        <w:t>Having read over</w:t>
      </w:r>
      <w:r>
        <w:rPr>
          <w:rFonts w:ascii="Arial"/>
          <w:color w:val="000000"/>
          <w:sz w:val="24"/>
        </w:rPr>
        <w:t>, and in some instances heard,</w:t>
      </w:r>
      <w:r>
        <w:rPr>
          <w:rFonts w:ascii="Arial"/>
          <w:color w:val="000000"/>
          <w:sz w:val="24"/>
        </w:rPr>
        <w:t xml:space="preserve"> </w:t>
      </w:r>
      <w:r>
        <w:rPr>
          <w:rFonts w:ascii="Arial"/>
          <w:color w:val="000000"/>
          <w:sz w:val="24"/>
        </w:rPr>
        <w:t xml:space="preserve">the objecting submissions in relation to the proposal and mindful of relevant policy settings, I consider the </w:t>
      </w:r>
      <w:r>
        <w:rPr>
          <w:rFonts w:ascii="Arial"/>
          <w:color w:val="000000"/>
          <w:sz w:val="24"/>
        </w:rPr>
        <w:t>primary</w:t>
      </w:r>
      <w:r>
        <w:rPr>
          <w:rFonts w:ascii="Arial"/>
          <w:color w:val="000000"/>
          <w:sz w:val="24"/>
        </w:rPr>
        <w:t xml:space="preserve"> </w:t>
      </w:r>
      <w:r>
        <w:rPr>
          <w:rFonts w:ascii="Arial"/>
          <w:color w:val="000000"/>
          <w:sz w:val="24"/>
        </w:rPr>
        <w:t xml:space="preserve">or </w:t>
      </w:r>
      <w:r>
        <w:rPr>
          <w:rFonts w:ascii="Arial"/>
          <w:color w:val="000000"/>
          <w:sz w:val="24"/>
        </w:rPr>
        <w:t xml:space="preserve">more </w:t>
      </w:r>
      <w:r>
        <w:rPr>
          <w:rFonts w:ascii="Arial"/>
          <w:color w:val="000000"/>
          <w:sz w:val="24"/>
        </w:rPr>
        <w:t>substantive</w:t>
      </w:r>
      <w:r>
        <w:rPr>
          <w:rFonts w:ascii="Arial"/>
          <w:color w:val="000000"/>
          <w:sz w:val="24"/>
        </w:rPr>
        <w:t xml:space="preserve"> </w:t>
      </w:r>
      <w:r>
        <w:rPr>
          <w:rFonts w:ascii="Arial"/>
          <w:color w:val="000000"/>
          <w:sz w:val="24"/>
        </w:rPr>
        <w:t xml:space="preserve">issues </w:t>
      </w:r>
      <w:r>
        <w:rPr>
          <w:rFonts w:ascii="Arial"/>
          <w:color w:val="000000"/>
          <w:sz w:val="24"/>
        </w:rPr>
        <w:t xml:space="preserve">raised in the objecting submissions </w:t>
      </w:r>
      <w:r>
        <w:rPr>
          <w:rFonts w:ascii="Arial"/>
          <w:color w:val="000000"/>
          <w:sz w:val="24"/>
        </w:rPr>
        <w:t xml:space="preserve">(sometimes inter-related) </w:t>
      </w:r>
      <w:r>
        <w:rPr>
          <w:rFonts w:ascii="Arial"/>
          <w:color w:val="000000"/>
          <w:sz w:val="24"/>
        </w:rPr>
        <w:t>to be the following:</w:t>
      </w:r>
    </w:p>
    <w:p>
      <w:pPr>
        <w:pStyle w:val="CaselawBullet"/>
        <w:numPr>
          <w:ilvl w:val="0"/>
          <w:numId w:val="45"/>
        </w:numPr>
        <w:spacing w:before="150" w:after="0"/>
        <w:ind w:left="600" w:hanging="250"/>
      </w:pPr>
      <w:r>
        <w:rPr>
          <w:rFonts w:ascii="Arial"/>
          <w:color w:val="000000"/>
          <w:sz w:val="24"/>
        </w:rPr>
        <w:t>Building height</w:t>
      </w:r>
      <w:r>
        <w:rPr>
          <w:rFonts w:ascii="Arial"/>
          <w:color w:val="000000"/>
          <w:sz w:val="24"/>
        </w:rPr>
        <w:t xml:space="preserve"> </w:t>
      </w:r>
      <w:r>
        <w:rPr>
          <w:rFonts w:ascii="Arial"/>
          <w:color w:val="000000"/>
          <w:sz w:val="24"/>
        </w:rPr>
        <w:t>and breach of development standard</w:t>
      </w:r>
    </w:p>
    <w:p>
      <w:pPr>
        <w:pStyle w:val="CaselawBullet"/>
        <w:numPr>
          <w:ilvl w:val="0"/>
          <w:numId w:val="45"/>
        </w:numPr>
        <w:spacing w:before="150" w:after="0"/>
        <w:ind w:left="600" w:hanging="250"/>
      </w:pPr>
      <w:r>
        <w:rPr>
          <w:rFonts w:ascii="Arial"/>
          <w:color w:val="000000"/>
          <w:sz w:val="24"/>
        </w:rPr>
        <w:t>Inconsistency with zone objectives</w:t>
      </w:r>
    </w:p>
    <w:p>
      <w:pPr>
        <w:pStyle w:val="CaselawBullet"/>
        <w:numPr>
          <w:ilvl w:val="0"/>
          <w:numId w:val="45"/>
        </w:numPr>
        <w:spacing w:before="150" w:after="0"/>
        <w:ind w:left="600" w:hanging="250"/>
      </w:pPr>
      <w:r>
        <w:rPr>
          <w:rFonts w:ascii="Arial"/>
          <w:color w:val="000000"/>
          <w:sz w:val="24"/>
        </w:rPr>
        <w:t>Loss of affordable dwelling</w:t>
      </w:r>
      <w:r>
        <w:rPr>
          <w:rFonts w:ascii="Arial"/>
          <w:color w:val="000000"/>
          <w:sz w:val="24"/>
        </w:rPr>
        <w:t>s</w:t>
      </w:r>
      <w:r>
        <w:rPr>
          <w:rFonts w:ascii="Arial"/>
          <w:color w:val="000000"/>
          <w:sz w:val="24"/>
        </w:rPr>
        <w:t xml:space="preserve">, reduction of dwellings </w:t>
      </w:r>
    </w:p>
    <w:p>
      <w:pPr>
        <w:pStyle w:val="CaselawBullet"/>
        <w:numPr>
          <w:ilvl w:val="0"/>
          <w:numId w:val="45"/>
        </w:numPr>
        <w:spacing w:before="150" w:after="0"/>
        <w:ind w:left="600" w:hanging="250"/>
      </w:pPr>
      <w:r>
        <w:rPr>
          <w:rFonts w:ascii="Arial"/>
          <w:color w:val="000000"/>
          <w:sz w:val="24"/>
        </w:rPr>
        <w:t xml:space="preserve">View impacts </w:t>
      </w:r>
    </w:p>
    <w:p>
      <w:pPr>
        <w:pStyle w:val="CaselawBullet"/>
        <w:numPr>
          <w:ilvl w:val="0"/>
          <w:numId w:val="45"/>
        </w:numPr>
        <w:spacing w:before="150" w:after="0"/>
        <w:ind w:left="600" w:hanging="250"/>
      </w:pPr>
      <w:r>
        <w:rPr>
          <w:rFonts w:ascii="Arial"/>
          <w:color w:val="000000"/>
          <w:sz w:val="24"/>
        </w:rPr>
        <w:t>V</w:t>
      </w:r>
      <w:r>
        <w:rPr>
          <w:rFonts w:ascii="Arial"/>
          <w:color w:val="000000"/>
          <w:sz w:val="24"/>
        </w:rPr>
        <w:t>isual bulk and inadequate building separation distances</w:t>
      </w:r>
    </w:p>
    <w:p>
      <w:pPr>
        <w:pStyle w:val="CaselawBullet"/>
        <w:numPr>
          <w:ilvl w:val="0"/>
          <w:numId w:val="45"/>
        </w:numPr>
        <w:spacing w:before="150" w:after="0"/>
        <w:ind w:left="600" w:hanging="250"/>
      </w:pPr>
      <w:r>
        <w:rPr>
          <w:rFonts w:ascii="Arial"/>
          <w:color w:val="000000"/>
          <w:sz w:val="24"/>
        </w:rPr>
        <w:t xml:space="preserve">Demolition of the existing building and the design of the proposed development is not </w:t>
      </w:r>
      <w:r>
        <w:rPr>
          <w:rFonts w:ascii="Arial"/>
          <w:color w:val="000000"/>
          <w:sz w:val="24"/>
        </w:rPr>
        <w:t>sustainable</w:t>
      </w:r>
    </w:p>
    <w:p>
      <w:pPr>
        <w:pStyle w:val="CaselawBullet"/>
        <w:numPr>
          <w:ilvl w:val="0"/>
          <w:numId w:val="45"/>
        </w:numPr>
        <w:spacing w:before="150" w:after="0"/>
        <w:ind w:left="600" w:hanging="250"/>
      </w:pPr>
      <w:r>
        <w:rPr>
          <w:rFonts w:ascii="Arial"/>
          <w:color w:val="000000"/>
          <w:sz w:val="24"/>
        </w:rPr>
        <w:t>Amenity effects of excavation and general construction stage impacts (including traffic, noise, dust, vibration)</w:t>
      </w:r>
      <w:r>
        <w:rPr>
          <w:rFonts w:ascii="Arial"/>
          <w:color w:val="000000"/>
          <w:sz w:val="24"/>
        </w:rPr>
        <w:t>.</w:t>
      </w:r>
    </w:p>
    <w:p>
      <w:pPr>
        <w:pStyle w:val="CaselawNumbered10"/>
        <w:numPr>
          <w:ilvl w:val="0"/>
          <w:numId w:val="46"/>
        </w:numPr>
        <w:spacing w:before="150" w:after="0"/>
        <w:ind w:left="600" w:hanging="600"/>
      </w:pPr>
      <w:r>
        <w:rPr>
          <w:rFonts w:ascii="Arial"/>
          <w:color w:val="000000"/>
          <w:sz w:val="24"/>
        </w:rPr>
        <w:t xml:space="preserve">The </w:t>
      </w:r>
      <w:r>
        <w:rPr>
          <w:rFonts w:ascii="Arial"/>
          <w:color w:val="000000"/>
          <w:sz w:val="24"/>
        </w:rPr>
        <w:t>matters nominated in the first three bullet points are related, involve jurisdictional power and</w:t>
      </w:r>
      <w:r>
        <w:rPr>
          <w:rFonts w:ascii="Arial"/>
          <w:color w:val="000000"/>
          <w:sz w:val="24"/>
        </w:rPr>
        <w:t xml:space="preserve">, as it happens, </w:t>
      </w:r>
      <w:r>
        <w:rPr>
          <w:rFonts w:ascii="Arial"/>
          <w:color w:val="000000"/>
          <w:sz w:val="24"/>
        </w:rPr>
        <w:t>involve the</w:t>
      </w:r>
      <w:r>
        <w:rPr>
          <w:rFonts w:ascii="Arial"/>
          <w:color w:val="000000"/>
          <w:sz w:val="24"/>
        </w:rPr>
        <w:t xml:space="preserve"> </w:t>
      </w:r>
      <w:r>
        <w:rPr>
          <w:rFonts w:ascii="Arial"/>
          <w:color w:val="000000"/>
          <w:sz w:val="24"/>
        </w:rPr>
        <w:t xml:space="preserve">determinative issue in </w:t>
      </w:r>
      <w:r>
        <w:rPr>
          <w:rFonts w:ascii="Arial"/>
          <w:color w:val="000000"/>
          <w:sz w:val="24"/>
        </w:rPr>
        <w:t>this matter. I deal with them</w:t>
      </w:r>
      <w:r>
        <w:rPr>
          <w:rFonts w:ascii="Arial"/>
          <w:color w:val="000000"/>
          <w:sz w:val="24"/>
        </w:rPr>
        <w:t>, together,</w:t>
      </w:r>
      <w:r>
        <w:rPr>
          <w:rFonts w:ascii="Arial"/>
          <w:color w:val="000000"/>
          <w:sz w:val="24"/>
        </w:rPr>
        <w:t xml:space="preserve"> </w:t>
      </w:r>
      <w:r>
        <w:rPr>
          <w:rFonts w:ascii="Arial"/>
          <w:color w:val="000000"/>
          <w:sz w:val="24"/>
        </w:rPr>
        <w:t>below</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 xml:space="preserve">finding </w:t>
      </w:r>
      <w:r>
        <w:rPr>
          <w:rFonts w:ascii="Arial"/>
          <w:color w:val="000000"/>
          <w:sz w:val="24"/>
        </w:rPr>
        <w:t xml:space="preserve">I make is that </w:t>
      </w:r>
      <w:r>
        <w:rPr>
          <w:rFonts w:ascii="Arial"/>
          <w:color w:val="000000"/>
          <w:sz w:val="24"/>
        </w:rPr>
        <w:t xml:space="preserve">there is no </w:t>
      </w:r>
      <w:r>
        <w:rPr>
          <w:rFonts w:ascii="Arial"/>
          <w:color w:val="000000"/>
          <w:sz w:val="24"/>
        </w:rPr>
        <w:t xml:space="preserve">power </w:t>
      </w:r>
      <w:r>
        <w:rPr>
          <w:rFonts w:ascii="Arial"/>
          <w:color w:val="000000"/>
          <w:sz w:val="24"/>
        </w:rPr>
        <w:t>to grant consent</w:t>
      </w:r>
      <w:r>
        <w:rPr>
          <w:rFonts w:ascii="Arial"/>
          <w:color w:val="000000"/>
          <w:sz w:val="24"/>
        </w:rPr>
        <w:t>,</w:t>
      </w:r>
      <w:r>
        <w:rPr>
          <w:rFonts w:ascii="Arial"/>
          <w:color w:val="000000"/>
          <w:sz w:val="24"/>
        </w:rPr>
        <w:t xml:space="preserve"> </w:t>
      </w:r>
      <w:r>
        <w:rPr>
          <w:rFonts w:ascii="Arial"/>
          <w:color w:val="000000"/>
          <w:sz w:val="24"/>
        </w:rPr>
        <w:t xml:space="preserve">due to </w:t>
      </w:r>
      <w:r>
        <w:rPr>
          <w:rFonts w:ascii="Arial"/>
          <w:color w:val="000000"/>
          <w:sz w:val="24"/>
        </w:rPr>
        <w:t xml:space="preserve">the </w:t>
      </w:r>
      <w:r>
        <w:rPr>
          <w:rFonts w:ascii="Arial"/>
          <w:color w:val="000000"/>
          <w:sz w:val="24"/>
        </w:rPr>
        <w:t xml:space="preserve">contravention of </w:t>
      </w:r>
      <w:r>
        <w:rPr>
          <w:rFonts w:ascii="Arial"/>
          <w:color w:val="000000"/>
          <w:sz w:val="24"/>
        </w:rPr>
        <w:t>the</w:t>
      </w:r>
      <w:r>
        <w:rPr>
          <w:rFonts w:ascii="Arial"/>
          <w:color w:val="000000"/>
          <w:sz w:val="24"/>
        </w:rPr>
        <w:t xml:space="preserve"> </w:t>
      </w:r>
      <w:r>
        <w:rPr>
          <w:rFonts w:ascii="Arial"/>
          <w:color w:val="000000"/>
          <w:sz w:val="24"/>
        </w:rPr>
        <w:t xml:space="preserve">height of buildings </w:t>
      </w:r>
      <w:r>
        <w:rPr>
          <w:rFonts w:ascii="Arial"/>
          <w:color w:val="000000"/>
          <w:sz w:val="24"/>
        </w:rPr>
        <w:t>development standard</w:t>
      </w:r>
      <w:r>
        <w:rPr>
          <w:rFonts w:ascii="Arial"/>
          <w:color w:val="000000"/>
          <w:sz w:val="24"/>
        </w:rPr>
        <w:t xml:space="preserve"> </w:t>
      </w:r>
      <w:r>
        <w:rPr>
          <w:rFonts w:ascii="Arial"/>
          <w:color w:val="000000"/>
          <w:sz w:val="24"/>
        </w:rPr>
        <w:t>under SLEP</w:t>
      </w:r>
      <w:r>
        <w:rPr>
          <w:rFonts w:ascii="Arial"/>
          <w:color w:val="000000"/>
          <w:sz w:val="24"/>
        </w:rPr>
        <w:t xml:space="preserve">. </w:t>
      </w:r>
      <w:r>
        <w:rPr>
          <w:rFonts w:ascii="Arial"/>
          <w:color w:val="000000"/>
          <w:sz w:val="24"/>
        </w:rPr>
        <w:t>I do turn to merits matters before finalising the judgement</w:t>
      </w:r>
      <w:r>
        <w:rPr>
          <w:rFonts w:ascii="Arial"/>
          <w:color w:val="000000"/>
          <w:sz w:val="24"/>
        </w:rPr>
        <w:t xml:space="preserve">, initially with respect to view impact assessment then </w:t>
      </w:r>
      <w:r>
        <w:rPr>
          <w:rFonts w:ascii="Arial"/>
          <w:color w:val="000000"/>
          <w:sz w:val="24"/>
        </w:rPr>
        <w:t xml:space="preserve">some </w:t>
      </w:r>
      <w:r>
        <w:rPr>
          <w:rFonts w:ascii="Arial"/>
          <w:color w:val="000000"/>
          <w:sz w:val="24"/>
        </w:rPr>
        <w:t>other merits considerations</w:t>
      </w:r>
      <w:r>
        <w:rPr>
          <w:rFonts w:ascii="Arial"/>
          <w:color w:val="000000"/>
          <w:sz w:val="24"/>
        </w:rPr>
        <w:t xml:space="preserve">, </w:t>
      </w:r>
      <w:r>
        <w:rPr>
          <w:rFonts w:ascii="Arial"/>
          <w:color w:val="000000"/>
          <w:sz w:val="24"/>
        </w:rPr>
        <w:t>briefly.</w:t>
      </w:r>
    </w:p>
    <w:p>
      <w:pPr>
        <w:pStyle w:val="CaselawHeading2"/>
        <w:keepNext/>
        <w:spacing w:before="150" w:after="150" w:line="264"/>
        <w:ind w:left="0"/>
        <w:jc w:val="left"/>
      </w:pPr>
      <w:r>
        <w:rPr>
          <w:rFonts w:ascii="Arial"/>
        </w:rPr>
        <w:t xml:space="preserve">Building height </w:t>
      </w:r>
      <w:r>
        <w:rPr>
          <w:rFonts w:ascii="Arial"/>
        </w:rPr>
        <w:t>contravention</w:t>
      </w:r>
      <w:r>
        <w:rPr>
          <w:rFonts w:ascii="Arial"/>
        </w:rPr>
        <w:t xml:space="preserve"> and related factors associated with consistency with R1 </w:t>
      </w:r>
      <w:r>
        <w:rPr>
          <w:rFonts w:ascii="Arial"/>
        </w:rPr>
        <w:t>zone objective</w:t>
      </w:r>
      <w:r>
        <w:rPr>
          <w:rFonts w:ascii="Arial"/>
        </w:rPr>
        <w:t xml:space="preserve"> to “provide for housing needs of the </w:t>
      </w:r>
      <w:r>
        <w:rPr>
          <w:rFonts w:ascii="Arial"/>
        </w:rPr>
        <w:t>community”</w:t>
      </w:r>
    </w:p>
    <w:p>
      <w:pPr>
        <w:pStyle w:val="CaselawHeading3"/>
        <w:keepNext/>
        <w:spacing w:before="150" w:after="150" w:line="264"/>
        <w:ind w:left="0"/>
        <w:jc w:val="left"/>
      </w:pPr>
      <w:r>
        <w:rPr>
          <w:rFonts w:ascii="Arial"/>
        </w:rPr>
        <w:t>Setting the scene</w:t>
      </w:r>
    </w:p>
    <w:p>
      <w:pPr>
        <w:pStyle w:val="CaselawNumbered10"/>
        <w:numPr>
          <w:ilvl w:val="0"/>
          <w:numId w:val="47"/>
        </w:numPr>
        <w:spacing w:before="150" w:after="0"/>
        <w:ind w:left="600" w:hanging="600"/>
      </w:pPr>
      <w:r>
        <w:rPr>
          <w:rFonts w:ascii="Arial"/>
          <w:color w:val="000000"/>
          <w:sz w:val="24"/>
        </w:rPr>
        <w:t xml:space="preserve">Clause 4.6 of SLEP is an important element of the case because of the </w:t>
      </w:r>
      <w:r>
        <w:rPr>
          <w:rFonts w:ascii="Arial"/>
          <w:color w:val="000000"/>
          <w:sz w:val="24"/>
        </w:rPr>
        <w:t>DA</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breach </w:t>
      </w:r>
      <w:r>
        <w:rPr>
          <w:rFonts w:ascii="Arial"/>
          <w:color w:val="000000"/>
          <w:sz w:val="24"/>
        </w:rPr>
        <w:t xml:space="preserve">of </w:t>
      </w:r>
      <w:r>
        <w:rPr>
          <w:rFonts w:ascii="Arial"/>
          <w:color w:val="000000"/>
          <w:sz w:val="24"/>
        </w:rPr>
        <w:t xml:space="preserve">the building height controls under </w:t>
      </w:r>
      <w:r>
        <w:rPr>
          <w:rFonts w:ascii="Arial"/>
          <w:color w:val="000000"/>
          <w:sz w:val="24"/>
        </w:rPr>
        <w:t xml:space="preserve">cl 4.3 of </w:t>
      </w:r>
      <w:r>
        <w:rPr>
          <w:rFonts w:ascii="Arial"/>
          <w:color w:val="000000"/>
          <w:sz w:val="24"/>
        </w:rPr>
        <w:t xml:space="preserve">SLEP. There is no dispute that the provisions in cl 4.3 </w:t>
      </w:r>
      <w:r>
        <w:rPr>
          <w:rFonts w:ascii="Arial"/>
          <w:color w:val="000000"/>
          <w:sz w:val="24"/>
        </w:rPr>
        <w:t xml:space="preserve">of SLEP </w:t>
      </w:r>
      <w:r>
        <w:rPr>
          <w:rFonts w:ascii="Arial"/>
          <w:color w:val="000000"/>
          <w:sz w:val="24"/>
        </w:rPr>
        <w:t>are a development standard and thus the permissive powers in cl 4.6(2), to grant development consent for a development that contravenes a development standard</w:t>
      </w:r>
      <w:r>
        <w:rPr>
          <w:rFonts w:ascii="Arial"/>
          <w:color w:val="000000"/>
          <w:sz w:val="24"/>
        </w:rPr>
        <w:t>, could apply</w:t>
      </w:r>
      <w:r>
        <w:rPr>
          <w:rFonts w:ascii="Arial"/>
          <w:color w:val="000000"/>
          <w:sz w:val="24"/>
        </w:rPr>
        <w:t xml:space="preserve">. </w:t>
      </w:r>
      <w:r>
        <w:rPr>
          <w:rFonts w:ascii="Arial"/>
          <w:color w:val="000000"/>
          <w:sz w:val="24"/>
        </w:rPr>
        <w:t>It is also not in dispute that as the DA was lodged in August 2023 (Ex 2 p 1), that is prior to 1 November 2023, the changes to cl 4.6 (as presenting in SLEP at the time of writing) are not in effect. The DA is to be determined under the provisions of cl 4.6 at the time of lodgement of the DA, and these are the provisions that I reference below.</w:t>
      </w:r>
    </w:p>
    <w:p>
      <w:pPr>
        <w:pStyle w:val="CaselawNumbered10"/>
        <w:numPr>
          <w:ilvl w:val="0"/>
          <w:numId w:val="47"/>
        </w:numPr>
        <w:spacing w:before="150" w:after="0"/>
        <w:ind w:left="600" w:hanging="600"/>
      </w:pPr>
      <w:r>
        <w:rPr>
          <w:rFonts w:ascii="Arial"/>
          <w:color w:val="000000"/>
          <w:sz w:val="24"/>
        </w:rPr>
        <w:t xml:space="preserve">There are well known preconditions to the exercise of </w:t>
      </w:r>
      <w:r>
        <w:rPr>
          <w:rFonts w:ascii="Arial"/>
          <w:color w:val="000000"/>
          <w:sz w:val="24"/>
        </w:rPr>
        <w:t xml:space="preserve">the </w:t>
      </w:r>
      <w:r>
        <w:rPr>
          <w:rFonts w:ascii="Arial"/>
          <w:color w:val="000000"/>
          <w:sz w:val="24"/>
        </w:rPr>
        <w:t>powers in cl 4.6(2)</w:t>
      </w:r>
      <w:r>
        <w:rPr>
          <w:rFonts w:ascii="Arial"/>
          <w:color w:val="000000"/>
          <w:sz w:val="24"/>
        </w:rPr>
        <w:t xml:space="preserve">, </w:t>
      </w:r>
      <w:r>
        <w:rPr>
          <w:rFonts w:ascii="Arial"/>
          <w:color w:val="000000"/>
          <w:sz w:val="24"/>
        </w:rPr>
        <w:t xml:space="preserve">to consent to a proposed development </w:t>
      </w:r>
      <w:r>
        <w:rPr>
          <w:rFonts w:ascii="Arial"/>
          <w:color w:val="000000"/>
          <w:sz w:val="24"/>
        </w:rPr>
        <w:t>even though the development would contravene a development standard</w:t>
      </w:r>
      <w:r>
        <w:rPr>
          <w:rFonts w:ascii="Arial"/>
          <w:color w:val="000000"/>
          <w:sz w:val="24"/>
        </w:rPr>
        <w:t>. These preconditions require</w:t>
      </w:r>
      <w:r>
        <w:rPr>
          <w:rFonts w:ascii="Arial"/>
          <w:color w:val="000000"/>
          <w:sz w:val="24"/>
        </w:rPr>
        <w:t xml:space="preserve"> </w:t>
      </w:r>
      <w:r>
        <w:rPr>
          <w:rFonts w:ascii="Arial"/>
          <w:color w:val="000000"/>
          <w:sz w:val="24"/>
        </w:rPr>
        <w:t>positive findings of satisfaction on the part of a consent authority or the Court in this instance</w:t>
      </w:r>
      <w:r>
        <w:rPr>
          <w:rFonts w:ascii="Arial"/>
          <w:color w:val="000000"/>
          <w:sz w:val="24"/>
        </w:rPr>
        <w:t>. The</w:t>
      </w:r>
      <w:r>
        <w:rPr>
          <w:rFonts w:ascii="Arial"/>
          <w:color w:val="000000"/>
          <w:sz w:val="24"/>
        </w:rPr>
        <w:t>se requirements for positive findings a</w:t>
      </w:r>
      <w:r>
        <w:rPr>
          <w:rFonts w:ascii="Arial"/>
          <w:color w:val="000000"/>
          <w:sz w:val="24"/>
        </w:rPr>
        <w:t>re indicated in cl 4.6(4). I reproduce cl 4.6, as relevant</w:t>
      </w:r>
      <w:r>
        <w:rPr>
          <w:rFonts w:ascii="Arial"/>
          <w:color w:val="000000"/>
          <w:sz w:val="24"/>
        </w:rPr>
        <w:t xml:space="preserve"> </w:t>
      </w:r>
      <w:r>
        <w:rPr>
          <w:rFonts w:ascii="Arial"/>
          <w:color w:val="000000"/>
          <w:sz w:val="24"/>
        </w:rPr>
        <w:t>now:</w:t>
      </w:r>
    </w:p>
    <w:p>
      <w:pPr>
        <w:pStyle w:val="CaselawCoversheet"/>
        <w:spacing w:before="150" w:after="150"/>
        <w:ind w:left="1350"/>
        <w:jc w:val="left"/>
      </w:pPr>
      <w:r>
        <w:rPr>
          <w:rFonts w:ascii="Arial"/>
          <w:color w:val="000000"/>
          <w:sz w:val="24"/>
        </w:rPr>
        <w:t>4.6   Exceptions to development standards</w:t>
      </w:r>
    </w:p>
    <w:p>
      <w:pPr>
        <w:pStyle w:val="CaselawCoversheet"/>
        <w:spacing w:before="150" w:after="150"/>
        <w:ind w:left="2100"/>
        <w:jc w:val="left"/>
      </w:pPr>
      <w:r>
        <w:rPr>
          <w:rFonts w:ascii="Arial"/>
          <w:color w:val="000000"/>
          <w:sz w:val="24"/>
        </w:rPr>
        <w:t>(1)  The objectives of this clause are as follows—</w:t>
      </w:r>
    </w:p>
    <w:p>
      <w:pPr>
        <w:pStyle w:val="CaselawCoversheet"/>
        <w:spacing w:before="150" w:after="150"/>
        <w:ind w:left="2850"/>
        <w:jc w:val="left"/>
      </w:pPr>
      <w:r>
        <w:rPr>
          <w:rFonts w:ascii="Arial"/>
          <w:color w:val="000000"/>
          <w:sz w:val="24"/>
        </w:rPr>
        <w:t xml:space="preserve">(a)  to provide an appropriate degree of flexibility in applying certain development standards to </w:t>
      </w:r>
      <w:r>
        <w:rPr>
          <w:rFonts w:ascii="Arial"/>
          <w:color w:val="000000"/>
          <w:sz w:val="24"/>
        </w:rPr>
        <w:t>particular development,</w:t>
      </w:r>
    </w:p>
    <w:p>
      <w:pPr>
        <w:pStyle w:val="CaselawCoversheet"/>
        <w:spacing w:before="150" w:after="150"/>
        <w:ind w:left="2850"/>
        <w:jc w:val="left"/>
      </w:pPr>
      <w:r>
        <w:rPr>
          <w:rFonts w:ascii="Arial"/>
          <w:color w:val="000000"/>
          <w:sz w:val="24"/>
        </w:rPr>
        <w:t>(b)  to achieve better outcomes for and from development by allowing flexibility in particular circumstances.</w:t>
      </w:r>
    </w:p>
    <w:p>
      <w:pPr>
        <w:pStyle w:val="CaselawCoversheet"/>
        <w:spacing w:before="150" w:after="150"/>
        <w:ind w:left="2100"/>
        <w:jc w:val="left"/>
      </w:pPr>
      <w:r>
        <w:rPr>
          <w:rFonts w:ascii="Arial"/>
          <w:color w:val="000000"/>
          <w:sz w:val="24"/>
        </w:rPr>
        <w:t>(2)  Development consent may, subject to this clause, be granted for development even though the development would contravene a development standard imposed by this or any other environmental planning instrument. However, this clause does not apply to a development standard that is expressly excluded from the operation of this clause.</w:t>
      </w:r>
    </w:p>
    <w:p>
      <w:pPr>
        <w:pStyle w:val="CaselawCoversheet"/>
        <w:spacing w:before="150" w:after="150"/>
        <w:ind w:left="2100"/>
        <w:jc w:val="left"/>
      </w:pPr>
      <w:r>
        <w:rPr>
          <w:rFonts w:ascii="Arial"/>
          <w:color w:val="000000"/>
          <w:sz w:val="24"/>
        </w:rPr>
        <w:t>(3)  Development consent must not be granted for development that contravenes a development standard unless the consent authority has considered a written request from the applicant that seeks to justify the contravention of the development standard by demonstrating—</w:t>
      </w:r>
    </w:p>
    <w:p>
      <w:pPr>
        <w:pStyle w:val="CaselawCoversheet"/>
        <w:spacing w:before="150" w:after="150"/>
        <w:ind w:left="2850"/>
        <w:jc w:val="left"/>
      </w:pPr>
      <w:r>
        <w:rPr>
          <w:rFonts w:ascii="Arial"/>
          <w:color w:val="000000"/>
          <w:sz w:val="24"/>
        </w:rPr>
        <w:t>(a)  that compliance with the development standard is unreasonable or unnecessary in the circumstances of the case, and</w:t>
      </w:r>
    </w:p>
    <w:p>
      <w:pPr>
        <w:pStyle w:val="CaselawCoversheet"/>
        <w:spacing w:before="150" w:after="150"/>
        <w:ind w:left="2850"/>
        <w:jc w:val="left"/>
      </w:pPr>
      <w:r>
        <w:rPr>
          <w:rFonts w:ascii="Arial"/>
          <w:color w:val="000000"/>
          <w:sz w:val="24"/>
        </w:rPr>
        <w:t>(b)  that there are sufficient environmental planning grounds to justify contravening the development standard.</w:t>
      </w:r>
    </w:p>
    <w:p>
      <w:pPr>
        <w:pStyle w:val="CaselawCoversheet"/>
        <w:spacing w:before="150" w:after="150"/>
        <w:ind w:left="2100"/>
        <w:jc w:val="left"/>
      </w:pPr>
      <w:r>
        <w:rPr>
          <w:rFonts w:ascii="Arial"/>
          <w:color w:val="000000"/>
          <w:sz w:val="24"/>
        </w:rPr>
        <w:t>(4)  Development consent must not be granted for development that contravenes a development standard unless—</w:t>
      </w:r>
    </w:p>
    <w:p>
      <w:pPr>
        <w:pStyle w:val="CaselawCoversheet"/>
        <w:spacing w:before="150" w:after="150"/>
        <w:ind w:left="2850"/>
        <w:jc w:val="left"/>
      </w:pPr>
      <w:r>
        <w:rPr>
          <w:rFonts w:ascii="Arial"/>
          <w:color w:val="000000"/>
          <w:sz w:val="24"/>
        </w:rPr>
        <w:t>(a)  the consent authority is satisfied that—</w:t>
      </w:r>
    </w:p>
    <w:p>
      <w:pPr>
        <w:pStyle w:val="CaselawCoversheet"/>
        <w:spacing w:before="150" w:after="150"/>
        <w:ind w:left="2850"/>
        <w:jc w:val="left"/>
      </w:pPr>
      <w:r>
        <w:rPr>
          <w:rFonts w:ascii="Arial"/>
          <w:color w:val="000000"/>
          <w:sz w:val="24"/>
        </w:rPr>
        <w:t>(i)  the applicant’s written request has adequately addressed the matters required to be demonstrated by subclause (3), and</w:t>
      </w:r>
    </w:p>
    <w:p>
      <w:pPr>
        <w:pStyle w:val="CaselawCoversheet"/>
        <w:spacing w:before="150" w:after="150"/>
        <w:ind w:left="2850"/>
        <w:jc w:val="left"/>
      </w:pPr>
      <w:r>
        <w:rPr>
          <w:rFonts w:ascii="Arial"/>
          <w:color w:val="000000"/>
          <w:sz w:val="24"/>
        </w:rPr>
        <w:t xml:space="preserve">(ii)  the proposed development will be in the public interest because it is consistent with the objectives of the </w:t>
      </w:r>
      <w:r>
        <w:rPr>
          <w:rFonts w:ascii="Arial"/>
          <w:color w:val="000000"/>
          <w:sz w:val="24"/>
        </w:rPr>
        <w:t>particular standard</w:t>
      </w:r>
      <w:r>
        <w:rPr>
          <w:rFonts w:ascii="Arial"/>
          <w:color w:val="000000"/>
          <w:sz w:val="24"/>
        </w:rPr>
        <w:t xml:space="preserve"> and the objectives for development within the zone in which the development is proposed to be carried out, and</w:t>
      </w:r>
    </w:p>
    <w:p>
      <w:pPr>
        <w:pStyle w:val="CaselawCoversheet"/>
        <w:spacing w:before="150" w:after="150"/>
        <w:ind w:left="2850"/>
        <w:jc w:val="left"/>
      </w:pPr>
      <w:r>
        <w:rPr>
          <w:rFonts w:ascii="Arial"/>
          <w:color w:val="000000"/>
          <w:sz w:val="24"/>
        </w:rPr>
        <w:t>(b)  the concurrence of the Planning Secretary has been obtained.</w:t>
      </w:r>
    </w:p>
    <w:p>
      <w:pPr>
        <w:pStyle w:val="CaselawNumbered10"/>
        <w:numPr>
          <w:ilvl w:val="0"/>
          <w:numId w:val="48"/>
        </w:numPr>
        <w:spacing w:before="150" w:after="0"/>
        <w:ind w:left="600" w:hanging="600"/>
      </w:pPr>
      <w:r>
        <w:rPr>
          <w:rFonts w:ascii="Arial"/>
          <w:color w:val="000000"/>
          <w:sz w:val="24"/>
        </w:rPr>
        <w:t>The first opinion of satisfaction, in cl 4.6(4)(a)(</w:t>
      </w:r>
      <w:r>
        <w:rPr>
          <w:rFonts w:ascii="Arial"/>
          <w:color w:val="000000"/>
          <w:sz w:val="24"/>
        </w:rPr>
        <w:t>i</w:t>
      </w:r>
      <w:r>
        <w:rPr>
          <w:rFonts w:ascii="Arial"/>
          <w:color w:val="000000"/>
          <w:sz w:val="24"/>
        </w:rPr>
        <w:t xml:space="preserve">), is that a written request by the applicant, seeking to justify the contravention of the development standard has </w:t>
      </w:r>
      <w:r>
        <w:rPr>
          <w:rFonts w:ascii="Arial"/>
          <w:color w:val="000000"/>
          <w:sz w:val="24"/>
        </w:rPr>
        <w:t>adequately addressed the matters required to be demonstrated by cl 4.6(3). It is not this first opinion of satisfaction</w:t>
      </w:r>
      <w:r>
        <w:rPr>
          <w:rFonts w:ascii="Arial"/>
          <w:color w:val="000000"/>
          <w:sz w:val="24"/>
        </w:rPr>
        <w:t xml:space="preserve">, which involves an evaluation relating to the </w:t>
      </w:r>
      <w:r>
        <w:rPr>
          <w:rFonts w:ascii="Arial"/>
          <w:color w:val="000000"/>
          <w:sz w:val="24"/>
        </w:rPr>
        <w:t>“</w:t>
      </w:r>
      <w:r>
        <w:rPr>
          <w:rFonts w:ascii="Arial"/>
          <w:color w:val="000000"/>
          <w:sz w:val="24"/>
        </w:rPr>
        <w:t>contravention of the development standard</w:t>
      </w:r>
      <w:r>
        <w:rPr>
          <w:rFonts w:ascii="Arial"/>
          <w:color w:val="000000"/>
          <w:sz w:val="24"/>
        </w:rPr>
        <w:t>”</w:t>
      </w:r>
      <w:r>
        <w:rPr>
          <w:rFonts w:ascii="Arial"/>
          <w:color w:val="000000"/>
          <w:sz w:val="24"/>
        </w:rPr>
        <w:t xml:space="preserve">, </w:t>
      </w:r>
      <w:r>
        <w:rPr>
          <w:rFonts w:ascii="Arial"/>
          <w:color w:val="000000"/>
          <w:sz w:val="24"/>
        </w:rPr>
        <w:t xml:space="preserve">that </w:t>
      </w:r>
      <w:r>
        <w:rPr>
          <w:rFonts w:ascii="Arial"/>
          <w:color w:val="000000"/>
          <w:sz w:val="24"/>
        </w:rPr>
        <w:t>is my point of attention</w:t>
      </w:r>
      <w:r>
        <w:rPr>
          <w:rFonts w:ascii="Arial"/>
          <w:color w:val="000000"/>
          <w:sz w:val="24"/>
        </w:rPr>
        <w:t xml:space="preserve"> </w:t>
      </w:r>
      <w:r>
        <w:rPr>
          <w:rFonts w:ascii="Arial"/>
          <w:color w:val="000000"/>
          <w:sz w:val="24"/>
        </w:rPr>
        <w:t>here</w:t>
      </w:r>
      <w:r>
        <w:rPr>
          <w:rFonts w:ascii="Arial"/>
          <w:color w:val="000000"/>
          <w:sz w:val="24"/>
        </w:rPr>
        <w:t xml:space="preserve">. I </w:t>
      </w:r>
      <w:r>
        <w:rPr>
          <w:rFonts w:ascii="Arial"/>
          <w:color w:val="000000"/>
          <w:sz w:val="24"/>
        </w:rPr>
        <w:t xml:space="preserve">can </w:t>
      </w:r>
      <w:r>
        <w:rPr>
          <w:rFonts w:ascii="Arial"/>
          <w:color w:val="000000"/>
          <w:sz w:val="24"/>
        </w:rPr>
        <w:t xml:space="preserve">note that the applicant did supply </w:t>
      </w:r>
      <w:r>
        <w:rPr>
          <w:rFonts w:ascii="Arial"/>
          <w:color w:val="000000"/>
          <w:sz w:val="24"/>
        </w:rPr>
        <w:t>the nominated</w:t>
      </w:r>
      <w:r>
        <w:rPr>
          <w:rFonts w:ascii="Arial"/>
          <w:color w:val="000000"/>
          <w:sz w:val="24"/>
        </w:rPr>
        <w:t xml:space="preserve"> </w:t>
      </w:r>
      <w:r>
        <w:rPr>
          <w:rFonts w:ascii="Arial"/>
          <w:color w:val="000000"/>
          <w:sz w:val="24"/>
        </w:rPr>
        <w:t xml:space="preserve">written request </w:t>
      </w:r>
      <w:r>
        <w:rPr>
          <w:rFonts w:ascii="Arial"/>
          <w:color w:val="000000"/>
          <w:sz w:val="24"/>
        </w:rPr>
        <w:t>(Ex F)</w:t>
      </w:r>
      <w:r>
        <w:rPr>
          <w:rFonts w:ascii="Arial"/>
          <w:color w:val="000000"/>
          <w:sz w:val="24"/>
        </w:rPr>
        <w:t xml:space="preserve"> </w:t>
      </w:r>
      <w:r>
        <w:rPr>
          <w:rFonts w:ascii="Arial"/>
          <w:color w:val="000000"/>
          <w:sz w:val="24"/>
        </w:rPr>
        <w:t xml:space="preserve">which </w:t>
      </w:r>
      <w:r>
        <w:rPr>
          <w:rFonts w:ascii="Arial"/>
          <w:color w:val="000000"/>
          <w:sz w:val="24"/>
        </w:rPr>
        <w:t>provided</w:t>
      </w:r>
      <w:r>
        <w:rPr>
          <w:rFonts w:ascii="Arial"/>
          <w:color w:val="000000"/>
          <w:sz w:val="24"/>
        </w:rPr>
        <w:t>,</w:t>
      </w:r>
      <w:r>
        <w:rPr>
          <w:rFonts w:ascii="Arial"/>
          <w:color w:val="000000"/>
          <w:sz w:val="24"/>
        </w:rPr>
        <w:t xml:space="preserve"> </w:t>
      </w:r>
      <w:r>
        <w:rPr>
          <w:rFonts w:ascii="Arial"/>
          <w:color w:val="000000"/>
          <w:sz w:val="24"/>
        </w:rPr>
        <w:t>in a sense</w:t>
      </w:r>
      <w:r>
        <w:rPr>
          <w:rFonts w:ascii="Arial"/>
          <w:color w:val="000000"/>
          <w:sz w:val="24"/>
        </w:rPr>
        <w:t>,</w:t>
      </w:r>
      <w:r>
        <w:rPr>
          <w:rFonts w:ascii="Arial"/>
          <w:color w:val="000000"/>
          <w:sz w:val="24"/>
        </w:rPr>
        <w:t xml:space="preserve"> </w:t>
      </w:r>
      <w:r>
        <w:rPr>
          <w:rFonts w:ascii="Arial"/>
          <w:color w:val="000000"/>
          <w:sz w:val="24"/>
        </w:rPr>
        <w:t xml:space="preserve">a point of entry to the facilitative provisions </w:t>
      </w:r>
      <w:r>
        <w:rPr>
          <w:rFonts w:ascii="Arial"/>
          <w:color w:val="000000"/>
          <w:sz w:val="24"/>
        </w:rPr>
        <w:t>available through</w:t>
      </w:r>
      <w:r>
        <w:rPr>
          <w:rFonts w:ascii="Arial"/>
          <w:color w:val="000000"/>
          <w:sz w:val="24"/>
        </w:rPr>
        <w:t xml:space="preserve"> </w:t>
      </w:r>
      <w:r>
        <w:rPr>
          <w:rFonts w:ascii="Arial"/>
          <w:color w:val="000000"/>
          <w:sz w:val="24"/>
        </w:rPr>
        <w:t>cl 4.6</w:t>
      </w:r>
      <w:r>
        <w:rPr>
          <w:rFonts w:ascii="Arial"/>
          <w:color w:val="000000"/>
          <w:sz w:val="24"/>
        </w:rPr>
        <w:t xml:space="preserve">. </w:t>
      </w:r>
    </w:p>
    <w:p>
      <w:pPr>
        <w:pStyle w:val="CaselawNumbered10"/>
        <w:numPr>
          <w:ilvl w:val="0"/>
          <w:numId w:val="48"/>
        </w:numPr>
        <w:spacing w:before="150" w:after="0"/>
        <w:ind w:left="600" w:hanging="600"/>
      </w:pPr>
      <w:r>
        <w:rPr>
          <w:rFonts w:ascii="Arial"/>
          <w:color w:val="000000"/>
          <w:sz w:val="24"/>
        </w:rPr>
        <w:t>The second opinion of satisfaction</w:t>
      </w:r>
      <w:r>
        <w:rPr>
          <w:rFonts w:ascii="Arial"/>
          <w:color w:val="000000"/>
          <w:sz w:val="24"/>
        </w:rPr>
        <w:t xml:space="preserve"> </w:t>
      </w:r>
      <w:r>
        <w:rPr>
          <w:rFonts w:ascii="Arial"/>
          <w:color w:val="000000"/>
          <w:sz w:val="24"/>
        </w:rPr>
        <w:t>required</w:t>
      </w:r>
      <w:r>
        <w:rPr>
          <w:rFonts w:ascii="Arial"/>
          <w:color w:val="000000"/>
          <w:sz w:val="24"/>
        </w:rPr>
        <w:t xml:space="preserve"> </w:t>
      </w:r>
      <w:r>
        <w:rPr>
          <w:rFonts w:ascii="Arial"/>
          <w:color w:val="000000"/>
          <w:sz w:val="24"/>
        </w:rPr>
        <w:t>under c</w:t>
      </w:r>
      <w:r>
        <w:rPr>
          <w:rFonts w:ascii="Arial"/>
          <w:color w:val="000000"/>
          <w:sz w:val="24"/>
        </w:rPr>
        <w:t>l 4.6(4)(a)(ii)</w:t>
      </w:r>
      <w:r>
        <w:rPr>
          <w:rFonts w:ascii="Arial"/>
          <w:color w:val="000000"/>
          <w:sz w:val="24"/>
        </w:rPr>
        <w:t xml:space="preserve"> </w:t>
      </w:r>
      <w:r>
        <w:rPr>
          <w:rFonts w:ascii="Arial"/>
          <w:color w:val="000000"/>
          <w:sz w:val="24"/>
        </w:rPr>
        <w:t xml:space="preserve">is that </w:t>
      </w:r>
      <w:r>
        <w:rPr>
          <w:rFonts w:ascii="Arial"/>
          <w:color w:val="000000"/>
          <w:sz w:val="24"/>
        </w:rPr>
        <w:t xml:space="preserve">the </w:t>
      </w:r>
      <w:r>
        <w:rPr>
          <w:rFonts w:ascii="Arial"/>
          <w:color w:val="000000"/>
          <w:sz w:val="24"/>
        </w:rPr>
        <w:t>consent authority</w:t>
      </w:r>
      <w:r>
        <w:rPr>
          <w:rFonts w:ascii="Arial"/>
          <w:color w:val="000000"/>
          <w:sz w:val="24"/>
        </w:rPr>
        <w:t>,</w:t>
      </w:r>
      <w:r>
        <w:rPr>
          <w:rFonts w:ascii="Arial"/>
          <w:color w:val="000000"/>
          <w:sz w:val="24"/>
        </w:rPr>
        <w:t xml:space="preserve"> </w:t>
      </w:r>
      <w:r>
        <w:rPr>
          <w:rFonts w:ascii="Arial"/>
          <w:color w:val="000000"/>
          <w:sz w:val="24"/>
        </w:rPr>
        <w:t xml:space="preserve">or in this case the </w:t>
      </w:r>
      <w:r>
        <w:rPr>
          <w:rFonts w:ascii="Arial"/>
          <w:color w:val="000000"/>
          <w:sz w:val="24"/>
        </w:rPr>
        <w:t>Court</w:t>
      </w:r>
      <w:r>
        <w:rPr>
          <w:rFonts w:ascii="Arial"/>
          <w:color w:val="000000"/>
          <w:sz w:val="24"/>
        </w:rPr>
        <w:t>,</w:t>
      </w:r>
      <w:r>
        <w:rPr>
          <w:rFonts w:ascii="Arial"/>
          <w:color w:val="000000"/>
          <w:sz w:val="24"/>
        </w:rPr>
        <w:t xml:space="preserve"> </w:t>
      </w:r>
      <w:r>
        <w:rPr>
          <w:rFonts w:ascii="Arial"/>
          <w:color w:val="000000"/>
          <w:sz w:val="24"/>
        </w:rPr>
        <w:t xml:space="preserve">needs to be satisfied </w:t>
      </w:r>
      <w:r>
        <w:rPr>
          <w:rFonts w:ascii="Arial"/>
          <w:color w:val="000000"/>
          <w:sz w:val="24"/>
        </w:rPr>
        <w:t xml:space="preserve">that </w:t>
      </w:r>
      <w:r>
        <w:rPr>
          <w:rFonts w:ascii="Arial"/>
          <w:color w:val="000000"/>
          <w:sz w:val="24"/>
        </w:rPr>
        <w:t>“</w:t>
      </w:r>
      <w:r>
        <w:rPr>
          <w:rFonts w:ascii="Arial"/>
          <w:color w:val="000000"/>
          <w:sz w:val="24"/>
        </w:rPr>
        <w:t>the proposed development will be in the public interest because it is consistent with the objectives of the particular development standard that is contravened and the objectives for development for the zone in which the development is proposed to be carried out</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I</w:t>
      </w:r>
      <w:r>
        <w:rPr>
          <w:rFonts w:ascii="Arial"/>
          <w:color w:val="000000"/>
          <w:sz w:val="24"/>
        </w:rPr>
        <w:t>n contrast with the first opinion of satisfaction, i</w:t>
      </w:r>
      <w:r>
        <w:rPr>
          <w:rFonts w:ascii="Arial"/>
          <w:color w:val="000000"/>
          <w:sz w:val="24"/>
        </w:rPr>
        <w:t xml:space="preserve">t is </w:t>
      </w:r>
      <w:r>
        <w:rPr>
          <w:rFonts w:ascii="Arial"/>
          <w:color w:val="000000"/>
          <w:sz w:val="24"/>
        </w:rPr>
        <w:t xml:space="preserve">the </w:t>
      </w:r>
      <w:r>
        <w:rPr>
          <w:rFonts w:ascii="Arial"/>
          <w:color w:val="000000"/>
          <w:sz w:val="24"/>
        </w:rPr>
        <w:t>“</w:t>
      </w:r>
      <w:r>
        <w:rPr>
          <w:rFonts w:ascii="Arial"/>
          <w:color w:val="000000"/>
          <w:sz w:val="24"/>
        </w:rPr>
        <w:t>proposed</w:t>
      </w:r>
      <w:r>
        <w:rPr>
          <w:rFonts w:ascii="Arial"/>
          <w:color w:val="000000"/>
          <w:sz w:val="24"/>
        </w:rPr>
        <w:t xml:space="preserve"> </w:t>
      </w:r>
      <w:r>
        <w:rPr>
          <w:rFonts w:ascii="Arial"/>
          <w:color w:val="000000"/>
          <w:sz w:val="24"/>
        </w:rPr>
        <w:t>development</w:t>
      </w:r>
      <w:r>
        <w:rPr>
          <w:rFonts w:ascii="Arial"/>
          <w:color w:val="000000"/>
          <w:sz w:val="24"/>
        </w:rPr>
        <w:t xml:space="preserve">” </w:t>
      </w:r>
      <w:r>
        <w:rPr>
          <w:rFonts w:ascii="Arial"/>
          <w:color w:val="000000"/>
          <w:sz w:val="24"/>
        </w:rPr>
        <w:t>which</w:t>
      </w:r>
      <w:r>
        <w:rPr>
          <w:rFonts w:ascii="Arial"/>
          <w:color w:val="000000"/>
          <w:sz w:val="24"/>
        </w:rPr>
        <w:t xml:space="preserve"> </w:t>
      </w:r>
      <w:r>
        <w:rPr>
          <w:rFonts w:ascii="Arial"/>
          <w:color w:val="000000"/>
          <w:sz w:val="24"/>
        </w:rPr>
        <w:t xml:space="preserve">is </w:t>
      </w:r>
      <w:r>
        <w:rPr>
          <w:rFonts w:ascii="Arial"/>
          <w:color w:val="000000"/>
          <w:sz w:val="24"/>
        </w:rPr>
        <w:t>in focus</w:t>
      </w:r>
      <w:r>
        <w:rPr>
          <w:rFonts w:ascii="Arial"/>
          <w:color w:val="000000"/>
          <w:sz w:val="24"/>
        </w:rPr>
        <w:t xml:space="preserve"> </w:t>
      </w:r>
      <w:r>
        <w:rPr>
          <w:rFonts w:ascii="Arial"/>
          <w:color w:val="000000"/>
          <w:sz w:val="24"/>
        </w:rPr>
        <w:t>here.</w:t>
      </w:r>
    </w:p>
    <w:p>
      <w:pPr>
        <w:pStyle w:val="CaselawNumbered10"/>
        <w:numPr>
          <w:ilvl w:val="0"/>
          <w:numId w:val="48"/>
        </w:numPr>
        <w:spacing w:before="150" w:after="0"/>
        <w:ind w:left="600" w:hanging="600"/>
      </w:pPr>
      <w:r>
        <w:rPr>
          <w:rFonts w:ascii="Arial"/>
          <w:color w:val="000000"/>
          <w:sz w:val="24"/>
        </w:rPr>
        <w:t xml:space="preserve">As noted in </w:t>
      </w:r>
      <w:r>
        <w:rPr>
          <w:rFonts w:ascii="Arial"/>
          <w:i/>
          <w:color w:val="000000"/>
          <w:sz w:val="24"/>
        </w:rPr>
        <w:t>Initial Action Pty Ltd v Woollahra Municipal Council</w:t>
      </w:r>
      <w:r>
        <w:rPr>
          <w:rFonts w:ascii="Arial"/>
          <w:color w:val="000000"/>
          <w:sz w:val="24"/>
        </w:rPr>
        <w:t xml:space="preserve"> </w:t>
      </w:r>
      <w:r>
        <w:rPr>
          <w:rFonts w:ascii="Arial"/>
          <w:color w:val="000000"/>
          <w:sz w:val="24"/>
        </w:rPr>
        <w:t>(2018) 236 LGERA 256</w:t>
      </w:r>
      <w:r>
        <w:rPr>
          <w:rFonts w:ascii="Arial"/>
          <w:color w:val="000000"/>
          <w:sz w:val="24"/>
        </w:rPr>
        <w:t xml:space="preserve">; </w:t>
      </w:r>
      <w:r>
        <w:rPr>
          <w:rFonts w:ascii="Arial"/>
          <w:color w:val="000000"/>
          <w:sz w:val="24"/>
        </w:rPr>
        <w:t>[2018] NSWLEC 118 (</w:t>
      </w:r>
      <w:r>
        <w:rPr>
          <w:rFonts w:ascii="Arial"/>
          <w:i/>
          <w:color w:val="000000"/>
          <w:sz w:val="24"/>
        </w:rPr>
        <w:t>Initial Action</w:t>
      </w:r>
      <w:r>
        <w:rPr>
          <w:rFonts w:ascii="Arial"/>
          <w:color w:val="000000"/>
          <w:sz w:val="24"/>
        </w:rPr>
        <w:t>)</w:t>
      </w:r>
      <w:r>
        <w:rPr>
          <w:rFonts w:ascii="Arial"/>
          <w:color w:val="000000"/>
          <w:sz w:val="24"/>
        </w:rPr>
        <w:t xml:space="preserve"> </w:t>
      </w:r>
      <w:r>
        <w:rPr>
          <w:rFonts w:ascii="Arial"/>
          <w:color w:val="000000"/>
          <w:sz w:val="24"/>
        </w:rPr>
        <w:t>(at [26])</w:t>
      </w:r>
      <w:r>
        <w:rPr>
          <w:rFonts w:ascii="Arial"/>
          <w:color w:val="000000"/>
          <w:sz w:val="24"/>
        </w:rPr>
        <w:t>:</w:t>
      </w:r>
      <w:r>
        <w:rPr>
          <w:rFonts w:ascii="Arial"/>
          <w:color w:val="000000"/>
          <w:sz w:val="24"/>
        </w:rPr>
        <w:t xml:space="preserve"> </w:t>
      </w:r>
    </w:p>
    <w:p>
      <w:pPr>
        <w:pStyle w:val="CaselawCoversheet"/>
        <w:spacing w:before="150" w:after="150"/>
        <w:ind w:left="1350"/>
        <w:jc w:val="left"/>
      </w:pPr>
      <w:r>
        <w:rPr>
          <w:rFonts w:ascii="Arial"/>
          <w:color w:val="000000"/>
          <w:sz w:val="24"/>
        </w:rPr>
        <w:t>“</w:t>
      </w:r>
      <w:r>
        <w:rPr>
          <w:rFonts w:ascii="Arial"/>
          <w:color w:val="000000"/>
          <w:sz w:val="24"/>
        </w:rPr>
        <w:t xml:space="preserve">[the] second opinion of satisfaction under cl 4.6(4)(a)(ii) also </w:t>
      </w:r>
      <w:r>
        <w:rPr>
          <w:rFonts w:ascii="Arial"/>
          <w:color w:val="000000"/>
          <w:sz w:val="24"/>
        </w:rPr>
        <w:t>differs from the first opinion of satisfaction under cl 4.6(4)(a)(i) in that the consent authority, or the Court on appeal, must be directly satisfied about the matter in cl 4.6(4)(a)(ii), not indirectly satisfied that the applicant’s written request has adequately addressed</w:t>
      </w:r>
      <w:r>
        <w:rPr>
          <w:rFonts w:ascii="Arial"/>
          <w:color w:val="000000"/>
          <w:sz w:val="24"/>
        </w:rPr>
        <w:t xml:space="preserve"> the matter in cl 4.6(4)(a)(ii)”. </w:t>
      </w:r>
    </w:p>
    <w:p>
      <w:pPr>
        <w:pStyle w:val="CaselawNumbered10"/>
        <w:numPr>
          <w:ilvl w:val="0"/>
          <w:numId w:val="49"/>
        </w:numPr>
        <w:spacing w:before="150" w:after="0"/>
        <w:ind w:left="600" w:hanging="600"/>
      </w:pPr>
      <w:r>
        <w:rPr>
          <w:rFonts w:ascii="Arial"/>
          <w:color w:val="000000"/>
          <w:sz w:val="24"/>
        </w:rPr>
        <w:t>T</w:t>
      </w:r>
      <w:r>
        <w:rPr>
          <w:rFonts w:ascii="Arial"/>
          <w:color w:val="000000"/>
          <w:sz w:val="24"/>
        </w:rPr>
        <w:t>o emphasise, t</w:t>
      </w:r>
      <w:r>
        <w:rPr>
          <w:rFonts w:ascii="Arial"/>
          <w:color w:val="000000"/>
          <w:sz w:val="24"/>
        </w:rPr>
        <w:t xml:space="preserve">here is a particular reasoning which </w:t>
      </w:r>
      <w:r>
        <w:rPr>
          <w:rFonts w:ascii="Arial"/>
          <w:color w:val="000000"/>
          <w:sz w:val="24"/>
        </w:rPr>
        <w:t>any such</w:t>
      </w:r>
      <w:r>
        <w:rPr>
          <w:rFonts w:ascii="Arial"/>
          <w:color w:val="000000"/>
          <w:sz w:val="24"/>
        </w:rPr>
        <w:t xml:space="preserve"> </w:t>
      </w:r>
      <w:r>
        <w:rPr>
          <w:rFonts w:ascii="Arial"/>
          <w:color w:val="000000"/>
          <w:sz w:val="24"/>
        </w:rPr>
        <w:t xml:space="preserve">direct finding </w:t>
      </w:r>
      <w:r>
        <w:rPr>
          <w:rFonts w:ascii="Arial"/>
          <w:color w:val="000000"/>
          <w:sz w:val="24"/>
        </w:rPr>
        <w:t xml:space="preserve">of satisfaction, </w:t>
      </w:r>
      <w:r>
        <w:rPr>
          <w:rFonts w:ascii="Arial"/>
          <w:color w:val="000000"/>
          <w:sz w:val="24"/>
        </w:rPr>
        <w:t xml:space="preserve">under cl 4.6(4)(a)(ii) (that the development </w:t>
      </w:r>
      <w:r>
        <w:rPr>
          <w:rFonts w:ascii="Arial"/>
          <w:color w:val="000000"/>
          <w:sz w:val="24"/>
        </w:rPr>
        <w:t>“</w:t>
      </w:r>
      <w:r>
        <w:rPr>
          <w:rFonts w:ascii="Arial"/>
          <w:color w:val="000000"/>
          <w:sz w:val="24"/>
        </w:rPr>
        <w:t>will be in the public interest</w:t>
      </w:r>
      <w:r>
        <w:rPr>
          <w:rFonts w:ascii="Arial"/>
          <w:color w:val="000000"/>
          <w:sz w:val="24"/>
        </w:rPr>
        <w:t>”</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must be based upon (Initial Action at [27])</w:t>
      </w:r>
      <w:r>
        <w:rPr>
          <w:rFonts w:ascii="Arial"/>
          <w:color w:val="000000"/>
          <w:sz w:val="24"/>
        </w:rPr>
        <w:t>:</w:t>
      </w:r>
    </w:p>
    <w:p>
      <w:pPr>
        <w:pStyle w:val="CaselawCoversheet"/>
        <w:spacing w:before="150" w:after="150"/>
        <w:ind w:left="1350"/>
        <w:jc w:val="left"/>
      </w:pPr>
      <w:r>
        <w:rPr>
          <w:rFonts w:ascii="Arial"/>
          <w:color w:val="000000"/>
          <w:sz w:val="24"/>
        </w:rPr>
        <w:t>“The matter in cl 4.6(4)(a)(ii), with which the consent authority or the Court on appeal must be satisfied, is not merely that the proposed development will be in the public interest but that it will be in the public interest because it is consistent with the objectives of the development standard and the objectives for development of the zone in which the development is proposed to be carried out. It is the proposed development’s consistency with the objectives of the development standard and the objectives of the zone that make the proposed development in the public interest. If the proposed development is inconsistent with either the objectives of the development standard or the objectives of the zone or both, the consent authority, or the Court on appeal, cannot be satisfied that the development will be in the public interest for the purposes of cl 4.6(4)(a)(ii).”</w:t>
      </w:r>
    </w:p>
    <w:p>
      <w:pPr>
        <w:pStyle w:val="CaselawNumbered10"/>
        <w:numPr>
          <w:ilvl w:val="0"/>
          <w:numId w:val="50"/>
        </w:numPr>
        <w:spacing w:before="150" w:after="0"/>
        <w:ind w:left="600" w:hanging="600"/>
      </w:pPr>
      <w:r>
        <w:rPr>
          <w:rFonts w:ascii="Arial"/>
          <w:color w:val="000000"/>
          <w:sz w:val="24"/>
        </w:rPr>
        <w:t xml:space="preserve">It is the first of the zone objectives of the zone </w:t>
      </w:r>
      <w:r>
        <w:rPr>
          <w:rFonts w:ascii="Arial"/>
          <w:color w:val="000000"/>
          <w:sz w:val="24"/>
        </w:rPr>
        <w:t xml:space="preserve">of the </w:t>
      </w:r>
      <w:r>
        <w:rPr>
          <w:rFonts w:ascii="Arial"/>
          <w:color w:val="000000"/>
          <w:sz w:val="24"/>
        </w:rPr>
        <w:t xml:space="preserve">R1 </w:t>
      </w:r>
      <w:r>
        <w:rPr>
          <w:rFonts w:ascii="Arial"/>
          <w:color w:val="000000"/>
          <w:sz w:val="24"/>
        </w:rPr>
        <w:t>zone</w:t>
      </w:r>
      <w:r>
        <w:rPr>
          <w:rFonts w:ascii="Arial"/>
          <w:color w:val="000000"/>
          <w:sz w:val="24"/>
        </w:rPr>
        <w:t xml:space="preserve"> </w:t>
      </w:r>
      <w:r>
        <w:rPr>
          <w:rFonts w:ascii="Arial"/>
          <w:color w:val="000000"/>
          <w:sz w:val="24"/>
        </w:rPr>
        <w:t>(</w:t>
      </w:r>
      <w:r>
        <w:rPr>
          <w:rFonts w:ascii="Arial"/>
          <w:color w:val="000000"/>
          <w:sz w:val="24"/>
        </w:rPr>
        <w:t>reproduced together at</w:t>
      </w:r>
      <w:r>
        <w:rPr>
          <w:rFonts w:ascii="Arial"/>
          <w:color w:val="000000"/>
          <w:sz w:val="24"/>
        </w:rPr>
        <w:t xml:space="preserve"> </w:t>
      </w:r>
      <w:r>
        <w:rPr>
          <w:rFonts w:ascii="Arial"/>
          <w:color w:val="000000"/>
          <w:sz w:val="24"/>
        </w:rPr>
        <w:t>[</w:t>
      </w:r>
      <w:hyperlink r:id="rId16">
        <w:r>
          <w:rPr>
            <w:rFonts w:ascii="Arial"/>
            <w:color w:val="000000"/>
            <w:sz w:val="24"/>
            <w:u w:val="single"/>
          </w:rPr>
          <w:t/>
        </w:r>
        <w:r>
          <w:rPr>
            <w:rFonts w:ascii="Arial"/>
            <w:color w:val="000000"/>
            <w:sz w:val="24"/>
          </w:rPr>
          <w:t>18</w:t>
        </w:r>
      </w:hyperlink>
      <w:hyperlink r:id="rId17">
        <w:r>
          <w:rPr>
            <w:rFonts w:ascii="Arial"/>
            <w:color w:val="000000"/>
            <w:sz w:val="24"/>
          </w:rPr>
          <w:t/>
        </w:r>
      </w:hyperlink>
      <w:r>
        <w:rPr>
          <w:rFonts w:ascii="Arial"/>
          <w:color w:val="000000"/>
          <w:sz w:val="24"/>
        </w:rPr>
        <w:t>])</w:t>
      </w:r>
      <w:r>
        <w:rPr>
          <w:rFonts w:ascii="Arial"/>
          <w:color w:val="000000"/>
          <w:sz w:val="24"/>
        </w:rPr>
        <w:t xml:space="preserve"> </w:t>
      </w:r>
      <w:r>
        <w:rPr>
          <w:rFonts w:ascii="Arial"/>
          <w:color w:val="000000"/>
          <w:sz w:val="24"/>
        </w:rPr>
        <w:t>which is the concern</w:t>
      </w:r>
      <w:r>
        <w:rPr>
          <w:rFonts w:ascii="Arial"/>
          <w:color w:val="000000"/>
          <w:sz w:val="24"/>
        </w:rPr>
        <w:t xml:space="preserve"> </w:t>
      </w:r>
      <w:r>
        <w:rPr>
          <w:rFonts w:ascii="Arial"/>
          <w:color w:val="000000"/>
          <w:sz w:val="24"/>
        </w:rPr>
        <w:t>to me here</w:t>
      </w:r>
      <w:r>
        <w:rPr>
          <w:rFonts w:ascii="Arial"/>
          <w:color w:val="000000"/>
          <w:sz w:val="24"/>
        </w:rPr>
        <w:t>:</w:t>
      </w:r>
    </w:p>
    <w:p>
      <w:pPr>
        <w:pStyle w:val="CaselawCoversheet"/>
        <w:spacing w:before="150" w:after="150"/>
        <w:ind w:left="1350"/>
        <w:jc w:val="left"/>
      </w:pPr>
      <w:r>
        <w:rPr>
          <w:rFonts w:ascii="Arial"/>
          <w:color w:val="000000"/>
          <w:sz w:val="24"/>
        </w:rPr>
        <w:t xml:space="preserve">To provide for the housing needs of the community. </w:t>
      </w:r>
    </w:p>
    <w:p>
      <w:pPr>
        <w:pStyle w:val="CaselawNumbered10"/>
        <w:numPr>
          <w:ilvl w:val="0"/>
          <w:numId w:val="51"/>
        </w:numPr>
        <w:spacing w:before="150" w:after="0"/>
        <w:ind w:left="600" w:hanging="600"/>
      </w:pPr>
      <w:r>
        <w:rPr>
          <w:rFonts w:ascii="Arial"/>
          <w:color w:val="000000"/>
          <w:sz w:val="24"/>
        </w:rPr>
        <w:t>To find against satisfaction</w:t>
      </w:r>
      <w:r>
        <w:rPr>
          <w:rFonts w:ascii="Arial"/>
          <w:color w:val="000000"/>
          <w:sz w:val="24"/>
        </w:rPr>
        <w:t xml:space="preserve"> </w:t>
      </w:r>
      <w:r>
        <w:rPr>
          <w:rFonts w:ascii="Arial"/>
          <w:color w:val="000000"/>
          <w:sz w:val="24"/>
        </w:rPr>
        <w:t>that the proposed development is in the public interest because it is consistent with this zone objective</w:t>
      </w:r>
      <w:r>
        <w:rPr>
          <w:rFonts w:ascii="Arial"/>
          <w:color w:val="000000"/>
          <w:sz w:val="24"/>
        </w:rPr>
        <w:t xml:space="preserve"> </w:t>
      </w:r>
      <w:r>
        <w:rPr>
          <w:rFonts w:ascii="Arial"/>
          <w:color w:val="000000"/>
          <w:sz w:val="24"/>
        </w:rPr>
        <w:t xml:space="preserve">would </w:t>
      </w:r>
      <w:r>
        <w:rPr>
          <w:rFonts w:ascii="Arial"/>
          <w:color w:val="000000"/>
          <w:sz w:val="24"/>
        </w:rPr>
        <w:t xml:space="preserve">mean power is not available to grant consent to the application. In </w:t>
      </w:r>
      <w:r>
        <w:rPr>
          <w:rFonts w:ascii="Arial"/>
          <w:color w:val="000000"/>
          <w:sz w:val="24"/>
        </w:rPr>
        <w:t>all of</w:t>
      </w:r>
      <w:r>
        <w:rPr>
          <w:rFonts w:ascii="Arial"/>
          <w:color w:val="000000"/>
          <w:sz w:val="24"/>
        </w:rPr>
        <w:t xml:space="preserve"> </w:t>
      </w:r>
      <w:r>
        <w:rPr>
          <w:rFonts w:ascii="Arial"/>
          <w:color w:val="000000"/>
          <w:sz w:val="24"/>
        </w:rPr>
        <w:t>the circumstances before me here,</w:t>
      </w:r>
      <w:r>
        <w:rPr>
          <w:rFonts w:ascii="Arial"/>
          <w:color w:val="000000"/>
          <w:sz w:val="24"/>
        </w:rPr>
        <w:t xml:space="preserve"> </w:t>
      </w:r>
      <w:r>
        <w:rPr>
          <w:rFonts w:ascii="Arial"/>
          <w:color w:val="000000"/>
          <w:sz w:val="24"/>
        </w:rPr>
        <w:t>the question warrants close interrogation which I attempt to undertake now.</w:t>
      </w:r>
    </w:p>
    <w:p>
      <w:pPr>
        <w:pStyle w:val="CaselawHeading3"/>
        <w:keepNext/>
        <w:spacing w:before="150" w:after="150" w:line="264"/>
        <w:ind w:left="0"/>
        <w:jc w:val="left"/>
      </w:pPr>
      <w:r>
        <w:rPr>
          <w:rFonts w:ascii="Arial"/>
        </w:rPr>
        <w:t>Opinion evidence relating to interpretation of</w:t>
      </w:r>
      <w:r>
        <w:rPr>
          <w:rFonts w:ascii="Arial"/>
        </w:rPr>
        <w:t xml:space="preserve"> the first R1 zone </w:t>
      </w:r>
      <w:r>
        <w:rPr>
          <w:rFonts w:ascii="Arial"/>
        </w:rPr>
        <w:t>objective</w:t>
      </w:r>
    </w:p>
    <w:p>
      <w:pPr>
        <w:pStyle w:val="CaselawNumbered10"/>
        <w:numPr>
          <w:ilvl w:val="0"/>
          <w:numId w:val="52"/>
        </w:numPr>
        <w:spacing w:before="150" w:after="0"/>
        <w:ind w:left="600" w:hanging="600"/>
      </w:pPr>
      <w:r>
        <w:rPr>
          <w:rFonts w:ascii="Arial"/>
          <w:color w:val="000000"/>
          <w:sz w:val="24"/>
        </w:rPr>
        <w:t>I</w:t>
      </w:r>
      <w:r>
        <w:rPr>
          <w:rFonts w:ascii="Arial"/>
          <w:color w:val="000000"/>
          <w:sz w:val="24"/>
        </w:rPr>
        <w:t xml:space="preserve"> </w:t>
      </w:r>
      <w:r>
        <w:rPr>
          <w:rFonts w:ascii="Arial"/>
          <w:color w:val="000000"/>
          <w:sz w:val="24"/>
        </w:rPr>
        <w:t>will</w:t>
      </w:r>
      <w:r>
        <w:rPr>
          <w:rFonts w:ascii="Arial"/>
          <w:color w:val="000000"/>
          <w:sz w:val="24"/>
        </w:rPr>
        <w:t xml:space="preserve"> </w:t>
      </w:r>
      <w:r>
        <w:rPr>
          <w:rFonts w:ascii="Arial"/>
          <w:color w:val="000000"/>
          <w:sz w:val="24"/>
        </w:rPr>
        <w:t>initially refer to</w:t>
      </w:r>
      <w:r>
        <w:rPr>
          <w:rFonts w:ascii="Arial"/>
          <w:color w:val="000000"/>
          <w:sz w:val="24"/>
        </w:rPr>
        <w:t xml:space="preserve"> </w:t>
      </w:r>
      <w:r>
        <w:rPr>
          <w:rFonts w:ascii="Arial"/>
          <w:color w:val="000000"/>
          <w:sz w:val="24"/>
        </w:rPr>
        <w:t xml:space="preserve">the </w:t>
      </w:r>
      <w:r>
        <w:rPr>
          <w:rFonts w:ascii="Arial"/>
          <w:color w:val="000000"/>
          <w:sz w:val="24"/>
        </w:rPr>
        <w:t>evidence</w:t>
      </w:r>
      <w:r>
        <w:rPr>
          <w:rFonts w:ascii="Arial"/>
          <w:color w:val="000000"/>
          <w:sz w:val="24"/>
        </w:rPr>
        <w:t xml:space="preserve"> </w:t>
      </w:r>
      <w:r>
        <w:rPr>
          <w:rFonts w:ascii="Arial"/>
          <w:color w:val="000000"/>
          <w:sz w:val="24"/>
        </w:rPr>
        <w:t xml:space="preserve">of the experts </w:t>
      </w:r>
      <w:r>
        <w:rPr>
          <w:rFonts w:ascii="Arial"/>
          <w:color w:val="000000"/>
          <w:sz w:val="24"/>
        </w:rPr>
        <w:t xml:space="preserve">and </w:t>
      </w:r>
      <w:r>
        <w:rPr>
          <w:rFonts w:ascii="Arial"/>
          <w:color w:val="000000"/>
          <w:sz w:val="24"/>
        </w:rPr>
        <w:t>also</w:t>
      </w:r>
      <w:r>
        <w:rPr>
          <w:rFonts w:ascii="Arial"/>
          <w:color w:val="000000"/>
          <w:sz w:val="24"/>
        </w:rPr>
        <w:t xml:space="preserve"> </w:t>
      </w:r>
      <w:r>
        <w:rPr>
          <w:rFonts w:ascii="Arial"/>
          <w:color w:val="000000"/>
          <w:sz w:val="24"/>
        </w:rPr>
        <w:t xml:space="preserve">objecting </w:t>
      </w:r>
      <w:r>
        <w:rPr>
          <w:rFonts w:ascii="Arial"/>
          <w:color w:val="000000"/>
          <w:sz w:val="24"/>
        </w:rPr>
        <w:t>lay submissions with respect to the interpretation of the first R1 zone o</w:t>
      </w:r>
      <w:r>
        <w:rPr>
          <w:rFonts w:ascii="Arial"/>
          <w:color w:val="000000"/>
          <w:sz w:val="24"/>
        </w:rPr>
        <w:t xml:space="preserve">bjective. </w:t>
      </w:r>
      <w:r>
        <w:rPr>
          <w:rFonts w:ascii="Arial"/>
          <w:color w:val="000000"/>
          <w:sz w:val="24"/>
        </w:rPr>
        <w:t>T</w:t>
      </w:r>
      <w:r>
        <w:rPr>
          <w:rFonts w:ascii="Arial"/>
          <w:color w:val="000000"/>
          <w:sz w:val="24"/>
        </w:rPr>
        <w:t xml:space="preserve">he reasoning behind the supportive </w:t>
      </w:r>
      <w:r>
        <w:rPr>
          <w:rFonts w:ascii="Arial"/>
          <w:color w:val="000000"/>
          <w:sz w:val="24"/>
        </w:rPr>
        <w:t xml:space="preserve">lay </w:t>
      </w:r>
      <w:r>
        <w:rPr>
          <w:rFonts w:ascii="Arial"/>
          <w:color w:val="000000"/>
          <w:sz w:val="24"/>
        </w:rPr>
        <w:t>submissions</w:t>
      </w:r>
      <w:r>
        <w:rPr>
          <w:rFonts w:ascii="Arial"/>
          <w:color w:val="000000"/>
          <w:sz w:val="24"/>
        </w:rPr>
        <w:t>’</w:t>
      </w:r>
      <w:r>
        <w:rPr>
          <w:rFonts w:ascii="Arial"/>
          <w:color w:val="000000"/>
          <w:sz w:val="24"/>
        </w:rPr>
        <w:t xml:space="preserve"> </w:t>
      </w:r>
      <w:r>
        <w:rPr>
          <w:rFonts w:ascii="Arial"/>
          <w:color w:val="000000"/>
          <w:sz w:val="24"/>
        </w:rPr>
        <w:t xml:space="preserve">view that the proposal is consistent with the objective of meeting housing needs </w:t>
      </w:r>
      <w:r>
        <w:rPr>
          <w:rFonts w:ascii="Arial"/>
          <w:color w:val="000000"/>
          <w:sz w:val="24"/>
        </w:rPr>
        <w:t xml:space="preserve">has been previously outlined </w:t>
      </w:r>
      <w:r>
        <w:rPr>
          <w:rFonts w:ascii="Arial"/>
          <w:color w:val="000000"/>
          <w:sz w:val="24"/>
        </w:rPr>
        <w:t>(see [</w:t>
      </w:r>
      <w:hyperlink r:id="rId18">
        <w:r>
          <w:rPr>
            <w:rFonts w:ascii="Arial"/>
            <w:color w:val="000000"/>
            <w:sz w:val="24"/>
            <w:u w:val="single"/>
          </w:rPr>
          <w:t/>
        </w:r>
        <w:r>
          <w:rPr>
            <w:rFonts w:ascii="Arial"/>
            <w:color w:val="000000"/>
            <w:sz w:val="24"/>
          </w:rPr>
          <w:t>37</w:t>
        </w:r>
      </w:hyperlink>
      <w:hyperlink r:id="rId19">
        <w:r>
          <w:rPr>
            <w:rFonts w:ascii="Arial"/>
            <w:color w:val="000000"/>
            <w:sz w:val="24"/>
          </w:rPr>
          <w:t/>
        </w:r>
      </w:hyperlink>
      <w:r>
        <w:rPr>
          <w:rFonts w:ascii="Arial"/>
          <w:color w:val="000000"/>
          <w:sz w:val="24"/>
        </w:rPr>
        <w:t>]-[</w:t>
      </w:r>
      <w:hyperlink r:id="rId20">
        <w:r>
          <w:rPr>
            <w:rFonts w:ascii="Arial"/>
            <w:color w:val="000000"/>
            <w:sz w:val="24"/>
            <w:u w:val="single"/>
          </w:rPr>
          <w:t/>
        </w:r>
        <w:r>
          <w:rPr>
            <w:rFonts w:ascii="Arial"/>
            <w:color w:val="000000"/>
            <w:sz w:val="24"/>
          </w:rPr>
          <w:t>38</w:t>
        </w:r>
      </w:hyperlink>
      <w:hyperlink r:id="rId21">
        <w:r>
          <w:rPr>
            <w:rFonts w:ascii="Arial"/>
            <w:color w:val="000000"/>
            <w:sz w:val="24"/>
          </w:rPr>
          <w:t/>
        </w:r>
      </w:hyperlink>
      <w:r>
        <w:rPr>
          <w:rFonts w:ascii="Arial"/>
          <w:color w:val="000000"/>
          <w:sz w:val="24"/>
        </w:rPr>
        <w:t>])</w:t>
      </w:r>
      <w:r>
        <w:rPr>
          <w:rFonts w:ascii="Arial"/>
          <w:color w:val="000000"/>
          <w:sz w:val="24"/>
        </w:rPr>
        <w:t>, and generally aligns with certain opinions expressed by the experts</w:t>
      </w:r>
      <w:r>
        <w:rPr>
          <w:rFonts w:ascii="Arial"/>
          <w:color w:val="000000"/>
          <w:sz w:val="24"/>
        </w:rPr>
        <w:t>.</w:t>
      </w:r>
    </w:p>
    <w:p>
      <w:pPr>
        <w:pStyle w:val="CaselawHeading4"/>
        <w:keepNext/>
        <w:spacing w:before="150" w:after="150" w:line="264"/>
        <w:ind w:left="600"/>
        <w:jc w:val="left"/>
      </w:pPr>
      <w:r>
        <w:rPr>
          <w:rFonts w:ascii="Arial"/>
        </w:rPr>
        <w:t>The e</w:t>
      </w:r>
      <w:r>
        <w:rPr>
          <w:rFonts w:ascii="Arial"/>
        </w:rPr>
        <w:t xml:space="preserve">xpert evidence is that the proposed development is consistent with the first R1 zone </w:t>
      </w:r>
      <w:r>
        <w:rPr>
          <w:rFonts w:ascii="Arial"/>
        </w:rPr>
        <w:t>objective</w:t>
      </w:r>
    </w:p>
    <w:p>
      <w:pPr>
        <w:pStyle w:val="CaselawNumbered10"/>
        <w:numPr>
          <w:ilvl w:val="0"/>
          <w:numId w:val="53"/>
        </w:numPr>
        <w:spacing w:before="150" w:after="0"/>
        <w:ind w:left="600" w:hanging="600"/>
      </w:pPr>
      <w:r>
        <w:rPr>
          <w:rFonts w:ascii="Arial"/>
          <w:color w:val="000000"/>
          <w:sz w:val="24"/>
        </w:rPr>
        <w:t xml:space="preserve">The overall findings of the experts </w:t>
      </w:r>
      <w:r>
        <w:rPr>
          <w:rFonts w:ascii="Arial"/>
          <w:color w:val="000000"/>
          <w:sz w:val="24"/>
        </w:rPr>
        <w:t>were</w:t>
      </w:r>
      <w:r>
        <w:rPr>
          <w:rFonts w:ascii="Arial"/>
          <w:color w:val="000000"/>
          <w:sz w:val="24"/>
        </w:rPr>
        <w:t xml:space="preserve"> </w:t>
      </w:r>
      <w:r>
        <w:rPr>
          <w:rFonts w:ascii="Arial"/>
          <w:color w:val="000000"/>
          <w:sz w:val="24"/>
        </w:rPr>
        <w:t>supportive of the proposal</w:t>
      </w:r>
      <w:r>
        <w:rPr>
          <w:rFonts w:ascii="Arial"/>
          <w:color w:val="000000"/>
          <w:sz w:val="24"/>
        </w:rPr>
        <w:t>,</w:t>
      </w:r>
      <w:r>
        <w:rPr>
          <w:rFonts w:ascii="Arial"/>
          <w:color w:val="000000"/>
          <w:sz w:val="24"/>
        </w:rPr>
        <w:t xml:space="preserve"> </w:t>
      </w:r>
      <w:r>
        <w:rPr>
          <w:rFonts w:ascii="Arial"/>
          <w:color w:val="000000"/>
          <w:sz w:val="24"/>
        </w:rPr>
        <w:t xml:space="preserve">notwithstanding the height </w:t>
      </w:r>
      <w:r>
        <w:rPr>
          <w:rFonts w:ascii="Arial"/>
          <w:color w:val="000000"/>
          <w:sz w:val="24"/>
        </w:rPr>
        <w:t>standard contravention</w:t>
      </w:r>
      <w:r>
        <w:rPr>
          <w:rFonts w:ascii="Arial"/>
          <w:color w:val="000000"/>
          <w:sz w:val="24"/>
        </w:rPr>
        <w:t xml:space="preserve">. There were direct and indirect references of </w:t>
      </w:r>
      <w:r>
        <w:rPr>
          <w:rFonts w:ascii="Arial"/>
          <w:color w:val="000000"/>
          <w:sz w:val="24"/>
        </w:rPr>
        <w:t xml:space="preserve">relevance to me </w:t>
      </w:r>
      <w:r>
        <w:rPr>
          <w:rFonts w:ascii="Arial"/>
          <w:color w:val="000000"/>
          <w:sz w:val="24"/>
        </w:rPr>
        <w:t>with respect to the question of consistency with the first zone objective</w:t>
      </w:r>
      <w:r>
        <w:rPr>
          <w:rFonts w:ascii="Arial"/>
          <w:color w:val="000000"/>
          <w:sz w:val="24"/>
        </w:rPr>
        <w:t>. I will refer here to four areas where relevant material was provided</w:t>
      </w:r>
      <w:r>
        <w:rPr>
          <w:rFonts w:ascii="Arial"/>
          <w:color w:val="000000"/>
          <w:sz w:val="24"/>
        </w:rPr>
        <w:t xml:space="preserve"> </w:t>
      </w:r>
      <w:r>
        <w:rPr>
          <w:rFonts w:ascii="Arial"/>
          <w:color w:val="000000"/>
          <w:sz w:val="24"/>
        </w:rPr>
        <w:t>by the experts</w:t>
      </w:r>
      <w:r>
        <w:rPr>
          <w:rFonts w:ascii="Arial"/>
          <w:color w:val="000000"/>
          <w:sz w:val="24"/>
        </w:rPr>
        <w:t xml:space="preserve">. First, is the </w:t>
      </w:r>
      <w:r>
        <w:rPr>
          <w:rFonts w:ascii="Arial"/>
          <w:color w:val="000000"/>
          <w:sz w:val="24"/>
        </w:rPr>
        <w:t xml:space="preserve">cl 4.6 </w:t>
      </w:r>
      <w:r>
        <w:rPr>
          <w:rFonts w:ascii="Arial"/>
          <w:color w:val="000000"/>
          <w:sz w:val="24"/>
        </w:rPr>
        <w:t xml:space="preserve">written request (Ex F). </w:t>
      </w:r>
      <w:r>
        <w:rPr>
          <w:rFonts w:ascii="Arial"/>
          <w:color w:val="000000"/>
          <w:sz w:val="24"/>
        </w:rPr>
        <w:t>While there was no necessity for it to do so, i</w:t>
      </w:r>
      <w:r>
        <w:rPr>
          <w:rFonts w:ascii="Arial"/>
          <w:color w:val="000000"/>
          <w:sz w:val="24"/>
        </w:rPr>
        <w:t>t directly addressed the question of consistency with zone objectives and found as follows with respect to the first zone objective (Ex F p 21):</w:t>
      </w:r>
    </w:p>
    <w:p>
      <w:pPr>
        <w:pStyle w:val="CaselawCoversheet"/>
        <w:spacing w:before="150" w:after="150"/>
        <w:ind w:left="1350"/>
        <w:jc w:val="left"/>
      </w:pPr>
      <w:r>
        <w:rPr>
          <w:rFonts w:ascii="Arial"/>
          <w:color w:val="000000"/>
          <w:sz w:val="24"/>
        </w:rPr>
        <w:t>“</w:t>
      </w:r>
      <w:r>
        <w:rPr>
          <w:rFonts w:ascii="Arial"/>
          <w:color w:val="000000"/>
          <w:sz w:val="24"/>
        </w:rPr>
        <w:t>The proposal will replace ageing buildings (50+ years old) with new, high-amenity housing stock which will meet the housing needs of the community.</w:t>
      </w:r>
    </w:p>
    <w:p>
      <w:pPr>
        <w:pStyle w:val="CaselawCoversheet"/>
        <w:spacing w:before="150" w:after="150"/>
        <w:ind w:left="1350"/>
        <w:jc w:val="left"/>
      </w:pPr>
      <w:r>
        <w:rPr>
          <w:rFonts w:ascii="Arial"/>
          <w:color w:val="000000"/>
          <w:sz w:val="24"/>
        </w:rPr>
        <w:t>Importantly, the new housing delivered will comply with contemporary apartment amenity controls, ESD standards and BCA/DDA requirements (the existing buildings do not).”</w:t>
      </w:r>
    </w:p>
    <w:p>
      <w:pPr>
        <w:pStyle w:val="CaselawNumbered10"/>
        <w:numPr>
          <w:ilvl w:val="0"/>
          <w:numId w:val="54"/>
        </w:numPr>
        <w:spacing w:before="150" w:after="0"/>
        <w:ind w:left="600" w:hanging="600"/>
      </w:pPr>
      <w:r>
        <w:rPr>
          <w:rFonts w:ascii="Arial"/>
          <w:color w:val="000000"/>
          <w:sz w:val="24"/>
        </w:rPr>
        <w:t>The first paragraph from the above quote has good alignment with some of the lay submissions supportive of the proposal.</w:t>
      </w:r>
    </w:p>
    <w:p>
      <w:pPr>
        <w:pStyle w:val="CaselawNumbered10"/>
        <w:numPr>
          <w:ilvl w:val="0"/>
          <w:numId w:val="54"/>
        </w:numPr>
        <w:spacing w:before="150" w:after="0"/>
        <w:ind w:left="600" w:hanging="600"/>
      </w:pPr>
      <w:r>
        <w:rPr>
          <w:rFonts w:ascii="Arial"/>
          <w:color w:val="000000"/>
          <w:sz w:val="24"/>
        </w:rPr>
        <w:t>Second, I refer to the experts</w:t>
      </w:r>
      <w:r>
        <w:rPr>
          <w:rFonts w:ascii="Arial"/>
          <w:color w:val="000000"/>
          <w:sz w:val="24"/>
        </w:rPr>
        <w:t xml:space="preserve">’ </w:t>
      </w:r>
      <w:r>
        <w:rPr>
          <w:rFonts w:ascii="Arial"/>
          <w:color w:val="000000"/>
          <w:sz w:val="24"/>
        </w:rPr>
        <w:t>agreed response</w:t>
      </w:r>
      <w:r>
        <w:rPr>
          <w:rFonts w:ascii="Arial"/>
          <w:color w:val="000000"/>
          <w:sz w:val="24"/>
        </w:rPr>
        <w:t>s</w:t>
      </w:r>
      <w:r>
        <w:rPr>
          <w:rFonts w:ascii="Arial"/>
          <w:color w:val="000000"/>
          <w:sz w:val="24"/>
        </w:rPr>
        <w:t xml:space="preserve"> </w:t>
      </w:r>
      <w:r>
        <w:rPr>
          <w:rFonts w:ascii="Arial"/>
          <w:color w:val="000000"/>
          <w:sz w:val="24"/>
        </w:rPr>
        <w:t xml:space="preserve">to lay submissions. </w:t>
      </w:r>
      <w:r>
        <w:rPr>
          <w:rFonts w:ascii="Arial"/>
          <w:color w:val="000000"/>
          <w:sz w:val="24"/>
        </w:rPr>
        <w:t>As indicated, t</w:t>
      </w:r>
      <w:r>
        <w:rPr>
          <w:rFonts w:ascii="Arial"/>
          <w:color w:val="000000"/>
          <w:sz w:val="24"/>
        </w:rPr>
        <w:t>his work provided a brief synthesis of</w:t>
      </w:r>
      <w:r>
        <w:rPr>
          <w:rFonts w:ascii="Arial"/>
          <w:color w:val="000000"/>
          <w:sz w:val="24"/>
        </w:rPr>
        <w:t xml:space="preserve"> </w:t>
      </w:r>
      <w:r>
        <w:rPr>
          <w:rFonts w:ascii="Arial"/>
          <w:color w:val="000000"/>
          <w:sz w:val="24"/>
        </w:rPr>
        <w:t xml:space="preserve">different lines of objections and provided an agreed expert response. Two of the synthesised topics have relevance to my interest here. Topic F was as </w:t>
      </w:r>
      <w:r>
        <w:rPr>
          <w:rFonts w:ascii="Arial"/>
          <w:color w:val="000000"/>
          <w:sz w:val="24"/>
        </w:rPr>
        <w:t xml:space="preserve">described by the experts as </w:t>
      </w:r>
      <w:r>
        <w:rPr>
          <w:rFonts w:ascii="Arial"/>
          <w:color w:val="000000"/>
          <w:sz w:val="24"/>
        </w:rPr>
        <w:t>follows (Ex 4 p 28):</w:t>
      </w:r>
    </w:p>
    <w:p>
      <w:pPr>
        <w:pStyle w:val="CaselawCoversheet"/>
        <w:spacing w:before="150" w:after="150"/>
        <w:ind w:left="1350"/>
        <w:jc w:val="left"/>
      </w:pPr>
      <w:r>
        <w:rPr>
          <w:rFonts w:ascii="Arial"/>
          <w:color w:val="000000"/>
          <w:sz w:val="24"/>
        </w:rPr>
        <w:t>“Loss of affordable dwellings, reduction of dwellings and inadequate mix of dwelling types.”</w:t>
      </w:r>
    </w:p>
    <w:p>
      <w:pPr>
        <w:pStyle w:val="CaselawNumbered10"/>
        <w:numPr>
          <w:ilvl w:val="0"/>
          <w:numId w:val="55"/>
        </w:numPr>
        <w:spacing w:before="150" w:after="0"/>
        <w:ind w:left="600" w:hanging="600"/>
      </w:pPr>
      <w:r>
        <w:rPr>
          <w:rFonts w:ascii="Arial"/>
          <w:color w:val="000000"/>
          <w:sz w:val="24"/>
        </w:rPr>
        <w:t>The experts</w:t>
      </w:r>
      <w:r>
        <w:rPr>
          <w:rFonts w:ascii="Arial"/>
          <w:color w:val="000000"/>
          <w:sz w:val="24"/>
        </w:rPr>
        <w:t xml:space="preserve">’ </w:t>
      </w:r>
      <w:r>
        <w:rPr>
          <w:rFonts w:ascii="Arial"/>
          <w:color w:val="000000"/>
          <w:sz w:val="24"/>
        </w:rPr>
        <w:t>agreed response to this topic was as follows (ibid):</w:t>
      </w:r>
    </w:p>
    <w:p>
      <w:pPr>
        <w:pStyle w:val="CaselawCoversheet"/>
        <w:spacing w:before="150" w:after="150"/>
        <w:ind w:left="1350"/>
        <w:jc w:val="left"/>
      </w:pPr>
      <w:r>
        <w:rPr>
          <w:rFonts w:ascii="Arial"/>
          <w:b/>
          <w:color w:val="000000"/>
          <w:sz w:val="24"/>
        </w:rPr>
        <w:t>“Dwelling mix</w:t>
      </w:r>
    </w:p>
    <w:p>
      <w:pPr>
        <w:pStyle w:val="CaselawCoversheet"/>
        <w:spacing w:before="150" w:after="150"/>
        <w:ind w:left="1350"/>
        <w:jc w:val="left"/>
      </w:pPr>
      <w:r>
        <w:rPr>
          <w:rFonts w:ascii="Arial"/>
          <w:color w:val="000000"/>
          <w:sz w:val="24"/>
        </w:rPr>
        <w:t xml:space="preserve">1. As the development incorporates only 20 dwellings, the dwelling mix provisions of section 4.2.3.12 of the SDCP 2012 are not applicable in this case. The development provides 2 </w:t>
      </w:r>
      <w:r>
        <w:rPr>
          <w:rFonts w:ascii="Arial"/>
          <w:color w:val="000000"/>
          <w:sz w:val="24"/>
        </w:rPr>
        <w:t>[two]</w:t>
      </w:r>
      <w:r>
        <w:rPr>
          <w:rFonts w:ascii="Arial"/>
          <w:color w:val="000000"/>
          <w:sz w:val="24"/>
        </w:rPr>
        <w:t xml:space="preserve"> – bedroom apartments, 17 three-bedroom apartments and 1 four-bedroom apartments. The experts agree that the proposed apartment mix is acceptable.</w:t>
      </w:r>
    </w:p>
    <w:p>
      <w:pPr>
        <w:pStyle w:val="CaselawCoversheet"/>
        <w:spacing w:before="150" w:after="150"/>
        <w:ind w:left="1350"/>
        <w:jc w:val="left"/>
      </w:pPr>
      <w:r>
        <w:rPr>
          <w:rFonts w:ascii="Arial"/>
          <w:b/>
          <w:color w:val="000000"/>
          <w:sz w:val="24"/>
        </w:rPr>
        <w:t>Retention of affordable rental housing</w:t>
      </w:r>
    </w:p>
    <w:p>
      <w:pPr>
        <w:pStyle w:val="CaselawCoversheet"/>
        <w:spacing w:before="150" w:after="150"/>
        <w:ind w:left="1350"/>
        <w:jc w:val="left"/>
      </w:pPr>
      <w:r>
        <w:rPr>
          <w:rFonts w:ascii="Arial"/>
          <w:color w:val="000000"/>
          <w:sz w:val="24"/>
        </w:rPr>
        <w:t>2. As the existing building is strata subdivided, Part 3 Retention of existing affordable rental housing of the Housing SEPP does not apply to the existing building pursuant to clause 46(2)(a). There is no current planning mechanism to retain the existing building based on the affordability of the existing accommodation.</w:t>
      </w:r>
    </w:p>
    <w:p>
      <w:pPr>
        <w:pStyle w:val="CaselawCoversheet"/>
        <w:spacing w:before="150" w:after="150"/>
        <w:ind w:left="1350"/>
        <w:jc w:val="left"/>
      </w:pPr>
      <w:r>
        <w:rPr>
          <w:rFonts w:ascii="Arial"/>
          <w:b/>
          <w:color w:val="000000"/>
          <w:sz w:val="24"/>
        </w:rPr>
        <w:t>Reduction of dwellings</w:t>
      </w:r>
    </w:p>
    <w:p>
      <w:pPr>
        <w:pStyle w:val="CaselawCoversheet"/>
        <w:spacing w:before="150" w:after="150"/>
        <w:ind w:left="1350"/>
        <w:jc w:val="left"/>
      </w:pPr>
      <w:r>
        <w:rPr>
          <w:rFonts w:ascii="Arial"/>
          <w:color w:val="000000"/>
          <w:sz w:val="24"/>
        </w:rPr>
        <w:t>3. There is no planning mechanism currently in effect which prohibits that reduction in the number of dwellings overall on a development site. It is noted that the City of Sydney dwelling retention planning proposal received gateway determination on 5 April 2024, was publicly notified between 11 July 2024 and 23 August 2024 and is still under review and not yet in effect. The development application was lodged 14 August 2023 and therefore no weight can be given to this draft policy.”</w:t>
      </w:r>
    </w:p>
    <w:p>
      <w:pPr>
        <w:pStyle w:val="CaselawNumbered10"/>
        <w:numPr>
          <w:ilvl w:val="0"/>
          <w:numId w:val="56"/>
        </w:numPr>
        <w:spacing w:before="150" w:after="0"/>
        <w:ind w:left="600" w:hanging="600"/>
      </w:pPr>
      <w:r>
        <w:rPr>
          <w:rFonts w:ascii="Arial"/>
          <w:color w:val="000000"/>
          <w:sz w:val="24"/>
        </w:rPr>
        <w:t>Topic W in the experts</w:t>
      </w:r>
      <w:r>
        <w:rPr>
          <w:rFonts w:ascii="Arial"/>
          <w:color w:val="000000"/>
          <w:sz w:val="24"/>
        </w:rPr>
        <w:t xml:space="preserve">’ </w:t>
      </w:r>
      <w:r>
        <w:rPr>
          <w:rFonts w:ascii="Arial"/>
          <w:color w:val="000000"/>
          <w:sz w:val="24"/>
        </w:rPr>
        <w:t xml:space="preserve">response to objecting submissions was </w:t>
      </w:r>
      <w:r>
        <w:rPr>
          <w:rFonts w:ascii="Arial"/>
          <w:color w:val="000000"/>
          <w:sz w:val="24"/>
        </w:rPr>
        <w:t xml:space="preserve">titled </w:t>
      </w:r>
      <w:r>
        <w:rPr>
          <w:rFonts w:ascii="Arial"/>
          <w:color w:val="000000"/>
          <w:sz w:val="24"/>
        </w:rPr>
        <w:t>(Ex 4 p 41):</w:t>
      </w:r>
    </w:p>
    <w:p>
      <w:pPr>
        <w:pStyle w:val="CaselawCoversheet"/>
        <w:spacing w:before="150" w:after="150"/>
        <w:ind w:left="1350"/>
        <w:jc w:val="left"/>
      </w:pPr>
      <w:r>
        <w:rPr>
          <w:rFonts w:ascii="Arial"/>
          <w:color w:val="000000"/>
          <w:sz w:val="24"/>
        </w:rPr>
        <w:t>“The proposal does not achieve the objectives of the R1 General Residential zone.”</w:t>
      </w:r>
    </w:p>
    <w:p>
      <w:pPr>
        <w:pStyle w:val="CaselawNumbered10"/>
        <w:numPr>
          <w:ilvl w:val="0"/>
          <w:numId w:val="57"/>
        </w:numPr>
        <w:spacing w:before="150" w:after="0"/>
        <w:ind w:left="600" w:hanging="600"/>
      </w:pPr>
      <w:r>
        <w:rPr>
          <w:rFonts w:ascii="Arial"/>
          <w:color w:val="000000"/>
          <w:sz w:val="24"/>
        </w:rPr>
        <w:t>After specifying the R1 zone objectives, the experts' agreed response to this objection topic was as follows (ibid):</w:t>
      </w:r>
    </w:p>
    <w:p>
      <w:pPr>
        <w:pStyle w:val="CaselawCoversheet"/>
        <w:spacing w:before="150" w:after="150"/>
        <w:ind w:left="1350"/>
        <w:jc w:val="left"/>
      </w:pPr>
      <w:r>
        <w:rPr>
          <w:rFonts w:ascii="Arial"/>
          <w:color w:val="000000"/>
          <w:sz w:val="24"/>
        </w:rPr>
        <w:t>“…</w:t>
      </w:r>
    </w:p>
    <w:p>
      <w:pPr>
        <w:pStyle w:val="CaselawCoversheet"/>
        <w:spacing w:before="150" w:after="150"/>
        <w:ind w:left="1350"/>
        <w:jc w:val="left"/>
      </w:pPr>
      <w:r>
        <w:rPr>
          <w:rFonts w:ascii="Arial"/>
          <w:color w:val="000000"/>
          <w:sz w:val="24"/>
        </w:rPr>
        <w:t xml:space="preserve">2. The proposed development is consistent with the zone objectives because it will: </w:t>
      </w:r>
    </w:p>
    <w:p>
      <w:pPr>
        <w:pStyle w:val="CaselawCoversheet"/>
        <w:spacing w:before="150" w:after="150"/>
        <w:ind w:left="2100"/>
        <w:jc w:val="left"/>
      </w:pPr>
      <w:r>
        <w:rPr>
          <w:rFonts w:ascii="Arial"/>
          <w:color w:val="000000"/>
          <w:sz w:val="24"/>
        </w:rPr>
        <w:t xml:space="preserve">a. Provide for a residential flat building which is a permitted use in the zone. </w:t>
      </w:r>
    </w:p>
    <w:p>
      <w:pPr>
        <w:pStyle w:val="CaselawCoversheet"/>
        <w:spacing w:before="150" w:after="150"/>
        <w:ind w:left="2100"/>
        <w:jc w:val="left"/>
      </w:pPr>
      <w:r>
        <w:rPr>
          <w:rFonts w:ascii="Arial"/>
          <w:color w:val="000000"/>
          <w:sz w:val="24"/>
        </w:rPr>
        <w:t xml:space="preserve">b. Replace an ageing building with new housing with a mix of </w:t>
      </w:r>
      <w:r>
        <w:rPr>
          <w:rFonts w:ascii="Arial"/>
          <w:color w:val="000000"/>
          <w:sz w:val="24"/>
        </w:rPr>
        <w:t>2, 3 and 4 bedroom</w:t>
      </w:r>
      <w:r>
        <w:rPr>
          <w:rFonts w:ascii="Arial"/>
          <w:color w:val="000000"/>
          <w:sz w:val="24"/>
        </w:rPr>
        <w:t xml:space="preserve"> apartments. </w:t>
      </w:r>
    </w:p>
    <w:p>
      <w:pPr>
        <w:pStyle w:val="CaselawCoversheet"/>
        <w:spacing w:before="150" w:after="150"/>
        <w:ind w:left="1350"/>
        <w:jc w:val="left"/>
      </w:pPr>
      <w:r>
        <w:rPr>
          <w:rFonts w:ascii="Arial"/>
          <w:color w:val="000000"/>
          <w:sz w:val="24"/>
        </w:rPr>
        <w:t xml:space="preserve">3. Specifically, Elizabeth Bay currently contains a high proportion of smaller apartments, with ABS data confirming that only 8.9% of the area accommodating </w:t>
      </w:r>
      <w:r>
        <w:rPr>
          <w:rFonts w:ascii="Arial"/>
          <w:color w:val="000000"/>
          <w:sz w:val="24"/>
        </w:rPr>
        <w:t>3 bedroom</w:t>
      </w:r>
      <w:r>
        <w:rPr>
          <w:rFonts w:ascii="Arial"/>
          <w:color w:val="000000"/>
          <w:sz w:val="24"/>
        </w:rPr>
        <w:t xml:space="preserve"> apartments, and 1.4% accommodating 4 bedroom apartments. The remaining 90% of housing stock is Studio/</w:t>
      </w:r>
      <w:r>
        <w:rPr>
          <w:rFonts w:ascii="Arial"/>
          <w:color w:val="000000"/>
          <w:sz w:val="24"/>
        </w:rPr>
        <w:t>1 and 2 bedroom</w:t>
      </w:r>
      <w:r>
        <w:rPr>
          <w:rFonts w:ascii="Arial"/>
          <w:color w:val="000000"/>
          <w:sz w:val="24"/>
        </w:rPr>
        <w:t xml:space="preserve"> units. </w:t>
      </w:r>
    </w:p>
    <w:p>
      <w:pPr>
        <w:pStyle w:val="CaselawCoversheet"/>
        <w:spacing w:before="150" w:after="150"/>
        <w:ind w:left="1350"/>
        <w:jc w:val="left"/>
      </w:pPr>
      <w:r>
        <w:rPr>
          <w:rFonts w:ascii="Arial"/>
          <w:color w:val="000000"/>
          <w:sz w:val="24"/>
        </w:rPr>
        <w:t xml:space="preserve">4. The proposed unit mix by the applicant meets unit mix controls in the DCP </w:t>
      </w:r>
      <w:r>
        <w:rPr>
          <w:rFonts w:ascii="Arial"/>
          <w:color w:val="000000"/>
          <w:sz w:val="24"/>
        </w:rPr>
        <w:t>which allow for 100% 3+ bedroom apartments.</w:t>
      </w:r>
      <w:r>
        <w:rPr>
          <w:rFonts w:ascii="Arial"/>
          <w:color w:val="000000"/>
          <w:sz w:val="24"/>
        </w:rPr>
        <w:t xml:space="preserve"> </w:t>
      </w:r>
    </w:p>
    <w:p>
      <w:pPr>
        <w:pStyle w:val="CaselawCoversheet"/>
        <w:spacing w:before="150" w:after="150"/>
        <w:ind w:left="1350"/>
        <w:jc w:val="left"/>
      </w:pPr>
      <w:r>
        <w:rPr>
          <w:rFonts w:ascii="Arial"/>
          <w:color w:val="000000"/>
          <w:sz w:val="24"/>
        </w:rPr>
        <w:t xml:space="preserve">5. In addition to the above, the development will be subject to the provision of an affordable housing contribution mandated under Clause 7.13 of SLEP 2012. A condition of consent will be imposed, and in accordance with the City’s Affordable Housing Policy, will go towards the provision of purpose-built affordable housing in the City of Sydney LGA.” </w:t>
      </w:r>
    </w:p>
    <w:p>
      <w:pPr>
        <w:pStyle w:val="CaselawNumbered10"/>
        <w:numPr>
          <w:ilvl w:val="0"/>
          <w:numId w:val="58"/>
        </w:numPr>
        <w:spacing w:before="150" w:after="0"/>
        <w:ind w:left="600" w:hanging="600"/>
      </w:pPr>
      <w:r>
        <w:rPr>
          <w:rFonts w:ascii="Arial"/>
          <w:color w:val="000000"/>
          <w:sz w:val="24"/>
        </w:rPr>
        <w:t xml:space="preserve">Third, in oral evidence, I raised the issue generally with the experts. The </w:t>
      </w:r>
      <w:r>
        <w:rPr>
          <w:rFonts w:ascii="Arial"/>
          <w:color w:val="000000"/>
          <w:sz w:val="24"/>
        </w:rPr>
        <w:t>experts</w:t>
      </w:r>
      <w:r>
        <w:rPr>
          <w:rFonts w:ascii="Arial"/>
          <w:color w:val="000000"/>
          <w:sz w:val="24"/>
        </w:rPr>
        <w:t>’</w:t>
      </w:r>
      <w:r>
        <w:rPr>
          <w:rFonts w:ascii="Arial"/>
          <w:color w:val="000000"/>
          <w:sz w:val="24"/>
        </w:rPr>
        <w:t xml:space="preserve"> </w:t>
      </w:r>
      <w:r>
        <w:rPr>
          <w:rFonts w:ascii="Arial"/>
          <w:color w:val="000000"/>
          <w:sz w:val="24"/>
        </w:rPr>
        <w:t xml:space="preserve">oral evidence </w:t>
      </w:r>
      <w:r>
        <w:rPr>
          <w:rFonts w:ascii="Arial"/>
          <w:color w:val="000000"/>
          <w:sz w:val="24"/>
        </w:rPr>
        <w:t>essentially</w:t>
      </w:r>
      <w:r>
        <w:rPr>
          <w:rFonts w:ascii="Arial"/>
          <w:color w:val="000000"/>
          <w:sz w:val="24"/>
        </w:rPr>
        <w:t xml:space="preserve"> </w:t>
      </w:r>
      <w:r>
        <w:rPr>
          <w:rFonts w:ascii="Arial"/>
          <w:color w:val="000000"/>
          <w:sz w:val="24"/>
        </w:rPr>
        <w:t xml:space="preserve">followed the points nominated above. I asked the experts about their reference to there being </w:t>
      </w:r>
      <w:r>
        <w:rPr>
          <w:rFonts w:ascii="Arial"/>
          <w:color w:val="000000"/>
          <w:sz w:val="24"/>
        </w:rPr>
        <w:t>“</w:t>
      </w:r>
      <w:r>
        <w:rPr>
          <w:rFonts w:ascii="Arial"/>
          <w:color w:val="000000"/>
          <w:sz w:val="24"/>
        </w:rPr>
        <w:t>no planning mechanism currently in effect which prohibits that reduction in the number of dwellings</w:t>
      </w:r>
      <w:r>
        <w:rPr>
          <w:rFonts w:ascii="Arial"/>
          <w:color w:val="000000"/>
          <w:sz w:val="24"/>
        </w:rPr>
        <w:t xml:space="preserve"> </w:t>
      </w:r>
      <w:r>
        <w:rPr>
          <w:rFonts w:ascii="Arial"/>
          <w:color w:val="000000"/>
          <w:sz w:val="24"/>
        </w:rPr>
        <w:t>overall on a development site</w:t>
      </w:r>
      <w:r>
        <w:rPr>
          <w:rFonts w:ascii="Arial"/>
          <w:color w:val="000000"/>
          <w:sz w:val="24"/>
        </w:rPr>
        <w:t>”</w:t>
      </w:r>
      <w:r>
        <w:rPr>
          <w:rFonts w:ascii="Arial"/>
          <w:color w:val="000000"/>
          <w:sz w:val="24"/>
        </w:rPr>
        <w:t xml:space="preserve">, and did they think there was a need for one in this instance. </w:t>
      </w:r>
    </w:p>
    <w:p>
      <w:pPr>
        <w:pStyle w:val="CaselawNumbered10"/>
        <w:numPr>
          <w:ilvl w:val="0"/>
          <w:numId w:val="58"/>
        </w:numPr>
        <w:spacing w:before="150" w:after="0"/>
        <w:ind w:left="600" w:hanging="600"/>
      </w:pPr>
      <w:r>
        <w:rPr>
          <w:rFonts w:ascii="Arial"/>
          <w:color w:val="000000"/>
          <w:sz w:val="24"/>
        </w:rPr>
        <w:t xml:space="preserve">In response, </w:t>
      </w:r>
      <w:r>
        <w:rPr>
          <w:rFonts w:ascii="Arial"/>
          <w:color w:val="000000"/>
          <w:sz w:val="24"/>
        </w:rPr>
        <w:t xml:space="preserve">Mr </w:t>
      </w:r>
      <w:r>
        <w:rPr>
          <w:rFonts w:ascii="Arial"/>
          <w:color w:val="000000"/>
          <w:sz w:val="24"/>
        </w:rPr>
        <w:t>Harvey</w:t>
      </w:r>
      <w:r>
        <w:rPr>
          <w:rFonts w:ascii="Arial"/>
          <w:color w:val="000000"/>
          <w:sz w:val="24"/>
        </w:rPr>
        <w:t xml:space="preserve"> </w:t>
      </w:r>
      <w:r>
        <w:rPr>
          <w:rFonts w:ascii="Arial"/>
          <w:color w:val="000000"/>
          <w:sz w:val="24"/>
        </w:rPr>
        <w:t>referred to Council</w:t>
      </w:r>
      <w:r>
        <w:rPr>
          <w:rFonts w:ascii="Arial"/>
          <w:color w:val="000000"/>
          <w:sz w:val="24"/>
        </w:rPr>
        <w:t>’</w:t>
      </w:r>
      <w:r>
        <w:rPr>
          <w:rFonts w:ascii="Arial"/>
          <w:color w:val="000000"/>
          <w:sz w:val="24"/>
        </w:rPr>
        <w:t xml:space="preserve">s draft policy </w:t>
      </w:r>
      <w:r>
        <w:rPr>
          <w:rFonts w:ascii="Arial"/>
          <w:color w:val="000000"/>
          <w:sz w:val="24"/>
        </w:rPr>
        <w:t>“</w:t>
      </w:r>
      <w:r>
        <w:rPr>
          <w:rFonts w:ascii="Arial"/>
          <w:color w:val="000000"/>
          <w:sz w:val="24"/>
        </w:rPr>
        <w:t>where they don't want to see a reduction in more than 15% of the total number of dwellings</w:t>
      </w:r>
      <w:r>
        <w:rPr>
          <w:rFonts w:ascii="Arial"/>
          <w:color w:val="000000"/>
          <w:sz w:val="24"/>
        </w:rPr>
        <w:t>”</w:t>
      </w:r>
      <w:r>
        <w:rPr>
          <w:rFonts w:ascii="Arial"/>
          <w:color w:val="000000"/>
          <w:sz w:val="24"/>
        </w:rPr>
        <w:t>, and that this was not in effect yet</w:t>
      </w:r>
      <w:r>
        <w:rPr>
          <w:rFonts w:ascii="Arial"/>
          <w:color w:val="000000"/>
          <w:sz w:val="24"/>
        </w:rPr>
        <w:t xml:space="preserve"> </w:t>
      </w:r>
      <w:r>
        <w:rPr>
          <w:rFonts w:ascii="Arial"/>
          <w:color w:val="000000"/>
          <w:sz w:val="24"/>
        </w:rPr>
        <w:t>(T 6/11/24 11</w:t>
      </w:r>
      <w:r>
        <w:rPr>
          <w:rFonts w:ascii="Arial"/>
          <w:color w:val="000000"/>
          <w:sz w:val="24"/>
        </w:rPr>
        <w:t>0</w:t>
      </w:r>
      <w:r>
        <w:rPr>
          <w:rFonts w:ascii="Arial"/>
          <w:color w:val="000000"/>
          <w:sz w:val="24"/>
        </w:rPr>
        <w:t xml:space="preserve"> </w:t>
      </w:r>
      <w:r>
        <w:rPr>
          <w:rFonts w:ascii="Arial"/>
          <w:color w:val="000000"/>
          <w:sz w:val="24"/>
        </w:rPr>
        <w:t>(</w:t>
      </w:r>
      <w:r>
        <w:rPr>
          <w:rFonts w:ascii="Arial"/>
          <w:color w:val="000000"/>
          <w:sz w:val="24"/>
        </w:rPr>
        <w:t>36</w:t>
      </w:r>
      <w:r>
        <w:rPr>
          <w:rFonts w:ascii="Arial"/>
          <w:color w:val="000000"/>
          <w:sz w:val="24"/>
        </w:rPr>
        <w:t>))</w:t>
      </w:r>
      <w:r>
        <w:rPr>
          <w:rFonts w:ascii="Arial"/>
          <w:color w:val="000000"/>
          <w:sz w:val="24"/>
        </w:rPr>
        <w:t>. Ms Errington indicated an understanding of a savings provision which would mean the policy wouldn</w:t>
      </w:r>
      <w:r>
        <w:rPr>
          <w:rFonts w:ascii="Arial"/>
          <w:color w:val="000000"/>
          <w:sz w:val="24"/>
        </w:rPr>
        <w:t>’</w:t>
      </w:r>
      <w:r>
        <w:rPr>
          <w:rFonts w:ascii="Arial"/>
          <w:color w:val="000000"/>
          <w:sz w:val="24"/>
        </w:rPr>
        <w:t xml:space="preserve">t apply to current DAs. In regard to the </w:t>
      </w:r>
      <w:r>
        <w:rPr>
          <w:rFonts w:ascii="Arial"/>
          <w:color w:val="000000"/>
          <w:sz w:val="24"/>
        </w:rPr>
        <w:t>“</w:t>
      </w:r>
      <w:r>
        <w:rPr>
          <w:rFonts w:ascii="Arial"/>
          <w:color w:val="000000"/>
          <w:sz w:val="24"/>
        </w:rPr>
        <w:t>no current planning mechanism</w:t>
      </w:r>
      <w:r>
        <w:rPr>
          <w:rFonts w:ascii="Arial"/>
          <w:color w:val="000000"/>
          <w:sz w:val="24"/>
        </w:rPr>
        <w:t>”</w:t>
      </w:r>
      <w:r>
        <w:rPr>
          <w:rFonts w:ascii="Arial"/>
          <w:color w:val="000000"/>
          <w:sz w:val="24"/>
        </w:rPr>
        <w:t xml:space="preserve"> </w:t>
      </w:r>
      <w:r>
        <w:rPr>
          <w:rFonts w:ascii="Arial"/>
          <w:color w:val="000000"/>
          <w:sz w:val="24"/>
        </w:rPr>
        <w:t xml:space="preserve">concept, and affordable housing, Ms Errington also referred to the exclusion of strata subdivision from the provisions of SEPP Housing aimed at retaining </w:t>
      </w:r>
      <w:r>
        <w:rPr>
          <w:rFonts w:ascii="Arial"/>
          <w:color w:val="000000"/>
          <w:sz w:val="24"/>
        </w:rPr>
        <w:t>low cost</w:t>
      </w:r>
      <w:r>
        <w:rPr>
          <w:rFonts w:ascii="Arial"/>
          <w:color w:val="000000"/>
          <w:sz w:val="24"/>
        </w:rPr>
        <w:t xml:space="preserve"> </w:t>
      </w:r>
      <w:r>
        <w:rPr>
          <w:rFonts w:ascii="Arial"/>
          <w:color w:val="000000"/>
          <w:sz w:val="24"/>
        </w:rPr>
        <w:t xml:space="preserve">rental accommodation. Finally, in relation to oral evidence, Ms </w:t>
      </w:r>
      <w:r>
        <w:rPr>
          <w:rFonts w:ascii="Arial"/>
          <w:color w:val="000000"/>
          <w:sz w:val="24"/>
        </w:rPr>
        <w:t>Pressick</w:t>
      </w:r>
      <w:r>
        <w:rPr>
          <w:rFonts w:ascii="Arial"/>
          <w:color w:val="000000"/>
          <w:sz w:val="24"/>
        </w:rPr>
        <w:t xml:space="preserve"> </w:t>
      </w:r>
      <w:r>
        <w:rPr>
          <w:rFonts w:ascii="Arial"/>
          <w:color w:val="000000"/>
          <w:sz w:val="24"/>
        </w:rPr>
        <w:t>referring to heritage conservation considerations indicated (T 6/11/24 113 (16-20)):</w:t>
      </w:r>
      <w:r>
        <w:rPr>
          <w:rFonts w:ascii="Arial"/>
          <w:color w:val="000000"/>
          <w:sz w:val="24"/>
        </w:rPr>
        <w:t xml:space="preserve"> </w:t>
      </w:r>
    </w:p>
    <w:p>
      <w:pPr>
        <w:pStyle w:val="CaselawCoversheet"/>
        <w:spacing w:before="150" w:after="150"/>
        <w:ind w:left="1350"/>
        <w:jc w:val="left"/>
      </w:pPr>
      <w:r>
        <w:rPr>
          <w:rFonts w:ascii="Arial"/>
          <w:color w:val="000000"/>
          <w:sz w:val="24"/>
        </w:rPr>
        <w:t>“Under our controls, the existing building is identified as a neutral item, and has been assessed by our heritage officer as not making a contribution a positive contribution to the established character setting or significance of the Elizabeth and Rushcutters Bay HCA, and therefore</w:t>
      </w:r>
      <w:r>
        <w:rPr>
          <w:rFonts w:ascii="Arial"/>
          <w:color w:val="000000"/>
          <w:sz w:val="24"/>
        </w:rPr>
        <w:t xml:space="preserve"> demolition of the buildings is supported under those controls</w:t>
      </w:r>
      <w:r>
        <w:rPr>
          <w:rFonts w:ascii="Arial"/>
          <w:color w:val="000000"/>
          <w:sz w:val="24"/>
        </w:rPr>
        <w:t>.”</w:t>
      </w:r>
    </w:p>
    <w:p>
      <w:pPr>
        <w:pStyle w:val="CaselawHeading4"/>
        <w:keepNext/>
        <w:spacing w:before="150" w:after="150" w:line="264"/>
        <w:ind w:left="600"/>
        <w:jc w:val="left"/>
      </w:pPr>
      <w:r>
        <w:rPr>
          <w:rFonts w:ascii="Arial"/>
        </w:rPr>
        <w:t>Lay evidence</w:t>
      </w:r>
      <w:r>
        <w:rPr>
          <w:rFonts w:ascii="Arial"/>
        </w:rPr>
        <w:t xml:space="preserve"> </w:t>
      </w:r>
      <w:r>
        <w:rPr>
          <w:rFonts w:ascii="Arial"/>
        </w:rPr>
        <w:t xml:space="preserve">that the proposed development is </w:t>
      </w:r>
      <w:r>
        <w:rPr>
          <w:rFonts w:ascii="Arial"/>
        </w:rPr>
        <w:t xml:space="preserve">not </w:t>
      </w:r>
      <w:r>
        <w:rPr>
          <w:rFonts w:ascii="Arial"/>
        </w:rPr>
        <w:t xml:space="preserve">consistent with the first R1 zone </w:t>
      </w:r>
      <w:r>
        <w:rPr>
          <w:rFonts w:ascii="Arial"/>
        </w:rPr>
        <w:t>objective</w:t>
      </w:r>
    </w:p>
    <w:p>
      <w:pPr>
        <w:pStyle w:val="CaselawNumbered10"/>
        <w:numPr>
          <w:ilvl w:val="0"/>
          <w:numId w:val="59"/>
        </w:numPr>
        <w:spacing w:before="150" w:after="0"/>
        <w:ind w:left="600" w:hanging="600"/>
      </w:pPr>
      <w:r>
        <w:rPr>
          <w:rFonts w:ascii="Arial"/>
          <w:color w:val="000000"/>
          <w:sz w:val="24"/>
        </w:rPr>
        <w:t xml:space="preserve">There were </w:t>
      </w:r>
      <w:r>
        <w:rPr>
          <w:rFonts w:ascii="Arial"/>
          <w:color w:val="000000"/>
          <w:sz w:val="24"/>
        </w:rPr>
        <w:t>a number of</w:t>
      </w:r>
      <w:r>
        <w:rPr>
          <w:rFonts w:ascii="Arial"/>
          <w:color w:val="000000"/>
          <w:sz w:val="24"/>
        </w:rPr>
        <w:t xml:space="preserve"> </w:t>
      </w:r>
      <w:r>
        <w:rPr>
          <w:rFonts w:ascii="Arial"/>
          <w:color w:val="000000"/>
          <w:sz w:val="24"/>
        </w:rPr>
        <w:t xml:space="preserve">lay submissions of pertinence here. I will refer to </w:t>
      </w:r>
      <w:r>
        <w:rPr>
          <w:rFonts w:ascii="Arial"/>
          <w:color w:val="000000"/>
          <w:sz w:val="24"/>
        </w:rPr>
        <w:t>two</w:t>
      </w:r>
      <w:r>
        <w:rPr>
          <w:rFonts w:ascii="Arial"/>
          <w:color w:val="000000"/>
          <w:sz w:val="24"/>
        </w:rPr>
        <w:t xml:space="preserve"> </w:t>
      </w:r>
      <w:r>
        <w:rPr>
          <w:rFonts w:ascii="Arial"/>
          <w:color w:val="000000"/>
          <w:sz w:val="24"/>
        </w:rPr>
        <w:t>persons</w:t>
      </w:r>
      <w:r>
        <w:rPr>
          <w:rFonts w:ascii="Arial"/>
          <w:color w:val="000000"/>
          <w:sz w:val="24"/>
        </w:rPr>
        <w:t xml:space="preserve"> </w:t>
      </w:r>
      <w:r>
        <w:rPr>
          <w:rFonts w:ascii="Arial"/>
          <w:color w:val="000000"/>
          <w:sz w:val="24"/>
        </w:rPr>
        <w:t xml:space="preserve">providing oral evidence </w:t>
      </w:r>
      <w:r>
        <w:rPr>
          <w:rFonts w:ascii="Arial"/>
          <w:color w:val="000000"/>
          <w:sz w:val="24"/>
        </w:rPr>
        <w:t xml:space="preserve">on this topic </w:t>
      </w:r>
      <w:r>
        <w:rPr>
          <w:rFonts w:ascii="Arial"/>
          <w:color w:val="000000"/>
          <w:sz w:val="24"/>
        </w:rPr>
        <w:t>during the proceeding</w:t>
      </w:r>
      <w:r>
        <w:rPr>
          <w:rFonts w:ascii="Arial"/>
          <w:color w:val="000000"/>
          <w:sz w:val="24"/>
        </w:rPr>
        <w:t>s</w:t>
      </w:r>
      <w:r>
        <w:rPr>
          <w:rFonts w:ascii="Arial"/>
          <w:color w:val="000000"/>
          <w:sz w:val="24"/>
        </w:rPr>
        <w:t xml:space="preserve">. After referring to what was called </w:t>
      </w:r>
      <w:r>
        <w:rPr>
          <w:rFonts w:ascii="Arial"/>
          <w:color w:val="000000"/>
          <w:sz w:val="24"/>
        </w:rPr>
        <w:t>“</w:t>
      </w:r>
      <w:r>
        <w:rPr>
          <w:rFonts w:ascii="Arial"/>
          <w:color w:val="000000"/>
          <w:sz w:val="24"/>
        </w:rPr>
        <w:t>the pressing housing needs of the city</w:t>
      </w:r>
      <w:r>
        <w:rPr>
          <w:rFonts w:ascii="Arial"/>
          <w:color w:val="000000"/>
          <w:sz w:val="24"/>
        </w:rPr>
        <w:t xml:space="preserve">” </w:t>
      </w:r>
      <w:r>
        <w:rPr>
          <w:rFonts w:ascii="Arial"/>
          <w:color w:val="000000"/>
          <w:sz w:val="24"/>
        </w:rPr>
        <w:t xml:space="preserve">and </w:t>
      </w:r>
      <w:r>
        <w:rPr>
          <w:rFonts w:ascii="Arial"/>
          <w:color w:val="000000"/>
          <w:sz w:val="24"/>
        </w:rPr>
        <w:t>“</w:t>
      </w:r>
      <w:r>
        <w:rPr>
          <w:rFonts w:ascii="Arial"/>
          <w:color w:val="000000"/>
          <w:sz w:val="24"/>
        </w:rPr>
        <w:t>the social impacts for the suburb</w:t>
      </w:r>
      <w:r>
        <w:rPr>
          <w:rFonts w:ascii="Arial"/>
          <w:color w:val="000000"/>
          <w:sz w:val="24"/>
        </w:rPr>
        <w:t>”</w:t>
      </w:r>
      <w:r>
        <w:rPr>
          <w:rFonts w:ascii="Arial"/>
          <w:color w:val="000000"/>
          <w:sz w:val="24"/>
        </w:rPr>
        <w:t>, the evidence of L Adkins</w:t>
      </w:r>
      <w:r>
        <w:rPr>
          <w:rFonts w:ascii="Arial"/>
          <w:color w:val="000000"/>
          <w:sz w:val="24"/>
        </w:rPr>
        <w:t xml:space="preserve"> </w:t>
      </w:r>
      <w:r>
        <w:rPr>
          <w:rFonts w:ascii="Arial"/>
          <w:color w:val="000000"/>
          <w:sz w:val="24"/>
        </w:rPr>
        <w:t>included the following (T 05/011/24 23 (28) - 24 (4)).</w:t>
      </w:r>
      <w:r>
        <w:rPr>
          <w:rFonts w:ascii="Arial"/>
          <w:color w:val="000000"/>
          <w:sz w:val="24"/>
        </w:rPr>
        <w:t xml:space="preserve"> </w:t>
      </w:r>
    </w:p>
    <w:p>
      <w:pPr>
        <w:pStyle w:val="CaselawCoversheet"/>
        <w:spacing w:before="150" w:after="150"/>
        <w:ind w:left="1350"/>
        <w:jc w:val="left"/>
      </w:pPr>
      <w:r>
        <w:rPr>
          <w:rFonts w:ascii="Arial"/>
          <w:color w:val="000000"/>
          <w:sz w:val="24"/>
        </w:rPr>
        <w:t>“.…The proposed development will result in a net loss of homes.  Across the period of seeking approval for this DA, the planned number of new apartments, as we heard this morning, has shrunk.  Now the existing 28 apartments on this site will be replaced by only 20 new dwellings, a 28% reduction.</w:t>
      </w:r>
    </w:p>
    <w:p>
      <w:pPr>
        <w:pStyle w:val="CaselawCoversheet"/>
        <w:spacing w:before="150" w:after="150"/>
        <w:ind w:left="1350"/>
        <w:jc w:val="left"/>
      </w:pPr>
      <w:r>
        <w:rPr>
          <w:rFonts w:ascii="Arial"/>
          <w:color w:val="000000"/>
          <w:sz w:val="24"/>
        </w:rPr>
        <w:t xml:space="preserve">It's difficult to see how the applicant can maintain that this proposal is compliant with the LEP land use zone objective "to provide for the housing needs of the community" when it creates a net reduction in housing supply </w:t>
      </w:r>
      <w:r>
        <w:rPr>
          <w:rFonts w:ascii="Arial"/>
          <w:color w:val="000000"/>
          <w:sz w:val="24"/>
        </w:rPr>
        <w:t>in the midst of</w:t>
      </w:r>
      <w:r>
        <w:rPr>
          <w:rFonts w:ascii="Arial"/>
          <w:color w:val="000000"/>
          <w:sz w:val="24"/>
        </w:rPr>
        <w:t xml:space="preserve"> a housing crisis.  This is not in keeping with the City of Sydney's commitments in Sustainable Sydney 2030</w:t>
      </w:r>
      <w:r>
        <w:rPr>
          <w:rFonts w:ascii="Arial"/>
          <w:color w:val="000000"/>
          <w:sz w:val="24"/>
        </w:rPr>
        <w:t xml:space="preserve"/>
      </w:r>
      <w:r>
        <w:rPr>
          <w:rFonts w:ascii="Arial"/>
          <w:color w:val="000000"/>
          <w:sz w:val="24"/>
        </w:rPr>
        <w:noBreakHyphen/>
      </w:r>
      <w:r>
        <w:rPr>
          <w:rFonts w:ascii="Arial"/>
          <w:color w:val="000000"/>
          <w:sz w:val="24"/>
        </w:rPr>
        <w:t>2050 to being a city where everyone has a home. </w:t>
      </w:r>
      <w:r>
        <w:rPr>
          <w:rFonts w:ascii="Arial"/>
          <w:color w:val="000000"/>
          <w:sz w:val="24"/>
        </w:rPr>
        <w:t xml:space="preserve">The existing building provided for comparatively affordable housing and a high level of rental accommodation. </w:t>
      </w:r>
      <w:r>
        <w:rPr>
          <w:rFonts w:ascii="Arial"/>
          <w:color w:val="000000"/>
          <w:sz w:val="24"/>
        </w:rPr>
        <w:t>This proposal is for a limited number of luxury apartments.  For the interests of the Court, Fortis agents are currently quoting two</w:t>
      </w:r>
      <w:r>
        <w:rPr>
          <w:rFonts w:ascii="Arial"/>
          <w:color w:val="000000"/>
          <w:sz w:val="24"/>
        </w:rPr>
        <w:t xml:space="preserve"/>
      </w:r>
      <w:r>
        <w:rPr>
          <w:rFonts w:ascii="Arial"/>
          <w:color w:val="000000"/>
          <w:sz w:val="24"/>
        </w:rPr>
        <w:noBreakHyphen/>
      </w:r>
      <w:r>
        <w:rPr>
          <w:rFonts w:ascii="Arial"/>
          <w:color w:val="000000"/>
          <w:sz w:val="24"/>
        </w:rPr>
        <w:t>bedroom apartments starting at 5.2 million and rising to three</w:t>
      </w:r>
      <w:r>
        <w:rPr>
          <w:rFonts w:ascii="Arial"/>
          <w:color w:val="000000"/>
          <w:sz w:val="24"/>
        </w:rPr>
        <w:t xml:space="preserve"/>
      </w:r>
      <w:r>
        <w:rPr>
          <w:rFonts w:ascii="Arial"/>
          <w:color w:val="000000"/>
          <w:sz w:val="24"/>
        </w:rPr>
        <w:noBreakHyphen/>
      </w:r>
      <w:r>
        <w:rPr>
          <w:rFonts w:ascii="Arial"/>
          <w:color w:val="000000"/>
          <w:sz w:val="24"/>
        </w:rPr>
        <w:t xml:space="preserve">bedroom apartments for 11 million with a view; that is not counting the penthouses. </w:t>
      </w:r>
    </w:p>
    <w:p>
      <w:pPr>
        <w:pStyle w:val="CaselawCoversheet"/>
        <w:spacing w:before="150" w:after="150"/>
        <w:ind w:left="1350"/>
        <w:jc w:val="left"/>
      </w:pPr>
      <w:r>
        <w:rPr>
          <w:rFonts w:ascii="Arial"/>
          <w:color w:val="000000"/>
          <w:sz w:val="24"/>
        </w:rPr>
        <w:t xml:space="preserve">Across this suburb, successive DAs such as this seek </w:t>
      </w:r>
      <w:r>
        <w:rPr>
          <w:rFonts w:ascii="Arial"/>
          <w:color w:val="000000"/>
          <w:sz w:val="24"/>
        </w:rPr>
        <w:t>to remove the housing stock that provides for the needs of young people, older people, creatives, essential workers.  This constitutes a form of social cleansing as these groups are effectively forced out of the area.  Something I have personally witnessed in recent weeks, as residents of 10 Onslow and 21C Billyard have packed up and left.  Some of those people had lived in those buildings for decades.  It's hard to see how, in practical terms, the affordable housing contribution of a meagre $1.47 million set out in the proposed conditions of consent goes any way to remediating this situation.” </w:t>
      </w:r>
    </w:p>
    <w:p>
      <w:pPr>
        <w:pStyle w:val="CaselawNumbered10"/>
        <w:numPr>
          <w:ilvl w:val="0"/>
          <w:numId w:val="60"/>
        </w:numPr>
        <w:spacing w:before="150" w:after="0"/>
        <w:ind w:left="600" w:hanging="600"/>
      </w:pPr>
      <w:r>
        <w:rPr>
          <w:rFonts w:ascii="Arial"/>
          <w:color w:val="000000"/>
          <w:sz w:val="24"/>
        </w:rPr>
        <w:t>The evidence of H Hughes included the following (T 05/011/24 29 (11-31):</w:t>
      </w:r>
      <w:r>
        <w:rPr>
          <w:rFonts w:ascii="Arial"/>
          <w:color w:val="000000"/>
          <w:sz w:val="24"/>
        </w:rPr>
        <w:t xml:space="preserve"> </w:t>
      </w:r>
    </w:p>
    <w:p>
      <w:pPr>
        <w:pStyle w:val="CaselawCoversheet"/>
        <w:spacing w:before="150" w:after="150"/>
        <w:ind w:left="1350"/>
        <w:jc w:val="left"/>
      </w:pPr>
      <w:r>
        <w:rPr>
          <w:rFonts w:ascii="Arial"/>
          <w:color w:val="000000"/>
          <w:sz w:val="24"/>
        </w:rPr>
        <w:t>“</w:t>
      </w:r>
      <w:r>
        <w:rPr>
          <w:rFonts w:ascii="Arial"/>
          <w:color w:val="000000"/>
          <w:sz w:val="24"/>
        </w:rPr>
        <w:t xml:space="preserve">Finally, I'd like to talk about the significant loss of affordable housing posed by this development.  As has already been mentioned, the site accommodates 28 units, many of which provide accessible and moderately priced housing options within Elizabeth Bay.  This proposal seeks to reduce the dwelling count to just 20 units, which is a 28% </w:t>
      </w:r>
      <w:r>
        <w:rPr>
          <w:rFonts w:ascii="Arial"/>
          <w:color w:val="000000"/>
          <w:sz w:val="24"/>
        </w:rPr>
        <w:t>decrease</w:t>
      </w:r>
      <w:r>
        <w:rPr>
          <w:rFonts w:ascii="Arial"/>
          <w:color w:val="000000"/>
          <w:sz w:val="24"/>
        </w:rPr>
        <w:t xml:space="preserve"> and this will be replaced with primarily three</w:t>
      </w:r>
      <w:r>
        <w:rPr>
          <w:rFonts w:ascii="Arial"/>
          <w:color w:val="000000"/>
          <w:sz w:val="24"/>
        </w:rPr>
        <w:t xml:space="preserve"/>
      </w:r>
      <w:r>
        <w:rPr>
          <w:rFonts w:ascii="Arial"/>
          <w:color w:val="000000"/>
          <w:sz w:val="24"/>
        </w:rPr>
        <w:noBreakHyphen/>
      </w:r>
      <w:r>
        <w:rPr>
          <w:rFonts w:ascii="Arial"/>
          <w:color w:val="000000"/>
          <w:sz w:val="24"/>
        </w:rPr>
        <w:t xml:space="preserve">bedroom luxury units.  I'd like to say that this decrease does not align with the social and economic needs of the community, where affordable housing options are already dwindling. </w:t>
      </w:r>
    </w:p>
    <w:p>
      <w:pPr>
        <w:pStyle w:val="CaselawCoversheet"/>
        <w:spacing w:before="150" w:after="150"/>
        <w:ind w:left="1350"/>
        <w:jc w:val="left"/>
      </w:pPr>
      <w:r>
        <w:rPr>
          <w:rFonts w:ascii="Arial"/>
          <w:color w:val="000000"/>
          <w:sz w:val="24"/>
        </w:rPr>
        <w:t xml:space="preserve">The City of Sydney has recently exhibited a new planning proposal that aims to prevent developments reducing the net number of dwellings by more than 15%.  Although this policy is still under consideration, and may not technically apply to this proposal, we strongly submit that the rationale behind it remains valid.  Loss of affordable housing supply is a relevant consideration under the social impacts and public interest components of s 4.15 of the Environmental Planning and Assessment Act.  Here the redevelopment reduces housing supply and affordability which threatens to detract from the social diversity and accessibility of an </w:t>
      </w:r>
      <w:r>
        <w:rPr>
          <w:rFonts w:ascii="Arial"/>
          <w:color w:val="000000"/>
          <w:sz w:val="24"/>
        </w:rPr>
        <w:t>inner city</w:t>
      </w:r>
      <w:r>
        <w:rPr>
          <w:rFonts w:ascii="Arial"/>
          <w:color w:val="000000"/>
          <w:sz w:val="24"/>
        </w:rPr>
        <w:t xml:space="preserve"> neighbourhood.  This is precisely the type of redevelopment that the City of Sydney's draft planning proposal seeks to </w:t>
      </w:r>
      <w:r>
        <w:rPr>
          <w:rFonts w:ascii="Arial"/>
          <w:color w:val="000000"/>
          <w:sz w:val="24"/>
        </w:rPr>
        <w:t>curb</w:t>
      </w:r>
      <w:r>
        <w:rPr>
          <w:rFonts w:ascii="Arial"/>
          <w:color w:val="000000"/>
          <w:sz w:val="24"/>
        </w:rPr>
        <w:t xml:space="preserve"> and we believe, on social impact and public interest grounds, cannot be approved.</w:t>
      </w:r>
      <w:r>
        <w:rPr>
          <w:rFonts w:ascii="Arial"/>
          <w:color w:val="000000"/>
          <w:sz w:val="24"/>
        </w:rPr>
        <w:t>”</w:t>
      </w:r>
    </w:p>
    <w:p>
      <w:pPr>
        <w:pStyle w:val="CaselawNumbered10"/>
        <w:numPr>
          <w:ilvl w:val="0"/>
          <w:numId w:val="61"/>
        </w:numPr>
        <w:spacing w:before="150" w:after="0"/>
        <w:ind w:left="600" w:hanging="600"/>
      </w:pPr>
      <w:r>
        <w:rPr>
          <w:rFonts w:ascii="Arial"/>
          <w:color w:val="000000"/>
          <w:sz w:val="24"/>
        </w:rPr>
        <w:t xml:space="preserve">There are many other references in lay submissions to reduction in more affordable housing supply which the proposal was suggested to bring about. </w:t>
      </w:r>
    </w:p>
    <w:p>
      <w:pPr>
        <w:pStyle w:val="CaselawHeading3"/>
        <w:keepNext/>
        <w:spacing w:before="150" w:after="150" w:line="264"/>
        <w:ind w:left="0"/>
        <w:jc w:val="left"/>
      </w:pPr>
      <w:r>
        <w:rPr>
          <w:rFonts w:ascii="Arial"/>
        </w:rPr>
        <w:t xml:space="preserve">Synthesising alternative views on interpretation of the term </w:t>
      </w:r>
      <w:r>
        <w:rPr>
          <w:rFonts w:ascii="Arial"/>
        </w:rPr>
        <w:t>“</w:t>
      </w:r>
      <w:r>
        <w:rPr>
          <w:rFonts w:ascii="Arial"/>
        </w:rPr>
        <w:t>housing need</w:t>
      </w:r>
      <w:r>
        <w:rPr>
          <w:rFonts w:ascii="Arial"/>
        </w:rPr>
        <w:t>”</w:t>
      </w:r>
    </w:p>
    <w:p>
      <w:pPr>
        <w:pStyle w:val="CaselawNumbered10"/>
        <w:numPr>
          <w:ilvl w:val="0"/>
          <w:numId w:val="62"/>
        </w:numPr>
        <w:spacing w:before="150" w:after="0"/>
        <w:ind w:left="600" w:hanging="600"/>
      </w:pPr>
      <w:r>
        <w:rPr>
          <w:rFonts w:ascii="Arial"/>
          <w:color w:val="000000"/>
          <w:sz w:val="24"/>
        </w:rPr>
        <w:t xml:space="preserve">The determination of the meaning to be assigned to </w:t>
      </w:r>
      <w:r>
        <w:rPr>
          <w:rFonts w:ascii="Arial"/>
          <w:color w:val="000000"/>
          <w:sz w:val="24"/>
        </w:rPr>
        <w:t>“</w:t>
      </w:r>
      <w:r>
        <w:rPr>
          <w:rFonts w:ascii="Arial"/>
          <w:color w:val="000000"/>
          <w:sz w:val="24"/>
        </w:rPr>
        <w:t>housing need</w:t>
      </w:r>
      <w:r>
        <w:rPr>
          <w:rFonts w:ascii="Arial"/>
          <w:color w:val="000000"/>
          <w:sz w:val="24"/>
        </w:rPr>
        <w:t xml:space="preserve">” </w:t>
      </w:r>
      <w:r>
        <w:rPr>
          <w:rFonts w:ascii="Arial"/>
          <w:color w:val="000000"/>
          <w:sz w:val="24"/>
        </w:rPr>
        <w:t xml:space="preserve">in the first R1 zone objective is at the centre of </w:t>
      </w:r>
      <w:r>
        <w:rPr>
          <w:rFonts w:ascii="Arial"/>
          <w:color w:val="000000"/>
          <w:sz w:val="24"/>
        </w:rPr>
        <w:t xml:space="preserve">question I face </w:t>
      </w:r>
      <w:r>
        <w:rPr>
          <w:rFonts w:ascii="Arial"/>
          <w:color w:val="000000"/>
          <w:sz w:val="24"/>
        </w:rPr>
        <w:t>in regard to</w:t>
      </w:r>
      <w:r>
        <w:rPr>
          <w:rFonts w:ascii="Arial"/>
          <w:color w:val="000000"/>
          <w:sz w:val="24"/>
        </w:rPr>
        <w:t xml:space="preserve"> </w:t>
      </w:r>
      <w:r>
        <w:rPr>
          <w:rFonts w:ascii="Arial"/>
          <w:color w:val="000000"/>
          <w:sz w:val="24"/>
        </w:rPr>
        <w:t>making a positive finding of satisfaction with respect to cl 4.6(4)(a)(ii) of SLEP</w:t>
      </w:r>
      <w:r>
        <w:rPr>
          <w:rFonts w:ascii="Arial"/>
          <w:color w:val="000000"/>
          <w:sz w:val="24"/>
        </w:rPr>
        <w:t xml:space="preserve">. To </w:t>
      </w:r>
      <w:r>
        <w:rPr>
          <w:rFonts w:ascii="Arial"/>
          <w:color w:val="000000"/>
          <w:sz w:val="24"/>
        </w:rPr>
        <w:t xml:space="preserve">help focus the next phase of the interrogation of this question I try to </w:t>
      </w:r>
      <w:r>
        <w:rPr>
          <w:rFonts w:ascii="Arial"/>
          <w:color w:val="000000"/>
          <w:sz w:val="24"/>
        </w:rPr>
        <w:t>illustrate two</w:t>
      </w:r>
      <w:r>
        <w:rPr>
          <w:rFonts w:ascii="Arial"/>
          <w:color w:val="000000"/>
          <w:sz w:val="24"/>
        </w:rPr>
        <w:t>, outline,</w:t>
      </w:r>
      <w:r>
        <w:rPr>
          <w:rFonts w:ascii="Arial"/>
          <w:color w:val="000000"/>
          <w:sz w:val="24"/>
        </w:rPr>
        <w:t xml:space="preserve"> </w:t>
      </w:r>
      <w:r>
        <w:rPr>
          <w:rFonts w:ascii="Arial"/>
          <w:color w:val="000000"/>
          <w:sz w:val="24"/>
        </w:rPr>
        <w:t>alternative</w:t>
      </w:r>
      <w:r>
        <w:rPr>
          <w:rFonts w:ascii="Arial"/>
          <w:color w:val="000000"/>
          <w:sz w:val="24"/>
        </w:rPr>
        <w:t xml:space="preserve"> </w:t>
      </w:r>
      <w:r>
        <w:rPr>
          <w:rFonts w:ascii="Arial"/>
          <w:color w:val="000000"/>
          <w:sz w:val="24"/>
        </w:rPr>
        <w:t>interpretatio</w:t>
      </w:r>
      <w:r>
        <w:rPr>
          <w:rFonts w:ascii="Arial"/>
          <w:color w:val="000000"/>
          <w:sz w:val="24"/>
        </w:rPr>
        <w:t>ns</w:t>
      </w:r>
      <w:r>
        <w:rPr>
          <w:rFonts w:ascii="Arial"/>
          <w:color w:val="000000"/>
          <w:sz w:val="24"/>
        </w:rPr>
        <w:t xml:space="preserve"> </w:t>
      </w:r>
      <w:r>
        <w:rPr>
          <w:rFonts w:ascii="Arial"/>
          <w:color w:val="000000"/>
          <w:sz w:val="24"/>
        </w:rPr>
        <w:t>which might be understood from the evidence above</w:t>
      </w:r>
      <w:r>
        <w:rPr>
          <w:rFonts w:ascii="Arial"/>
          <w:color w:val="000000"/>
          <w:sz w:val="24"/>
        </w:rPr>
        <w:t>:</w:t>
      </w:r>
    </w:p>
    <w:p>
      <w:pPr>
        <w:pStyle w:val="CaselawNumbered1"/>
        <w:numPr>
          <w:ilvl w:val="0"/>
          <w:numId w:val="63"/>
        </w:numPr>
        <w:spacing w:before="150" w:after="0"/>
        <w:ind w:left="1350" w:hanging="750"/>
      </w:pPr>
      <w:r>
        <w:rPr>
          <w:rFonts w:ascii="Arial"/>
          <w:color w:val="000000"/>
          <w:sz w:val="24"/>
        </w:rPr>
        <w:t>The proposed development is inconsistent with the first objective of the R1 zone because it would (1) decrease housing provision</w:t>
      </w:r>
      <w:r>
        <w:rPr>
          <w:rFonts w:ascii="Arial"/>
          <w:color w:val="000000"/>
          <w:sz w:val="24"/>
        </w:rPr>
        <w:t xml:space="preserve"> </w:t>
      </w:r>
      <w:r>
        <w:rPr>
          <w:rFonts w:ascii="Arial"/>
          <w:color w:val="000000"/>
          <w:sz w:val="24"/>
        </w:rPr>
        <w:t>overall</w:t>
      </w:r>
      <w:r>
        <w:rPr>
          <w:rFonts w:ascii="Arial"/>
          <w:color w:val="000000"/>
          <w:sz w:val="24"/>
        </w:rPr>
        <w:t xml:space="preserve">, (2) decrease the availability </w:t>
      </w:r>
      <w:r>
        <w:rPr>
          <w:rFonts w:ascii="Arial"/>
          <w:color w:val="000000"/>
          <w:sz w:val="24"/>
        </w:rPr>
        <w:t>for those in need (</w:t>
      </w:r>
      <w:r>
        <w:rPr>
          <w:rFonts w:ascii="Arial"/>
          <w:color w:val="000000"/>
          <w:sz w:val="24"/>
        </w:rPr>
        <w:t>eg</w:t>
      </w:r>
      <w:r>
        <w:rPr>
          <w:rFonts w:ascii="Arial"/>
          <w:color w:val="000000"/>
          <w:sz w:val="24"/>
        </w:rPr>
        <w:t xml:space="preserve"> </w:t>
      </w:r>
      <w:r>
        <w:rPr>
          <w:rFonts w:ascii="Arial"/>
          <w:color w:val="000000"/>
          <w:sz w:val="24"/>
        </w:rPr>
        <w:t xml:space="preserve">decrease </w:t>
      </w:r>
      <w:r>
        <w:rPr>
          <w:rFonts w:ascii="Arial"/>
          <w:color w:val="000000"/>
          <w:sz w:val="24"/>
        </w:rPr>
        <w:t>more affordable housing</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 xml:space="preserve">each </w:t>
      </w:r>
      <w:r>
        <w:rPr>
          <w:rFonts w:ascii="Arial"/>
          <w:color w:val="000000"/>
          <w:sz w:val="24"/>
        </w:rPr>
        <w:t>work</w:t>
      </w:r>
      <w:r>
        <w:rPr>
          <w:rFonts w:ascii="Arial"/>
          <w:color w:val="000000"/>
          <w:sz w:val="24"/>
        </w:rPr>
        <w:t xml:space="preserve"> </w:t>
      </w:r>
      <w:r>
        <w:rPr>
          <w:rFonts w:ascii="Arial"/>
          <w:color w:val="000000"/>
          <w:sz w:val="24"/>
        </w:rPr>
        <w:t xml:space="preserve">against the objective of </w:t>
      </w:r>
      <w:r>
        <w:rPr>
          <w:rFonts w:ascii="Arial"/>
          <w:color w:val="000000"/>
          <w:sz w:val="24"/>
        </w:rPr>
        <w:t>“</w:t>
      </w:r>
      <w:r>
        <w:rPr>
          <w:rFonts w:ascii="Arial"/>
          <w:color w:val="000000"/>
          <w:sz w:val="24"/>
        </w:rPr>
        <w:t>providing for the housing needs of the community</w:t>
      </w:r>
      <w:r>
        <w:rPr>
          <w:rFonts w:ascii="Arial"/>
          <w:color w:val="000000"/>
          <w:sz w:val="24"/>
        </w:rPr>
        <w:t>”</w:t>
      </w:r>
      <w:r>
        <w:rPr>
          <w:rFonts w:ascii="Arial"/>
          <w:color w:val="000000"/>
          <w:sz w:val="24"/>
        </w:rPr>
        <w:t>.</w:t>
      </w:r>
    </w:p>
    <w:p>
      <w:pPr>
        <w:pStyle w:val="CaselawNumbered1"/>
        <w:numPr>
          <w:ilvl w:val="0"/>
          <w:numId w:val="63"/>
        </w:numPr>
        <w:spacing w:before="150" w:after="0"/>
        <w:ind w:left="1350" w:hanging="750"/>
      </w:pPr>
      <w:r>
        <w:rPr>
          <w:rFonts w:ascii="Arial"/>
          <w:color w:val="000000"/>
          <w:sz w:val="24"/>
        </w:rPr>
        <w:t>The proposed development is consistent with the first objective of the R1 zone because</w:t>
      </w:r>
      <w:r>
        <w:rPr>
          <w:rFonts w:ascii="Arial"/>
          <w:color w:val="000000"/>
          <w:sz w:val="24"/>
        </w:rPr>
        <w:t xml:space="preserve"> </w:t>
      </w:r>
      <w:r>
        <w:rPr>
          <w:rFonts w:ascii="Arial"/>
          <w:color w:val="000000"/>
          <w:sz w:val="24"/>
        </w:rPr>
        <w:t>it would (1)</w:t>
      </w:r>
      <w:r>
        <w:rPr>
          <w:rFonts w:ascii="Arial"/>
          <w:color w:val="000000"/>
          <w:sz w:val="24"/>
        </w:rPr>
        <w:t xml:space="preserve"> </w:t>
      </w:r>
      <w:r>
        <w:rPr>
          <w:rFonts w:ascii="Arial"/>
          <w:color w:val="000000"/>
          <w:sz w:val="24"/>
        </w:rPr>
        <w:t>provide for</w:t>
      </w:r>
      <w:r>
        <w:rPr>
          <w:rFonts w:ascii="Arial"/>
          <w:color w:val="000000"/>
          <w:sz w:val="24"/>
        </w:rPr>
        <w:t xml:space="preserve"> </w:t>
      </w:r>
      <w:r>
        <w:rPr>
          <w:rFonts w:ascii="Arial"/>
          <w:color w:val="000000"/>
          <w:sz w:val="24"/>
        </w:rPr>
        <w:t xml:space="preserve">a greater amount of three and four bedroom housing which is in </w:t>
      </w:r>
      <w:r>
        <w:rPr>
          <w:rFonts w:ascii="Arial"/>
          <w:color w:val="000000"/>
          <w:sz w:val="24"/>
        </w:rPr>
        <w:t xml:space="preserve">relatively </w:t>
      </w:r>
      <w:r>
        <w:rPr>
          <w:rFonts w:ascii="Arial"/>
          <w:color w:val="000000"/>
          <w:sz w:val="24"/>
        </w:rPr>
        <w:t>short supply in the local area (based on ABS data [</w:t>
      </w:r>
      <w:hyperlink r:id="rId22">
        <w:r>
          <w:rPr>
            <w:rFonts w:ascii="Arial"/>
            <w:color w:val="000000"/>
            <w:sz w:val="24"/>
            <w:u w:val="single"/>
          </w:rPr>
          <w:t/>
        </w:r>
        <w:r>
          <w:rPr>
            <w:rFonts w:ascii="Arial"/>
            <w:color w:val="000000"/>
            <w:sz w:val="24"/>
          </w:rPr>
          <w:t>54</w:t>
        </w:r>
      </w:hyperlink>
      <w:hyperlink r:id="rId23">
        <w:r>
          <w:rPr>
            <w:rFonts w:ascii="Arial"/>
            <w:color w:val="000000"/>
            <w:sz w:val="24"/>
          </w:rPr>
          <w:t/>
        </w:r>
      </w:hyperlink>
      <w:r>
        <w:rPr>
          <w:rFonts w:ascii="Arial"/>
          <w:color w:val="000000"/>
          <w:sz w:val="24"/>
        </w:rPr>
        <w:t>])</w:t>
      </w:r>
      <w:r>
        <w:rPr>
          <w:rFonts w:ascii="Arial"/>
          <w:color w:val="000000"/>
          <w:sz w:val="24"/>
        </w:rPr>
        <w:t xml:space="preserve"> </w:t>
      </w:r>
      <w:r>
        <w:rPr>
          <w:rFonts w:ascii="Arial"/>
          <w:color w:val="000000"/>
          <w:sz w:val="24"/>
        </w:rPr>
        <w:t>and (2) there i</w:t>
      </w:r>
      <w:r>
        <w:rPr>
          <w:rFonts w:ascii="Arial"/>
          <w:color w:val="000000"/>
          <w:sz w:val="24"/>
        </w:rPr>
        <w:t xml:space="preserve">s a demand, or </w:t>
      </w:r>
      <w:r>
        <w:rPr>
          <w:rFonts w:ascii="Arial"/>
          <w:color w:val="000000"/>
          <w:sz w:val="24"/>
        </w:rPr>
        <w:t>“</w:t>
      </w:r>
      <w:r>
        <w:rPr>
          <w:rFonts w:ascii="Arial"/>
          <w:color w:val="000000"/>
          <w:sz w:val="24"/>
        </w:rPr>
        <w:t>want</w:t>
      </w:r>
      <w:r>
        <w:rPr>
          <w:rFonts w:ascii="Arial"/>
          <w:color w:val="000000"/>
          <w:sz w:val="24"/>
        </w:rPr>
        <w:t xml:space="preserve">” </w:t>
      </w:r>
      <w:r>
        <w:rPr>
          <w:rFonts w:ascii="Arial"/>
          <w:color w:val="000000"/>
          <w:sz w:val="24"/>
        </w:rPr>
        <w:t>for th</w:t>
      </w:r>
      <w:r>
        <w:rPr>
          <w:rFonts w:ascii="Arial"/>
          <w:color w:val="000000"/>
          <w:sz w:val="24"/>
        </w:rPr>
        <w:t xml:space="preserve">e </w:t>
      </w:r>
      <w:r>
        <w:rPr>
          <w:rFonts w:ascii="Arial"/>
          <w:color w:val="000000"/>
          <w:sz w:val="24"/>
        </w:rPr>
        <w:t>form of housing</w:t>
      </w:r>
      <w:r>
        <w:rPr>
          <w:rFonts w:ascii="Arial"/>
          <w:color w:val="000000"/>
          <w:sz w:val="24"/>
        </w:rPr>
        <w:t xml:space="preserve"> </w:t>
      </w:r>
      <w:r>
        <w:rPr>
          <w:rFonts w:ascii="Arial"/>
          <w:color w:val="000000"/>
          <w:sz w:val="24"/>
        </w:rPr>
        <w:t>proposed</w:t>
      </w:r>
      <w:r>
        <w:rPr>
          <w:rFonts w:ascii="Arial"/>
          <w:color w:val="000000"/>
          <w:sz w:val="24"/>
        </w:rPr>
        <w:t>, therefore there is a need for it.</w:t>
      </w:r>
    </w:p>
    <w:p>
      <w:pPr>
        <w:pStyle w:val="CaselawNumbered10"/>
        <w:numPr>
          <w:ilvl w:val="0"/>
          <w:numId w:val="64"/>
        </w:numPr>
        <w:spacing w:before="150" w:after="0"/>
        <w:ind w:left="600" w:hanging="600"/>
      </w:pPr>
      <w:r>
        <w:rPr>
          <w:rFonts w:ascii="Arial"/>
          <w:color w:val="000000"/>
          <w:sz w:val="24"/>
        </w:rPr>
        <w:t>The</w:t>
      </w:r>
      <w:r>
        <w:rPr>
          <w:rFonts w:ascii="Arial"/>
          <w:color w:val="000000"/>
          <w:sz w:val="24"/>
        </w:rPr>
        <w:t xml:space="preserve"> </w:t>
      </w:r>
      <w:r>
        <w:rPr>
          <w:rFonts w:ascii="Arial"/>
          <w:color w:val="000000"/>
          <w:sz w:val="24"/>
        </w:rPr>
        <w:t>first interpretation</w:t>
      </w:r>
      <w:r>
        <w:rPr>
          <w:rFonts w:ascii="Arial"/>
          <w:color w:val="000000"/>
          <w:sz w:val="24"/>
        </w:rPr>
        <w:t>, more</w:t>
      </w:r>
      <w:r>
        <w:rPr>
          <w:rFonts w:ascii="Arial"/>
          <w:color w:val="000000"/>
          <w:sz w:val="24"/>
        </w:rPr>
        <w:t xml:space="preserve"> </w:t>
      </w:r>
      <w:r>
        <w:rPr>
          <w:rFonts w:ascii="Arial"/>
          <w:color w:val="000000"/>
          <w:sz w:val="24"/>
        </w:rPr>
        <w:t>aligned with views expressed in objecting submissions, suggests two distinct points: (1) providing for housing need is related to the availability of housing stock, and (2) providing for housing need is related to those who are in need, or with limited access to such stock</w:t>
      </w:r>
      <w:r>
        <w:rPr>
          <w:rFonts w:ascii="Arial"/>
          <w:color w:val="000000"/>
          <w:sz w:val="24"/>
        </w:rPr>
        <w:t xml:space="preserve">. </w:t>
      </w:r>
      <w:r>
        <w:rPr>
          <w:rFonts w:ascii="Arial"/>
          <w:color w:val="000000"/>
          <w:sz w:val="24"/>
        </w:rPr>
        <w:t xml:space="preserve"> </w:t>
      </w:r>
      <w:r>
        <w:rPr>
          <w:rFonts w:ascii="Arial"/>
          <w:color w:val="000000"/>
          <w:sz w:val="24"/>
        </w:rPr>
        <w:t xml:space="preserve">It seems to me clear that if this interpretation is correct the proposed development would not be consistent with it (given the reduction in housing and the reduction in at least somewhat more affordable housing). </w:t>
      </w:r>
    </w:p>
    <w:p>
      <w:pPr>
        <w:pStyle w:val="CaselawNumbered10"/>
        <w:numPr>
          <w:ilvl w:val="0"/>
          <w:numId w:val="64"/>
        </w:numPr>
        <w:spacing w:before="150" w:after="0"/>
        <w:ind w:left="600" w:hanging="600"/>
      </w:pPr>
      <w:r>
        <w:rPr>
          <w:rFonts w:ascii="Arial"/>
          <w:color w:val="000000"/>
          <w:sz w:val="24"/>
        </w:rPr>
        <w:t>The second interpretation aligns,</w:t>
      </w:r>
      <w:r>
        <w:rPr>
          <w:rFonts w:ascii="Arial"/>
          <w:color w:val="000000"/>
          <w:sz w:val="24"/>
        </w:rPr>
        <w:t xml:space="preserve"> </w:t>
      </w:r>
      <w:r>
        <w:rPr>
          <w:rFonts w:ascii="Arial"/>
          <w:color w:val="000000"/>
          <w:sz w:val="24"/>
        </w:rPr>
        <w:t xml:space="preserve">for example, </w:t>
      </w:r>
      <w:r>
        <w:rPr>
          <w:rFonts w:ascii="Arial"/>
          <w:color w:val="000000"/>
          <w:sz w:val="24"/>
        </w:rPr>
        <w:t xml:space="preserve">with </w:t>
      </w:r>
      <w:r>
        <w:rPr>
          <w:rFonts w:ascii="Arial"/>
          <w:color w:val="000000"/>
          <w:sz w:val="24"/>
        </w:rPr>
        <w:t xml:space="preserve">the statement in Ex F that </w:t>
      </w:r>
      <w:r>
        <w:rPr>
          <w:rFonts w:ascii="Arial"/>
          <w:color w:val="000000"/>
          <w:sz w:val="24"/>
        </w:rPr>
        <w:t>“</w:t>
      </w:r>
      <w:r>
        <w:rPr>
          <w:rFonts w:ascii="Arial"/>
          <w:color w:val="000000"/>
          <w:sz w:val="24"/>
        </w:rPr>
        <w:t>(t</w:t>
      </w:r>
      <w:r>
        <w:rPr>
          <w:rFonts w:ascii="Arial"/>
          <w:color w:val="000000"/>
          <w:sz w:val="24"/>
        </w:rPr>
        <w:t>he</w:t>
      </w:r>
      <w:r>
        <w:rPr>
          <w:rFonts w:ascii="Arial"/>
          <w:color w:val="000000"/>
          <w:sz w:val="24"/>
        </w:rPr>
        <w:t>)</w:t>
      </w:r>
      <w:r>
        <w:rPr>
          <w:rFonts w:ascii="Arial"/>
          <w:color w:val="000000"/>
          <w:sz w:val="24"/>
        </w:rPr>
        <w:t xml:space="preserve"> </w:t>
      </w:r>
      <w:r>
        <w:rPr>
          <w:rFonts w:ascii="Arial"/>
          <w:color w:val="000000"/>
          <w:sz w:val="24"/>
        </w:rPr>
        <w:t>proposal will replace ageing buildings (50+ years old) with new, high-amenity housing stock which will meet the housing needs of the community</w:t>
      </w:r>
      <w:r>
        <w:rPr>
          <w:rFonts w:ascii="Arial"/>
          <w:color w:val="000000"/>
          <w:sz w:val="24"/>
        </w:rPr>
        <w:t xml:space="preserve">” </w:t>
      </w:r>
      <w:r>
        <w:rPr>
          <w:rFonts w:ascii="Arial"/>
          <w:color w:val="000000"/>
          <w:sz w:val="24"/>
        </w:rPr>
        <w:t>(see [</w:t>
      </w:r>
      <w:hyperlink r:id="rId24">
        <w:r>
          <w:rPr>
            <w:rFonts w:ascii="Arial"/>
            <w:color w:val="000000"/>
            <w:sz w:val="24"/>
            <w:u w:val="single"/>
          </w:rPr>
          <w:t/>
        </w:r>
        <w:r>
          <w:rPr>
            <w:rFonts w:ascii="Arial"/>
            <w:color w:val="000000"/>
            <w:sz w:val="24"/>
          </w:rPr>
          <w:t>50</w:t>
        </w:r>
      </w:hyperlink>
      <w:hyperlink r:id="rId25">
        <w:r>
          <w:rPr>
            <w:rFonts w:ascii="Arial"/>
            <w:color w:val="000000"/>
            <w:sz w:val="24"/>
          </w:rPr>
          <w:t/>
        </w:r>
      </w:hyperlink>
      <w:r>
        <w:rPr>
          <w:rFonts w:ascii="Arial"/>
          <w:color w:val="000000"/>
          <w:sz w:val="24"/>
        </w:rPr>
        <w:t>]</w:t>
      </w:r>
      <w:r>
        <w:rPr>
          <w:rFonts w:ascii="Arial"/>
          <w:color w:val="000000"/>
          <w:sz w:val="24"/>
        </w:rPr>
        <w:t>). Similarly, the proposal is entirely consistent with this interpretation of the phrase providing for housing need.</w:t>
      </w:r>
    </w:p>
    <w:p>
      <w:pPr>
        <w:pStyle w:val="CaselawHeading3"/>
        <w:keepNext/>
        <w:spacing w:before="150" w:after="150" w:line="264"/>
        <w:ind w:left="0"/>
        <w:jc w:val="left"/>
      </w:pPr>
      <w:r>
        <w:rPr>
          <w:rFonts w:ascii="Arial"/>
        </w:rPr>
        <w:t>Applying principles of statutory construction</w:t>
      </w:r>
    </w:p>
    <w:p>
      <w:pPr>
        <w:pStyle w:val="CaselawNumbered10"/>
        <w:numPr>
          <w:ilvl w:val="0"/>
          <w:numId w:val="65"/>
        </w:numPr>
        <w:spacing w:before="150" w:after="0"/>
        <w:ind w:left="600" w:hanging="600"/>
      </w:pPr>
      <w:r>
        <w:rPr>
          <w:rFonts w:ascii="Arial"/>
          <w:color w:val="000000"/>
          <w:sz w:val="24"/>
        </w:rPr>
        <w:t xml:space="preserve">The principles of statutory construction were well considered in </w:t>
      </w:r>
      <w:r>
        <w:rPr>
          <w:rFonts w:ascii="Arial"/>
          <w:i/>
          <w:color w:val="000000"/>
          <w:sz w:val="24"/>
        </w:rPr>
        <w:t xml:space="preserve">Cumberland Council v Tony </w:t>
      </w:r>
      <w:r>
        <w:rPr>
          <w:rFonts w:ascii="Arial"/>
          <w:i/>
          <w:color w:val="000000"/>
          <w:sz w:val="24"/>
        </w:rPr>
        <w:t>Younan</w:t>
      </w:r>
      <w:r>
        <w:rPr>
          <w:rFonts w:ascii="Arial"/>
          <w:i/>
          <w:color w:val="000000"/>
          <w:sz w:val="24"/>
        </w:rPr>
        <w:t xml:space="preserve">; Cumberland Council v </w:t>
      </w:r>
      <w:r>
        <w:rPr>
          <w:rFonts w:ascii="Arial"/>
          <w:i/>
          <w:color w:val="000000"/>
          <w:sz w:val="24"/>
        </w:rPr>
        <w:t>Ronney</w:t>
      </w:r>
      <w:r>
        <w:rPr>
          <w:rFonts w:ascii="Arial"/>
          <w:i/>
          <w:color w:val="000000"/>
          <w:sz w:val="24"/>
        </w:rPr>
        <w:t xml:space="preserve"> </w:t>
      </w:r>
      <w:r>
        <w:rPr>
          <w:rFonts w:ascii="Arial"/>
          <w:i/>
          <w:color w:val="000000"/>
          <w:sz w:val="24"/>
        </w:rPr>
        <w:t>Oueik</w:t>
      </w:r>
      <w:r>
        <w:rPr>
          <w:rFonts w:ascii="Arial"/>
          <w:i/>
          <w:color w:val="000000"/>
          <w:sz w:val="24"/>
        </w:rPr>
        <w:t>; Cumberland Council v H &amp; M Renovations Pty Ltd</w:t>
      </w:r>
      <w:r>
        <w:rPr>
          <w:rFonts w:ascii="Arial"/>
          <w:color w:val="000000"/>
          <w:sz w:val="24"/>
        </w:rPr>
        <w:t xml:space="preserve"> </w:t>
      </w:r>
      <w:r>
        <w:rPr>
          <w:rFonts w:ascii="Arial"/>
          <w:color w:val="000000"/>
          <w:sz w:val="24"/>
        </w:rPr>
        <w:t>[2018] NSWLEC 145 at [71]</w:t>
      </w:r>
      <w:r>
        <w:rPr>
          <w:rFonts w:ascii="Arial"/>
          <w:color w:val="000000"/>
          <w:sz w:val="24"/>
        </w:rPr>
        <w:t>–</w:t>
      </w:r>
      <w:r>
        <w:rPr>
          <w:rFonts w:ascii="Arial"/>
          <w:color w:val="000000"/>
          <w:sz w:val="24"/>
        </w:rPr>
        <w:t>[</w:t>
      </w:r>
      <w:r>
        <w:rPr>
          <w:rFonts w:ascii="Arial"/>
          <w:color w:val="000000"/>
          <w:sz w:val="24"/>
        </w:rPr>
        <w:t>72], where Robson J found</w:t>
      </w:r>
      <w:r>
        <w:rPr>
          <w:rFonts w:ascii="Arial"/>
          <w:color w:val="000000"/>
          <w:sz w:val="24"/>
        </w:rPr>
        <w:t xml:space="preserve"> </w:t>
      </w:r>
      <w:r>
        <w:rPr>
          <w:rFonts w:ascii="Arial"/>
          <w:color w:val="000000"/>
          <w:sz w:val="24"/>
        </w:rPr>
        <w:t>in par [71-72]</w:t>
      </w:r>
      <w:r>
        <w:rPr>
          <w:rFonts w:ascii="Arial"/>
          <w:color w:val="000000"/>
          <w:sz w:val="24"/>
        </w:rPr>
        <w:t>:</w:t>
      </w:r>
    </w:p>
    <w:p>
      <w:pPr>
        <w:pStyle w:val="CaselawCoversheet"/>
        <w:spacing w:before="150" w:after="150"/>
        <w:ind w:left="1350"/>
        <w:jc w:val="left"/>
      </w:pPr>
      <w:r>
        <w:rPr>
          <w:rFonts w:ascii="Arial"/>
          <w:color w:val="000000"/>
          <w:sz w:val="24"/>
        </w:rPr>
        <w:t>“</w:t>
      </w:r>
      <w:r>
        <w:rPr>
          <w:rFonts w:ascii="Arial"/>
          <w:color w:val="000000"/>
          <w:sz w:val="24"/>
        </w:rPr>
        <w:t xml:space="preserve">In resolving the meaning of s 127(5A), the ordinary approach to statutory interpretation applies. The now well-accepted approach was recently considered in Hunter Quarries Pty Ltd v Alexandra </w:t>
      </w:r>
      <w:r>
        <w:rPr>
          <w:rFonts w:ascii="Arial"/>
          <w:color w:val="000000"/>
          <w:sz w:val="24"/>
        </w:rPr>
        <w:t>Mexon</w:t>
      </w:r>
      <w:r>
        <w:rPr>
          <w:rFonts w:ascii="Arial"/>
          <w:color w:val="000000"/>
          <w:sz w:val="24"/>
        </w:rPr>
        <w:t xml:space="preserve"> as Administrator for the Estate of the Late Ryan Messenger [2018] NSWCA 178, where Payne JA, with whom </w:t>
      </w:r>
      <w:r>
        <w:rPr>
          <w:rFonts w:ascii="Arial"/>
          <w:color w:val="000000"/>
          <w:sz w:val="24"/>
        </w:rPr>
        <w:t>Basten</w:t>
      </w:r>
      <w:r>
        <w:rPr>
          <w:rFonts w:ascii="Arial"/>
          <w:color w:val="000000"/>
          <w:sz w:val="24"/>
        </w:rPr>
        <w:t xml:space="preserve"> and Gleeson JJA, Sackville AJA, and Simpson AJA agreed, said at [57]:</w:t>
      </w:r>
    </w:p>
    <w:p>
      <w:pPr>
        <w:pStyle w:val="CaselawCoversheet"/>
        <w:spacing w:before="150" w:after="150"/>
        <w:ind w:left="2100"/>
        <w:jc w:val="left"/>
      </w:pPr>
      <w:r>
        <w:rPr>
          <w:rFonts w:ascii="Arial"/>
          <w:color w:val="000000"/>
          <w:sz w:val="24"/>
        </w:rPr>
        <w:t>The relevant principles of statutory construction were not controversial. The parties referred to Alcan (NT) Alumina Pty Ltd v Commissioner of Territory Revenue (Northern Territory) (2009) 239 CLR 27; [2009] HCA 41 at [47], where the plurality emphasised that construction must begin with a consideration of the text itself and while the language employed is the surest guide, its meaning may require consideration of the context, which includes the general purpose and policy of the provision, in particular the mischief it is seeking to remedy. The importance of context, including the general purpose and policy of the provision has subsequently been emphasised by the High Court: Board of Bendigo Regional Institute of Technical and Further Education v Barclay (2012) 248 CLR 500; [2012] HCA 32 at [41]; Federal Commissioner of Taxation v Consolidated Media Holding Ltd (2012) 250 CLR 503; [2012] HCA 55 at [39]; SZTAL v Minister for Immigration and Border Protection [2017] HCA 34; 91 ALJR 936 at [14] and [25]-[39].</w:t>
      </w:r>
    </w:p>
    <w:p>
      <w:pPr>
        <w:pStyle w:val="CaselawCoversheet"/>
        <w:spacing w:before="150" w:after="150"/>
        <w:ind w:left="1350"/>
        <w:jc w:val="left"/>
      </w:pPr>
      <w:r>
        <w:rPr>
          <w:rFonts w:ascii="Arial"/>
          <w:color w:val="000000"/>
          <w:sz w:val="24"/>
        </w:rPr>
        <w:t>However, the importance of context does not detract from the centrality of the text and</w:t>
      </w:r>
      <w:r>
        <w:rPr>
          <w:rFonts w:ascii="Arial"/>
          <w:color w:val="000000"/>
          <w:sz w:val="24"/>
        </w:rPr>
        <w:t xml:space="preserve"> the principle that each word should be given work to </w:t>
      </w:r>
      <w:r>
        <w:rPr>
          <w:rFonts w:ascii="Arial"/>
          <w:color w:val="000000"/>
          <w:sz w:val="24"/>
        </w:rPr>
        <w:t>do:</w:t>
      </w:r>
      <w:r>
        <w:rPr>
          <w:rFonts w:ascii="Arial"/>
          <w:color w:val="000000"/>
          <w:sz w:val="24"/>
        </w:rPr>
        <w:t xml:space="preserve"> </w:t>
      </w:r>
      <w:r>
        <w:rPr>
          <w:rFonts w:ascii="Arial"/>
          <w:color w:val="000000"/>
          <w:sz w:val="24"/>
        </w:rPr>
        <w:t>Project Blue Sky Inc v Australian Broadcasting Authority (1998) 194 CLR 355; [1998] HCA 28 (‘Project Blue Sky’) at 381-382. Where the clear words of a statute demand a particular outcome, the fact that the outcome may appear inconvenient will not, in itself, be</w:t>
      </w:r>
      <w:r>
        <w:rPr>
          <w:rFonts w:ascii="Arial"/>
          <w:color w:val="000000"/>
          <w:sz w:val="24"/>
        </w:rPr>
        <w:t xml:space="preserve"> determinative.</w:t>
      </w:r>
      <w:r>
        <w:rPr>
          <w:rFonts w:ascii="Arial"/>
          <w:color w:val="000000"/>
          <w:sz w:val="24"/>
        </w:rPr>
        <w:t>”</w:t>
      </w:r>
    </w:p>
    <w:p>
      <w:pPr>
        <w:pStyle w:val="CaselawNumbered10"/>
        <w:numPr>
          <w:ilvl w:val="0"/>
          <w:numId w:val="66"/>
        </w:numPr>
        <w:spacing w:before="150" w:after="0"/>
        <w:ind w:left="600" w:hanging="600"/>
      </w:pPr>
      <w:r>
        <w:rPr>
          <w:rFonts w:ascii="Arial"/>
          <w:color w:val="000000"/>
          <w:sz w:val="24"/>
        </w:rPr>
        <w:t xml:space="preserve">To try to </w:t>
      </w:r>
      <w:r>
        <w:rPr>
          <w:rFonts w:ascii="Arial"/>
          <w:color w:val="000000"/>
          <w:sz w:val="24"/>
        </w:rPr>
        <w:t>synthesise</w:t>
      </w:r>
      <w:r>
        <w:rPr>
          <w:rFonts w:ascii="Arial"/>
          <w:color w:val="000000"/>
          <w:sz w:val="24"/>
        </w:rPr>
        <w:t>, the points of attention for me here include</w:t>
      </w:r>
      <w:r>
        <w:rPr>
          <w:rFonts w:ascii="Arial"/>
          <w:color w:val="000000"/>
          <w:sz w:val="24"/>
        </w:rPr>
        <w:t>:</w:t>
      </w:r>
      <w:r>
        <w:rPr>
          <w:rFonts w:ascii="Arial"/>
          <w:color w:val="000000"/>
          <w:sz w:val="24"/>
        </w:rPr>
        <w:t xml:space="preserve"> </w:t>
      </w:r>
      <w:r>
        <w:rPr>
          <w:rFonts w:ascii="Arial"/>
          <w:color w:val="000000"/>
          <w:sz w:val="24"/>
        </w:rPr>
        <w:t xml:space="preserve">(1) begin with consideration of the text itself, with its language </w:t>
      </w:r>
      <w:r>
        <w:rPr>
          <w:rFonts w:ascii="Arial"/>
          <w:color w:val="000000"/>
          <w:sz w:val="24"/>
        </w:rPr>
        <w:t>“</w:t>
      </w:r>
      <w:r>
        <w:rPr>
          <w:rFonts w:ascii="Arial"/>
          <w:color w:val="000000"/>
          <w:sz w:val="24"/>
        </w:rPr>
        <w:t>as the surest guide</w:t>
      </w:r>
      <w:r>
        <w:rPr>
          <w:rFonts w:ascii="Arial"/>
          <w:color w:val="000000"/>
          <w:sz w:val="24"/>
        </w:rPr>
        <w:t xml:space="preserve">” </w:t>
      </w:r>
      <w:r>
        <w:rPr>
          <w:rFonts w:ascii="Arial"/>
          <w:color w:val="000000"/>
          <w:sz w:val="24"/>
        </w:rPr>
        <w:t xml:space="preserve">and the principle that each word should be given work to do and (2) </w:t>
      </w:r>
      <w:r>
        <w:rPr>
          <w:rFonts w:ascii="Arial"/>
          <w:color w:val="000000"/>
          <w:sz w:val="24"/>
        </w:rPr>
        <w:t xml:space="preserve">interpretation of </w:t>
      </w:r>
      <w:r>
        <w:rPr>
          <w:rFonts w:ascii="Arial"/>
          <w:color w:val="000000"/>
          <w:sz w:val="24"/>
        </w:rPr>
        <w:t xml:space="preserve">meaning </w:t>
      </w:r>
      <w:r>
        <w:rPr>
          <w:rFonts w:ascii="Arial"/>
          <w:color w:val="000000"/>
          <w:sz w:val="24"/>
        </w:rPr>
        <w:t xml:space="preserve">of a provision </w:t>
      </w:r>
      <w:r>
        <w:rPr>
          <w:rFonts w:ascii="Arial"/>
          <w:color w:val="000000"/>
          <w:sz w:val="24"/>
        </w:rPr>
        <w:t>may require consideration of context</w:t>
      </w:r>
      <w:r>
        <w:rPr>
          <w:rFonts w:ascii="Arial"/>
          <w:color w:val="000000"/>
          <w:sz w:val="24"/>
        </w:rPr>
        <w:t>,</w:t>
      </w:r>
      <w:r>
        <w:rPr>
          <w:rFonts w:ascii="Arial"/>
          <w:color w:val="000000"/>
          <w:sz w:val="24"/>
        </w:rPr>
        <w:t xml:space="preserve"> </w:t>
      </w:r>
      <w:r>
        <w:rPr>
          <w:rFonts w:ascii="Arial"/>
          <w:color w:val="000000"/>
          <w:sz w:val="24"/>
        </w:rPr>
        <w:t>“</w:t>
      </w:r>
      <w:r>
        <w:rPr>
          <w:rFonts w:ascii="Arial"/>
          <w:color w:val="000000"/>
          <w:sz w:val="24"/>
        </w:rPr>
        <w:t>in particular the mischief it is seeking to remedy</w:t>
      </w:r>
      <w:r>
        <w:rPr>
          <w:rFonts w:ascii="Arial"/>
          <w:color w:val="000000"/>
          <w:sz w:val="24"/>
        </w:rPr>
        <w:t>”</w:t>
      </w:r>
      <w:r>
        <w:rPr>
          <w:rFonts w:ascii="Arial"/>
          <w:color w:val="000000"/>
          <w:sz w:val="24"/>
        </w:rPr>
        <w:t>.</w:t>
      </w:r>
    </w:p>
    <w:p>
      <w:pPr>
        <w:pStyle w:val="CaselawHeading4"/>
        <w:keepNext/>
        <w:spacing w:before="150" w:after="150" w:line="264"/>
        <w:ind w:left="600"/>
        <w:jc w:val="left"/>
      </w:pPr>
      <w:r>
        <w:rPr>
          <w:rFonts w:ascii="Arial"/>
        </w:rPr>
        <w:t>Beginning with the text: d</w:t>
      </w:r>
      <w:r>
        <w:rPr>
          <w:rFonts w:ascii="Arial"/>
        </w:rPr>
        <w:t xml:space="preserve">efinitions and </w:t>
      </w:r>
      <w:r>
        <w:rPr>
          <w:rFonts w:ascii="Arial"/>
        </w:rPr>
        <w:t>general meanings ascribed to</w:t>
      </w:r>
      <w:r>
        <w:rPr>
          <w:rFonts w:ascii="Arial"/>
        </w:rPr>
        <w:t xml:space="preserve"> “need” and “</w:t>
      </w:r>
      <w:r>
        <w:rPr>
          <w:rFonts w:ascii="Arial"/>
        </w:rPr>
        <w:t>want”</w:t>
      </w:r>
    </w:p>
    <w:p>
      <w:pPr>
        <w:pStyle w:val="CaselawNumbered10"/>
        <w:numPr>
          <w:ilvl w:val="0"/>
          <w:numId w:val="67"/>
        </w:numPr>
        <w:spacing w:before="150" w:after="0"/>
        <w:ind w:left="600" w:hanging="600"/>
      </w:pPr>
      <w:r>
        <w:rPr>
          <w:rFonts w:ascii="Arial"/>
          <w:color w:val="000000"/>
          <w:sz w:val="24"/>
        </w:rPr>
        <w:t xml:space="preserve">The Dictionary to SLEP is of limited use </w:t>
      </w:r>
      <w:r>
        <w:rPr>
          <w:rFonts w:ascii="Arial"/>
          <w:color w:val="000000"/>
          <w:sz w:val="24"/>
        </w:rPr>
        <w:t>in regard to</w:t>
      </w:r>
      <w:r>
        <w:rPr>
          <w:rFonts w:ascii="Arial"/>
          <w:color w:val="000000"/>
          <w:sz w:val="24"/>
        </w:rPr>
        <w:t xml:space="preserve"> </w:t>
      </w:r>
      <w:r>
        <w:rPr>
          <w:rFonts w:ascii="Arial"/>
          <w:color w:val="000000"/>
          <w:sz w:val="24"/>
        </w:rPr>
        <w:t xml:space="preserve">the terms I seek to interpret here. </w:t>
      </w:r>
      <w:r>
        <w:rPr>
          <w:rFonts w:ascii="Arial"/>
          <w:color w:val="000000"/>
          <w:sz w:val="24"/>
        </w:rPr>
        <w:t>Where below I refer to a Macquarie Dictionary definition, I am referring to my own access to the NSW Law Courts Library</w:t>
      </w:r>
      <w:r>
        <w:rPr>
          <w:rFonts w:ascii="Arial"/>
          <w:color w:val="000000"/>
          <w:sz w:val="24"/>
        </w:rPr>
        <w:t>’</w:t>
      </w:r>
      <w:r>
        <w:rPr>
          <w:rFonts w:ascii="Arial"/>
          <w:color w:val="000000"/>
          <w:sz w:val="24"/>
        </w:rPr>
        <w:t xml:space="preserve">s online subscription service. Access in all instances was on the afternoon of 12 December 2024. </w:t>
      </w:r>
    </w:p>
    <w:p>
      <w:pPr>
        <w:pStyle w:val="CaselawNumbered10"/>
        <w:numPr>
          <w:ilvl w:val="0"/>
          <w:numId w:val="67"/>
        </w:numPr>
        <w:spacing w:before="150" w:after="0"/>
        <w:ind w:left="600" w:hanging="600"/>
      </w:pPr>
      <w:r>
        <w:rPr>
          <w:rFonts w:ascii="Arial"/>
          <w:color w:val="000000"/>
          <w:sz w:val="24"/>
        </w:rPr>
        <w:t xml:space="preserve">I am happy to adopt a slightly adjusted </w:t>
      </w:r>
      <w:r>
        <w:rPr>
          <w:rFonts w:ascii="Arial"/>
          <w:color w:val="000000"/>
          <w:sz w:val="24"/>
        </w:rPr>
        <w:t>Macquarie Dictionary</w:t>
      </w:r>
      <w:r>
        <w:rPr>
          <w:rFonts w:ascii="Arial"/>
          <w:color w:val="000000"/>
          <w:sz w:val="24"/>
        </w:rPr>
        <w:t xml:space="preserve"> </w:t>
      </w:r>
      <w:r>
        <w:rPr>
          <w:rFonts w:ascii="Arial"/>
          <w:color w:val="000000"/>
          <w:sz w:val="24"/>
        </w:rPr>
        <w:t xml:space="preserve">definition of </w:t>
      </w:r>
      <w:r>
        <w:rPr>
          <w:rFonts w:ascii="Arial"/>
          <w:color w:val="000000"/>
          <w:sz w:val="24"/>
        </w:rPr>
        <w:t>“</w:t>
      </w:r>
      <w:r>
        <w:rPr>
          <w:rFonts w:ascii="Arial"/>
          <w:color w:val="000000"/>
          <w:sz w:val="24"/>
        </w:rPr>
        <w:t>provide for</w:t>
      </w:r>
      <w:r>
        <w:rPr>
          <w:rFonts w:ascii="Arial"/>
          <w:color w:val="000000"/>
          <w:sz w:val="24"/>
        </w:rPr>
        <w:t>”</w:t>
      </w:r>
      <w:r>
        <w:rPr>
          <w:rFonts w:ascii="Arial"/>
          <w:color w:val="000000"/>
          <w:sz w:val="24"/>
        </w:rPr>
        <w:t xml:space="preserve">, as follows: </w:t>
      </w:r>
      <w:r>
        <w:rPr>
          <w:rFonts w:ascii="Arial"/>
          <w:color w:val="000000"/>
          <w:sz w:val="24"/>
        </w:rPr>
        <w:t>“</w:t>
      </w:r>
      <w:r>
        <w:rPr>
          <w:rFonts w:ascii="Arial"/>
          <w:color w:val="000000"/>
          <w:sz w:val="24"/>
        </w:rPr>
        <w:t xml:space="preserve">to make arrangements for the supply of means of </w:t>
      </w:r>
      <w:r>
        <w:rPr>
          <w:rFonts w:ascii="Arial"/>
          <w:color w:val="000000"/>
          <w:sz w:val="24"/>
        </w:rPr>
        <w:t>…”</w:t>
      </w:r>
      <w:r>
        <w:rPr>
          <w:rFonts w:ascii="Arial"/>
          <w:color w:val="000000"/>
          <w:sz w:val="24"/>
        </w:rPr>
        <w:t>.</w:t>
      </w:r>
    </w:p>
    <w:p>
      <w:pPr>
        <w:pStyle w:val="CaselawNumbered10"/>
        <w:numPr>
          <w:ilvl w:val="0"/>
          <w:numId w:val="67"/>
        </w:numPr>
        <w:spacing w:before="150" w:after="0"/>
        <w:ind w:left="600" w:hanging="600"/>
      </w:pPr>
      <w:r>
        <w:rPr>
          <w:rFonts w:ascii="Arial"/>
          <w:color w:val="000000"/>
          <w:sz w:val="24"/>
        </w:rPr>
        <w:t xml:space="preserve">The </w:t>
      </w:r>
      <w:r>
        <w:rPr>
          <w:rFonts w:ascii="Arial"/>
          <w:color w:val="000000"/>
          <w:sz w:val="24"/>
        </w:rPr>
        <w:t xml:space="preserve">Macquarie Dictionary </w:t>
      </w:r>
      <w:r>
        <w:rPr>
          <w:rFonts w:ascii="Arial"/>
          <w:color w:val="000000"/>
          <w:sz w:val="24"/>
        </w:rPr>
        <w:t xml:space="preserve">provides the following relevant definitions of </w:t>
      </w:r>
      <w:r>
        <w:rPr>
          <w:rFonts w:ascii="Arial"/>
          <w:color w:val="000000"/>
          <w:sz w:val="24"/>
        </w:rPr>
        <w:t>“</w:t>
      </w:r>
      <w:r>
        <w:rPr>
          <w:rFonts w:ascii="Arial"/>
          <w:color w:val="000000"/>
          <w:sz w:val="24"/>
        </w:rPr>
        <w:t>community</w:t>
      </w:r>
      <w:r>
        <w:rPr>
          <w:rFonts w:ascii="Arial"/>
          <w:color w:val="000000"/>
          <w:sz w:val="24"/>
        </w:rPr>
        <w:t>”</w:t>
      </w:r>
      <w:r>
        <w:rPr>
          <w:rFonts w:ascii="Arial"/>
          <w:color w:val="000000"/>
          <w:sz w:val="24"/>
        </w:rPr>
        <w:t>:</w:t>
      </w:r>
    </w:p>
    <w:p>
      <w:pPr>
        <w:pStyle w:val="CaselawCoversheet"/>
        <w:spacing w:before="150" w:after="150"/>
        <w:ind w:left="1350"/>
        <w:jc w:val="left"/>
      </w:pPr>
      <w:r>
        <w:rPr>
          <w:rFonts w:ascii="Arial"/>
          <w:color w:val="000000"/>
          <w:sz w:val="24"/>
        </w:rPr>
        <w:t>“noun</w:t>
      </w:r>
      <w:r>
        <w:rPr>
          <w:rFonts w:ascii="Arial"/>
          <w:color w:val="000000"/>
          <w:sz w:val="24"/>
        </w:rPr>
        <w:t xml:space="preserve"> (plural communities)</w:t>
      </w:r>
    </w:p>
    <w:p>
      <w:pPr>
        <w:pStyle w:val="CaselawCoversheet"/>
        <w:spacing w:before="150" w:after="150"/>
        <w:ind w:left="1350"/>
        <w:jc w:val="left"/>
      </w:pPr>
      <w:r>
        <w:rPr>
          <w:rFonts w:ascii="Arial"/>
          <w:color w:val="000000"/>
          <w:sz w:val="24"/>
        </w:rPr>
        <w:t>1.  all the people of a specific locality or country: the new transport service is for the benefit of the whole community.</w:t>
      </w:r>
    </w:p>
    <w:p>
      <w:pPr>
        <w:pStyle w:val="CaselawCoversheet"/>
        <w:spacing w:before="150" w:after="150"/>
        <w:ind w:left="1350"/>
        <w:jc w:val="left"/>
      </w:pPr>
      <w:r>
        <w:rPr>
          <w:rFonts w:ascii="Arial"/>
          <w:color w:val="000000"/>
          <w:sz w:val="24"/>
        </w:rPr>
        <w:t>2.  the community, the public.</w:t>
      </w:r>
    </w:p>
    <w:p>
      <w:pPr>
        <w:pStyle w:val="CaselawCoversheet"/>
        <w:spacing w:before="150" w:after="150"/>
        <w:ind w:left="1350"/>
        <w:jc w:val="left"/>
      </w:pPr>
      <w:r>
        <w:rPr>
          <w:rFonts w:ascii="Arial"/>
          <w:color w:val="000000"/>
          <w:sz w:val="24"/>
        </w:rPr>
        <w:t>3.  a particular locality, considered together with its inhabitants: a small rural community.”</w:t>
      </w:r>
    </w:p>
    <w:p>
      <w:pPr>
        <w:pStyle w:val="CaselawNumbered10"/>
        <w:numPr>
          <w:ilvl w:val="0"/>
          <w:numId w:val="68"/>
        </w:numPr>
        <w:spacing w:before="150" w:after="0"/>
        <w:ind w:left="600" w:hanging="600"/>
      </w:pPr>
      <w:r>
        <w:rPr>
          <w:rFonts w:ascii="Arial"/>
          <w:color w:val="000000"/>
          <w:sz w:val="24"/>
        </w:rPr>
        <w:t xml:space="preserve">SLEP does not provide a definition of </w:t>
      </w:r>
      <w:r>
        <w:rPr>
          <w:rFonts w:ascii="Arial"/>
          <w:color w:val="000000"/>
          <w:sz w:val="24"/>
        </w:rPr>
        <w:t>“</w:t>
      </w:r>
      <w:r>
        <w:rPr>
          <w:rFonts w:ascii="Arial"/>
          <w:color w:val="000000"/>
          <w:sz w:val="24"/>
        </w:rPr>
        <w:t>housing need</w:t>
      </w:r>
      <w:r>
        <w:rPr>
          <w:rFonts w:ascii="Arial"/>
          <w:color w:val="000000"/>
          <w:sz w:val="24"/>
        </w:rPr>
        <w:t>”</w:t>
      </w:r>
      <w:r>
        <w:rPr>
          <w:rFonts w:ascii="Arial"/>
          <w:color w:val="000000"/>
          <w:sz w:val="24"/>
        </w:rPr>
        <w:t xml:space="preserve">, </w:t>
      </w:r>
      <w:r>
        <w:rPr>
          <w:rFonts w:ascii="Arial"/>
          <w:color w:val="000000"/>
          <w:sz w:val="24"/>
        </w:rPr>
        <w:t>“</w:t>
      </w:r>
      <w:r>
        <w:rPr>
          <w:rFonts w:ascii="Arial"/>
          <w:color w:val="000000"/>
          <w:sz w:val="24"/>
        </w:rPr>
        <w:t>housing</w:t>
      </w:r>
      <w:r>
        <w:rPr>
          <w:rFonts w:ascii="Arial"/>
          <w:color w:val="000000"/>
          <w:sz w:val="24"/>
        </w:rPr>
        <w:t xml:space="preserve">” </w:t>
      </w:r>
      <w:r>
        <w:rPr>
          <w:rFonts w:ascii="Arial"/>
          <w:color w:val="000000"/>
          <w:sz w:val="24"/>
        </w:rPr>
        <w:t xml:space="preserve">or </w:t>
      </w:r>
      <w:r>
        <w:rPr>
          <w:rFonts w:ascii="Arial"/>
          <w:color w:val="000000"/>
          <w:sz w:val="24"/>
        </w:rPr>
        <w:t>“</w:t>
      </w:r>
      <w:r>
        <w:rPr>
          <w:rFonts w:ascii="Arial"/>
          <w:color w:val="000000"/>
          <w:sz w:val="24"/>
        </w:rPr>
        <w:t>need</w:t>
      </w:r>
      <w:r>
        <w:rPr>
          <w:rFonts w:ascii="Arial"/>
          <w:color w:val="000000"/>
          <w:sz w:val="24"/>
        </w:rPr>
        <w:t xml:space="preserve">” </w:t>
      </w:r>
      <w:r>
        <w:rPr>
          <w:rFonts w:ascii="Arial"/>
          <w:color w:val="000000"/>
          <w:sz w:val="24"/>
        </w:rPr>
        <w:t xml:space="preserve">within its Dictionary. The term </w:t>
      </w:r>
      <w:r>
        <w:rPr>
          <w:rFonts w:ascii="Arial"/>
          <w:color w:val="000000"/>
          <w:sz w:val="24"/>
        </w:rPr>
        <w:t>“</w:t>
      </w:r>
      <w:r>
        <w:rPr>
          <w:rFonts w:ascii="Arial"/>
          <w:color w:val="000000"/>
          <w:sz w:val="24"/>
        </w:rPr>
        <w:t>residential accommodation</w:t>
      </w:r>
      <w:r>
        <w:rPr>
          <w:rFonts w:ascii="Arial"/>
          <w:color w:val="000000"/>
          <w:sz w:val="24"/>
        </w:rPr>
        <w:t xml:space="preserve">” </w:t>
      </w:r>
      <w:r>
        <w:rPr>
          <w:rFonts w:ascii="Arial"/>
          <w:color w:val="000000"/>
          <w:sz w:val="24"/>
        </w:rPr>
        <w:t>is defined and might be seen to include at least most of the various forms of housing (for me it is more to the point than the MD definition). It is defined as:</w:t>
      </w:r>
    </w:p>
    <w:p>
      <w:pPr>
        <w:pStyle w:val="CaselawCoversheet"/>
        <w:spacing w:before="150" w:after="150"/>
        <w:ind w:left="1350"/>
        <w:jc w:val="left"/>
      </w:pPr>
      <w:r>
        <w:rPr>
          <w:rFonts w:ascii="Arial"/>
          <w:color w:val="000000"/>
          <w:sz w:val="24"/>
        </w:rPr>
        <w:t>“a building or place used predominantly as a place of residence”.</w:t>
      </w:r>
    </w:p>
    <w:p>
      <w:pPr>
        <w:pStyle w:val="CaselawNumbered10"/>
        <w:numPr>
          <w:ilvl w:val="0"/>
          <w:numId w:val="69"/>
        </w:numPr>
        <w:spacing w:before="150" w:after="0"/>
        <w:ind w:left="600" w:hanging="600"/>
      </w:pPr>
      <w:r>
        <w:rPr>
          <w:rFonts w:ascii="Arial"/>
          <w:color w:val="000000"/>
          <w:sz w:val="24"/>
        </w:rPr>
        <w:t xml:space="preserve">For completeness the </w:t>
      </w:r>
      <w:r>
        <w:rPr>
          <w:rFonts w:ascii="Arial"/>
          <w:color w:val="000000"/>
          <w:sz w:val="24"/>
        </w:rPr>
        <w:t>most suitable</w:t>
      </w:r>
      <w:r>
        <w:rPr>
          <w:rFonts w:ascii="Arial"/>
          <w:color w:val="000000"/>
          <w:sz w:val="24"/>
        </w:rPr>
        <w:t xml:space="preserve"> </w:t>
      </w:r>
      <w:r>
        <w:rPr>
          <w:rFonts w:ascii="Arial"/>
          <w:color w:val="000000"/>
          <w:sz w:val="24"/>
        </w:rPr>
        <w:t xml:space="preserve">Macquarie Dictionary </w:t>
      </w:r>
      <w:r>
        <w:rPr>
          <w:rFonts w:ascii="Arial"/>
          <w:color w:val="000000"/>
          <w:sz w:val="24"/>
        </w:rPr>
        <w:t>defi</w:t>
      </w:r>
      <w:r>
        <w:rPr>
          <w:rFonts w:ascii="Arial"/>
          <w:color w:val="000000"/>
          <w:sz w:val="24"/>
        </w:rPr>
        <w:t>n</w:t>
      </w:r>
      <w:r>
        <w:rPr>
          <w:rFonts w:ascii="Arial"/>
          <w:color w:val="000000"/>
          <w:sz w:val="24"/>
        </w:rPr>
        <w:t>ition</w:t>
      </w:r>
      <w:r>
        <w:rPr>
          <w:rFonts w:ascii="Arial"/>
          <w:color w:val="000000"/>
          <w:sz w:val="24"/>
        </w:rPr>
        <w:t xml:space="preserve"> </w:t>
      </w:r>
      <w:r>
        <w:rPr>
          <w:rFonts w:ascii="Arial"/>
          <w:color w:val="000000"/>
          <w:sz w:val="24"/>
        </w:rPr>
        <w:t xml:space="preserve">of housing is: </w:t>
      </w:r>
      <w:r>
        <w:rPr>
          <w:rFonts w:ascii="Arial"/>
          <w:color w:val="000000"/>
          <w:sz w:val="24"/>
        </w:rPr>
        <w:t>“</w:t>
      </w:r>
      <w:r>
        <w:rPr>
          <w:rFonts w:ascii="Arial"/>
          <w:color w:val="000000"/>
          <w:sz w:val="24"/>
        </w:rPr>
        <w:t>the provision of houses or other accommodation for the community</w:t>
      </w:r>
      <w:r>
        <w:rPr>
          <w:rFonts w:ascii="Arial"/>
          <w:color w:val="000000"/>
          <w:sz w:val="24"/>
        </w:rPr>
        <w:t>”</w:t>
      </w:r>
      <w:r>
        <w:rPr>
          <w:rFonts w:ascii="Arial"/>
          <w:color w:val="000000"/>
          <w:sz w:val="24"/>
        </w:rPr>
        <w:t>.</w:t>
      </w:r>
    </w:p>
    <w:p>
      <w:pPr>
        <w:pStyle w:val="CaselawNumbered10"/>
        <w:numPr>
          <w:ilvl w:val="0"/>
          <w:numId w:val="69"/>
        </w:numPr>
        <w:spacing w:before="150" w:after="0"/>
        <w:ind w:left="600" w:hanging="600"/>
      </w:pPr>
      <w:r>
        <w:rPr>
          <w:rFonts w:ascii="Arial"/>
          <w:color w:val="000000"/>
          <w:sz w:val="24"/>
        </w:rPr>
        <w:t xml:space="preserve">I </w:t>
      </w:r>
      <w:r>
        <w:rPr>
          <w:rFonts w:ascii="Arial"/>
          <w:color w:val="000000"/>
          <w:sz w:val="24"/>
        </w:rPr>
        <w:t>now</w:t>
      </w:r>
      <w:r>
        <w:rPr>
          <w:rFonts w:ascii="Arial"/>
          <w:color w:val="000000"/>
          <w:sz w:val="24"/>
        </w:rPr>
        <w:t xml:space="preserve"> </w:t>
      </w:r>
      <w:r>
        <w:rPr>
          <w:rFonts w:ascii="Arial"/>
          <w:color w:val="000000"/>
          <w:sz w:val="24"/>
        </w:rPr>
        <w:t xml:space="preserve">turn </w:t>
      </w:r>
      <w:r>
        <w:rPr>
          <w:rFonts w:ascii="Arial"/>
          <w:color w:val="000000"/>
          <w:sz w:val="24"/>
        </w:rPr>
        <w:t xml:space="preserve">to the more critical definitional material. The term </w:t>
      </w:r>
      <w:r>
        <w:rPr>
          <w:rFonts w:ascii="Arial"/>
          <w:color w:val="000000"/>
          <w:sz w:val="24"/>
        </w:rPr>
        <w:t>“</w:t>
      </w:r>
      <w:r>
        <w:rPr>
          <w:rFonts w:ascii="Arial"/>
          <w:color w:val="000000"/>
          <w:sz w:val="24"/>
        </w:rPr>
        <w:t>need</w:t>
      </w:r>
      <w:r>
        <w:rPr>
          <w:rFonts w:ascii="Arial"/>
          <w:color w:val="000000"/>
          <w:sz w:val="24"/>
        </w:rPr>
        <w:t>”</w:t>
      </w:r>
      <w:r>
        <w:rPr>
          <w:rFonts w:ascii="Arial"/>
          <w:color w:val="000000"/>
          <w:sz w:val="24"/>
        </w:rPr>
        <w:t xml:space="preserve">, as a noun, </w:t>
      </w:r>
      <w:r>
        <w:rPr>
          <w:rFonts w:ascii="Arial"/>
          <w:color w:val="000000"/>
          <w:sz w:val="24"/>
        </w:rPr>
        <w:t xml:space="preserve">is </w:t>
      </w:r>
      <w:r>
        <w:rPr>
          <w:rFonts w:ascii="Arial"/>
          <w:color w:val="000000"/>
          <w:sz w:val="24"/>
        </w:rPr>
        <w:t xml:space="preserve">defined in the </w:t>
      </w:r>
      <w:r>
        <w:rPr>
          <w:rFonts w:ascii="Arial"/>
          <w:color w:val="000000"/>
          <w:sz w:val="24"/>
        </w:rPr>
        <w:t xml:space="preserve">Macquarie Dictionary </w:t>
      </w:r>
      <w:r>
        <w:rPr>
          <w:rFonts w:ascii="Arial"/>
          <w:color w:val="000000"/>
          <w:sz w:val="24"/>
        </w:rPr>
        <w:t>as follows:</w:t>
      </w:r>
    </w:p>
    <w:p>
      <w:pPr>
        <w:pStyle w:val="CaselawCoversheet"/>
        <w:spacing w:before="150" w:after="150"/>
        <w:ind w:left="1350"/>
        <w:jc w:val="left"/>
      </w:pPr>
      <w:r>
        <w:rPr>
          <w:rFonts w:ascii="Arial"/>
          <w:color w:val="000000"/>
          <w:sz w:val="24"/>
        </w:rPr>
        <w:t>1.  a case or instance in which some necessity or want exists; a requirement: to meet the needs of the occasion.</w:t>
      </w:r>
    </w:p>
    <w:p>
      <w:pPr>
        <w:pStyle w:val="CaselawCoversheet"/>
        <w:spacing w:before="150" w:after="150"/>
        <w:ind w:left="1350"/>
        <w:jc w:val="left"/>
      </w:pPr>
      <w:r>
        <w:rPr>
          <w:rFonts w:ascii="Arial"/>
          <w:color w:val="000000"/>
          <w:sz w:val="24"/>
        </w:rPr>
        <w:t>2.  urgent want, as of something requisite: he has no need of your kindness.</w:t>
      </w:r>
    </w:p>
    <w:p>
      <w:pPr>
        <w:pStyle w:val="CaselawCoversheet"/>
        <w:spacing w:before="150" w:after="150"/>
        <w:ind w:left="1350"/>
        <w:jc w:val="left"/>
      </w:pPr>
      <w:r>
        <w:rPr>
          <w:rFonts w:ascii="Arial"/>
          <w:color w:val="000000"/>
          <w:sz w:val="24"/>
        </w:rPr>
        <w:t>3.  necessity arising from the circumstances of a case: there is no need to worry.</w:t>
      </w:r>
    </w:p>
    <w:p>
      <w:pPr>
        <w:pStyle w:val="CaselawCoversheet"/>
        <w:spacing w:before="150" w:after="150"/>
        <w:ind w:left="1350"/>
        <w:jc w:val="left"/>
      </w:pPr>
      <w:r>
        <w:rPr>
          <w:rFonts w:ascii="Arial"/>
          <w:color w:val="000000"/>
          <w:sz w:val="24"/>
        </w:rPr>
        <w:t>4.  a situation or time of difficulty; exigency: a friend in need.</w:t>
      </w:r>
    </w:p>
    <w:p>
      <w:pPr>
        <w:pStyle w:val="CaselawCoversheet"/>
        <w:spacing w:before="150" w:after="150"/>
        <w:ind w:left="1350"/>
        <w:jc w:val="left"/>
      </w:pPr>
      <w:r>
        <w:rPr>
          <w:rFonts w:ascii="Arial"/>
          <w:color w:val="000000"/>
          <w:sz w:val="24"/>
        </w:rPr>
        <w:t>5.  a condition marked by the lack of something requisite: the need for leadership.</w:t>
      </w:r>
    </w:p>
    <w:p>
      <w:pPr>
        <w:pStyle w:val="CaselawCoversheet"/>
        <w:spacing w:before="150" w:after="150"/>
        <w:ind w:left="1350"/>
        <w:jc w:val="left"/>
      </w:pPr>
      <w:r>
        <w:rPr>
          <w:rFonts w:ascii="Arial"/>
          <w:color w:val="000000"/>
          <w:sz w:val="24"/>
        </w:rPr>
        <w:t>6.  destitution; extreme poverty.</w:t>
      </w:r>
    </w:p>
    <w:p>
      <w:pPr>
        <w:pStyle w:val="CaselawNumbered10"/>
        <w:numPr>
          <w:ilvl w:val="0"/>
          <w:numId w:val="70"/>
        </w:numPr>
        <w:spacing w:before="150" w:after="0"/>
        <w:ind w:left="600" w:hanging="600"/>
      </w:pPr>
      <w:r>
        <w:rPr>
          <w:rFonts w:ascii="Arial"/>
          <w:color w:val="000000"/>
          <w:sz w:val="24"/>
        </w:rPr>
        <w:t xml:space="preserve">The term </w:t>
      </w:r>
      <w:r>
        <w:rPr>
          <w:rFonts w:ascii="Arial"/>
          <w:color w:val="000000"/>
          <w:sz w:val="24"/>
        </w:rPr>
        <w:t>“</w:t>
      </w:r>
      <w:r>
        <w:rPr>
          <w:rFonts w:ascii="Arial"/>
          <w:color w:val="000000"/>
          <w:sz w:val="24"/>
        </w:rPr>
        <w:t>want</w:t>
      </w:r>
      <w:r>
        <w:rPr>
          <w:rFonts w:ascii="Arial"/>
          <w:color w:val="000000"/>
          <w:sz w:val="24"/>
        </w:rPr>
        <w:t>”</w:t>
      </w:r>
      <w:r>
        <w:rPr>
          <w:rFonts w:ascii="Arial"/>
          <w:color w:val="000000"/>
          <w:sz w:val="24"/>
        </w:rPr>
        <w:t xml:space="preserve">, as a noun, </w:t>
      </w:r>
      <w:r>
        <w:rPr>
          <w:rFonts w:ascii="Arial"/>
          <w:color w:val="000000"/>
          <w:sz w:val="24"/>
        </w:rPr>
        <w:t>is</w:t>
      </w:r>
      <w:r>
        <w:rPr>
          <w:rFonts w:ascii="Arial"/>
          <w:color w:val="000000"/>
          <w:sz w:val="24"/>
        </w:rPr>
        <w:t xml:space="preserve"> </w:t>
      </w:r>
      <w:r>
        <w:rPr>
          <w:rFonts w:ascii="Arial"/>
          <w:color w:val="000000"/>
          <w:sz w:val="24"/>
        </w:rPr>
        <w:t xml:space="preserve">defined in the </w:t>
      </w:r>
      <w:r>
        <w:rPr>
          <w:rFonts w:ascii="Arial"/>
          <w:color w:val="000000"/>
          <w:sz w:val="24"/>
        </w:rPr>
        <w:t xml:space="preserve">Macquarie Dictionary </w:t>
      </w:r>
      <w:r>
        <w:rPr>
          <w:rFonts w:ascii="Arial"/>
          <w:color w:val="000000"/>
          <w:sz w:val="24"/>
        </w:rPr>
        <w:t xml:space="preserve">is </w:t>
      </w:r>
      <w:r>
        <w:rPr>
          <w:rFonts w:ascii="Arial"/>
          <w:color w:val="000000"/>
          <w:sz w:val="24"/>
        </w:rPr>
        <w:t>as follows:</w:t>
      </w:r>
    </w:p>
    <w:p>
      <w:pPr>
        <w:pStyle w:val="CaselawCoversheet"/>
        <w:spacing w:before="150" w:after="150"/>
        <w:ind w:left="1350"/>
        <w:jc w:val="left"/>
      </w:pPr>
      <w:r>
        <w:rPr>
          <w:rFonts w:ascii="Arial"/>
          <w:color w:val="000000"/>
          <w:sz w:val="24"/>
        </w:rPr>
        <w:t>10.  something wanted or needed; a necessity.</w:t>
      </w:r>
    </w:p>
    <w:p>
      <w:pPr>
        <w:pStyle w:val="CaselawCoversheet"/>
        <w:spacing w:before="150" w:after="150"/>
        <w:ind w:left="1350"/>
        <w:jc w:val="left"/>
      </w:pPr>
      <w:r>
        <w:rPr>
          <w:rFonts w:ascii="Arial"/>
          <w:color w:val="000000"/>
          <w:sz w:val="24"/>
        </w:rPr>
        <w:t>11.  a need or requirement: the wants of humankind.</w:t>
      </w:r>
    </w:p>
    <w:p>
      <w:pPr>
        <w:pStyle w:val="CaselawCoversheet"/>
        <w:spacing w:before="150" w:after="150"/>
        <w:ind w:left="1350"/>
        <w:jc w:val="left"/>
      </w:pPr>
      <w:r>
        <w:rPr>
          <w:rFonts w:ascii="Arial"/>
          <w:color w:val="000000"/>
          <w:sz w:val="24"/>
        </w:rPr>
        <w:t>12.  absence or deficiency of something desirable or requisite; lack: *Even the rabbits were gone now – either killed for food or dead for want of something to eat. –W.E. HARNEY, 1947.</w:t>
      </w:r>
    </w:p>
    <w:p>
      <w:pPr>
        <w:pStyle w:val="CaselawCoversheet"/>
        <w:spacing w:before="150" w:after="150"/>
        <w:ind w:left="1350"/>
        <w:jc w:val="left"/>
      </w:pPr>
      <w:r>
        <w:rPr>
          <w:rFonts w:ascii="Arial"/>
          <w:color w:val="000000"/>
          <w:sz w:val="24"/>
        </w:rPr>
        <w:t>13.  the state of being without something desired or needed; need: to be in want of an assistant.</w:t>
      </w:r>
    </w:p>
    <w:p>
      <w:pPr>
        <w:pStyle w:val="CaselawCoversheet"/>
        <w:spacing w:before="150" w:after="150"/>
        <w:ind w:left="1350"/>
        <w:jc w:val="left"/>
      </w:pPr>
      <w:r>
        <w:rPr>
          <w:rFonts w:ascii="Arial"/>
          <w:color w:val="000000"/>
          <w:sz w:val="24"/>
        </w:rPr>
        <w:t>14.  the state of being without the necessities of life; destitution; poverty.</w:t>
      </w:r>
    </w:p>
    <w:p>
      <w:pPr>
        <w:pStyle w:val="CaselawCoversheet"/>
        <w:spacing w:before="150" w:after="150"/>
        <w:ind w:left="1350"/>
        <w:jc w:val="left"/>
      </w:pPr>
      <w:r>
        <w:rPr>
          <w:rFonts w:ascii="Arial"/>
          <w:color w:val="000000"/>
          <w:sz w:val="24"/>
        </w:rPr>
        <w:t>15.  a sense of lack or need of something.</w:t>
      </w:r>
    </w:p>
    <w:p>
      <w:pPr>
        <w:pStyle w:val="CaselawNumbered10"/>
        <w:numPr>
          <w:ilvl w:val="0"/>
          <w:numId w:val="71"/>
        </w:numPr>
        <w:spacing w:before="150" w:after="0"/>
        <w:ind w:left="600" w:hanging="600"/>
      </w:pPr>
      <w:r>
        <w:rPr>
          <w:rFonts w:ascii="Arial"/>
          <w:color w:val="000000"/>
          <w:sz w:val="24"/>
        </w:rPr>
        <w:t xml:space="preserve">For me the better understanding of </w:t>
      </w:r>
      <w:r>
        <w:rPr>
          <w:rFonts w:ascii="Arial"/>
          <w:i/>
          <w:color w:val="000000"/>
          <w:sz w:val="24"/>
        </w:rPr>
        <w:t>need</w:t>
      </w:r>
      <w:r>
        <w:rPr>
          <w:rFonts w:ascii="Arial"/>
          <w:color w:val="000000"/>
          <w:sz w:val="24"/>
        </w:rPr>
        <w:t xml:space="preserve"> </w:t>
      </w:r>
      <w:r>
        <w:rPr>
          <w:rFonts w:ascii="Arial"/>
          <w:color w:val="000000"/>
          <w:sz w:val="24"/>
        </w:rPr>
        <w:t xml:space="preserve">(in the sense of </w:t>
      </w:r>
      <w:r>
        <w:rPr>
          <w:rFonts w:ascii="Arial"/>
          <w:color w:val="000000"/>
          <w:sz w:val="24"/>
        </w:rPr>
        <w:t>“</w:t>
      </w:r>
      <w:r>
        <w:rPr>
          <w:rFonts w:ascii="Arial"/>
          <w:color w:val="000000"/>
          <w:sz w:val="24"/>
        </w:rPr>
        <w:t>housing needs of the community</w:t>
      </w:r>
      <w:r>
        <w:rPr>
          <w:rFonts w:ascii="Arial"/>
          <w:color w:val="000000"/>
          <w:sz w:val="24"/>
        </w:rPr>
        <w:t>”</w:t>
      </w:r>
      <w:r>
        <w:rPr>
          <w:rFonts w:ascii="Arial"/>
          <w:color w:val="000000"/>
          <w:sz w:val="24"/>
        </w:rPr>
        <w:t xml:space="preserve">) </w:t>
      </w:r>
      <w:r>
        <w:rPr>
          <w:rFonts w:ascii="Arial"/>
          <w:color w:val="000000"/>
          <w:sz w:val="24"/>
        </w:rPr>
        <w:t>from these definitions would be more aligned with the first of the interpretations I outline at [</w:t>
      </w:r>
      <w:hyperlink r:id="rId26">
        <w:r>
          <w:rPr>
            <w:rFonts w:ascii="Arial"/>
            <w:color w:val="000000"/>
            <w:sz w:val="24"/>
            <w:u w:val="single"/>
          </w:rPr>
          <w:t/>
        </w:r>
        <w:r>
          <w:rPr>
            <w:rFonts w:ascii="Arial"/>
            <w:color w:val="000000"/>
            <w:sz w:val="24"/>
          </w:rPr>
          <w:t>61</w:t>
        </w:r>
      </w:hyperlink>
      <w:hyperlink r:id="rId27">
        <w:r>
          <w:rPr>
            <w:rFonts w:ascii="Arial"/>
            <w:color w:val="000000"/>
            <w:sz w:val="24"/>
          </w:rPr>
          <w:t/>
        </w:r>
      </w:hyperlink>
      <w:r>
        <w:rPr>
          <w:rFonts w:ascii="Arial"/>
          <w:color w:val="000000"/>
          <w:sz w:val="24"/>
        </w:rPr>
        <w:t xml:space="preserve">]. This is through reference to terms like </w:t>
      </w:r>
      <w:r>
        <w:rPr>
          <w:rFonts w:ascii="Arial"/>
          <w:color w:val="000000"/>
          <w:sz w:val="24"/>
        </w:rPr>
        <w:t>“</w:t>
      </w:r>
      <w:r>
        <w:rPr>
          <w:rFonts w:ascii="Arial"/>
          <w:color w:val="000000"/>
          <w:sz w:val="24"/>
        </w:rPr>
        <w:t>necessity</w:t>
      </w:r>
      <w:r>
        <w:rPr>
          <w:rFonts w:ascii="Arial"/>
          <w:color w:val="000000"/>
          <w:sz w:val="24"/>
        </w:rPr>
        <w:t>”</w:t>
      </w:r>
      <w:r>
        <w:rPr>
          <w:rFonts w:ascii="Arial"/>
          <w:color w:val="000000"/>
          <w:sz w:val="24"/>
        </w:rPr>
        <w:t xml:space="preserve">, </w:t>
      </w:r>
      <w:r>
        <w:rPr>
          <w:rFonts w:ascii="Arial"/>
          <w:color w:val="000000"/>
          <w:sz w:val="24"/>
        </w:rPr>
        <w:t>“</w:t>
      </w:r>
      <w:r>
        <w:rPr>
          <w:rFonts w:ascii="Arial"/>
          <w:color w:val="000000"/>
          <w:sz w:val="24"/>
        </w:rPr>
        <w:t>requirement</w:t>
      </w:r>
      <w:r>
        <w:rPr>
          <w:rFonts w:ascii="Arial"/>
          <w:color w:val="000000"/>
          <w:sz w:val="24"/>
        </w:rPr>
        <w:t xml:space="preserve">” </w:t>
      </w:r>
      <w:r>
        <w:rPr>
          <w:rFonts w:ascii="Arial"/>
          <w:color w:val="000000"/>
          <w:sz w:val="24"/>
        </w:rPr>
        <w:t xml:space="preserve">and </w:t>
      </w:r>
      <w:r>
        <w:rPr>
          <w:rFonts w:ascii="Arial"/>
          <w:color w:val="000000"/>
          <w:sz w:val="24"/>
        </w:rPr>
        <w:t>“</w:t>
      </w:r>
      <w:r>
        <w:rPr>
          <w:rFonts w:ascii="Arial"/>
          <w:color w:val="000000"/>
          <w:sz w:val="24"/>
        </w:rPr>
        <w:t>a situation of difficulty</w:t>
      </w:r>
      <w:r>
        <w:rPr>
          <w:rFonts w:ascii="Arial"/>
          <w:color w:val="000000"/>
          <w:sz w:val="24"/>
        </w:rPr>
        <w:t>”</w:t>
      </w:r>
      <w:r>
        <w:rPr>
          <w:rFonts w:ascii="Arial"/>
          <w:color w:val="000000"/>
          <w:sz w:val="24"/>
        </w:rPr>
        <w:t xml:space="preserve">. </w:t>
      </w:r>
    </w:p>
    <w:p>
      <w:pPr>
        <w:pStyle w:val="CaselawNumbered10"/>
        <w:numPr>
          <w:ilvl w:val="0"/>
          <w:numId w:val="71"/>
        </w:numPr>
        <w:spacing w:before="150" w:after="0"/>
        <w:ind w:left="600" w:hanging="600"/>
      </w:pPr>
      <w:r>
        <w:rPr>
          <w:rFonts w:ascii="Arial"/>
          <w:color w:val="000000"/>
          <w:sz w:val="24"/>
        </w:rPr>
        <w:t>I</w:t>
      </w:r>
      <w:r>
        <w:rPr>
          <w:rFonts w:ascii="Arial"/>
          <w:color w:val="000000"/>
          <w:sz w:val="24"/>
        </w:rPr>
        <w:t xml:space="preserve"> </w:t>
      </w:r>
      <w:r>
        <w:rPr>
          <w:rFonts w:ascii="Arial"/>
          <w:color w:val="000000"/>
          <w:sz w:val="24"/>
        </w:rPr>
        <w:t>now</w:t>
      </w:r>
      <w:r>
        <w:rPr>
          <w:rFonts w:ascii="Arial"/>
          <w:color w:val="000000"/>
          <w:sz w:val="24"/>
        </w:rPr>
        <w:t xml:space="preserve"> </w:t>
      </w:r>
      <w:r>
        <w:rPr>
          <w:rFonts w:ascii="Arial"/>
          <w:color w:val="000000"/>
          <w:sz w:val="24"/>
        </w:rPr>
        <w:t xml:space="preserve">turn to some examples of use of the terms </w:t>
      </w:r>
      <w:r>
        <w:rPr>
          <w:rFonts w:ascii="Arial"/>
          <w:i/>
          <w:color w:val="000000"/>
          <w:sz w:val="24"/>
        </w:rPr>
        <w:t>need</w:t>
      </w:r>
      <w:r>
        <w:rPr>
          <w:rFonts w:ascii="Arial"/>
          <w:color w:val="000000"/>
          <w:sz w:val="24"/>
        </w:rPr>
        <w:t xml:space="preserve"> </w:t>
      </w:r>
      <w:r>
        <w:rPr>
          <w:rFonts w:ascii="Arial"/>
          <w:color w:val="000000"/>
          <w:sz w:val="24"/>
        </w:rPr>
        <w:t xml:space="preserve">and </w:t>
      </w:r>
      <w:r>
        <w:rPr>
          <w:rFonts w:ascii="Arial"/>
          <w:i/>
          <w:color w:val="000000"/>
          <w:sz w:val="24"/>
        </w:rPr>
        <w:t>want</w:t>
      </w:r>
      <w:r>
        <w:rPr>
          <w:rFonts w:ascii="Arial"/>
          <w:color w:val="000000"/>
          <w:sz w:val="24"/>
        </w:rPr>
        <w:t>, in practical use</w:t>
      </w:r>
      <w:r>
        <w:rPr>
          <w:rFonts w:ascii="Arial"/>
          <w:color w:val="000000"/>
          <w:sz w:val="24"/>
        </w:rPr>
        <w:t xml:space="preserve">. </w:t>
      </w:r>
      <w:r>
        <w:rPr>
          <w:rFonts w:ascii="Arial"/>
          <w:color w:val="000000"/>
          <w:sz w:val="24"/>
        </w:rPr>
        <w:t>Directly contrasting use of the terms is prominent in popular culture</w:t>
      </w:r>
      <w:r>
        <w:rPr>
          <w:rFonts w:ascii="Arial"/>
          <w:color w:val="000000"/>
          <w:sz w:val="24"/>
        </w:rPr>
        <w:t xml:space="preserve">, for </w:t>
      </w:r>
      <w:r>
        <w:rPr>
          <w:rFonts w:ascii="Arial"/>
          <w:color w:val="000000"/>
          <w:sz w:val="24"/>
        </w:rPr>
        <w:t>example</w:t>
      </w:r>
      <w:r>
        <w:rPr>
          <w:rFonts w:ascii="Arial"/>
          <w:color w:val="000000"/>
          <w:sz w:val="24"/>
        </w:rPr>
        <w:t xml:space="preserve">. </w:t>
      </w:r>
      <w:r>
        <w:rPr>
          <w:rFonts w:ascii="Arial"/>
          <w:color w:val="000000"/>
          <w:sz w:val="24"/>
        </w:rPr>
        <w:t xml:space="preserve">One example is use </w:t>
      </w:r>
      <w:r>
        <w:rPr>
          <w:rFonts w:ascii="Arial"/>
          <w:color w:val="000000"/>
          <w:sz w:val="24"/>
        </w:rPr>
        <w:t xml:space="preserve">of the terms </w:t>
      </w:r>
      <w:r>
        <w:rPr>
          <w:rFonts w:ascii="Arial"/>
          <w:i/>
          <w:color w:val="000000"/>
          <w:sz w:val="24"/>
        </w:rPr>
        <w:t>need</w:t>
      </w:r>
      <w:r>
        <w:rPr>
          <w:rFonts w:ascii="Arial"/>
          <w:color w:val="000000"/>
          <w:sz w:val="24"/>
        </w:rPr>
        <w:t xml:space="preserve"> </w:t>
      </w:r>
      <w:r>
        <w:rPr>
          <w:rFonts w:ascii="Arial"/>
          <w:color w:val="000000"/>
          <w:sz w:val="24"/>
        </w:rPr>
        <w:t xml:space="preserve">and </w:t>
      </w:r>
      <w:r>
        <w:rPr>
          <w:rFonts w:ascii="Arial"/>
          <w:i/>
          <w:color w:val="000000"/>
          <w:sz w:val="24"/>
        </w:rPr>
        <w:t>want</w:t>
      </w:r>
      <w:r>
        <w:rPr>
          <w:rFonts w:ascii="Arial"/>
          <w:color w:val="000000"/>
          <w:sz w:val="24"/>
        </w:rPr>
        <w:t>,</w:t>
      </w:r>
      <w:r>
        <w:rPr>
          <w:rFonts w:ascii="Arial"/>
          <w:color w:val="000000"/>
          <w:sz w:val="24"/>
        </w:rPr>
        <w:t xml:space="preserve"> </w:t>
      </w:r>
      <w:r>
        <w:rPr>
          <w:rFonts w:ascii="Arial"/>
          <w:color w:val="000000"/>
          <w:sz w:val="24"/>
        </w:rPr>
        <w:t xml:space="preserve">in </w:t>
      </w:r>
      <w:r>
        <w:rPr>
          <w:rFonts w:ascii="Arial"/>
          <w:color w:val="000000"/>
          <w:sz w:val="24"/>
        </w:rPr>
        <w:t xml:space="preserve">popular </w:t>
      </w:r>
      <w:r>
        <w:rPr>
          <w:rFonts w:ascii="Arial"/>
          <w:color w:val="000000"/>
          <w:sz w:val="24"/>
        </w:rPr>
        <w:t>music standards such as the Rolling Stone</w:t>
      </w:r>
      <w:r>
        <w:rPr>
          <w:rFonts w:ascii="Arial"/>
          <w:color w:val="000000"/>
          <w:sz w:val="24"/>
        </w:rPr>
        <w:t>s</w:t>
      </w:r>
      <w:r>
        <w:rPr>
          <w:rFonts w:ascii="Arial"/>
          <w:color w:val="000000"/>
          <w:sz w:val="24"/>
        </w:rPr>
        <w:t>’</w:t>
      </w:r>
      <w:r>
        <w:rPr>
          <w:rFonts w:ascii="Arial"/>
          <w:color w:val="000000"/>
          <w:sz w:val="24"/>
        </w:rPr>
        <w:t xml:space="preserve"> </w:t>
      </w:r>
      <w:r>
        <w:rPr>
          <w:rFonts w:ascii="Arial"/>
          <w:color w:val="000000"/>
          <w:sz w:val="24"/>
        </w:rPr>
        <w:t>“</w:t>
      </w:r>
      <w:r>
        <w:rPr>
          <w:rFonts w:ascii="Arial"/>
          <w:color w:val="000000"/>
          <w:sz w:val="24"/>
        </w:rPr>
        <w:t>You Can't Always Get What You Want</w:t>
      </w:r>
      <w:r>
        <w:rPr>
          <w:rFonts w:ascii="Arial"/>
          <w:color w:val="000000"/>
          <w:sz w:val="24"/>
        </w:rPr>
        <w:t>”</w:t>
      </w:r>
      <w:r>
        <w:rPr>
          <w:rFonts w:ascii="Arial"/>
          <w:color w:val="000000"/>
          <w:sz w:val="24"/>
        </w:rPr>
        <w:t>:</w:t>
      </w:r>
    </w:p>
    <w:p>
      <w:pPr>
        <w:pStyle w:val="CaselawCoversheet"/>
        <w:spacing w:before="150" w:after="150"/>
        <w:ind w:left="1350"/>
        <w:jc w:val="left"/>
      </w:pPr>
      <w:r>
        <w:rPr>
          <w:rFonts w:ascii="Arial"/>
          <w:color w:val="000000"/>
          <w:sz w:val="24"/>
        </w:rPr>
        <w:t>“</w:t>
      </w:r>
      <w:r>
        <w:rPr>
          <w:rFonts w:ascii="Arial"/>
          <w:color w:val="000000"/>
          <w:sz w:val="24"/>
        </w:rPr>
        <w:t xml:space="preserve">You can't always get what you </w:t>
      </w:r>
      <w:r>
        <w:rPr>
          <w:rFonts w:ascii="Arial"/>
          <w:color w:val="000000"/>
          <w:sz w:val="24"/>
        </w:rPr>
        <w:t>want</w:t>
      </w:r>
    </w:p>
    <w:p>
      <w:pPr>
        <w:pStyle w:val="CaselawCoversheet"/>
        <w:spacing w:before="150" w:after="150"/>
        <w:ind w:left="1350"/>
        <w:jc w:val="left"/>
      </w:pPr>
      <w:r>
        <w:rPr>
          <w:rFonts w:ascii="Arial"/>
          <w:color w:val="000000"/>
          <w:sz w:val="24"/>
        </w:rPr>
        <w:t xml:space="preserve">But if you try sometimes, well, you might </w:t>
      </w:r>
      <w:r>
        <w:rPr>
          <w:rFonts w:ascii="Arial"/>
          <w:color w:val="000000"/>
          <w:sz w:val="24"/>
        </w:rPr>
        <w:t>find</w:t>
      </w:r>
    </w:p>
    <w:p>
      <w:pPr>
        <w:pStyle w:val="CaselawCoversheet"/>
        <w:spacing w:before="150" w:after="150"/>
        <w:ind w:left="1350"/>
        <w:jc w:val="left"/>
      </w:pPr>
      <w:r>
        <w:rPr>
          <w:rFonts w:ascii="Arial"/>
          <w:color w:val="000000"/>
          <w:sz w:val="24"/>
        </w:rPr>
        <w:t xml:space="preserve">You get what you need </w:t>
      </w:r>
      <w:r>
        <w:rPr>
          <w:rFonts w:ascii="Arial"/>
          <w:color w:val="000000"/>
          <w:sz w:val="24"/>
        </w:rPr>
        <w:t>…”</w:t>
      </w:r>
    </w:p>
    <w:p>
      <w:pPr>
        <w:pStyle w:val="CaselawNumbered10"/>
        <w:numPr>
          <w:ilvl w:val="0"/>
          <w:numId w:val="72"/>
        </w:numPr>
        <w:spacing w:before="150" w:after="0"/>
        <w:ind w:left="600" w:hanging="600"/>
      </w:pPr>
      <w:r>
        <w:rPr>
          <w:rFonts w:ascii="Arial"/>
          <w:color w:val="000000"/>
          <w:sz w:val="24"/>
        </w:rPr>
        <w:t xml:space="preserve">Another popular music standard which </w:t>
      </w:r>
      <w:r>
        <w:rPr>
          <w:rFonts w:ascii="Arial"/>
          <w:color w:val="000000"/>
          <w:sz w:val="24"/>
        </w:rPr>
        <w:t>uses both</w:t>
      </w:r>
      <w:r>
        <w:rPr>
          <w:rFonts w:ascii="Arial"/>
          <w:color w:val="000000"/>
          <w:sz w:val="24"/>
        </w:rPr>
        <w:t xml:space="preserve"> </w:t>
      </w:r>
      <w:r>
        <w:rPr>
          <w:rFonts w:ascii="Arial"/>
          <w:color w:val="000000"/>
          <w:sz w:val="24"/>
        </w:rPr>
        <w:t xml:space="preserve">terms </w:t>
      </w:r>
      <w:r>
        <w:rPr>
          <w:rFonts w:ascii="Arial"/>
          <w:color w:val="000000"/>
          <w:sz w:val="24"/>
        </w:rPr>
        <w:t xml:space="preserve">together </w:t>
      </w:r>
      <w:r>
        <w:rPr>
          <w:rFonts w:ascii="Arial"/>
          <w:color w:val="000000"/>
          <w:sz w:val="24"/>
        </w:rPr>
        <w:t>is the Cold</w:t>
      </w:r>
      <w:r>
        <w:rPr>
          <w:rFonts w:ascii="Arial"/>
          <w:color w:val="000000"/>
          <w:sz w:val="24"/>
        </w:rPr>
        <w:t>p</w:t>
      </w:r>
      <w:r>
        <w:rPr>
          <w:rFonts w:ascii="Arial"/>
          <w:color w:val="000000"/>
          <w:sz w:val="24"/>
        </w:rPr>
        <w:t xml:space="preserve">lay song </w:t>
      </w:r>
      <w:r>
        <w:rPr>
          <w:rFonts w:ascii="Arial"/>
          <w:color w:val="000000"/>
          <w:sz w:val="24"/>
        </w:rPr>
        <w:t>“</w:t>
      </w:r>
      <w:r>
        <w:rPr>
          <w:rFonts w:ascii="Arial"/>
          <w:color w:val="000000"/>
          <w:sz w:val="24"/>
        </w:rPr>
        <w:t>Fix You</w:t>
      </w:r>
      <w:r>
        <w:rPr>
          <w:rFonts w:ascii="Arial"/>
          <w:color w:val="000000"/>
          <w:sz w:val="24"/>
        </w:rPr>
        <w:t>”</w:t>
      </w:r>
      <w:r>
        <w:rPr>
          <w:rFonts w:ascii="Arial"/>
          <w:color w:val="000000"/>
          <w:sz w:val="24"/>
        </w:rPr>
        <w:t>:</w:t>
      </w:r>
    </w:p>
    <w:p>
      <w:pPr>
        <w:pStyle w:val="CaselawCoversheet"/>
        <w:spacing w:before="150" w:after="150"/>
        <w:ind w:left="1350"/>
        <w:jc w:val="left"/>
      </w:pPr>
      <w:r>
        <w:rPr>
          <w:rFonts w:ascii="Arial"/>
          <w:color w:val="000000"/>
          <w:sz w:val="24"/>
        </w:rPr>
        <w:t>“</w:t>
      </w:r>
      <w:r>
        <w:rPr>
          <w:rFonts w:ascii="Arial"/>
          <w:color w:val="000000"/>
          <w:sz w:val="24"/>
        </w:rPr>
        <w:t xml:space="preserve">When you try your best, but you don't </w:t>
      </w:r>
      <w:r>
        <w:rPr>
          <w:rFonts w:ascii="Arial"/>
          <w:color w:val="000000"/>
          <w:sz w:val="24"/>
        </w:rPr>
        <w:t>succeed</w:t>
      </w:r>
    </w:p>
    <w:p>
      <w:pPr>
        <w:pStyle w:val="CaselawCoversheet"/>
        <w:spacing w:before="150" w:after="150"/>
        <w:ind w:left="1350"/>
        <w:jc w:val="left"/>
      </w:pPr>
      <w:r>
        <w:rPr>
          <w:rFonts w:ascii="Arial"/>
          <w:color w:val="000000"/>
          <w:sz w:val="24"/>
        </w:rPr>
        <w:t>When you get what you want, but not what you need</w:t>
      </w:r>
      <w:r>
        <w:rPr>
          <w:rFonts w:ascii="Arial"/>
          <w:color w:val="000000"/>
          <w:sz w:val="24"/>
        </w:rPr>
        <w:t xml:space="preserve"> …</w:t>
      </w:r>
    </w:p>
    <w:p>
      <w:pPr>
        <w:pStyle w:val="CaselawCoversheet"/>
        <w:spacing w:before="150" w:after="150"/>
        <w:ind w:left="1350"/>
        <w:jc w:val="left"/>
      </w:pPr>
      <w:r>
        <w:rPr>
          <w:rFonts w:ascii="Arial"/>
          <w:color w:val="000000"/>
          <w:sz w:val="24"/>
        </w:rPr>
        <w:t>…</w:t>
      </w:r>
    </w:p>
    <w:p>
      <w:pPr>
        <w:pStyle w:val="CaselawCoversheet"/>
        <w:spacing w:before="150" w:after="150"/>
        <w:ind w:left="1350"/>
        <w:jc w:val="left"/>
      </w:pPr>
      <w:r>
        <w:rPr>
          <w:rFonts w:ascii="Arial"/>
          <w:color w:val="000000"/>
          <w:sz w:val="24"/>
        </w:rPr>
        <w:t>Stuck in reverse”</w:t>
      </w:r>
    </w:p>
    <w:p>
      <w:pPr>
        <w:pStyle w:val="CaselawNumbered10"/>
        <w:numPr>
          <w:ilvl w:val="0"/>
          <w:numId w:val="73"/>
        </w:numPr>
        <w:spacing w:before="150" w:after="0"/>
        <w:ind w:left="600" w:hanging="600"/>
      </w:pPr>
      <w:r>
        <w:rPr>
          <w:rFonts w:ascii="Arial"/>
          <w:color w:val="000000"/>
          <w:sz w:val="24"/>
        </w:rPr>
        <w:t xml:space="preserve">If I focus on the text alone, these dictionary definitions and popular </w:t>
      </w:r>
      <w:r>
        <w:rPr>
          <w:rFonts w:ascii="Arial"/>
          <w:color w:val="000000"/>
          <w:sz w:val="24"/>
        </w:rPr>
        <w:t xml:space="preserve">common </w:t>
      </w:r>
      <w:r>
        <w:rPr>
          <w:rFonts w:ascii="Arial"/>
          <w:color w:val="000000"/>
          <w:sz w:val="24"/>
        </w:rPr>
        <w:t>usage</w:t>
      </w:r>
      <w:r>
        <w:rPr>
          <w:rFonts w:ascii="Arial"/>
          <w:color w:val="000000"/>
          <w:sz w:val="24"/>
        </w:rPr>
        <w:t xml:space="preserve"> </w:t>
      </w:r>
      <w:r>
        <w:rPr>
          <w:rFonts w:ascii="Arial"/>
          <w:color w:val="000000"/>
          <w:sz w:val="24"/>
        </w:rPr>
        <w:t>interpretation</w:t>
      </w:r>
      <w:r>
        <w:rPr>
          <w:rFonts w:ascii="Arial"/>
          <w:color w:val="000000"/>
          <w:sz w:val="24"/>
        </w:rPr>
        <w:t>s</w:t>
      </w:r>
      <w:r>
        <w:rPr>
          <w:rFonts w:ascii="Arial"/>
          <w:color w:val="000000"/>
          <w:sz w:val="24"/>
        </w:rPr>
        <w:t xml:space="preserve"> </w:t>
      </w:r>
      <w:r>
        <w:rPr>
          <w:rFonts w:ascii="Arial"/>
          <w:color w:val="000000"/>
          <w:sz w:val="24"/>
        </w:rPr>
        <w:t xml:space="preserve">differentiate rather than correlate the two terms </w:t>
      </w:r>
      <w:r>
        <w:rPr>
          <w:rFonts w:ascii="Arial"/>
          <w:i/>
          <w:color w:val="000000"/>
          <w:sz w:val="24"/>
        </w:rPr>
        <w:t>need</w:t>
      </w:r>
      <w:r>
        <w:rPr>
          <w:rFonts w:ascii="Arial"/>
          <w:color w:val="000000"/>
          <w:sz w:val="24"/>
        </w:rPr>
        <w:t xml:space="preserve"> </w:t>
      </w:r>
      <w:r>
        <w:rPr>
          <w:rFonts w:ascii="Arial"/>
          <w:color w:val="000000"/>
          <w:sz w:val="24"/>
        </w:rPr>
        <w:t xml:space="preserve">and </w:t>
      </w:r>
      <w:r>
        <w:rPr>
          <w:rFonts w:ascii="Arial"/>
          <w:i/>
          <w:color w:val="000000"/>
          <w:sz w:val="24"/>
        </w:rPr>
        <w:t>want</w:t>
      </w:r>
      <w:r>
        <w:rPr>
          <w:rFonts w:ascii="Arial"/>
          <w:color w:val="000000"/>
          <w:sz w:val="24"/>
        </w:rPr>
        <w:t xml:space="preserve">. They suggest to me that </w:t>
      </w:r>
      <w:r>
        <w:rPr>
          <w:rFonts w:ascii="Arial"/>
          <w:color w:val="000000"/>
          <w:sz w:val="24"/>
        </w:rPr>
        <w:t xml:space="preserve">the first of the </w:t>
      </w:r>
      <w:r>
        <w:rPr>
          <w:rFonts w:ascii="Arial"/>
          <w:color w:val="000000"/>
          <w:sz w:val="24"/>
        </w:rPr>
        <w:t xml:space="preserve">two </w:t>
      </w:r>
      <w:r>
        <w:rPr>
          <w:rFonts w:ascii="Arial"/>
          <w:color w:val="000000"/>
          <w:sz w:val="24"/>
        </w:rPr>
        <w:t xml:space="preserve">interpretations </w:t>
      </w:r>
      <w:r>
        <w:rPr>
          <w:rFonts w:ascii="Arial"/>
          <w:color w:val="000000"/>
          <w:sz w:val="24"/>
        </w:rPr>
        <w:t>“</w:t>
      </w:r>
      <w:r>
        <w:rPr>
          <w:rFonts w:ascii="Arial"/>
          <w:color w:val="000000"/>
          <w:sz w:val="24"/>
        </w:rPr>
        <w:t>housing need</w:t>
      </w:r>
      <w:r>
        <w:rPr>
          <w:rFonts w:ascii="Arial"/>
          <w:color w:val="000000"/>
          <w:sz w:val="24"/>
        </w:rPr>
        <w:t>”</w:t>
      </w:r>
      <w:r>
        <w:rPr>
          <w:rFonts w:ascii="Arial"/>
          <w:color w:val="000000"/>
          <w:sz w:val="24"/>
        </w:rPr>
        <w:t xml:space="preserve"> </w:t>
      </w:r>
      <w:r>
        <w:rPr>
          <w:rFonts w:ascii="Arial"/>
          <w:color w:val="000000"/>
          <w:sz w:val="24"/>
        </w:rPr>
        <w:t>I reference at [</w:t>
      </w:r>
      <w:hyperlink r:id="rId28">
        <w:r>
          <w:rPr>
            <w:rFonts w:ascii="Arial"/>
            <w:color w:val="000000"/>
            <w:sz w:val="24"/>
            <w:u w:val="single"/>
          </w:rPr>
          <w:t/>
        </w:r>
        <w:r>
          <w:rPr>
            <w:rFonts w:ascii="Arial"/>
            <w:color w:val="000000"/>
            <w:sz w:val="24"/>
          </w:rPr>
          <w:t>61</w:t>
        </w:r>
      </w:hyperlink>
      <w:hyperlink r:id="rId29">
        <w:r>
          <w:rPr>
            <w:rFonts w:ascii="Arial"/>
            <w:color w:val="000000"/>
            <w:sz w:val="24"/>
          </w:rPr>
          <w:t/>
        </w:r>
      </w:hyperlink>
      <w:r>
        <w:rPr>
          <w:rFonts w:ascii="Arial"/>
          <w:color w:val="000000"/>
          <w:sz w:val="24"/>
        </w:rPr>
        <w:t>]</w:t>
      </w:r>
      <w:r>
        <w:rPr>
          <w:rFonts w:ascii="Arial"/>
          <w:color w:val="000000"/>
          <w:sz w:val="24"/>
        </w:rPr>
        <w:t xml:space="preserve"> </w:t>
      </w:r>
      <w:r>
        <w:rPr>
          <w:rFonts w:ascii="Arial"/>
          <w:color w:val="000000"/>
          <w:sz w:val="24"/>
        </w:rPr>
        <w:t>is the correct one</w:t>
      </w:r>
      <w:r>
        <w:rPr>
          <w:rFonts w:ascii="Arial"/>
          <w:color w:val="000000"/>
          <w:sz w:val="24"/>
        </w:rPr>
        <w:t>.</w:t>
      </w:r>
      <w:r>
        <w:rPr>
          <w:rFonts w:ascii="Arial"/>
          <w:color w:val="000000"/>
          <w:sz w:val="24"/>
        </w:rPr>
        <w:t xml:space="preserve"> </w:t>
      </w:r>
    </w:p>
    <w:p>
      <w:pPr>
        <w:pStyle w:val="CaselawNumbered10"/>
        <w:numPr>
          <w:ilvl w:val="0"/>
          <w:numId w:val="73"/>
        </w:numPr>
        <w:spacing w:before="150" w:after="0"/>
        <w:ind w:left="600" w:hanging="600"/>
      </w:pPr>
      <w:r>
        <w:rPr>
          <w:rFonts w:ascii="Arial"/>
          <w:color w:val="000000"/>
          <w:sz w:val="24"/>
        </w:rPr>
        <w:t xml:space="preserve">I acknowledge </w:t>
      </w:r>
      <w:r>
        <w:rPr>
          <w:rFonts w:ascii="Arial"/>
          <w:color w:val="000000"/>
          <w:sz w:val="24"/>
        </w:rPr>
        <w:t xml:space="preserve">some suggestion of a correlation between the terms </w:t>
      </w:r>
      <w:r>
        <w:rPr>
          <w:rFonts w:ascii="Arial"/>
          <w:i/>
          <w:color w:val="000000"/>
          <w:sz w:val="24"/>
        </w:rPr>
        <w:t>need</w:t>
      </w:r>
      <w:r>
        <w:rPr>
          <w:rFonts w:ascii="Arial"/>
          <w:color w:val="000000"/>
          <w:sz w:val="24"/>
        </w:rPr>
        <w:t xml:space="preserve"> </w:t>
      </w:r>
      <w:r>
        <w:rPr>
          <w:rFonts w:ascii="Arial"/>
          <w:color w:val="000000"/>
          <w:sz w:val="24"/>
        </w:rPr>
        <w:t xml:space="preserve">and </w:t>
      </w:r>
      <w:r>
        <w:rPr>
          <w:rFonts w:ascii="Arial"/>
          <w:i/>
          <w:color w:val="000000"/>
          <w:sz w:val="24"/>
        </w:rPr>
        <w:t>want</w:t>
      </w:r>
      <w:r>
        <w:rPr>
          <w:rFonts w:ascii="Arial"/>
          <w:color w:val="000000"/>
          <w:sz w:val="24"/>
        </w:rPr>
        <w:t xml:space="preserve"> </w:t>
      </w:r>
      <w:r>
        <w:rPr>
          <w:rFonts w:ascii="Arial"/>
          <w:color w:val="000000"/>
          <w:sz w:val="24"/>
        </w:rPr>
        <w:t xml:space="preserve">in the two Macquarie Dictionary definitions. I think </w:t>
      </w:r>
      <w:r>
        <w:rPr>
          <w:rFonts w:ascii="Arial"/>
          <w:color w:val="000000"/>
          <w:sz w:val="24"/>
        </w:rPr>
        <w:t>this correlation</w:t>
      </w:r>
      <w:r>
        <w:rPr>
          <w:rFonts w:ascii="Arial"/>
          <w:color w:val="000000"/>
          <w:sz w:val="24"/>
        </w:rPr>
        <w:t xml:space="preserve"> </w:t>
      </w:r>
      <w:r>
        <w:rPr>
          <w:rFonts w:ascii="Arial"/>
          <w:color w:val="000000"/>
          <w:sz w:val="24"/>
        </w:rPr>
        <w:t xml:space="preserve">is better understood only in the sense of a particular meaning of the term </w:t>
      </w:r>
      <w:r>
        <w:rPr>
          <w:rFonts w:ascii="Arial"/>
          <w:i/>
          <w:color w:val="000000"/>
          <w:sz w:val="24"/>
        </w:rPr>
        <w:t>want</w:t>
      </w:r>
      <w:r>
        <w:rPr>
          <w:rFonts w:ascii="Arial"/>
          <w:color w:val="000000"/>
          <w:sz w:val="24"/>
        </w:rPr>
        <w:t xml:space="preserve"> </w:t>
      </w:r>
      <w:r>
        <w:rPr>
          <w:rFonts w:ascii="Arial"/>
          <w:color w:val="000000"/>
          <w:sz w:val="24"/>
        </w:rPr>
        <w:t>(</w:t>
      </w:r>
      <w:r>
        <w:rPr>
          <w:rFonts w:ascii="Arial"/>
          <w:color w:val="000000"/>
          <w:sz w:val="24"/>
        </w:rPr>
        <w:t>ie</w:t>
      </w:r>
      <w:r>
        <w:rPr>
          <w:rFonts w:ascii="Arial"/>
          <w:color w:val="000000"/>
          <w:sz w:val="24"/>
        </w:rPr>
        <w:t xml:space="preserve"> </w:t>
      </w:r>
      <w:r>
        <w:rPr>
          <w:rFonts w:ascii="Arial"/>
          <w:color w:val="000000"/>
          <w:sz w:val="24"/>
        </w:rPr>
        <w:t xml:space="preserve">that meaning already </w:t>
      </w:r>
      <w:r>
        <w:rPr>
          <w:rFonts w:ascii="Arial"/>
          <w:color w:val="000000"/>
          <w:sz w:val="24"/>
        </w:rPr>
        <w:t xml:space="preserve">aligned directly with </w:t>
      </w:r>
      <w:r>
        <w:rPr>
          <w:rFonts w:ascii="Arial"/>
          <w:color w:val="000000"/>
          <w:sz w:val="24"/>
        </w:rPr>
        <w:t>my</w:t>
      </w:r>
      <w:r>
        <w:rPr>
          <w:rFonts w:ascii="Arial"/>
          <w:color w:val="000000"/>
          <w:sz w:val="24"/>
        </w:rPr>
        <w:t xml:space="preserve"> </w:t>
      </w:r>
      <w:r>
        <w:rPr>
          <w:rFonts w:ascii="Arial"/>
          <w:color w:val="000000"/>
          <w:sz w:val="24"/>
        </w:rPr>
        <w:t xml:space="preserve">interpretation of </w:t>
      </w:r>
      <w:r>
        <w:rPr>
          <w:rFonts w:ascii="Arial"/>
          <w:color w:val="000000"/>
          <w:sz w:val="24"/>
        </w:rPr>
        <w:t xml:space="preserve">the term </w:t>
      </w:r>
      <w:r>
        <w:rPr>
          <w:rFonts w:ascii="Arial"/>
          <w:i/>
          <w:color w:val="000000"/>
          <w:sz w:val="24"/>
        </w:rPr>
        <w:t>need</w:t>
      </w:r>
      <w:r>
        <w:rPr>
          <w:rFonts w:ascii="Arial"/>
          <w:color w:val="000000"/>
          <w:sz w:val="24"/>
        </w:rPr>
        <w:t xml:space="preserve">). However, </w:t>
      </w:r>
      <w:r>
        <w:rPr>
          <w:rFonts w:ascii="Arial"/>
          <w:color w:val="000000"/>
          <w:sz w:val="24"/>
        </w:rPr>
        <w:t xml:space="preserve">if a fulsome </w:t>
      </w:r>
      <w:r>
        <w:rPr>
          <w:rFonts w:ascii="Arial"/>
          <w:color w:val="000000"/>
          <w:sz w:val="24"/>
        </w:rPr>
        <w:t>interrogation</w:t>
      </w:r>
      <w:r>
        <w:rPr>
          <w:rFonts w:ascii="Arial"/>
          <w:color w:val="000000"/>
          <w:sz w:val="24"/>
        </w:rPr>
        <w:t xml:space="preserve"> </w:t>
      </w:r>
      <w:r>
        <w:rPr>
          <w:rFonts w:ascii="Arial"/>
          <w:color w:val="000000"/>
          <w:sz w:val="24"/>
        </w:rPr>
        <w:t xml:space="preserve">of this question </w:t>
      </w:r>
      <w:r>
        <w:rPr>
          <w:rFonts w:ascii="Arial"/>
          <w:color w:val="000000"/>
          <w:sz w:val="24"/>
        </w:rPr>
        <w:t xml:space="preserve">of interpretation </w:t>
      </w:r>
      <w:r>
        <w:rPr>
          <w:rFonts w:ascii="Arial"/>
          <w:color w:val="000000"/>
          <w:sz w:val="24"/>
        </w:rPr>
        <w:t xml:space="preserve">is to be undertaken, under the principles of statutory construction referred to above, </w:t>
      </w:r>
      <w:r>
        <w:rPr>
          <w:rFonts w:ascii="Arial"/>
          <w:color w:val="000000"/>
          <w:sz w:val="24"/>
        </w:rPr>
        <w:t>it is appropriate</w:t>
      </w:r>
      <w:r>
        <w:rPr>
          <w:rFonts w:ascii="Arial"/>
          <w:color w:val="000000"/>
          <w:sz w:val="24"/>
        </w:rPr>
        <w:t xml:space="preserve"> </w:t>
      </w:r>
      <w:r>
        <w:rPr>
          <w:rFonts w:ascii="Arial"/>
          <w:color w:val="000000"/>
          <w:sz w:val="24"/>
        </w:rPr>
        <w:t>to</w:t>
      </w:r>
      <w:r>
        <w:rPr>
          <w:rFonts w:ascii="Arial"/>
          <w:color w:val="000000"/>
          <w:sz w:val="24"/>
        </w:rPr>
        <w:t xml:space="preserve"> </w:t>
      </w:r>
      <w:r>
        <w:rPr>
          <w:rFonts w:ascii="Arial"/>
          <w:color w:val="000000"/>
          <w:sz w:val="24"/>
        </w:rPr>
        <w:t xml:space="preserve">turn to the question of </w:t>
      </w:r>
      <w:r>
        <w:rPr>
          <w:rFonts w:ascii="Arial"/>
          <w:color w:val="000000"/>
          <w:sz w:val="24"/>
        </w:rPr>
        <w:t>“</w:t>
      </w:r>
      <w:r>
        <w:rPr>
          <w:rFonts w:ascii="Arial"/>
          <w:color w:val="000000"/>
          <w:sz w:val="24"/>
        </w:rPr>
        <w:t>context</w:t>
      </w:r>
      <w:r>
        <w:rPr>
          <w:rFonts w:ascii="Arial"/>
          <w:color w:val="000000"/>
          <w:sz w:val="24"/>
        </w:rPr>
        <w:t>”</w:t>
      </w:r>
      <w:r>
        <w:rPr>
          <w:rFonts w:ascii="Arial"/>
          <w:color w:val="000000"/>
          <w:sz w:val="24"/>
        </w:rPr>
        <w:t xml:space="preserve">. </w:t>
      </w:r>
      <w:r>
        <w:rPr>
          <w:rFonts w:ascii="Arial"/>
          <w:color w:val="000000"/>
          <w:sz w:val="24"/>
        </w:rPr>
        <w:t>Contextual considerations</w:t>
      </w:r>
    </w:p>
    <w:p>
      <w:pPr>
        <w:pStyle w:val="CaselawHeading5"/>
        <w:keepNext/>
        <w:spacing w:before="150" w:after="150" w:line="264"/>
        <w:ind w:left="600"/>
        <w:jc w:val="left"/>
      </w:pPr>
      <w:r>
        <w:rPr>
          <w:rFonts w:ascii="Arial"/>
        </w:rPr>
        <w:t>Zone objectives in context</w:t>
      </w:r>
    </w:p>
    <w:p>
      <w:pPr>
        <w:pStyle w:val="CaselawNumbered10"/>
        <w:numPr>
          <w:ilvl w:val="0"/>
          <w:numId w:val="74"/>
        </w:numPr>
        <w:spacing w:before="150" w:after="0"/>
        <w:ind w:left="600" w:hanging="600"/>
      </w:pPr>
      <w:r>
        <w:rPr>
          <w:rFonts w:ascii="Arial"/>
          <w:color w:val="000000"/>
          <w:sz w:val="24"/>
        </w:rPr>
        <w:t xml:space="preserve">To read the zone objectives in context, as </w:t>
      </w:r>
      <w:r>
        <w:rPr>
          <w:rFonts w:ascii="Arial"/>
          <w:color w:val="000000"/>
          <w:sz w:val="24"/>
        </w:rPr>
        <w:t>relevant</w:t>
      </w:r>
      <w:r>
        <w:rPr>
          <w:rFonts w:ascii="Arial"/>
          <w:color w:val="000000"/>
          <w:sz w:val="24"/>
        </w:rPr>
        <w:t xml:space="preserve"> </w:t>
      </w:r>
      <w:r>
        <w:rPr>
          <w:rFonts w:ascii="Arial"/>
          <w:color w:val="000000"/>
          <w:sz w:val="24"/>
        </w:rPr>
        <w:t xml:space="preserve">to the question before me, only </w:t>
      </w:r>
      <w:r>
        <w:rPr>
          <w:rFonts w:ascii="Arial"/>
          <w:color w:val="000000"/>
          <w:sz w:val="24"/>
        </w:rPr>
        <w:t xml:space="preserve">need </w:t>
      </w:r>
      <w:r>
        <w:rPr>
          <w:rFonts w:ascii="Arial"/>
          <w:color w:val="000000"/>
          <w:sz w:val="24"/>
        </w:rPr>
        <w:t>involve consideration of the first two zone objectives:</w:t>
      </w:r>
    </w:p>
    <w:p>
      <w:pPr>
        <w:pStyle w:val="CaselawBullet"/>
        <w:numPr>
          <w:ilvl w:val="0"/>
          <w:numId w:val="75"/>
        </w:numPr>
        <w:spacing w:before="150" w:after="0"/>
        <w:ind w:left="600" w:hanging="250"/>
      </w:pPr>
      <w:r>
        <w:rPr>
          <w:rFonts w:ascii="Arial"/>
          <w:color w:val="000000"/>
          <w:sz w:val="24"/>
        </w:rPr>
        <w:t>To provide for the housing needs of the community.</w:t>
      </w:r>
    </w:p>
    <w:p>
      <w:pPr>
        <w:pStyle w:val="CaselawBullet"/>
        <w:numPr>
          <w:ilvl w:val="0"/>
          <w:numId w:val="75"/>
        </w:numPr>
        <w:spacing w:before="150" w:after="0"/>
        <w:ind w:left="600" w:hanging="250"/>
      </w:pPr>
      <w:r>
        <w:rPr>
          <w:rFonts w:ascii="Arial"/>
          <w:color w:val="000000"/>
          <w:sz w:val="24"/>
        </w:rPr>
        <w:t xml:space="preserve">To provide for a variety of housing types and densities. </w:t>
      </w:r>
      <w:r>
        <w:rPr>
          <w:rFonts w:ascii="Arial"/>
          <w:color w:val="000000"/>
          <w:sz w:val="24"/>
        </w:rPr>
        <w:t>unfiltered</w:t>
      </w:r>
    </w:p>
    <w:p>
      <w:pPr>
        <w:pStyle w:val="CaselawNumbered10"/>
        <w:numPr>
          <w:ilvl w:val="0"/>
          <w:numId w:val="76"/>
        </w:numPr>
        <w:spacing w:before="150" w:after="0"/>
        <w:ind w:left="600" w:hanging="600"/>
      </w:pPr>
      <w:r>
        <w:rPr>
          <w:rFonts w:ascii="Arial"/>
          <w:color w:val="000000"/>
          <w:sz w:val="24"/>
        </w:rPr>
        <w:t xml:space="preserve">When I consider these zone objectives, I am inclined to the view that there is a kind of </w:t>
      </w:r>
      <w:r>
        <w:rPr>
          <w:rFonts w:ascii="Arial"/>
          <w:color w:val="000000"/>
          <w:sz w:val="24"/>
        </w:rPr>
        <w:t>pairing</w:t>
      </w:r>
      <w:r>
        <w:rPr>
          <w:rFonts w:ascii="Arial"/>
          <w:color w:val="000000"/>
          <w:sz w:val="24"/>
        </w:rPr>
        <w:t xml:space="preserve"> </w:t>
      </w:r>
      <w:r>
        <w:rPr>
          <w:rFonts w:ascii="Arial"/>
          <w:color w:val="000000"/>
          <w:sz w:val="24"/>
        </w:rPr>
        <w:t xml:space="preserve">evident. The first zone objective is concerned with </w:t>
      </w:r>
      <w:r>
        <w:rPr>
          <w:rFonts w:ascii="Arial"/>
          <w:color w:val="000000"/>
          <w:sz w:val="24"/>
        </w:rPr>
        <w:t>“</w:t>
      </w:r>
      <w:r>
        <w:rPr>
          <w:rFonts w:ascii="Arial"/>
          <w:color w:val="000000"/>
          <w:sz w:val="24"/>
        </w:rPr>
        <w:t>housing needs of the community</w:t>
      </w:r>
      <w:r>
        <w:rPr>
          <w:rFonts w:ascii="Arial"/>
          <w:color w:val="000000"/>
          <w:sz w:val="24"/>
        </w:rPr>
        <w:t xml:space="preserve">” </w:t>
      </w:r>
      <w:r>
        <w:rPr>
          <w:rFonts w:ascii="Arial"/>
          <w:color w:val="000000"/>
          <w:sz w:val="24"/>
        </w:rPr>
        <w:t xml:space="preserve">– </w:t>
      </w:r>
      <w:r>
        <w:rPr>
          <w:rFonts w:ascii="Arial"/>
          <w:color w:val="000000"/>
          <w:sz w:val="24"/>
        </w:rPr>
        <w:t xml:space="preserve">the sense is </w:t>
      </w:r>
      <w:r>
        <w:rPr>
          <w:rFonts w:ascii="Arial"/>
          <w:color w:val="000000"/>
          <w:sz w:val="24"/>
        </w:rPr>
        <w:t xml:space="preserve">direct and unfiltered, </w:t>
      </w:r>
      <w:r>
        <w:rPr>
          <w:rFonts w:ascii="Arial"/>
          <w:color w:val="000000"/>
          <w:sz w:val="24"/>
        </w:rPr>
        <w:t>of a</w:t>
      </w:r>
      <w:r>
        <w:rPr>
          <w:rFonts w:ascii="Arial"/>
          <w:color w:val="000000"/>
          <w:sz w:val="24"/>
        </w:rPr>
        <w:t xml:space="preserve"> </w:t>
      </w:r>
      <w:r>
        <w:rPr>
          <w:rFonts w:ascii="Arial"/>
          <w:color w:val="000000"/>
          <w:sz w:val="24"/>
        </w:rPr>
        <w:t>higher order</w:t>
      </w:r>
      <w:r>
        <w:rPr>
          <w:rFonts w:ascii="Arial"/>
          <w:color w:val="000000"/>
          <w:sz w:val="24"/>
        </w:rPr>
        <w:t xml:space="preserve"> </w:t>
      </w:r>
      <w:r>
        <w:rPr>
          <w:rFonts w:ascii="Arial"/>
          <w:color w:val="000000"/>
          <w:sz w:val="24"/>
        </w:rPr>
        <w:t>ambition</w:t>
      </w:r>
      <w:r>
        <w:rPr>
          <w:rFonts w:ascii="Arial"/>
          <w:color w:val="000000"/>
          <w:sz w:val="24"/>
        </w:rPr>
        <w:t>. The second zone objective is then concerned with how this housing might be provided</w:t>
      </w:r>
      <w:r>
        <w:rPr>
          <w:rFonts w:ascii="Arial"/>
          <w:color w:val="000000"/>
          <w:sz w:val="24"/>
        </w:rPr>
        <w:t>,</w:t>
      </w:r>
      <w:r>
        <w:rPr>
          <w:rFonts w:ascii="Arial"/>
          <w:color w:val="000000"/>
          <w:sz w:val="24"/>
        </w:rPr>
        <w:t xml:space="preserve"> </w:t>
      </w:r>
      <w:r>
        <w:rPr>
          <w:rFonts w:ascii="Arial"/>
          <w:color w:val="000000"/>
          <w:sz w:val="24"/>
        </w:rPr>
        <w:t>or the detail of its provision (</w:t>
      </w:r>
      <w:r>
        <w:rPr>
          <w:rFonts w:ascii="Arial"/>
          <w:color w:val="000000"/>
          <w:sz w:val="24"/>
        </w:rPr>
        <w:t>ie</w:t>
      </w:r>
      <w:r>
        <w:rPr>
          <w:rFonts w:ascii="Arial"/>
          <w:color w:val="000000"/>
          <w:sz w:val="24"/>
        </w:rPr>
        <w:t xml:space="preserve"> </w:t>
      </w:r>
      <w:r>
        <w:rPr>
          <w:rFonts w:ascii="Arial"/>
          <w:color w:val="000000"/>
          <w:sz w:val="24"/>
        </w:rPr>
        <w:t>provide for a variety in housing types and densities). When I look at the current version of the Standard Instrument (Local Environmental Plans) Order 2006 (SI Order)</w:t>
      </w:r>
      <w:r>
        <w:rPr>
          <w:rFonts w:ascii="Arial"/>
          <w:color w:val="000000"/>
          <w:sz w:val="24"/>
        </w:rPr>
        <w:t xml:space="preserve">, </w:t>
      </w:r>
      <w:r>
        <w:rPr>
          <w:rFonts w:ascii="Arial"/>
          <w:color w:val="000000"/>
          <w:sz w:val="24"/>
        </w:rPr>
        <w:t>relevantly for the R1 zone</w:t>
      </w:r>
      <w:r>
        <w:rPr>
          <w:rFonts w:ascii="Arial"/>
          <w:color w:val="000000"/>
          <w:sz w:val="24"/>
        </w:rPr>
        <w:t xml:space="preserve">, these two objectives are listed in order (along with a third objective which is not relevant here). </w:t>
      </w:r>
      <w:r>
        <w:rPr>
          <w:rFonts w:ascii="Arial"/>
          <w:color w:val="000000"/>
          <w:sz w:val="24"/>
        </w:rPr>
        <w:t>“</w:t>
      </w:r>
      <w:r>
        <w:rPr>
          <w:rFonts w:ascii="Arial"/>
          <w:color w:val="000000"/>
          <w:sz w:val="24"/>
        </w:rPr>
        <w:t>Direction 1</w:t>
      </w:r>
      <w:r>
        <w:rPr>
          <w:rFonts w:ascii="Arial"/>
          <w:color w:val="000000"/>
          <w:sz w:val="24"/>
        </w:rPr>
        <w:t xml:space="preserve">” </w:t>
      </w:r>
      <w:r>
        <w:rPr>
          <w:rFonts w:ascii="Arial"/>
          <w:color w:val="000000"/>
          <w:sz w:val="24"/>
        </w:rPr>
        <w:t xml:space="preserve">in the notes to the Land Use Table in the SI Order suggests these as </w:t>
      </w:r>
      <w:r>
        <w:rPr>
          <w:rFonts w:ascii="Arial"/>
          <w:color w:val="000000"/>
          <w:sz w:val="24"/>
        </w:rPr>
        <w:t>“</w:t>
      </w:r>
      <w:r>
        <w:rPr>
          <w:rFonts w:ascii="Arial"/>
          <w:color w:val="000000"/>
          <w:sz w:val="24"/>
        </w:rPr>
        <w:t>core objectives</w:t>
      </w:r>
      <w:r>
        <w:rPr>
          <w:rFonts w:ascii="Arial"/>
          <w:color w:val="000000"/>
          <w:sz w:val="24"/>
        </w:rPr>
        <w:t>”</w:t>
      </w:r>
      <w:r>
        <w:rPr>
          <w:rFonts w:ascii="Arial"/>
          <w:color w:val="000000"/>
          <w:sz w:val="24"/>
        </w:rPr>
        <w:t>:</w:t>
      </w:r>
    </w:p>
    <w:p>
      <w:pPr>
        <w:pStyle w:val="CaselawCoversheet"/>
        <w:spacing w:before="150" w:after="150"/>
        <w:ind w:left="1350"/>
        <w:jc w:val="left"/>
      </w:pPr>
      <w:r>
        <w:rPr>
          <w:rFonts w:ascii="Arial"/>
          <w:color w:val="000000"/>
          <w:sz w:val="24"/>
        </w:rPr>
        <w:t>“Direction 1—</w:t>
      </w:r>
    </w:p>
    <w:p>
      <w:pPr>
        <w:pStyle w:val="CaselawCoversheet"/>
        <w:spacing w:before="150" w:after="150"/>
        <w:ind w:left="1350"/>
        <w:jc w:val="left"/>
      </w:pPr>
      <w:r>
        <w:rPr>
          <w:rFonts w:ascii="Arial"/>
          <w:color w:val="000000"/>
          <w:sz w:val="24"/>
        </w:rPr>
        <w:t xml:space="preserve">Additional objectives may be included in a zone at the end of the listed objectives to reflect </w:t>
      </w:r>
      <w:r>
        <w:rPr>
          <w:rFonts w:ascii="Arial"/>
          <w:color w:val="000000"/>
          <w:sz w:val="24"/>
        </w:rPr>
        <w:t>particular local</w:t>
      </w:r>
      <w:r>
        <w:rPr>
          <w:rFonts w:ascii="Arial"/>
          <w:color w:val="000000"/>
          <w:sz w:val="24"/>
        </w:rPr>
        <w:t xml:space="preserve"> objectives of development, but only if they are consistent with the core objectives for development in the zone as set out in the Land Use Table.</w:t>
      </w:r>
      <w:r>
        <w:rPr>
          <w:rFonts w:ascii="Arial"/>
          <w:color w:val="000000"/>
          <w:sz w:val="24"/>
        </w:rPr>
        <w:t>”</w:t>
      </w:r>
    </w:p>
    <w:p>
      <w:pPr>
        <w:pStyle w:val="CaselawNumbered10"/>
        <w:numPr>
          <w:ilvl w:val="0"/>
          <w:numId w:val="77"/>
        </w:numPr>
        <w:spacing w:before="150" w:after="0"/>
        <w:ind w:left="600" w:hanging="600"/>
      </w:pPr>
      <w:r>
        <w:rPr>
          <w:rFonts w:ascii="Arial"/>
          <w:color w:val="000000"/>
          <w:sz w:val="24"/>
        </w:rPr>
        <w:t>For the other residential zones in the SI Order, there is a similar structure</w:t>
      </w:r>
      <w:r>
        <w:rPr>
          <w:rFonts w:ascii="Arial"/>
          <w:color w:val="000000"/>
          <w:sz w:val="24"/>
        </w:rPr>
        <w:t>, although not precisely the same</w:t>
      </w:r>
      <w:r>
        <w:rPr>
          <w:rFonts w:ascii="Arial"/>
          <w:color w:val="000000"/>
          <w:sz w:val="24"/>
        </w:rPr>
        <w:t>. That is</w:t>
      </w:r>
      <w:r>
        <w:rPr>
          <w:rFonts w:ascii="Arial"/>
          <w:color w:val="000000"/>
          <w:sz w:val="24"/>
        </w:rPr>
        <w:t>,</w:t>
      </w:r>
      <w:r>
        <w:rPr>
          <w:rFonts w:ascii="Arial"/>
          <w:color w:val="000000"/>
          <w:sz w:val="24"/>
        </w:rPr>
        <w:t xml:space="preserve"> </w:t>
      </w:r>
      <w:r>
        <w:rPr>
          <w:rFonts w:ascii="Arial"/>
          <w:color w:val="000000"/>
          <w:sz w:val="24"/>
        </w:rPr>
        <w:t xml:space="preserve">taking on the same two points in the </w:t>
      </w:r>
      <w:r>
        <w:rPr>
          <w:rFonts w:ascii="Arial"/>
          <w:color w:val="000000"/>
          <w:sz w:val="24"/>
        </w:rPr>
        <w:t>pairing</w:t>
      </w:r>
      <w:r>
        <w:rPr>
          <w:rFonts w:ascii="Arial"/>
          <w:color w:val="000000"/>
          <w:sz w:val="24"/>
        </w:rPr>
        <w:t xml:space="preserve">: at the primary level providing for housing need but then within certain environmental settings (low density/medium density/high density environment, for R2, R3, R4), and for the higher density zones, also </w:t>
      </w:r>
      <w:r>
        <w:rPr>
          <w:rFonts w:ascii="Arial"/>
          <w:color w:val="000000"/>
          <w:sz w:val="24"/>
        </w:rPr>
        <w:t xml:space="preserve">(like the R1 zone) </w:t>
      </w:r>
      <w:r>
        <w:rPr>
          <w:rFonts w:ascii="Arial"/>
          <w:color w:val="000000"/>
          <w:sz w:val="24"/>
        </w:rPr>
        <w:t>providing for variety in housing type (see Land Use Table SI Order).</w:t>
      </w:r>
    </w:p>
    <w:p>
      <w:pPr>
        <w:pStyle w:val="CaselawNumbered10"/>
        <w:numPr>
          <w:ilvl w:val="0"/>
          <w:numId w:val="77"/>
        </w:numPr>
        <w:spacing w:before="150" w:after="0"/>
        <w:ind w:left="600" w:hanging="600"/>
      </w:pPr>
      <w:r>
        <w:rPr>
          <w:rFonts w:ascii="Arial"/>
          <w:color w:val="000000"/>
          <w:sz w:val="24"/>
        </w:rPr>
        <w:t>T</w:t>
      </w:r>
      <w:r>
        <w:rPr>
          <w:rFonts w:ascii="Arial"/>
          <w:color w:val="000000"/>
          <w:sz w:val="24"/>
        </w:rPr>
        <w:t xml:space="preserve">he fact that these core objectives are, essentially, </w:t>
      </w:r>
      <w:r>
        <w:rPr>
          <w:rFonts w:ascii="Arial"/>
          <w:color w:val="000000"/>
          <w:sz w:val="24"/>
        </w:rPr>
        <w:t>S</w:t>
      </w:r>
      <w:r>
        <w:rPr>
          <w:rFonts w:ascii="Arial"/>
          <w:color w:val="000000"/>
          <w:sz w:val="24"/>
        </w:rPr>
        <w:t>tate</w:t>
      </w:r>
      <w:r>
        <w:rPr>
          <w:rFonts w:ascii="Arial"/>
          <w:color w:val="000000"/>
          <w:sz w:val="24"/>
        </w:rPr>
        <w:t>-</w:t>
      </w:r>
      <w:r>
        <w:rPr>
          <w:rFonts w:ascii="Arial"/>
          <w:color w:val="000000"/>
          <w:sz w:val="24"/>
        </w:rPr>
        <w:t>wide with respect at least</w:t>
      </w:r>
      <w:r>
        <w:rPr>
          <w:rFonts w:ascii="Arial"/>
          <w:color w:val="000000"/>
          <w:sz w:val="24"/>
        </w:rPr>
        <w:t xml:space="preserve"> </w:t>
      </w:r>
      <w:r>
        <w:rPr>
          <w:rFonts w:ascii="Arial"/>
          <w:color w:val="000000"/>
          <w:sz w:val="24"/>
        </w:rPr>
        <w:t>to</w:t>
      </w:r>
      <w:r>
        <w:rPr>
          <w:rFonts w:ascii="Arial"/>
          <w:color w:val="000000"/>
          <w:sz w:val="24"/>
        </w:rPr>
        <w:t xml:space="preserve"> </w:t>
      </w:r>
      <w:r>
        <w:rPr>
          <w:rFonts w:ascii="Arial"/>
          <w:color w:val="000000"/>
          <w:sz w:val="24"/>
        </w:rPr>
        <w:t xml:space="preserve">the R1 zone (and notably similar core objectives for other residential zones) supports the idea that the establishment of the first zone objective of the R1 zone </w:t>
      </w:r>
      <w:r>
        <w:rPr>
          <w:rFonts w:ascii="Arial"/>
          <w:color w:val="000000"/>
          <w:sz w:val="24"/>
        </w:rPr>
        <w:t>is a</w:t>
      </w:r>
      <w:r>
        <w:rPr>
          <w:rFonts w:ascii="Arial"/>
          <w:color w:val="000000"/>
          <w:sz w:val="24"/>
        </w:rPr>
        <w:t xml:space="preserve"> </w:t>
      </w:r>
      <w:r>
        <w:rPr>
          <w:rFonts w:ascii="Arial"/>
          <w:color w:val="000000"/>
          <w:sz w:val="24"/>
        </w:rPr>
        <w:t xml:space="preserve">high level policy ambition relating to housing supply to meet </w:t>
      </w:r>
      <w:r>
        <w:rPr>
          <w:rFonts w:ascii="Arial"/>
          <w:color w:val="000000"/>
          <w:sz w:val="24"/>
        </w:rPr>
        <w:t xml:space="preserve">community </w:t>
      </w:r>
      <w:r>
        <w:rPr>
          <w:rFonts w:ascii="Arial"/>
          <w:color w:val="000000"/>
          <w:sz w:val="24"/>
        </w:rPr>
        <w:t>need</w:t>
      </w:r>
      <w:r>
        <w:rPr>
          <w:rFonts w:ascii="Arial"/>
          <w:color w:val="000000"/>
          <w:sz w:val="24"/>
        </w:rPr>
        <w:t xml:space="preserve"> </w:t>
      </w:r>
      <w:r>
        <w:rPr>
          <w:rFonts w:ascii="Arial"/>
          <w:color w:val="000000"/>
          <w:sz w:val="24"/>
        </w:rPr>
        <w:t xml:space="preserve">in the sense of an essential or </w:t>
      </w:r>
      <w:r>
        <w:rPr>
          <w:rFonts w:ascii="Arial"/>
          <w:color w:val="000000"/>
          <w:sz w:val="24"/>
        </w:rPr>
        <w:t>requisiteness</w:t>
      </w:r>
      <w:r>
        <w:rPr>
          <w:rFonts w:ascii="Arial"/>
          <w:color w:val="000000"/>
          <w:sz w:val="24"/>
        </w:rPr>
        <w:t xml:space="preserve"> </w:t>
      </w:r>
      <w:r>
        <w:rPr>
          <w:rFonts w:ascii="Arial"/>
          <w:color w:val="000000"/>
          <w:sz w:val="24"/>
        </w:rPr>
        <w:t>.</w:t>
      </w:r>
      <w:r>
        <w:rPr>
          <w:rFonts w:ascii="Arial"/>
          <w:color w:val="000000"/>
          <w:sz w:val="24"/>
        </w:rPr>
        <w:t xml:space="preserve"> </w:t>
      </w:r>
      <w:r>
        <w:rPr>
          <w:rFonts w:ascii="Arial"/>
          <w:color w:val="000000"/>
          <w:sz w:val="24"/>
        </w:rPr>
        <w:t xml:space="preserve">It relates to but is separate from the ambition </w:t>
      </w:r>
      <w:r>
        <w:rPr>
          <w:rFonts w:ascii="Arial"/>
          <w:color w:val="000000"/>
          <w:sz w:val="24"/>
        </w:rPr>
        <w:t xml:space="preserve">(in the second R2 zone objective) </w:t>
      </w:r>
      <w:r>
        <w:rPr>
          <w:rFonts w:ascii="Arial"/>
          <w:color w:val="000000"/>
          <w:sz w:val="24"/>
        </w:rPr>
        <w:t xml:space="preserve">to provide for variety of housing form, which might relate to different </w:t>
      </w:r>
      <w:r>
        <w:rPr>
          <w:rFonts w:ascii="Arial"/>
          <w:i/>
          <w:color w:val="000000"/>
          <w:sz w:val="24"/>
        </w:rPr>
        <w:t>want</w:t>
      </w:r>
      <w:r>
        <w:rPr>
          <w:rFonts w:ascii="Arial"/>
          <w:color w:val="000000"/>
          <w:sz w:val="24"/>
        </w:rPr>
        <w:t xml:space="preserve">s. </w:t>
      </w:r>
    </w:p>
    <w:p>
      <w:pPr>
        <w:pStyle w:val="CaselawHeading5"/>
        <w:keepNext/>
        <w:spacing w:before="150" w:after="150" w:line="264"/>
        <w:ind w:left="600"/>
        <w:jc w:val="left"/>
      </w:pPr>
      <w:r>
        <w:rPr>
          <w:rFonts w:ascii="Arial"/>
        </w:rPr>
        <w:t xml:space="preserve">What </w:t>
      </w:r>
      <w:r>
        <w:rPr>
          <w:rFonts w:ascii="Arial"/>
        </w:rPr>
        <w:t>“mischief”</w:t>
      </w:r>
      <w:r>
        <w:rPr>
          <w:rFonts w:ascii="Arial"/>
        </w:rPr>
        <w:t xml:space="preserve"> is sought to be remedied: understandings of “housing needs of the community” from research and policy</w:t>
      </w:r>
    </w:p>
    <w:p>
      <w:pPr>
        <w:pStyle w:val="CaselawNumbered10"/>
        <w:numPr>
          <w:ilvl w:val="0"/>
          <w:numId w:val="78"/>
        </w:numPr>
        <w:spacing w:before="150" w:after="0"/>
        <w:ind w:left="600" w:hanging="600"/>
      </w:pPr>
      <w:r>
        <w:rPr>
          <w:rFonts w:ascii="Arial"/>
          <w:color w:val="000000"/>
          <w:sz w:val="24"/>
        </w:rPr>
        <w:t xml:space="preserve">If the </w:t>
      </w:r>
      <w:r>
        <w:rPr>
          <w:rFonts w:ascii="Arial"/>
          <w:color w:val="000000"/>
          <w:sz w:val="24"/>
        </w:rPr>
        <w:t xml:space="preserve">development application evaluation-related </w:t>
      </w:r>
      <w:r>
        <w:rPr>
          <w:rFonts w:ascii="Arial"/>
          <w:color w:val="000000"/>
          <w:sz w:val="24"/>
        </w:rPr>
        <w:t xml:space="preserve">provisions of planning instruments are concerned with attending to a </w:t>
      </w:r>
      <w:r>
        <w:rPr>
          <w:rFonts w:ascii="Arial"/>
          <w:color w:val="000000"/>
          <w:sz w:val="24"/>
        </w:rPr>
        <w:t>“</w:t>
      </w:r>
      <w:r>
        <w:rPr>
          <w:rFonts w:ascii="Arial"/>
          <w:color w:val="000000"/>
          <w:sz w:val="24"/>
        </w:rPr>
        <w:t>mischief</w:t>
      </w:r>
      <w:r>
        <w:rPr>
          <w:rFonts w:ascii="Arial"/>
          <w:color w:val="000000"/>
          <w:sz w:val="24"/>
        </w:rPr>
        <w:t>”</w:t>
      </w:r>
      <w:r>
        <w:rPr>
          <w:rFonts w:ascii="Arial"/>
          <w:color w:val="000000"/>
          <w:sz w:val="24"/>
        </w:rPr>
        <w:t xml:space="preserve">, it can assist at looking </w:t>
      </w:r>
      <w:r>
        <w:rPr>
          <w:rFonts w:ascii="Arial"/>
          <w:color w:val="000000"/>
          <w:sz w:val="24"/>
        </w:rPr>
        <w:t>at the wider policy settings for clues. First</w:t>
      </w:r>
      <w:r>
        <w:rPr>
          <w:rFonts w:ascii="Arial"/>
          <w:color w:val="000000"/>
          <w:sz w:val="24"/>
        </w:rPr>
        <w:t>,</w:t>
      </w:r>
      <w:r>
        <w:rPr>
          <w:rFonts w:ascii="Arial"/>
          <w:color w:val="000000"/>
          <w:sz w:val="24"/>
        </w:rPr>
        <w:t xml:space="preserve"> </w:t>
      </w:r>
      <w:r>
        <w:rPr>
          <w:rFonts w:ascii="Arial"/>
          <w:color w:val="000000"/>
          <w:sz w:val="24"/>
        </w:rPr>
        <w:t xml:space="preserve">I note </w:t>
      </w:r>
      <w:r>
        <w:rPr>
          <w:rFonts w:ascii="Arial"/>
          <w:color w:val="000000"/>
          <w:sz w:val="24"/>
        </w:rPr>
        <w:t xml:space="preserve">some </w:t>
      </w:r>
      <w:r>
        <w:rPr>
          <w:rFonts w:ascii="Arial"/>
          <w:color w:val="000000"/>
          <w:sz w:val="24"/>
        </w:rPr>
        <w:t>particular</w:t>
      </w:r>
      <w:r>
        <w:rPr>
          <w:rFonts w:ascii="Arial"/>
          <w:color w:val="000000"/>
          <w:sz w:val="24"/>
        </w:rPr>
        <w:t xml:space="preserve"> </w:t>
      </w:r>
      <w:r>
        <w:rPr>
          <w:rFonts w:ascii="Arial"/>
          <w:color w:val="000000"/>
          <w:sz w:val="24"/>
        </w:rPr>
        <w:t>aims</w:t>
      </w:r>
      <w:r>
        <w:rPr>
          <w:rFonts w:ascii="Arial"/>
          <w:color w:val="000000"/>
          <w:sz w:val="24"/>
        </w:rPr>
        <w:t xml:space="preserve"> </w:t>
      </w:r>
      <w:r>
        <w:rPr>
          <w:rFonts w:ascii="Arial"/>
          <w:color w:val="000000"/>
          <w:sz w:val="24"/>
        </w:rPr>
        <w:t>of SLEP, which have some relevance:</w:t>
      </w:r>
    </w:p>
    <w:p>
      <w:pPr>
        <w:pStyle w:val="CaselawCoversheet"/>
        <w:spacing w:before="150" w:after="150"/>
        <w:ind w:left="1350"/>
        <w:jc w:val="left"/>
      </w:pPr>
      <w:r>
        <w:rPr>
          <w:rFonts w:ascii="Arial"/>
          <w:color w:val="000000"/>
          <w:sz w:val="24"/>
        </w:rPr>
        <w:t xml:space="preserve">(2) The </w:t>
      </w:r>
      <w:r>
        <w:rPr>
          <w:rFonts w:ascii="Arial"/>
          <w:color w:val="000000"/>
          <w:sz w:val="24"/>
        </w:rPr>
        <w:t>particular aims</w:t>
      </w:r>
      <w:r>
        <w:rPr>
          <w:rFonts w:ascii="Arial"/>
          <w:color w:val="000000"/>
          <w:sz w:val="24"/>
        </w:rPr>
        <w:t xml:space="preserve"> of this Plan are as follows—</w:t>
      </w:r>
    </w:p>
    <w:p>
      <w:pPr>
        <w:pStyle w:val="CaselawCoversheet"/>
        <w:spacing w:before="150" w:after="150"/>
        <w:ind w:left="2100"/>
        <w:jc w:val="left"/>
      </w:pPr>
      <w:r>
        <w:rPr>
          <w:rFonts w:ascii="Arial"/>
          <w:color w:val="000000"/>
          <w:sz w:val="24"/>
        </w:rPr>
        <w:t>(c)  to promote ecologically sustainable development,</w:t>
      </w:r>
    </w:p>
    <w:p>
      <w:pPr>
        <w:pStyle w:val="CaselawCoversheet"/>
        <w:spacing w:before="150" w:after="150"/>
        <w:ind w:left="2100"/>
        <w:jc w:val="left"/>
      </w:pPr>
      <w:r>
        <w:rPr>
          <w:rFonts w:ascii="Arial"/>
          <w:color w:val="000000"/>
          <w:sz w:val="24"/>
        </w:rPr>
        <w:t>(d)  to encourage the economic growth of the City of Sydney by—</w:t>
      </w:r>
    </w:p>
    <w:p>
      <w:pPr>
        <w:pStyle w:val="CaselawCoversheet"/>
        <w:spacing w:before="150" w:after="150"/>
        <w:ind w:left="2850"/>
        <w:jc w:val="left"/>
      </w:pPr>
      <w:r>
        <w:rPr>
          <w:rFonts w:ascii="Arial"/>
          <w:color w:val="000000"/>
          <w:sz w:val="24"/>
        </w:rPr>
        <w:t>(i)  providing for development at densities that permit employment to increase, and</w:t>
      </w:r>
    </w:p>
    <w:p>
      <w:pPr>
        <w:pStyle w:val="CaselawCoversheet"/>
        <w:spacing w:before="150" w:after="150"/>
        <w:ind w:left="2850"/>
        <w:jc w:val="left"/>
      </w:pPr>
      <w:r>
        <w:rPr>
          <w:rFonts w:ascii="Arial"/>
          <w:color w:val="000000"/>
          <w:sz w:val="24"/>
        </w:rPr>
        <w:t>(ii)  retaining and enhancing land used for employment purposes that are significant for the Sydney region,</w:t>
      </w:r>
    </w:p>
    <w:p>
      <w:pPr>
        <w:pStyle w:val="CaselawCoversheet"/>
        <w:spacing w:before="150" w:after="150"/>
        <w:ind w:left="2100"/>
        <w:jc w:val="left"/>
      </w:pPr>
      <w:r>
        <w:rPr>
          <w:rFonts w:ascii="Arial"/>
          <w:color w:val="000000"/>
          <w:sz w:val="24"/>
        </w:rPr>
        <w:t>(e)  to encourage the growth and diversity of the residential population of the City of Sydney by providing for a range of appropriately located housing, including affordable housing,</w:t>
      </w:r>
    </w:p>
    <w:p>
      <w:pPr>
        <w:pStyle w:val="CaselawCoversheet"/>
        <w:spacing w:before="150" w:after="150"/>
        <w:ind w:left="2100"/>
        <w:jc w:val="left"/>
      </w:pPr>
      <w:r>
        <w:rPr>
          <w:rFonts w:ascii="Arial"/>
          <w:color w:val="000000"/>
          <w:sz w:val="24"/>
        </w:rPr>
        <w:t>…</w:t>
      </w:r>
    </w:p>
    <w:p>
      <w:pPr>
        <w:pStyle w:val="CaselawCoversheet"/>
        <w:spacing w:before="150" w:after="150"/>
        <w:ind w:left="2100"/>
        <w:jc w:val="left"/>
      </w:pPr>
      <w:r>
        <w:rPr>
          <w:rFonts w:ascii="Arial"/>
          <w:color w:val="000000"/>
          <w:sz w:val="24"/>
        </w:rPr>
        <w:t>(g)  to ensure that the pattern of land use and density in the City of Sydney reflects the existing and future capacity of the transport network and facilitates walking, cycling and the use of public transport,</w:t>
      </w:r>
    </w:p>
    <w:p>
      <w:pPr>
        <w:pStyle w:val="CaselawCoversheet"/>
        <w:spacing w:before="150" w:after="150"/>
        <w:ind w:left="2100"/>
        <w:jc w:val="left"/>
      </w:pPr>
      <w:r>
        <w:rPr>
          <w:rFonts w:ascii="Arial"/>
          <w:color w:val="000000"/>
          <w:sz w:val="24"/>
        </w:rPr>
        <w:t>(h)  to enhance the amenity and quality of life of local communities,</w:t>
      </w:r>
    </w:p>
    <w:p>
      <w:pPr>
        <w:pStyle w:val="CaselawCoversheet"/>
        <w:spacing w:before="150" w:after="150"/>
        <w:ind w:left="2100"/>
        <w:jc w:val="left"/>
      </w:pPr>
      <w:r>
        <w:rPr>
          <w:rFonts w:ascii="Arial"/>
          <w:color w:val="000000"/>
          <w:sz w:val="24"/>
        </w:rPr>
        <w:t>…</w:t>
      </w:r>
    </w:p>
    <w:p>
      <w:pPr>
        <w:pStyle w:val="CaselawCoversheet"/>
        <w:spacing w:before="150" w:after="150"/>
        <w:ind w:left="2100"/>
        <w:jc w:val="left"/>
      </w:pPr>
      <w:r>
        <w:rPr>
          <w:rFonts w:ascii="Arial"/>
          <w:color w:val="000000"/>
          <w:sz w:val="24"/>
        </w:rPr>
        <w:t xml:space="preserve">(j)  to achieve a </w:t>
      </w:r>
      <w:r>
        <w:rPr>
          <w:rFonts w:ascii="Arial"/>
          <w:color w:val="000000"/>
          <w:sz w:val="24"/>
        </w:rPr>
        <w:t>high quality</w:t>
      </w:r>
      <w:r>
        <w:rPr>
          <w:rFonts w:ascii="Arial"/>
          <w:color w:val="000000"/>
          <w:sz w:val="24"/>
        </w:rPr>
        <w:t xml:space="preserve"> urban form by ensuring that new development exhibits design excellence and reflects the existing or desired future character of particular localities,</w:t>
      </w:r>
    </w:p>
    <w:p>
      <w:pPr>
        <w:pStyle w:val="CaselawCoversheet"/>
        <w:spacing w:before="150" w:after="150"/>
        <w:ind w:left="2100"/>
        <w:jc w:val="left"/>
      </w:pPr>
      <w:r>
        <w:rPr>
          <w:rFonts w:ascii="Arial"/>
          <w:color w:val="000000"/>
          <w:sz w:val="24"/>
        </w:rPr>
        <w:t>…</w:t>
      </w:r>
    </w:p>
    <w:p>
      <w:pPr>
        <w:pStyle w:val="CaselawNumbered10"/>
        <w:numPr>
          <w:ilvl w:val="0"/>
          <w:numId w:val="79"/>
        </w:numPr>
        <w:spacing w:before="150" w:after="0"/>
        <w:ind w:left="600" w:hanging="600"/>
      </w:pPr>
      <w:r>
        <w:rPr>
          <w:rFonts w:ascii="Arial"/>
          <w:color w:val="000000"/>
          <w:sz w:val="24"/>
        </w:rPr>
        <w:t>I can also turn to the aims of the EPA Act (s 1.3), also with some selectivity as to relevance:</w:t>
      </w:r>
    </w:p>
    <w:p>
      <w:pPr>
        <w:pStyle w:val="CaselawCoversheet"/>
        <w:spacing w:before="150" w:after="150"/>
        <w:ind w:left="1350"/>
        <w:jc w:val="left"/>
      </w:pPr>
      <w:r>
        <w:rPr>
          <w:rFonts w:ascii="Arial"/>
          <w:color w:val="000000"/>
          <w:sz w:val="24"/>
        </w:rPr>
        <w:t>The objects of this Act are as follows—</w:t>
      </w:r>
    </w:p>
    <w:p>
      <w:pPr>
        <w:pStyle w:val="CaselawCoversheet"/>
        <w:spacing w:before="150" w:after="150"/>
        <w:ind w:left="1350"/>
        <w:jc w:val="left"/>
      </w:pPr>
      <w:r>
        <w:rPr>
          <w:rFonts w:ascii="Arial"/>
          <w:color w:val="000000"/>
          <w:sz w:val="24"/>
        </w:rPr>
        <w:t xml:space="preserve">(a)  to promote the social and economic welfare of the community and a better environment by the proper management, </w:t>
      </w:r>
      <w:r>
        <w:rPr>
          <w:rFonts w:ascii="Arial"/>
          <w:color w:val="000000"/>
          <w:sz w:val="24"/>
        </w:rPr>
        <w:t>development</w:t>
      </w:r>
      <w:r>
        <w:rPr>
          <w:rFonts w:ascii="Arial"/>
          <w:color w:val="000000"/>
          <w:sz w:val="24"/>
        </w:rPr>
        <w:t xml:space="preserve"> and conservation of the State’s natural and other resources,</w:t>
      </w:r>
    </w:p>
    <w:p>
      <w:pPr>
        <w:pStyle w:val="CaselawCoversheet"/>
        <w:spacing w:before="150" w:after="150"/>
        <w:ind w:left="1350"/>
        <w:jc w:val="left"/>
      </w:pPr>
      <w:r>
        <w:rPr>
          <w:rFonts w:ascii="Arial"/>
          <w:color w:val="000000"/>
          <w:sz w:val="24"/>
        </w:rPr>
        <w:t xml:space="preserve">(b)  to facilitate ecologically sustainable development by integrating relevant economic, </w:t>
      </w:r>
      <w:r>
        <w:rPr>
          <w:rFonts w:ascii="Arial"/>
          <w:color w:val="000000"/>
          <w:sz w:val="24"/>
        </w:rPr>
        <w:t>environmental</w:t>
      </w:r>
      <w:r>
        <w:rPr>
          <w:rFonts w:ascii="Arial"/>
          <w:color w:val="000000"/>
          <w:sz w:val="24"/>
        </w:rPr>
        <w:t xml:space="preserve"> and social considerations in decision-making about environmental planning and assessment,</w:t>
      </w:r>
    </w:p>
    <w:p>
      <w:pPr>
        <w:pStyle w:val="CaselawCoversheet"/>
        <w:spacing w:before="150" w:after="150"/>
        <w:ind w:left="1350"/>
        <w:jc w:val="left"/>
      </w:pPr>
      <w:r>
        <w:rPr>
          <w:rFonts w:ascii="Arial"/>
          <w:color w:val="000000"/>
          <w:sz w:val="24"/>
        </w:rPr>
        <w:t>(c)  to promote the orderly and economic use and development of land,</w:t>
      </w:r>
    </w:p>
    <w:p>
      <w:pPr>
        <w:pStyle w:val="CaselawCoversheet"/>
        <w:spacing w:before="150" w:after="150"/>
        <w:ind w:left="1350"/>
        <w:jc w:val="left"/>
      </w:pPr>
      <w:r>
        <w:rPr>
          <w:rFonts w:ascii="Arial"/>
          <w:color w:val="000000"/>
          <w:sz w:val="24"/>
        </w:rPr>
        <w:t>(d)  to promote the delivery and maintenance of affordable housing,</w:t>
      </w:r>
    </w:p>
    <w:p>
      <w:pPr>
        <w:pStyle w:val="CaselawCoversheet"/>
        <w:spacing w:before="150" w:after="150"/>
        <w:ind w:left="1350"/>
        <w:jc w:val="left"/>
      </w:pPr>
      <w:r>
        <w:rPr>
          <w:rFonts w:ascii="Arial"/>
          <w:color w:val="000000"/>
          <w:sz w:val="24"/>
        </w:rPr>
        <w:t>…</w:t>
      </w:r>
    </w:p>
    <w:p>
      <w:pPr>
        <w:pStyle w:val="CaselawCoversheet"/>
        <w:spacing w:before="150" w:after="150"/>
        <w:ind w:left="1350"/>
        <w:jc w:val="left"/>
      </w:pPr>
      <w:r>
        <w:rPr>
          <w:rFonts w:ascii="Arial"/>
          <w:color w:val="000000"/>
          <w:sz w:val="24"/>
        </w:rPr>
        <w:t>(f)  to promote the sustainable management of built and cultural heritage (including Aboriginal cultural heritage),</w:t>
      </w:r>
    </w:p>
    <w:p>
      <w:pPr>
        <w:pStyle w:val="CaselawCoversheet"/>
        <w:spacing w:before="150" w:after="150"/>
        <w:ind w:left="1350"/>
        <w:jc w:val="left"/>
      </w:pPr>
      <w:r>
        <w:rPr>
          <w:rFonts w:ascii="Arial"/>
          <w:color w:val="000000"/>
          <w:sz w:val="24"/>
        </w:rPr>
        <w:t>(g)  to promote good design and amenity of the built environment,</w:t>
      </w:r>
    </w:p>
    <w:p>
      <w:pPr>
        <w:pStyle w:val="CaselawCoversheet"/>
        <w:spacing w:before="150" w:after="150"/>
        <w:ind w:left="1350"/>
        <w:jc w:val="left"/>
      </w:pPr>
      <w:r>
        <w:rPr>
          <w:rFonts w:ascii="Arial"/>
          <w:color w:val="000000"/>
          <w:sz w:val="24"/>
        </w:rPr>
        <w:t>(h)  to promote the proper construction and maintenance of buildings, including the protection of the health and safety of their occupants,</w:t>
      </w:r>
    </w:p>
    <w:p>
      <w:pPr>
        <w:pStyle w:val="CaselawCoversheet"/>
        <w:spacing w:before="150" w:after="150"/>
        <w:ind w:left="1350"/>
        <w:jc w:val="left"/>
      </w:pPr>
      <w:r>
        <w:rPr>
          <w:rFonts w:ascii="Arial"/>
          <w:color w:val="000000"/>
          <w:sz w:val="24"/>
        </w:rPr>
        <w:t>…</w:t>
      </w:r>
    </w:p>
    <w:p>
      <w:pPr>
        <w:pStyle w:val="CaselawCoversheet"/>
        <w:spacing w:before="150" w:after="150"/>
        <w:ind w:left="1350"/>
        <w:jc w:val="left"/>
      </w:pPr>
      <w:r>
        <w:rPr>
          <w:rFonts w:ascii="Arial"/>
          <w:color w:val="000000"/>
          <w:sz w:val="24"/>
        </w:rPr>
        <w:t>(j)  to provide increased opportunity for community participation in environmental planning and assessment.</w:t>
      </w:r>
    </w:p>
    <w:p>
      <w:pPr>
        <w:pStyle w:val="CaselawNumbered10"/>
        <w:numPr>
          <w:ilvl w:val="0"/>
          <w:numId w:val="80"/>
        </w:numPr>
        <w:spacing w:before="150" w:after="0"/>
        <w:ind w:left="600" w:hanging="600"/>
      </w:pPr>
      <w:r>
        <w:rPr>
          <w:rFonts w:ascii="Arial"/>
          <w:color w:val="000000"/>
          <w:sz w:val="24"/>
        </w:rPr>
        <w:t xml:space="preserve">The aims and objectives of SLEP and the EPA Act reveal the </w:t>
      </w:r>
      <w:r>
        <w:rPr>
          <w:rFonts w:ascii="Arial"/>
          <w:color w:val="000000"/>
          <w:sz w:val="24"/>
        </w:rPr>
        <w:t>intricacy and range of matters involved in</w:t>
      </w:r>
      <w:r>
        <w:rPr>
          <w:rFonts w:ascii="Arial"/>
          <w:color w:val="000000"/>
          <w:sz w:val="24"/>
        </w:rPr>
        <w:t xml:space="preserve"> </w:t>
      </w:r>
      <w:r>
        <w:rPr>
          <w:rFonts w:ascii="Arial"/>
          <w:color w:val="000000"/>
          <w:sz w:val="24"/>
        </w:rPr>
        <w:t xml:space="preserve">the planning and development control challenge. </w:t>
      </w:r>
      <w:r>
        <w:rPr>
          <w:rFonts w:ascii="Arial"/>
          <w:color w:val="000000"/>
          <w:sz w:val="24"/>
        </w:rPr>
        <w:t>There is reference to the promotion of economic use of land (something which it might be thought of as occurring with the recapitalisation process involved across the site with this intended project), along with the encouragement of diversity (an issue seen as within the ambit of the project at least at the local level).</w:t>
      </w:r>
      <w:r>
        <w:rPr>
          <w:rFonts w:ascii="Arial"/>
          <w:color w:val="000000"/>
          <w:sz w:val="24"/>
        </w:rPr>
        <w:t xml:space="preserve"> </w:t>
      </w:r>
      <w:r>
        <w:rPr>
          <w:rFonts w:ascii="Arial"/>
          <w:color w:val="000000"/>
          <w:sz w:val="24"/>
        </w:rPr>
        <w:t>Moreover, t</w:t>
      </w:r>
      <w:r>
        <w:rPr>
          <w:rFonts w:ascii="Arial"/>
          <w:color w:val="000000"/>
          <w:sz w:val="24"/>
        </w:rPr>
        <w:t>here is a clear</w:t>
      </w:r>
      <w:r>
        <w:rPr>
          <w:rFonts w:ascii="Arial"/>
          <w:color w:val="000000"/>
          <w:sz w:val="24"/>
        </w:rPr>
        <w:t xml:space="preserve"> </w:t>
      </w:r>
      <w:r>
        <w:rPr>
          <w:rFonts w:ascii="Arial"/>
          <w:color w:val="000000"/>
          <w:sz w:val="24"/>
        </w:rPr>
        <w:t xml:space="preserve">indication of ambition </w:t>
      </w:r>
      <w:r>
        <w:rPr>
          <w:rFonts w:ascii="Arial"/>
          <w:color w:val="000000"/>
          <w:sz w:val="24"/>
        </w:rPr>
        <w:t>relating to</w:t>
      </w:r>
      <w:r>
        <w:rPr>
          <w:rFonts w:ascii="Arial"/>
          <w:color w:val="000000"/>
          <w:sz w:val="24"/>
        </w:rPr>
        <w:t xml:space="preserve"> </w:t>
      </w:r>
      <w:r>
        <w:rPr>
          <w:rFonts w:ascii="Arial"/>
          <w:color w:val="000000"/>
          <w:sz w:val="24"/>
        </w:rPr>
        <w:t xml:space="preserve">social and economic welfare </w:t>
      </w:r>
      <w:r>
        <w:rPr>
          <w:rFonts w:ascii="Arial"/>
          <w:color w:val="000000"/>
          <w:sz w:val="24"/>
        </w:rPr>
        <w:t>including</w:t>
      </w:r>
      <w:r>
        <w:rPr>
          <w:rFonts w:ascii="Arial"/>
          <w:color w:val="000000"/>
          <w:sz w:val="24"/>
        </w:rPr>
        <w:t xml:space="preserve"> </w:t>
      </w:r>
      <w:r>
        <w:rPr>
          <w:rFonts w:ascii="Arial"/>
          <w:color w:val="000000"/>
          <w:sz w:val="24"/>
        </w:rPr>
        <w:t xml:space="preserve">the principles of ecologically </w:t>
      </w:r>
      <w:r>
        <w:rPr>
          <w:rFonts w:ascii="Arial"/>
          <w:color w:val="000000"/>
          <w:sz w:val="24"/>
        </w:rPr>
        <w:t>sustainable development principles</w:t>
      </w:r>
      <w:r>
        <w:rPr>
          <w:rFonts w:ascii="Arial"/>
          <w:color w:val="000000"/>
          <w:sz w:val="24"/>
        </w:rPr>
        <w:t xml:space="preserve"> </w:t>
      </w:r>
      <w:r>
        <w:rPr>
          <w:rFonts w:ascii="Arial"/>
          <w:color w:val="000000"/>
          <w:sz w:val="24"/>
        </w:rPr>
        <w:t xml:space="preserve">(ESD) </w:t>
      </w:r>
      <w:r>
        <w:rPr>
          <w:rFonts w:ascii="Arial"/>
          <w:color w:val="000000"/>
          <w:sz w:val="24"/>
        </w:rPr>
        <w:t xml:space="preserve">(as per s 6(2) of the </w:t>
      </w:r>
      <w:r>
        <w:rPr>
          <w:rFonts w:ascii="Arial"/>
          <w:i/>
          <w:color w:val="000000"/>
          <w:sz w:val="24"/>
        </w:rPr>
        <w:t>Protection of the Environment Administration Act 1991</w:t>
      </w:r>
      <w:r>
        <w:rPr>
          <w:rFonts w:ascii="Arial"/>
          <w:color w:val="000000"/>
          <w:sz w:val="24"/>
        </w:rPr>
        <w:t>)</w:t>
      </w:r>
      <w:r>
        <w:rPr>
          <w:rFonts w:ascii="Arial"/>
          <w:color w:val="000000"/>
          <w:sz w:val="24"/>
        </w:rPr>
        <w:t>, which introduce such matters as intergenerational equity</w:t>
      </w:r>
      <w:r>
        <w:rPr>
          <w:rFonts w:ascii="Arial"/>
          <w:color w:val="000000"/>
          <w:sz w:val="24"/>
        </w:rPr>
        <w:t xml:space="preserve">. </w:t>
      </w:r>
      <w:r>
        <w:rPr>
          <w:rFonts w:ascii="Arial"/>
          <w:color w:val="000000"/>
          <w:sz w:val="24"/>
        </w:rPr>
        <w:t>L</w:t>
      </w:r>
      <w:r>
        <w:rPr>
          <w:rFonts w:ascii="Arial"/>
          <w:color w:val="000000"/>
          <w:sz w:val="24"/>
        </w:rPr>
        <w:t>ikely social impact is also directly referenced as a consideration in DA evaluation under s 4.15(1) of the EPA Act.</w:t>
      </w:r>
      <w:r>
        <w:rPr>
          <w:rFonts w:ascii="Arial"/>
          <w:color w:val="000000"/>
          <w:sz w:val="24"/>
        </w:rPr>
        <w:t xml:space="preserve"> </w:t>
      </w:r>
    </w:p>
    <w:p>
      <w:pPr>
        <w:pStyle w:val="CaselawNumbered10"/>
        <w:numPr>
          <w:ilvl w:val="0"/>
          <w:numId w:val="80"/>
        </w:numPr>
        <w:spacing w:before="150" w:after="0"/>
        <w:ind w:left="600" w:hanging="600"/>
      </w:pPr>
      <w:r>
        <w:rPr>
          <w:rFonts w:ascii="Arial"/>
          <w:color w:val="000000"/>
          <w:sz w:val="24"/>
        </w:rPr>
        <w:t xml:space="preserve">Drawing down from the above, </w:t>
      </w:r>
      <w:r>
        <w:rPr>
          <w:rFonts w:ascii="Arial"/>
          <w:color w:val="000000"/>
          <w:sz w:val="24"/>
        </w:rPr>
        <w:t xml:space="preserve">I have found the consideration of the objecting submissions of use in interpreting, more directly, the mischief which is sought to be addressed by the </w:t>
      </w:r>
      <w:r>
        <w:rPr>
          <w:rFonts w:ascii="Arial"/>
          <w:color w:val="000000"/>
          <w:sz w:val="24"/>
        </w:rPr>
        <w:t>particulars of the first R 1 zone objectives</w:t>
      </w:r>
      <w:r>
        <w:rPr>
          <w:rFonts w:ascii="Arial"/>
          <w:color w:val="000000"/>
          <w:sz w:val="24"/>
        </w:rPr>
        <w:t xml:space="preserve">. </w:t>
      </w:r>
      <w:r>
        <w:rPr>
          <w:rFonts w:ascii="Arial"/>
          <w:color w:val="000000"/>
          <w:sz w:val="24"/>
        </w:rPr>
        <w:t xml:space="preserve">Apart from the net reduction in housing stock in this local setting and </w:t>
      </w:r>
      <w:r>
        <w:rPr>
          <w:rFonts w:ascii="Arial"/>
          <w:color w:val="000000"/>
          <w:sz w:val="24"/>
        </w:rPr>
        <w:t>“</w:t>
      </w:r>
      <w:r>
        <w:rPr>
          <w:rFonts w:ascii="Arial"/>
          <w:color w:val="000000"/>
          <w:sz w:val="24"/>
        </w:rPr>
        <w:t>dwindling</w:t>
      </w:r>
      <w:r>
        <w:rPr>
          <w:rFonts w:ascii="Arial"/>
          <w:color w:val="000000"/>
          <w:sz w:val="24"/>
        </w:rPr>
        <w:t xml:space="preserve">” </w:t>
      </w:r>
      <w:r>
        <w:rPr>
          <w:rFonts w:ascii="Arial"/>
          <w:color w:val="000000"/>
          <w:sz w:val="24"/>
        </w:rPr>
        <w:t xml:space="preserve">local </w:t>
      </w:r>
      <w:r>
        <w:rPr>
          <w:rFonts w:ascii="Arial"/>
          <w:color w:val="000000"/>
          <w:sz w:val="24"/>
        </w:rPr>
        <w:t>affordable rental accommodation</w:t>
      </w:r>
      <w:r>
        <w:rPr>
          <w:rFonts w:ascii="Arial"/>
          <w:color w:val="000000"/>
          <w:sz w:val="24"/>
        </w:rPr>
        <w:t xml:space="preserve">, the objecting submissions raised suggestions </w:t>
      </w:r>
      <w:r>
        <w:rPr>
          <w:rFonts w:ascii="Arial"/>
          <w:color w:val="000000"/>
          <w:sz w:val="24"/>
        </w:rPr>
        <w:t>of more systemic housing supply issues</w:t>
      </w:r>
      <w:r>
        <w:rPr>
          <w:rFonts w:ascii="Arial"/>
          <w:color w:val="000000"/>
          <w:sz w:val="24"/>
        </w:rPr>
        <w:t xml:space="preserve"> </w:t>
      </w:r>
      <w:r>
        <w:rPr>
          <w:rFonts w:ascii="Arial"/>
          <w:color w:val="000000"/>
          <w:sz w:val="24"/>
        </w:rPr>
        <w:t>and serious adverse social impacts</w:t>
      </w:r>
      <w:r>
        <w:rPr>
          <w:rFonts w:ascii="Arial"/>
          <w:color w:val="000000"/>
          <w:sz w:val="24"/>
        </w:rPr>
        <w:t xml:space="preserve"> </w:t>
      </w:r>
      <w:r>
        <w:rPr>
          <w:rFonts w:ascii="Arial"/>
          <w:color w:val="000000"/>
          <w:sz w:val="24"/>
        </w:rPr>
        <w:t>(at [</w:t>
      </w:r>
      <w:hyperlink r:id="rId30">
        <w:r>
          <w:rPr>
            <w:rFonts w:ascii="Arial"/>
            <w:color w:val="000000"/>
            <w:sz w:val="24"/>
            <w:u w:val="single"/>
          </w:rPr>
          <w:t/>
        </w:r>
        <w:r>
          <w:rPr>
            <w:rFonts w:ascii="Arial"/>
            <w:color w:val="000000"/>
            <w:sz w:val="24"/>
          </w:rPr>
          <w:t>57</w:t>
        </w:r>
      </w:hyperlink>
      <w:hyperlink r:id="rId31">
        <w:r>
          <w:rPr>
            <w:rFonts w:ascii="Arial"/>
            <w:color w:val="000000"/>
            <w:sz w:val="24"/>
          </w:rPr>
          <w:t/>
        </w:r>
      </w:hyperlink>
      <w:r>
        <w:rPr>
          <w:rFonts w:ascii="Arial"/>
          <w:color w:val="000000"/>
          <w:sz w:val="24"/>
        </w:rPr>
        <w:t>]-[</w:t>
      </w:r>
      <w:hyperlink r:id="rId32">
        <w:r>
          <w:rPr>
            <w:rFonts w:ascii="Arial"/>
            <w:color w:val="000000"/>
            <w:sz w:val="24"/>
            <w:u w:val="single"/>
          </w:rPr>
          <w:t/>
        </w:r>
        <w:r>
          <w:rPr>
            <w:rFonts w:ascii="Arial"/>
            <w:color w:val="000000"/>
            <w:sz w:val="24"/>
          </w:rPr>
          <w:t>58</w:t>
        </w:r>
      </w:hyperlink>
      <w:hyperlink r:id="rId33">
        <w:r>
          <w:rPr>
            <w:rFonts w:ascii="Arial"/>
            <w:color w:val="000000"/>
            <w:sz w:val="24"/>
          </w:rPr>
          <w:t/>
        </w:r>
      </w:hyperlink>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In my view these arguments are well made, and entirely consistent with research findings. </w:t>
      </w:r>
      <w:r>
        <w:rPr>
          <w:rFonts w:ascii="Arial"/>
          <w:color w:val="000000"/>
          <w:sz w:val="24"/>
        </w:rPr>
        <w:t xml:space="preserve">The </w:t>
      </w:r>
      <w:r>
        <w:rPr>
          <w:rFonts w:ascii="Arial"/>
          <w:color w:val="000000"/>
          <w:sz w:val="24"/>
        </w:rPr>
        <w:t>National Housing Supply and Affordability Council</w:t>
      </w:r>
      <w:r>
        <w:rPr>
          <w:rFonts w:ascii="Arial"/>
          <w:color w:val="000000"/>
          <w:sz w:val="24"/>
        </w:rPr>
        <w:t xml:space="preserve"> </w:t>
      </w:r>
      <w:r>
        <w:rPr>
          <w:rFonts w:ascii="Arial"/>
          <w:color w:val="000000"/>
          <w:sz w:val="24"/>
        </w:rPr>
        <w:t>is a statutory body</w:t>
      </w:r>
      <w:r>
        <w:rPr>
          <w:rFonts w:ascii="Arial"/>
          <w:color w:val="000000"/>
          <w:sz w:val="24"/>
        </w:rPr>
        <w:t>, comprising cross sectoral members, which provides advice in the field</w:t>
      </w:r>
      <w:r>
        <w:rPr>
          <w:rFonts w:ascii="Arial"/>
          <w:color w:val="000000"/>
          <w:sz w:val="24"/>
        </w:rPr>
        <w:t xml:space="preserve"> </w:t>
      </w:r>
      <w:r>
        <w:rPr>
          <w:rFonts w:ascii="Arial"/>
          <w:color w:val="000000"/>
          <w:sz w:val="24"/>
        </w:rPr>
        <w:t xml:space="preserve">of </w:t>
      </w:r>
      <w:r>
        <w:rPr>
          <w:rFonts w:ascii="Arial"/>
          <w:color w:val="000000"/>
          <w:sz w:val="24"/>
        </w:rPr>
        <w:t>housing supply and affordability</w:t>
      </w:r>
      <w:r>
        <w:rPr>
          <w:rFonts w:ascii="Arial"/>
          <w:color w:val="000000"/>
          <w:sz w:val="24"/>
        </w:rPr>
        <w:t>. Its publication:</w:t>
      </w:r>
      <w:r>
        <w:rPr>
          <w:rFonts w:ascii="Arial"/>
          <w:color w:val="000000"/>
          <w:sz w:val="24"/>
        </w:rPr>
        <w:t xml:space="preserve"> </w:t>
      </w:r>
      <w:r>
        <w:rPr>
          <w:rFonts w:ascii="Arial"/>
          <w:color w:val="000000"/>
          <w:sz w:val="24"/>
        </w:rPr>
        <w:t>“</w:t>
      </w:r>
      <w:r>
        <w:rPr>
          <w:rFonts w:ascii="Arial"/>
          <w:color w:val="000000"/>
          <w:sz w:val="24"/>
        </w:rPr>
        <w:t>State of the Housing System</w:t>
      </w:r>
      <w:r>
        <w:rPr>
          <w:rFonts w:ascii="Arial"/>
          <w:color w:val="000000"/>
          <w:sz w:val="24"/>
        </w:rPr>
        <w:t>”</w:t>
      </w:r>
      <w:r>
        <w:rPr>
          <w:rFonts w:ascii="Arial"/>
          <w:color w:val="000000"/>
          <w:sz w:val="24"/>
        </w:rPr>
        <w:t xml:space="preserve"> </w:t>
      </w:r>
      <w:r>
        <w:rPr>
          <w:rFonts w:ascii="Arial"/>
          <w:color w:val="000000"/>
          <w:sz w:val="24"/>
        </w:rPr>
        <w:t>(</w:t>
      </w:r>
      <w:r>
        <w:rPr>
          <w:rFonts w:ascii="Arial"/>
          <w:color w:val="000000"/>
          <w:sz w:val="24"/>
        </w:rPr>
        <w:t>2024</w:t>
      </w:r>
      <w:r>
        <w:rPr>
          <w:rFonts w:ascii="Arial"/>
          <w:color w:val="000000"/>
          <w:sz w:val="24"/>
        </w:rPr>
        <w:t>)</w:t>
      </w:r>
      <w:r>
        <w:rPr>
          <w:rFonts w:ascii="Arial"/>
          <w:color w:val="000000"/>
          <w:sz w:val="24"/>
        </w:rPr>
        <w:t xml:space="preserve"> </w:t>
      </w:r>
      <w:r>
        <w:rPr>
          <w:rFonts w:ascii="Arial"/>
          <w:color w:val="000000"/>
          <w:sz w:val="24"/>
        </w:rPr>
        <w:t xml:space="preserve">identifies Australia as in a </w:t>
      </w:r>
      <w:r>
        <w:rPr>
          <w:rFonts w:ascii="Arial"/>
          <w:color w:val="000000"/>
          <w:sz w:val="24"/>
        </w:rPr>
        <w:t>“</w:t>
      </w:r>
      <w:r>
        <w:rPr>
          <w:rFonts w:ascii="Arial"/>
          <w:color w:val="000000"/>
          <w:sz w:val="24"/>
        </w:rPr>
        <w:t>housing crisis</w:t>
      </w:r>
      <w:r>
        <w:rPr>
          <w:rFonts w:ascii="Arial"/>
          <w:color w:val="000000"/>
          <w:sz w:val="24"/>
        </w:rPr>
        <w:t xml:space="preserve">” </w:t>
      </w:r>
      <w:r>
        <w:rPr>
          <w:rFonts w:ascii="Arial"/>
          <w:color w:val="000000"/>
          <w:sz w:val="24"/>
        </w:rPr>
        <w:t>(agreeing with one of the objector submissions on this description [</w:t>
      </w:r>
      <w:hyperlink r:id="rId34">
        <w:r>
          <w:rPr>
            <w:rFonts w:ascii="Arial"/>
            <w:color w:val="000000"/>
            <w:sz w:val="24"/>
            <w:u w:val="single"/>
          </w:rPr>
          <w:t/>
        </w:r>
        <w:r>
          <w:rPr>
            <w:rFonts w:ascii="Arial"/>
            <w:color w:val="000000"/>
            <w:sz w:val="24"/>
          </w:rPr>
          <w:t>59</w:t>
        </w:r>
      </w:hyperlink>
      <w:hyperlink r:id="rId35">
        <w:r>
          <w:rPr>
            <w:rFonts w:ascii="Arial"/>
            <w:color w:val="000000"/>
            <w:sz w:val="24"/>
          </w:rPr>
          <w:t/>
        </w:r>
      </w:hyperlink>
      <w:r>
        <w:rPr>
          <w:rFonts w:ascii="Arial"/>
          <w:color w:val="000000"/>
          <w:sz w:val="24"/>
        </w:rPr>
        <w:t xml:space="preserve">]). The </w:t>
      </w:r>
      <w:r>
        <w:rPr>
          <w:rFonts w:ascii="Arial"/>
          <w:color w:val="000000"/>
          <w:sz w:val="24"/>
        </w:rPr>
        <w:t>“</w:t>
      </w:r>
      <w:r>
        <w:rPr>
          <w:rFonts w:ascii="Arial"/>
          <w:color w:val="000000"/>
          <w:sz w:val="24"/>
        </w:rPr>
        <w:t>crisis</w:t>
      </w:r>
      <w:r>
        <w:rPr>
          <w:rFonts w:ascii="Arial"/>
          <w:color w:val="000000"/>
          <w:sz w:val="24"/>
        </w:rPr>
        <w:t xml:space="preserve">” </w:t>
      </w:r>
      <w:r>
        <w:rPr>
          <w:rFonts w:ascii="Arial"/>
          <w:color w:val="000000"/>
          <w:sz w:val="24"/>
        </w:rPr>
        <w:t xml:space="preserve">is suggested to be </w:t>
      </w:r>
      <w:r>
        <w:rPr>
          <w:rFonts w:ascii="Arial"/>
          <w:color w:val="000000"/>
          <w:sz w:val="24"/>
        </w:rPr>
        <w:t xml:space="preserve">based on insufficient supply </w:t>
      </w:r>
      <w:r>
        <w:rPr>
          <w:rFonts w:ascii="Arial"/>
          <w:color w:val="000000"/>
          <w:sz w:val="24"/>
        </w:rPr>
        <w:t>“</w:t>
      </w:r>
      <w:r>
        <w:rPr>
          <w:rFonts w:ascii="Arial"/>
          <w:color w:val="000000"/>
          <w:sz w:val="24"/>
        </w:rPr>
        <w:t>from social housing through to market home ownership</w:t>
      </w:r>
      <w:r>
        <w:rPr>
          <w:rFonts w:ascii="Arial"/>
          <w:color w:val="000000"/>
          <w:sz w:val="24"/>
        </w:rPr>
        <w:t>”</w:t>
      </w:r>
      <w:r>
        <w:rPr>
          <w:rFonts w:ascii="Arial"/>
          <w:color w:val="000000"/>
          <w:sz w:val="24"/>
        </w:rPr>
        <w:t xml:space="preserve">; and that rather than </w:t>
      </w:r>
      <w:r>
        <w:rPr>
          <w:rFonts w:ascii="Arial"/>
          <w:color w:val="000000"/>
          <w:sz w:val="24"/>
        </w:rPr>
        <w:t>“</w:t>
      </w:r>
      <w:r>
        <w:rPr>
          <w:rFonts w:ascii="Arial"/>
          <w:color w:val="000000"/>
          <w:sz w:val="24"/>
        </w:rPr>
        <w:t>abstract and theoretical</w:t>
      </w:r>
      <w:r>
        <w:rPr>
          <w:rFonts w:ascii="Arial"/>
          <w:color w:val="000000"/>
          <w:sz w:val="24"/>
        </w:rPr>
        <w:t xml:space="preserve">” </w:t>
      </w:r>
      <w:r>
        <w:rPr>
          <w:rFonts w:ascii="Arial"/>
          <w:color w:val="000000"/>
          <w:sz w:val="24"/>
        </w:rPr>
        <w:t xml:space="preserve">the problem is real and a source of </w:t>
      </w:r>
      <w:r>
        <w:rPr>
          <w:rFonts w:ascii="Arial"/>
          <w:color w:val="000000"/>
          <w:sz w:val="24"/>
        </w:rPr>
        <w:t>“</w:t>
      </w:r>
      <w:r>
        <w:rPr>
          <w:rFonts w:ascii="Arial"/>
          <w:color w:val="000000"/>
          <w:sz w:val="24"/>
        </w:rPr>
        <w:t>significant stress</w:t>
      </w:r>
      <w:r>
        <w:rPr>
          <w:rFonts w:ascii="Arial"/>
          <w:color w:val="000000"/>
          <w:sz w:val="24"/>
        </w:rPr>
        <w:t xml:space="preserve">” </w:t>
      </w:r>
      <w:r>
        <w:rPr>
          <w:rFonts w:ascii="Arial"/>
          <w:color w:val="000000"/>
          <w:sz w:val="24"/>
        </w:rPr>
        <w:t>(p 1)</w:t>
      </w:r>
      <w:r>
        <w:rPr>
          <w:rFonts w:ascii="Arial"/>
          <w:color w:val="000000"/>
          <w:sz w:val="24"/>
        </w:rPr>
        <w:t xml:space="preserve">. </w:t>
      </w:r>
      <w:r>
        <w:rPr>
          <w:rFonts w:ascii="Arial"/>
          <w:color w:val="000000"/>
          <w:sz w:val="24"/>
        </w:rPr>
        <w:t xml:space="preserve"> </w:t>
      </w:r>
      <w:r>
        <w:rPr>
          <w:rFonts w:ascii="Arial"/>
          <w:color w:val="000000"/>
          <w:sz w:val="24"/>
        </w:rPr>
        <w:t xml:space="preserve">It </w:t>
      </w:r>
      <w:r>
        <w:rPr>
          <w:rFonts w:ascii="Arial"/>
          <w:color w:val="000000"/>
          <w:sz w:val="24"/>
        </w:rPr>
        <w:t>is not unfair to say that most NSW residents</w:t>
      </w:r>
      <w:r>
        <w:rPr>
          <w:rFonts w:ascii="Arial"/>
          <w:color w:val="000000"/>
          <w:sz w:val="24"/>
        </w:rPr>
        <w:t>, excepting those living in quite rarified space,</w:t>
      </w:r>
      <w:r>
        <w:rPr>
          <w:rFonts w:ascii="Arial"/>
          <w:color w:val="000000"/>
          <w:sz w:val="24"/>
        </w:rPr>
        <w:t xml:space="preserve"> </w:t>
      </w:r>
      <w:r>
        <w:rPr>
          <w:rFonts w:ascii="Arial"/>
          <w:color w:val="000000"/>
          <w:sz w:val="24"/>
        </w:rPr>
        <w:t>would hold a similar understanding</w:t>
      </w:r>
      <w:r>
        <w:rPr>
          <w:rFonts w:ascii="Arial"/>
          <w:color w:val="000000"/>
          <w:sz w:val="24"/>
        </w:rPr>
        <w:t xml:space="preserve">; </w:t>
      </w:r>
      <w:r>
        <w:rPr>
          <w:rFonts w:ascii="Arial"/>
          <w:color w:val="000000"/>
          <w:sz w:val="24"/>
        </w:rPr>
        <w:t xml:space="preserve">if not through direct </w:t>
      </w:r>
      <w:r>
        <w:rPr>
          <w:rFonts w:ascii="Arial"/>
          <w:color w:val="000000"/>
          <w:sz w:val="24"/>
        </w:rPr>
        <w:t>experience,</w:t>
      </w:r>
      <w:r>
        <w:rPr>
          <w:rFonts w:ascii="Arial"/>
          <w:color w:val="000000"/>
          <w:sz w:val="24"/>
        </w:rPr>
        <w:t xml:space="preserve"> </w:t>
      </w:r>
      <w:r>
        <w:rPr>
          <w:rFonts w:ascii="Arial"/>
          <w:color w:val="000000"/>
          <w:sz w:val="24"/>
        </w:rPr>
        <w:t xml:space="preserve">then that of </w:t>
      </w:r>
      <w:r>
        <w:rPr>
          <w:rFonts w:ascii="Arial"/>
          <w:color w:val="000000"/>
          <w:sz w:val="24"/>
        </w:rPr>
        <w:t xml:space="preserve">younger </w:t>
      </w:r>
      <w:r>
        <w:rPr>
          <w:rFonts w:ascii="Arial"/>
          <w:color w:val="000000"/>
          <w:sz w:val="24"/>
        </w:rPr>
        <w:t xml:space="preserve">family members. </w:t>
      </w:r>
      <w:r>
        <w:rPr>
          <w:rFonts w:ascii="Arial"/>
          <w:color w:val="000000"/>
          <w:sz w:val="24"/>
        </w:rPr>
        <w:t xml:space="preserve"> </w:t>
      </w:r>
      <w:r>
        <w:rPr>
          <w:rFonts w:ascii="Arial"/>
          <w:color w:val="000000"/>
          <w:sz w:val="24"/>
        </w:rPr>
        <w:t xml:space="preserve">There is also </w:t>
      </w:r>
      <w:r>
        <w:rPr>
          <w:rFonts w:ascii="Arial"/>
          <w:color w:val="000000"/>
          <w:sz w:val="24"/>
        </w:rPr>
        <w:t>little</w:t>
      </w:r>
      <w:r>
        <w:rPr>
          <w:rFonts w:ascii="Arial"/>
          <w:color w:val="000000"/>
          <w:sz w:val="24"/>
        </w:rPr>
        <w:t xml:space="preserve"> </w:t>
      </w:r>
      <w:r>
        <w:rPr>
          <w:rFonts w:ascii="Arial"/>
          <w:color w:val="000000"/>
          <w:sz w:val="24"/>
        </w:rPr>
        <w:t>doubt</w:t>
      </w:r>
      <w:r>
        <w:rPr>
          <w:rFonts w:ascii="Arial"/>
          <w:color w:val="000000"/>
          <w:sz w:val="24"/>
        </w:rPr>
        <w:t>,</w:t>
      </w:r>
      <w:r>
        <w:rPr>
          <w:rFonts w:ascii="Arial"/>
          <w:color w:val="000000"/>
          <w:sz w:val="24"/>
        </w:rPr>
        <w:t xml:space="preserve"> </w:t>
      </w:r>
      <w:r>
        <w:rPr>
          <w:rFonts w:ascii="Arial"/>
          <w:color w:val="000000"/>
          <w:sz w:val="24"/>
        </w:rPr>
        <w:t xml:space="preserve">based on empirical experiences of most of us, </w:t>
      </w:r>
      <w:r>
        <w:rPr>
          <w:rFonts w:ascii="Arial"/>
          <w:color w:val="000000"/>
          <w:sz w:val="24"/>
        </w:rPr>
        <w:t>that</w:t>
      </w:r>
      <w:r>
        <w:rPr>
          <w:rFonts w:ascii="Arial"/>
          <w:color w:val="000000"/>
          <w:sz w:val="24"/>
        </w:rPr>
        <w:t xml:space="preserve"> </w:t>
      </w:r>
      <w:r>
        <w:rPr>
          <w:rFonts w:ascii="Arial"/>
          <w:color w:val="000000"/>
          <w:sz w:val="24"/>
        </w:rPr>
        <w:t>Sydney</w:t>
      </w:r>
      <w:r>
        <w:rPr>
          <w:rFonts w:ascii="Arial"/>
          <w:color w:val="000000"/>
          <w:sz w:val="24"/>
        </w:rPr>
        <w:t xml:space="preserve"> </w:t>
      </w:r>
      <w:r>
        <w:rPr>
          <w:rFonts w:ascii="Arial"/>
          <w:color w:val="000000"/>
          <w:sz w:val="24"/>
        </w:rPr>
        <w:t>is at least in the thick</w:t>
      </w:r>
      <w:r>
        <w:rPr>
          <w:rFonts w:ascii="Arial"/>
          <w:color w:val="000000"/>
          <w:sz w:val="24"/>
        </w:rPr>
        <w:t>,</w:t>
      </w:r>
      <w:r>
        <w:rPr>
          <w:rFonts w:ascii="Arial"/>
          <w:color w:val="000000"/>
          <w:sz w:val="24"/>
        </w:rPr>
        <w:t xml:space="preserve"> </w:t>
      </w:r>
      <w:r>
        <w:rPr>
          <w:rFonts w:ascii="Arial"/>
          <w:color w:val="000000"/>
          <w:sz w:val="24"/>
        </w:rPr>
        <w:t>if not at the apex</w:t>
      </w:r>
      <w:r>
        <w:rPr>
          <w:rFonts w:ascii="Arial"/>
          <w:color w:val="000000"/>
          <w:sz w:val="24"/>
        </w:rPr>
        <w:t>,</w:t>
      </w:r>
      <w:r>
        <w:rPr>
          <w:rFonts w:ascii="Arial"/>
          <w:color w:val="000000"/>
          <w:sz w:val="24"/>
        </w:rPr>
        <w:t xml:space="preserve"> </w:t>
      </w:r>
      <w:r>
        <w:rPr>
          <w:rFonts w:ascii="Arial"/>
          <w:color w:val="000000"/>
          <w:sz w:val="24"/>
        </w:rPr>
        <w:t xml:space="preserve">of this </w:t>
      </w:r>
      <w:r>
        <w:rPr>
          <w:rFonts w:ascii="Arial"/>
          <w:color w:val="000000"/>
          <w:sz w:val="24"/>
        </w:rPr>
        <w:t>setting</w:t>
      </w:r>
      <w:r>
        <w:rPr>
          <w:rFonts w:ascii="Arial"/>
          <w:color w:val="000000"/>
          <w:sz w:val="24"/>
        </w:rPr>
        <w:t xml:space="preserve">. </w:t>
      </w:r>
      <w:r>
        <w:rPr>
          <w:rFonts w:ascii="Arial"/>
          <w:color w:val="000000"/>
          <w:sz w:val="24"/>
        </w:rPr>
        <w:t xml:space="preserve"> </w:t>
      </w:r>
    </w:p>
    <w:p>
      <w:pPr>
        <w:pStyle w:val="CaselawNumbered10"/>
        <w:numPr>
          <w:ilvl w:val="0"/>
          <w:numId w:val="80"/>
        </w:numPr>
        <w:spacing w:before="150" w:after="0"/>
        <w:ind w:left="600" w:hanging="600"/>
      </w:pPr>
      <w:r>
        <w:rPr>
          <w:rFonts w:ascii="Arial"/>
          <w:color w:val="000000"/>
          <w:sz w:val="24"/>
        </w:rPr>
        <w:t xml:space="preserve">The housing problem (if not crisis) relates to notable increases in </w:t>
      </w:r>
      <w:r>
        <w:rPr>
          <w:rFonts w:ascii="Arial"/>
          <w:color w:val="000000"/>
          <w:sz w:val="24"/>
        </w:rPr>
        <w:t xml:space="preserve">housing costs </w:t>
      </w:r>
      <w:r>
        <w:rPr>
          <w:rFonts w:ascii="Arial"/>
          <w:color w:val="000000"/>
          <w:sz w:val="24"/>
        </w:rPr>
        <w:t xml:space="preserve">(in relation to average earnings) </w:t>
      </w:r>
      <w:r>
        <w:rPr>
          <w:rFonts w:ascii="Arial"/>
          <w:color w:val="000000"/>
          <w:sz w:val="24"/>
        </w:rPr>
        <w:t>over recent decades</w:t>
      </w:r>
      <w:r>
        <w:rPr>
          <w:rFonts w:ascii="Arial"/>
          <w:color w:val="000000"/>
          <w:sz w:val="24"/>
        </w:rPr>
        <w:t>.</w:t>
      </w:r>
      <w:r>
        <w:rPr>
          <w:rFonts w:ascii="Arial"/>
          <w:color w:val="000000"/>
          <w:sz w:val="24"/>
        </w:rPr>
        <w:t xml:space="preserve"> </w:t>
      </w:r>
      <w:r>
        <w:rPr>
          <w:rFonts w:ascii="Arial"/>
          <w:color w:val="000000"/>
          <w:sz w:val="24"/>
        </w:rPr>
        <w:t>There are then finer points</w:t>
      </w:r>
      <w:r>
        <w:rPr>
          <w:rFonts w:ascii="Arial"/>
          <w:color w:val="000000"/>
          <w:sz w:val="24"/>
        </w:rPr>
        <w:t xml:space="preserve">, in my opinion, </w:t>
      </w:r>
      <w:r>
        <w:rPr>
          <w:rFonts w:ascii="Arial"/>
          <w:color w:val="000000"/>
          <w:sz w:val="24"/>
        </w:rPr>
        <w:t xml:space="preserve">relating to </w:t>
      </w:r>
      <w:r>
        <w:rPr>
          <w:rFonts w:ascii="Arial"/>
          <w:color w:val="000000"/>
          <w:sz w:val="24"/>
        </w:rPr>
        <w:t xml:space="preserve">inter and intra generational equity problems </w:t>
      </w:r>
      <w:r>
        <w:rPr>
          <w:rFonts w:ascii="Arial"/>
          <w:color w:val="000000"/>
          <w:sz w:val="24"/>
        </w:rPr>
        <w:t>and</w:t>
      </w:r>
      <w:r>
        <w:rPr>
          <w:rFonts w:ascii="Arial"/>
          <w:color w:val="000000"/>
          <w:sz w:val="24"/>
        </w:rPr>
        <w:t xml:space="preserve"> </w:t>
      </w:r>
      <w:r>
        <w:rPr>
          <w:rFonts w:ascii="Arial"/>
          <w:color w:val="000000"/>
          <w:sz w:val="24"/>
        </w:rPr>
        <w:t>spatially-based</w:t>
      </w:r>
      <w:r>
        <w:rPr>
          <w:rFonts w:ascii="Arial"/>
          <w:color w:val="000000"/>
          <w:sz w:val="24"/>
        </w:rPr>
        <w:t xml:space="preserve"> </w:t>
      </w:r>
      <w:r>
        <w:rPr>
          <w:rFonts w:ascii="Arial"/>
          <w:color w:val="000000"/>
          <w:sz w:val="24"/>
        </w:rPr>
        <w:t xml:space="preserve">disadvantage (housing </w:t>
      </w:r>
      <w:r>
        <w:rPr>
          <w:rFonts w:ascii="Arial"/>
          <w:color w:val="000000"/>
          <w:sz w:val="24"/>
        </w:rPr>
        <w:t xml:space="preserve">more affordable </w:t>
      </w:r>
      <w:r>
        <w:rPr>
          <w:rFonts w:ascii="Arial"/>
          <w:color w:val="000000"/>
          <w:sz w:val="24"/>
        </w:rPr>
        <w:t>in areas where accessibility to work and services is lower)</w:t>
      </w:r>
      <w:r>
        <w:rPr>
          <w:rFonts w:ascii="Arial"/>
          <w:color w:val="000000"/>
          <w:sz w:val="24"/>
        </w:rPr>
        <w:t>, which was</w:t>
      </w:r>
      <w:r>
        <w:rPr>
          <w:rFonts w:ascii="Arial"/>
          <w:color w:val="000000"/>
          <w:sz w:val="24"/>
        </w:rPr>
        <w:t xml:space="preserve"> </w:t>
      </w:r>
      <w:r>
        <w:rPr>
          <w:rFonts w:ascii="Arial"/>
          <w:color w:val="000000"/>
          <w:sz w:val="24"/>
        </w:rPr>
        <w:t xml:space="preserve">raised in </w:t>
      </w:r>
      <w:r>
        <w:rPr>
          <w:rFonts w:ascii="Arial"/>
          <w:color w:val="000000"/>
          <w:sz w:val="24"/>
        </w:rPr>
        <w:t xml:space="preserve">objecting </w:t>
      </w:r>
      <w:r>
        <w:rPr>
          <w:rFonts w:ascii="Arial"/>
          <w:color w:val="000000"/>
          <w:sz w:val="24"/>
        </w:rPr>
        <w:t>submissions</w:t>
      </w:r>
      <w:r>
        <w:rPr>
          <w:rFonts w:ascii="Arial"/>
          <w:color w:val="000000"/>
          <w:sz w:val="24"/>
        </w:rPr>
        <w:t xml:space="preserve">. This was that </w:t>
      </w:r>
      <w:r>
        <w:rPr>
          <w:rFonts w:ascii="Arial"/>
          <w:color w:val="000000"/>
          <w:sz w:val="24"/>
        </w:rPr>
        <w:t xml:space="preserve">essential workers like teachers, nurses, </w:t>
      </w:r>
      <w:r>
        <w:rPr>
          <w:rFonts w:ascii="Arial"/>
          <w:color w:val="000000"/>
          <w:sz w:val="24"/>
        </w:rPr>
        <w:t>police</w:t>
      </w:r>
      <w:r>
        <w:rPr>
          <w:rFonts w:ascii="Arial"/>
          <w:color w:val="000000"/>
          <w:sz w:val="24"/>
        </w:rPr>
        <w:t xml:space="preserve"> </w:t>
      </w:r>
      <w:r>
        <w:rPr>
          <w:rFonts w:ascii="Arial"/>
          <w:color w:val="000000"/>
          <w:sz w:val="24"/>
        </w:rPr>
        <w:t xml:space="preserve">and childcare workers </w:t>
      </w:r>
      <w:r>
        <w:rPr>
          <w:rFonts w:ascii="Arial"/>
          <w:color w:val="000000"/>
          <w:sz w:val="24"/>
        </w:rPr>
        <w:t xml:space="preserve">(key workers) </w:t>
      </w:r>
      <w:r>
        <w:rPr>
          <w:rFonts w:ascii="Arial"/>
          <w:color w:val="000000"/>
          <w:sz w:val="24"/>
        </w:rPr>
        <w:t>are priced out of home ownership and affordable rental housing</w:t>
      </w:r>
      <w:r>
        <w:rPr>
          <w:rFonts w:ascii="Arial"/>
          <w:color w:val="000000"/>
          <w:sz w:val="24"/>
        </w:rPr>
        <w:t xml:space="preserve">. The objecting submissions linked </w:t>
      </w:r>
      <w:r>
        <w:rPr>
          <w:rFonts w:ascii="Arial"/>
          <w:color w:val="000000"/>
          <w:sz w:val="24"/>
        </w:rPr>
        <w:t>“</w:t>
      </w:r>
      <w:r>
        <w:rPr>
          <w:rFonts w:ascii="Arial"/>
          <w:color w:val="000000"/>
          <w:sz w:val="24"/>
        </w:rPr>
        <w:t>young people, older people, creatives</w:t>
      </w:r>
      <w:r>
        <w:rPr>
          <w:rFonts w:ascii="Arial"/>
          <w:color w:val="000000"/>
          <w:sz w:val="24"/>
        </w:rPr>
        <w:t xml:space="preserve">” </w:t>
      </w:r>
      <w:r>
        <w:rPr>
          <w:rFonts w:ascii="Arial"/>
          <w:color w:val="000000"/>
          <w:sz w:val="24"/>
        </w:rPr>
        <w:t>to that group: [</w:t>
      </w:r>
      <w:hyperlink r:id="rId36">
        <w:r>
          <w:rPr>
            <w:rFonts w:ascii="Arial"/>
            <w:color w:val="000000"/>
            <w:sz w:val="24"/>
            <w:u w:val="single"/>
          </w:rPr>
          <w:t/>
        </w:r>
        <w:r>
          <w:rPr>
            <w:rFonts w:ascii="Arial"/>
            <w:color w:val="000000"/>
            <w:sz w:val="24"/>
          </w:rPr>
          <w:t>57</w:t>
        </w:r>
      </w:hyperlink>
      <w:hyperlink r:id="rId37">
        <w:r>
          <w:rPr>
            <w:rFonts w:ascii="Arial"/>
            <w:color w:val="000000"/>
            <w:sz w:val="24"/>
          </w:rPr>
          <w:t/>
        </w:r>
      </w:hyperlink>
      <w:r>
        <w:rPr>
          <w:rFonts w:ascii="Arial"/>
          <w:color w:val="000000"/>
          <w:sz w:val="24"/>
        </w:rPr>
        <w:t>].</w:t>
      </w:r>
    </w:p>
    <w:p>
      <w:pPr>
        <w:pStyle w:val="CaselawNumbered10"/>
        <w:numPr>
          <w:ilvl w:val="0"/>
          <w:numId w:val="80"/>
        </w:numPr>
        <w:spacing w:before="150" w:after="0"/>
        <w:ind w:left="600" w:hanging="600"/>
      </w:pPr>
      <w:r>
        <w:rPr>
          <w:rFonts w:ascii="Arial"/>
          <w:color w:val="000000"/>
          <w:sz w:val="24"/>
        </w:rPr>
        <w:t xml:space="preserve">The development control aspect of the planning system, including DA evaluation, can be expected to acquaint with access to housing for those in need of it. Insofar as the R1 zoned land in areas covered by SLEP, </w:t>
      </w:r>
      <w:r>
        <w:rPr>
          <w:rFonts w:ascii="Arial"/>
          <w:color w:val="000000"/>
          <w:sz w:val="24"/>
        </w:rPr>
        <w:t xml:space="preserve">in my opinion </w:t>
      </w:r>
      <w:r>
        <w:rPr>
          <w:rFonts w:ascii="Arial"/>
          <w:color w:val="000000"/>
          <w:sz w:val="24"/>
        </w:rPr>
        <w:t>this is manifest in the first zone objective.</w:t>
      </w:r>
      <w:r>
        <w:rPr>
          <w:rFonts w:ascii="Arial"/>
          <w:color w:val="000000"/>
          <w:sz w:val="24"/>
        </w:rPr>
        <w:t xml:space="preserve"> </w:t>
      </w:r>
      <w:r>
        <w:rPr>
          <w:rFonts w:ascii="Arial"/>
          <w:color w:val="000000"/>
          <w:sz w:val="24"/>
        </w:rPr>
        <w:t>Or to put another way, in the terminology of the principles of statutory interpretation, if</w:t>
      </w:r>
      <w:r>
        <w:rPr>
          <w:rFonts w:ascii="Arial"/>
          <w:color w:val="000000"/>
          <w:sz w:val="24"/>
        </w:rPr>
        <w:t xml:space="preserve"> </w:t>
      </w:r>
      <w:r>
        <w:rPr>
          <w:rFonts w:ascii="Arial"/>
          <w:color w:val="000000"/>
          <w:sz w:val="24"/>
        </w:rPr>
        <w:t>particular p</w:t>
      </w:r>
      <w:r>
        <w:rPr>
          <w:rFonts w:ascii="Arial"/>
          <w:color w:val="000000"/>
          <w:sz w:val="24"/>
        </w:rPr>
        <w:t xml:space="preserve">rovisions of planning instruments are </w:t>
      </w:r>
      <w:r>
        <w:rPr>
          <w:rFonts w:ascii="Arial"/>
          <w:color w:val="000000"/>
          <w:sz w:val="24"/>
        </w:rPr>
        <w:t xml:space="preserve">to be interpreted as </w:t>
      </w:r>
      <w:r>
        <w:rPr>
          <w:rFonts w:ascii="Arial"/>
          <w:color w:val="000000"/>
          <w:sz w:val="24"/>
        </w:rPr>
        <w:t xml:space="preserve">concerned with attending to a </w:t>
      </w:r>
      <w:r>
        <w:rPr>
          <w:rFonts w:ascii="Arial"/>
          <w:color w:val="000000"/>
          <w:sz w:val="24"/>
        </w:rPr>
        <w:t>“</w:t>
      </w:r>
      <w:r>
        <w:rPr>
          <w:rFonts w:ascii="Arial"/>
          <w:color w:val="000000"/>
          <w:sz w:val="24"/>
        </w:rPr>
        <w:t>mischief</w:t>
      </w:r>
      <w:r>
        <w:rPr>
          <w:rFonts w:ascii="Arial"/>
          <w:color w:val="000000"/>
          <w:sz w:val="24"/>
        </w:rPr>
        <w:t xml:space="preserve">” </w:t>
      </w:r>
      <w:r>
        <w:rPr>
          <w:rFonts w:ascii="Arial"/>
          <w:color w:val="000000"/>
          <w:sz w:val="24"/>
        </w:rPr>
        <w:t>[</w:t>
      </w:r>
      <w:hyperlink r:id="rId38">
        <w:r>
          <w:rPr>
            <w:rFonts w:ascii="Arial"/>
            <w:color w:val="000000"/>
            <w:sz w:val="24"/>
            <w:u w:val="single"/>
          </w:rPr>
          <w:t/>
        </w:r>
        <w:r>
          <w:rPr>
            <w:rFonts w:ascii="Arial"/>
            <w:color w:val="000000"/>
            <w:sz w:val="24"/>
          </w:rPr>
          <w:t>64</w:t>
        </w:r>
      </w:hyperlink>
      <w:hyperlink r:id="rId39">
        <w:r>
          <w:rPr>
            <w:rFonts w:ascii="Arial"/>
            <w:color w:val="000000"/>
            <w:sz w:val="24"/>
          </w:rPr>
          <w:t/>
        </w:r>
      </w:hyperlink>
      <w:r>
        <w:rPr>
          <w:rFonts w:ascii="Arial"/>
          <w:color w:val="000000"/>
          <w:sz w:val="24"/>
        </w:rPr>
        <w:t xml:space="preserve">], </w:t>
      </w:r>
      <w:r>
        <w:rPr>
          <w:rFonts w:ascii="Arial"/>
          <w:color w:val="000000"/>
          <w:sz w:val="24"/>
        </w:rPr>
        <w:t xml:space="preserve">the </w:t>
      </w:r>
      <w:r>
        <w:rPr>
          <w:rFonts w:ascii="Arial"/>
          <w:color w:val="000000"/>
          <w:sz w:val="24"/>
        </w:rPr>
        <w:t>“</w:t>
      </w:r>
      <w:r>
        <w:rPr>
          <w:rFonts w:ascii="Arial"/>
          <w:color w:val="000000"/>
          <w:sz w:val="24"/>
        </w:rPr>
        <w:t>mischief</w:t>
      </w:r>
      <w:r>
        <w:rPr>
          <w:rFonts w:ascii="Arial"/>
          <w:color w:val="000000"/>
          <w:sz w:val="24"/>
        </w:rPr>
        <w:t xml:space="preserve">” </w:t>
      </w:r>
      <w:r>
        <w:rPr>
          <w:rFonts w:ascii="Arial"/>
          <w:color w:val="000000"/>
          <w:sz w:val="24"/>
        </w:rPr>
        <w:t xml:space="preserve">that the first zone objective is seeking to address is deep-seated problems with providing required levels of housing to meet essential community needs. </w:t>
      </w:r>
      <w:r>
        <w:rPr>
          <w:rFonts w:ascii="Arial"/>
          <w:color w:val="000000"/>
          <w:sz w:val="24"/>
        </w:rPr>
        <w:t xml:space="preserve">In my interpretation of both </w:t>
      </w:r>
      <w:r>
        <w:rPr>
          <w:rFonts w:ascii="Arial"/>
          <w:color w:val="000000"/>
          <w:sz w:val="24"/>
        </w:rPr>
        <w:t>a direct reading of the text, but also mindful of the contextual setting of the provision</w:t>
      </w:r>
      <w:r>
        <w:rPr>
          <w:rFonts w:ascii="Arial"/>
          <w:color w:val="000000"/>
          <w:sz w:val="24"/>
        </w:rPr>
        <w:t>, each of the two factors identified initially in the first interpretation option (at [</w:t>
      </w:r>
      <w:hyperlink r:id="rId40">
        <w:r>
          <w:rPr>
            <w:rFonts w:ascii="Arial"/>
            <w:color w:val="000000"/>
            <w:sz w:val="24"/>
            <w:u w:val="single"/>
          </w:rPr>
          <w:t/>
        </w:r>
        <w:r>
          <w:rPr>
            <w:rFonts w:ascii="Arial"/>
            <w:color w:val="000000"/>
            <w:sz w:val="24"/>
          </w:rPr>
          <w:t>61</w:t>
        </w:r>
      </w:hyperlink>
      <w:hyperlink r:id="rId41">
        <w:r>
          <w:rPr>
            <w:rFonts w:ascii="Arial"/>
            <w:color w:val="000000"/>
            <w:sz w:val="24"/>
          </w:rPr>
          <w:t/>
        </w:r>
      </w:hyperlink>
      <w:r>
        <w:rPr>
          <w:rFonts w:ascii="Arial"/>
          <w:color w:val="000000"/>
          <w:sz w:val="24"/>
        </w:rPr>
        <w:t>]) are relevant</w:t>
      </w:r>
      <w:r>
        <w:rPr>
          <w:rFonts w:ascii="Arial"/>
          <w:color w:val="000000"/>
          <w:sz w:val="24"/>
        </w:rPr>
        <w:t xml:space="preserve">. </w:t>
      </w:r>
      <w:r>
        <w:rPr>
          <w:rFonts w:ascii="Arial"/>
          <w:color w:val="000000"/>
          <w:sz w:val="24"/>
        </w:rPr>
        <w:t xml:space="preserve"> </w:t>
      </w:r>
      <w:r>
        <w:rPr>
          <w:rFonts w:ascii="Arial"/>
          <w:color w:val="000000"/>
          <w:sz w:val="24"/>
        </w:rPr>
        <w:t>That is, that the first zone objective</w:t>
      </w:r>
      <w:r>
        <w:rPr>
          <w:rFonts w:ascii="Arial"/>
          <w:color w:val="000000"/>
          <w:sz w:val="24"/>
        </w:rPr>
        <w:t>’</w:t>
      </w:r>
      <w:r>
        <w:rPr>
          <w:rFonts w:ascii="Arial"/>
          <w:color w:val="000000"/>
          <w:sz w:val="24"/>
        </w:rPr>
        <w:t>s particular mischief involves both supply of housing stock generally and the accessibility of housing (</w:t>
      </w:r>
      <w:r>
        <w:rPr>
          <w:rFonts w:ascii="Arial"/>
          <w:color w:val="000000"/>
          <w:sz w:val="24"/>
        </w:rPr>
        <w:t>ie</w:t>
      </w:r>
      <w:r>
        <w:rPr>
          <w:rFonts w:ascii="Arial"/>
          <w:color w:val="000000"/>
          <w:sz w:val="24"/>
        </w:rPr>
        <w:t xml:space="preserve"> </w:t>
      </w:r>
      <w:r>
        <w:rPr>
          <w:rFonts w:ascii="Arial"/>
          <w:color w:val="000000"/>
          <w:sz w:val="24"/>
        </w:rPr>
        <w:t>including affordability).</w:t>
      </w:r>
    </w:p>
    <w:p>
      <w:pPr>
        <w:pStyle w:val="CaselawNumbered10"/>
        <w:numPr>
          <w:ilvl w:val="0"/>
          <w:numId w:val="80"/>
        </w:numPr>
        <w:spacing w:before="150" w:after="0"/>
        <w:ind w:left="600" w:hanging="600"/>
      </w:pPr>
      <w:r>
        <w:rPr>
          <w:rFonts w:ascii="Arial"/>
          <w:color w:val="000000"/>
          <w:sz w:val="24"/>
        </w:rPr>
        <w:t xml:space="preserve">The </w:t>
      </w:r>
      <w:r>
        <w:rPr>
          <w:rFonts w:ascii="Arial"/>
          <w:color w:val="000000"/>
          <w:sz w:val="24"/>
        </w:rPr>
        <w:t xml:space="preserve">replacement of the existing (smaller, more </w:t>
      </w:r>
      <w:r>
        <w:rPr>
          <w:rFonts w:ascii="Arial"/>
          <w:color w:val="000000"/>
          <w:sz w:val="24"/>
        </w:rPr>
        <w:t>affordable</w:t>
      </w:r>
      <w:r>
        <w:rPr>
          <w:rFonts w:ascii="Arial"/>
          <w:color w:val="000000"/>
          <w:sz w:val="24"/>
        </w:rPr>
        <w:t xml:space="preserve"> </w:t>
      </w:r>
      <w:r>
        <w:rPr>
          <w:rFonts w:ascii="Arial"/>
          <w:color w:val="000000"/>
          <w:sz w:val="24"/>
        </w:rPr>
        <w:t xml:space="preserve">and perhaps lower amenity) housing with larger and higher amenity housing; as a suggested </w:t>
      </w:r>
      <w:r>
        <w:rPr>
          <w:rFonts w:ascii="Arial"/>
          <w:color w:val="000000"/>
          <w:sz w:val="24"/>
        </w:rPr>
        <w:t xml:space="preserve">beneficial outcome in providing </w:t>
      </w:r>
      <w:r>
        <w:rPr>
          <w:rFonts w:ascii="Arial"/>
          <w:color w:val="000000"/>
          <w:sz w:val="24"/>
        </w:rPr>
        <w:t xml:space="preserve">for a more diverse population in the local Elizabeth Bay precinct, </w:t>
      </w:r>
      <w:r>
        <w:rPr>
          <w:rFonts w:ascii="Arial"/>
          <w:color w:val="000000"/>
          <w:sz w:val="24"/>
        </w:rPr>
        <w:t>whether or not that is a good thing overall, lines up</w:t>
      </w:r>
      <w:r>
        <w:rPr>
          <w:rFonts w:ascii="Arial"/>
          <w:color w:val="000000"/>
          <w:sz w:val="24"/>
        </w:rPr>
        <w:t xml:space="preserve"> </w:t>
      </w:r>
      <w:r>
        <w:rPr>
          <w:rFonts w:ascii="Arial"/>
          <w:color w:val="000000"/>
          <w:sz w:val="24"/>
        </w:rPr>
        <w:t xml:space="preserve">with the second </w:t>
      </w:r>
      <w:r>
        <w:rPr>
          <w:rFonts w:ascii="Arial"/>
          <w:color w:val="000000"/>
          <w:sz w:val="24"/>
        </w:rPr>
        <w:t xml:space="preserve">R1 </w:t>
      </w:r>
      <w:r>
        <w:rPr>
          <w:rFonts w:ascii="Arial"/>
          <w:color w:val="000000"/>
          <w:sz w:val="24"/>
        </w:rPr>
        <w:t xml:space="preserve">zone objective </w:t>
      </w:r>
      <w:r>
        <w:rPr>
          <w:rFonts w:ascii="Arial"/>
          <w:color w:val="000000"/>
          <w:sz w:val="24"/>
        </w:rPr>
        <w:t>(</w:t>
      </w:r>
      <w:r>
        <w:rPr>
          <w:rFonts w:ascii="Arial"/>
          <w:color w:val="000000"/>
          <w:sz w:val="24"/>
        </w:rPr>
        <w:t>“</w:t>
      </w:r>
      <w:r>
        <w:rPr>
          <w:rFonts w:ascii="Arial"/>
          <w:color w:val="000000"/>
          <w:sz w:val="24"/>
        </w:rPr>
        <w:t>provide for a variety of housing types and densities</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 </w:t>
      </w:r>
      <w:r>
        <w:rPr>
          <w:rFonts w:ascii="Arial"/>
          <w:color w:val="000000"/>
          <w:sz w:val="24"/>
        </w:rPr>
        <w:t xml:space="preserve">But the first zone objective is the point of concern for me, and again under the principles of statutory construction, and the notion that words must have </w:t>
      </w:r>
      <w:r>
        <w:rPr>
          <w:rFonts w:ascii="Arial"/>
          <w:color w:val="000000"/>
          <w:sz w:val="24"/>
        </w:rPr>
        <w:t>“</w:t>
      </w:r>
      <w:r>
        <w:rPr>
          <w:rFonts w:ascii="Arial"/>
          <w:color w:val="000000"/>
          <w:sz w:val="24"/>
        </w:rPr>
        <w:t>work to do</w:t>
      </w:r>
      <w:r>
        <w:rPr>
          <w:rFonts w:ascii="Arial"/>
          <w:color w:val="000000"/>
          <w:sz w:val="24"/>
        </w:rPr>
        <w:t>”</w:t>
      </w:r>
      <w:r>
        <w:rPr>
          <w:rFonts w:ascii="Arial"/>
          <w:color w:val="000000"/>
          <w:sz w:val="24"/>
        </w:rPr>
        <w:t xml:space="preserve">, it cannot be held that the second </w:t>
      </w:r>
      <w:r>
        <w:rPr>
          <w:rFonts w:ascii="Arial"/>
          <w:color w:val="000000"/>
          <w:sz w:val="24"/>
        </w:rPr>
        <w:t>interpretation option (at [</w:t>
      </w:r>
      <w:hyperlink r:id="rId42">
        <w:r>
          <w:rPr>
            <w:rFonts w:ascii="Arial"/>
            <w:color w:val="000000"/>
            <w:sz w:val="24"/>
            <w:u w:val="single"/>
          </w:rPr>
          <w:t/>
        </w:r>
        <w:r>
          <w:rPr>
            <w:rFonts w:ascii="Arial"/>
            <w:color w:val="000000"/>
            <w:sz w:val="24"/>
          </w:rPr>
          <w:t>61</w:t>
        </w:r>
      </w:hyperlink>
      <w:hyperlink r:id="rId43">
        <w:r>
          <w:rPr>
            <w:rFonts w:ascii="Arial"/>
            <w:color w:val="000000"/>
            <w:sz w:val="24"/>
          </w:rPr>
          <w:t/>
        </w:r>
      </w:hyperlink>
      <w:r>
        <w:rPr>
          <w:rFonts w:ascii="Arial"/>
          <w:color w:val="000000"/>
          <w:sz w:val="24"/>
        </w:rPr>
        <w:t>]) is correct. If so the second zone objective would have no work to do.</w:t>
      </w:r>
    </w:p>
    <w:p>
      <w:pPr>
        <w:pStyle w:val="CaselawHeading3"/>
        <w:keepNext/>
        <w:spacing w:before="150" w:after="150" w:line="264"/>
        <w:ind w:left="0"/>
        <w:jc w:val="left"/>
      </w:pPr>
      <w:r>
        <w:rPr>
          <w:rFonts w:ascii="Arial"/>
        </w:rPr>
        <w:t>Proposed development is not consistent with the first objective of the R1 zone</w:t>
      </w:r>
      <w:r>
        <w:rPr>
          <w:rFonts w:ascii="Arial"/>
        </w:rPr>
        <w:t xml:space="preserve"> to “provide for housing needs of the community” – no power to grant </w:t>
      </w:r>
      <w:r>
        <w:rPr>
          <w:rFonts w:ascii="Arial"/>
        </w:rPr>
        <w:t>consent</w:t>
      </w:r>
      <w:r>
        <w:rPr>
          <w:rFonts w:ascii="Arial"/>
        </w:rPr>
        <w:t xml:space="preserve"> </w:t>
      </w:r>
    </w:p>
    <w:p>
      <w:pPr>
        <w:pStyle w:val="CaselawNumbered10"/>
        <w:numPr>
          <w:ilvl w:val="0"/>
          <w:numId w:val="81"/>
        </w:numPr>
        <w:spacing w:before="150" w:after="0"/>
        <w:ind w:left="600" w:hanging="600"/>
      </w:pPr>
      <w:r>
        <w:rPr>
          <w:rFonts w:ascii="Arial"/>
          <w:color w:val="000000"/>
          <w:sz w:val="24"/>
        </w:rPr>
        <w:t>I</w:t>
      </w:r>
      <w:r>
        <w:rPr>
          <w:rFonts w:ascii="Arial"/>
          <w:color w:val="000000"/>
          <w:sz w:val="24"/>
        </w:rPr>
        <w:t xml:space="preserve">t is </w:t>
      </w:r>
      <w:r>
        <w:rPr>
          <w:rFonts w:ascii="Arial"/>
          <w:color w:val="000000"/>
          <w:sz w:val="24"/>
        </w:rPr>
        <w:t xml:space="preserve">certainly </w:t>
      </w:r>
      <w:r>
        <w:rPr>
          <w:rFonts w:ascii="Arial"/>
          <w:color w:val="000000"/>
          <w:sz w:val="24"/>
        </w:rPr>
        <w:t xml:space="preserve">not always the case that in the development application evaluation process there is a requirement for a finding on the part of the consent authority that a development </w:t>
      </w:r>
      <w:r>
        <w:rPr>
          <w:rFonts w:ascii="Arial"/>
          <w:color w:val="000000"/>
          <w:sz w:val="24"/>
        </w:rPr>
        <w:t>is</w:t>
      </w:r>
      <w:r>
        <w:rPr>
          <w:rFonts w:ascii="Arial"/>
          <w:color w:val="000000"/>
          <w:sz w:val="24"/>
        </w:rPr>
        <w:t xml:space="preserve"> </w:t>
      </w:r>
      <w:r>
        <w:rPr>
          <w:rFonts w:ascii="Arial"/>
          <w:color w:val="000000"/>
          <w:sz w:val="24"/>
        </w:rPr>
        <w:t>consistent with a related zone objective. But when proposed development breaches a development standard, that test</w:t>
      </w:r>
      <w:r>
        <w:rPr>
          <w:rFonts w:ascii="Arial"/>
          <w:color w:val="000000"/>
          <w:sz w:val="24"/>
        </w:rPr>
        <w:t xml:space="preserve"> </w:t>
      </w:r>
      <w:r>
        <w:rPr>
          <w:rFonts w:ascii="Arial"/>
          <w:color w:val="000000"/>
          <w:sz w:val="24"/>
        </w:rPr>
        <w:t>(as applicable in this instance)</w:t>
      </w:r>
      <w:r>
        <w:rPr>
          <w:rFonts w:ascii="Arial"/>
          <w:color w:val="000000"/>
          <w:sz w:val="24"/>
        </w:rPr>
        <w:t xml:space="preserve">, requiring </w:t>
      </w:r>
      <w:r>
        <w:rPr>
          <w:rFonts w:ascii="Arial"/>
          <w:color w:val="000000"/>
          <w:sz w:val="24"/>
        </w:rPr>
        <w:t xml:space="preserve">such </w:t>
      </w:r>
      <w:r>
        <w:rPr>
          <w:rFonts w:ascii="Arial"/>
          <w:color w:val="000000"/>
          <w:sz w:val="24"/>
        </w:rPr>
        <w:t xml:space="preserve">a positive finding of the </w:t>
      </w:r>
      <w:r>
        <w:rPr>
          <w:rFonts w:ascii="Arial"/>
          <w:color w:val="000000"/>
          <w:sz w:val="24"/>
        </w:rPr>
        <w:t>particular decision-maker</w:t>
      </w:r>
      <w:r>
        <w:rPr>
          <w:rFonts w:ascii="Arial"/>
          <w:color w:val="000000"/>
          <w:sz w:val="24"/>
        </w:rPr>
        <w:t xml:space="preserve"> </w:t>
      </w:r>
      <w:r>
        <w:rPr>
          <w:rFonts w:ascii="Arial"/>
          <w:color w:val="000000"/>
          <w:sz w:val="24"/>
        </w:rPr>
        <w:t>(under the applicable provisions of s 4.</w:t>
      </w:r>
      <w:r>
        <w:rPr>
          <w:rFonts w:ascii="Arial"/>
          <w:color w:val="000000"/>
          <w:sz w:val="24"/>
        </w:rPr>
        <w:t>6 of SLEP)</w:t>
      </w:r>
      <w:r>
        <w:rPr>
          <w:rFonts w:ascii="Arial"/>
          <w:color w:val="000000"/>
          <w:sz w:val="24"/>
        </w:rPr>
        <w:t>, happens to apply.</w:t>
      </w:r>
      <w:r>
        <w:rPr>
          <w:rFonts w:ascii="Arial"/>
          <w:color w:val="000000"/>
          <w:sz w:val="24"/>
        </w:rPr>
        <w:t xml:space="preserve"> </w:t>
      </w:r>
    </w:p>
    <w:p>
      <w:pPr>
        <w:pStyle w:val="CaselawNumbered10"/>
        <w:numPr>
          <w:ilvl w:val="0"/>
          <w:numId w:val="81"/>
        </w:numPr>
        <w:spacing w:before="150" w:after="0"/>
        <w:ind w:left="600" w:hanging="600"/>
      </w:pPr>
      <w:r>
        <w:rPr>
          <w:rFonts w:ascii="Arial"/>
          <w:color w:val="000000"/>
          <w:sz w:val="24"/>
        </w:rPr>
        <w:t>While I have been mindful of other opinions and documentary particulars, it is my own finding, essentially in</w:t>
      </w:r>
      <w:r>
        <w:rPr>
          <w:rFonts w:ascii="Arial"/>
          <w:color w:val="000000"/>
          <w:sz w:val="24"/>
        </w:rPr>
        <w:t xml:space="preserve"> </w:t>
      </w:r>
      <w:r>
        <w:rPr>
          <w:rFonts w:ascii="Arial"/>
          <w:color w:val="000000"/>
          <w:sz w:val="24"/>
        </w:rPr>
        <w:t>accordance with the reasoning outlined above, that the</w:t>
      </w:r>
      <w:r>
        <w:rPr>
          <w:rFonts w:ascii="Arial"/>
          <w:color w:val="000000"/>
          <w:sz w:val="24"/>
        </w:rPr>
        <w:t xml:space="preserve"> </w:t>
      </w:r>
      <w:r>
        <w:rPr>
          <w:rFonts w:ascii="Arial"/>
          <w:color w:val="000000"/>
          <w:sz w:val="24"/>
        </w:rPr>
        <w:t>proposed development is inconsistent with the first objective of the R1 zone</w:t>
      </w:r>
      <w:r>
        <w:rPr>
          <w:rFonts w:ascii="Arial"/>
          <w:color w:val="000000"/>
          <w:sz w:val="24"/>
        </w:rPr>
        <w:t>. This is because the proposed development</w:t>
      </w:r>
      <w:r>
        <w:rPr>
          <w:rFonts w:ascii="Arial"/>
          <w:color w:val="000000"/>
          <w:sz w:val="24"/>
        </w:rPr>
        <w:t xml:space="preserve"> </w:t>
      </w:r>
      <w:r>
        <w:rPr>
          <w:rFonts w:ascii="Arial"/>
          <w:color w:val="000000"/>
          <w:sz w:val="24"/>
        </w:rPr>
        <w:t xml:space="preserve">would (1) decrease housing provision overall, (2) decrease the availability </w:t>
      </w:r>
      <w:r>
        <w:rPr>
          <w:rFonts w:ascii="Arial"/>
          <w:color w:val="000000"/>
          <w:sz w:val="24"/>
        </w:rPr>
        <w:t xml:space="preserve">of </w:t>
      </w:r>
      <w:r>
        <w:rPr>
          <w:rFonts w:ascii="Arial"/>
          <w:color w:val="000000"/>
          <w:sz w:val="24"/>
        </w:rPr>
        <w:t>more affordable housing</w:t>
      </w:r>
      <w:r>
        <w:rPr>
          <w:rFonts w:ascii="Arial"/>
          <w:color w:val="000000"/>
          <w:sz w:val="24"/>
        </w:rPr>
        <w:t>. E</w:t>
      </w:r>
      <w:r>
        <w:rPr>
          <w:rFonts w:ascii="Arial"/>
          <w:color w:val="000000"/>
          <w:sz w:val="24"/>
        </w:rPr>
        <w:t xml:space="preserve">ach </w:t>
      </w:r>
      <w:r>
        <w:rPr>
          <w:rFonts w:ascii="Arial"/>
          <w:color w:val="000000"/>
          <w:sz w:val="24"/>
        </w:rPr>
        <w:t xml:space="preserve">of these aspects of the proposal </w:t>
      </w:r>
      <w:r>
        <w:rPr>
          <w:rFonts w:ascii="Arial"/>
          <w:color w:val="000000"/>
          <w:sz w:val="24"/>
        </w:rPr>
        <w:t xml:space="preserve">work against the </w:t>
      </w:r>
      <w:r>
        <w:rPr>
          <w:rFonts w:ascii="Arial"/>
          <w:color w:val="000000"/>
          <w:sz w:val="24"/>
        </w:rPr>
        <w:t xml:space="preserve">first R1 zone </w:t>
      </w:r>
      <w:r>
        <w:rPr>
          <w:rFonts w:ascii="Arial"/>
          <w:color w:val="000000"/>
          <w:sz w:val="24"/>
        </w:rPr>
        <w:t xml:space="preserve">objective of </w:t>
      </w:r>
      <w:r>
        <w:rPr>
          <w:rFonts w:ascii="Arial"/>
          <w:color w:val="000000"/>
          <w:sz w:val="24"/>
        </w:rPr>
        <w:t>“</w:t>
      </w:r>
      <w:r>
        <w:rPr>
          <w:rFonts w:ascii="Arial"/>
          <w:color w:val="000000"/>
          <w:sz w:val="24"/>
        </w:rPr>
        <w:t>providing for the housing needs of the community</w:t>
      </w:r>
      <w:r>
        <w:rPr>
          <w:rFonts w:ascii="Arial"/>
          <w:color w:val="000000"/>
          <w:sz w:val="24"/>
        </w:rPr>
        <w:t>”</w:t>
      </w:r>
      <w:r>
        <w:rPr>
          <w:rFonts w:ascii="Arial"/>
          <w:color w:val="000000"/>
          <w:sz w:val="24"/>
        </w:rPr>
        <w:t>.</w:t>
      </w:r>
    </w:p>
    <w:p>
      <w:pPr>
        <w:pStyle w:val="CaselawNumbered10"/>
        <w:numPr>
          <w:ilvl w:val="0"/>
          <w:numId w:val="81"/>
        </w:numPr>
        <w:spacing w:before="150" w:after="0"/>
        <w:ind w:left="600" w:hanging="600"/>
      </w:pPr>
      <w:r>
        <w:rPr>
          <w:rFonts w:ascii="Arial"/>
          <w:color w:val="000000"/>
          <w:sz w:val="24"/>
        </w:rPr>
        <w:t>Given this finding, power is not available to grant consent to the proposal.</w:t>
      </w:r>
    </w:p>
    <w:p>
      <w:pPr>
        <w:pStyle w:val="CaselawHeading2"/>
        <w:keepNext/>
        <w:spacing w:before="150" w:after="150" w:line="264"/>
        <w:ind w:left="0"/>
        <w:jc w:val="left"/>
      </w:pPr>
      <w:r>
        <w:rPr>
          <w:rFonts w:ascii="Arial"/>
        </w:rPr>
        <w:t>The</w:t>
      </w:r>
      <w:r>
        <w:rPr>
          <w:rFonts w:ascii="Arial"/>
        </w:rPr>
        <w:t xml:space="preserve"> requirement for </w:t>
      </w:r>
      <w:r>
        <w:rPr>
          <w:rFonts w:ascii="Arial"/>
        </w:rPr>
        <w:t>a</w:t>
      </w:r>
      <w:r>
        <w:rPr>
          <w:rFonts w:ascii="Arial"/>
        </w:rPr>
        <w:t xml:space="preserve"> “planning mechanism” </w:t>
      </w:r>
      <w:r>
        <w:rPr>
          <w:rFonts w:ascii="Arial"/>
        </w:rPr>
        <w:t>or other similar matters</w:t>
      </w:r>
      <w:r>
        <w:rPr>
          <w:rFonts w:ascii="Arial"/>
        </w:rPr>
        <w:t xml:space="preserve"> as raised in expert evidence do not bring a different jurisdictional </w:t>
      </w:r>
      <w:r>
        <w:rPr>
          <w:rFonts w:ascii="Arial"/>
        </w:rPr>
        <w:t>position</w:t>
      </w:r>
    </w:p>
    <w:p>
      <w:pPr>
        <w:pStyle w:val="CaselawNumbered10"/>
        <w:numPr>
          <w:ilvl w:val="0"/>
          <w:numId w:val="82"/>
        </w:numPr>
        <w:spacing w:before="150" w:after="0"/>
        <w:ind w:left="600" w:hanging="600"/>
      </w:pPr>
      <w:r>
        <w:rPr>
          <w:rFonts w:ascii="Arial"/>
          <w:color w:val="000000"/>
          <w:sz w:val="24"/>
        </w:rPr>
        <w:t>In expert evidence, re</w:t>
      </w:r>
      <w:r>
        <w:rPr>
          <w:rFonts w:ascii="Arial"/>
          <w:color w:val="000000"/>
          <w:sz w:val="24"/>
        </w:rPr>
        <w:t>ference</w:t>
      </w:r>
      <w:r>
        <w:rPr>
          <w:rFonts w:ascii="Arial"/>
          <w:color w:val="000000"/>
          <w:sz w:val="24"/>
        </w:rPr>
        <w:t xml:space="preserve"> </w:t>
      </w:r>
      <w:r>
        <w:rPr>
          <w:rFonts w:ascii="Arial"/>
          <w:color w:val="000000"/>
          <w:sz w:val="24"/>
        </w:rPr>
        <w:t>was made</w:t>
      </w:r>
      <w:r>
        <w:rPr>
          <w:rFonts w:ascii="Arial"/>
          <w:color w:val="000000"/>
          <w:sz w:val="24"/>
        </w:rPr>
        <w:t xml:space="preserve"> </w:t>
      </w:r>
      <w:r>
        <w:rPr>
          <w:rFonts w:ascii="Arial"/>
          <w:color w:val="000000"/>
          <w:sz w:val="24"/>
        </w:rPr>
        <w:t xml:space="preserve">to </w:t>
      </w:r>
      <w:r>
        <w:rPr>
          <w:rFonts w:ascii="Arial"/>
          <w:color w:val="000000"/>
          <w:sz w:val="24"/>
        </w:rPr>
        <w:t xml:space="preserve">certain policy provisions or draft provisions, which I think in one way or another, the experts believed did not empower a decision to </w:t>
      </w:r>
      <w:r>
        <w:rPr>
          <w:rFonts w:ascii="Arial"/>
          <w:color w:val="000000"/>
          <w:sz w:val="24"/>
        </w:rPr>
        <w:t>“</w:t>
      </w:r>
      <w:r>
        <w:rPr>
          <w:rFonts w:ascii="Arial"/>
          <w:color w:val="000000"/>
          <w:sz w:val="24"/>
        </w:rPr>
        <w:t>prohibit reduction in dwellings</w:t>
      </w:r>
      <w:r>
        <w:rPr>
          <w:rFonts w:ascii="Arial"/>
          <w:color w:val="000000"/>
          <w:sz w:val="24"/>
        </w:rPr>
        <w:t>”</w:t>
      </w:r>
      <w:r>
        <w:rPr>
          <w:rFonts w:ascii="Arial"/>
          <w:color w:val="000000"/>
          <w:sz w:val="24"/>
        </w:rPr>
        <w:t>: [</w:t>
      </w:r>
      <w:hyperlink r:id="rId44">
        <w:r>
          <w:rPr>
            <w:rFonts w:ascii="Arial"/>
            <w:color w:val="000000"/>
            <w:sz w:val="24"/>
            <w:u w:val="single"/>
          </w:rPr>
          <w:t/>
        </w:r>
        <w:r>
          <w:rPr>
            <w:rFonts w:ascii="Arial"/>
            <w:color w:val="000000"/>
            <w:sz w:val="24"/>
          </w:rPr>
          <w:t>52</w:t>
        </w:r>
      </w:hyperlink>
      <w:hyperlink r:id="rId45">
        <w:r>
          <w:rPr>
            <w:rFonts w:ascii="Arial"/>
            <w:color w:val="000000"/>
            <w:sz w:val="24"/>
          </w:rPr>
          <w:t/>
        </w:r>
      </w:hyperlink>
      <w:r>
        <w:rPr>
          <w:rFonts w:ascii="Arial"/>
          <w:color w:val="000000"/>
          <w:sz w:val="24"/>
        </w:rPr>
        <w:t>]-[</w:t>
      </w:r>
      <w:hyperlink r:id="rId46">
        <w:r>
          <w:rPr>
            <w:rFonts w:ascii="Arial"/>
            <w:color w:val="000000"/>
            <w:sz w:val="24"/>
            <w:u w:val="single"/>
          </w:rPr>
          <w:t/>
        </w:r>
        <w:r>
          <w:rPr>
            <w:rFonts w:ascii="Arial"/>
            <w:color w:val="000000"/>
            <w:sz w:val="24"/>
          </w:rPr>
          <w:t>53</w:t>
        </w:r>
      </w:hyperlink>
      <w:hyperlink r:id="rId47">
        <w:r>
          <w:rPr>
            <w:rFonts w:ascii="Arial"/>
            <w:color w:val="000000"/>
            <w:sz w:val="24"/>
          </w:rPr>
          <w:t/>
        </w:r>
      </w:hyperlink>
      <w:r>
        <w:rPr>
          <w:rFonts w:ascii="Arial"/>
          <w:color w:val="000000"/>
          <w:sz w:val="24"/>
        </w:rPr>
        <w:t>]</w:t>
      </w:r>
      <w:r>
        <w:rPr>
          <w:rFonts w:ascii="Arial"/>
          <w:color w:val="000000"/>
          <w:sz w:val="24"/>
        </w:rPr>
        <w:t xml:space="preserve">. </w:t>
      </w:r>
      <w:r>
        <w:rPr>
          <w:rFonts w:ascii="Arial"/>
          <w:color w:val="000000"/>
          <w:sz w:val="24"/>
        </w:rPr>
        <w:t xml:space="preserve"> </w:t>
      </w:r>
      <w:r>
        <w:rPr>
          <w:rFonts w:ascii="Arial"/>
          <w:color w:val="000000"/>
          <w:sz w:val="24"/>
        </w:rPr>
        <w:t>I was not persuaded that any of the</w:t>
      </w:r>
      <w:r>
        <w:rPr>
          <w:rFonts w:ascii="Arial"/>
          <w:color w:val="000000"/>
          <w:sz w:val="24"/>
        </w:rPr>
        <w:t xml:space="preserve"> </w:t>
      </w:r>
      <w:r>
        <w:rPr>
          <w:rFonts w:ascii="Arial"/>
          <w:color w:val="000000"/>
          <w:sz w:val="24"/>
        </w:rPr>
        <w:t>referenced</w:t>
      </w:r>
      <w:r>
        <w:rPr>
          <w:rFonts w:ascii="Arial"/>
          <w:color w:val="000000"/>
          <w:sz w:val="24"/>
        </w:rPr>
        <w:t xml:space="preserve"> </w:t>
      </w:r>
      <w:r>
        <w:rPr>
          <w:rFonts w:ascii="Arial"/>
          <w:color w:val="000000"/>
          <w:sz w:val="24"/>
        </w:rPr>
        <w:t xml:space="preserve">provisions </w:t>
      </w:r>
      <w:r>
        <w:rPr>
          <w:rFonts w:ascii="Arial"/>
          <w:color w:val="000000"/>
          <w:sz w:val="24"/>
        </w:rPr>
        <w:t>“</w:t>
      </w:r>
      <w:r>
        <w:rPr>
          <w:rFonts w:ascii="Arial"/>
          <w:color w:val="000000"/>
          <w:sz w:val="24"/>
        </w:rPr>
        <w:t>prohibit</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or perhaps better </w:t>
      </w:r>
      <w:r>
        <w:rPr>
          <w:rFonts w:ascii="Arial"/>
          <w:color w:val="000000"/>
          <w:sz w:val="24"/>
        </w:rPr>
        <w:t>put</w:t>
      </w:r>
      <w:r>
        <w:rPr>
          <w:rFonts w:ascii="Arial"/>
          <w:color w:val="000000"/>
          <w:sz w:val="24"/>
        </w:rPr>
        <w:t>,</w:t>
      </w:r>
      <w:r>
        <w:rPr>
          <w:rFonts w:ascii="Arial"/>
          <w:color w:val="000000"/>
          <w:sz w:val="24"/>
        </w:rPr>
        <w:t xml:space="preserve"> </w:t>
      </w:r>
      <w:r>
        <w:rPr>
          <w:rFonts w:ascii="Arial"/>
          <w:color w:val="000000"/>
          <w:sz w:val="24"/>
        </w:rPr>
        <w:t xml:space="preserve">direct </w:t>
      </w:r>
      <w:r>
        <w:rPr>
          <w:rFonts w:ascii="Arial"/>
          <w:color w:val="000000"/>
          <w:sz w:val="24"/>
        </w:rPr>
        <w:t>(</w:t>
      </w:r>
      <w:r>
        <w:rPr>
          <w:rFonts w:ascii="Arial"/>
          <w:color w:val="000000"/>
          <w:sz w:val="24"/>
        </w:rPr>
        <w:t>in a legal sense</w:t>
      </w:r>
      <w:r>
        <w:rPr>
          <w:rFonts w:ascii="Arial"/>
          <w:color w:val="000000"/>
          <w:sz w:val="24"/>
        </w:rPr>
        <w:t>)</w:t>
      </w:r>
      <w:r>
        <w:rPr>
          <w:rFonts w:ascii="Arial"/>
          <w:color w:val="000000"/>
          <w:sz w:val="24"/>
        </w:rPr>
        <w:t xml:space="preserve"> </w:t>
      </w:r>
      <w:r>
        <w:rPr>
          <w:rFonts w:ascii="Arial"/>
          <w:color w:val="000000"/>
          <w:sz w:val="24"/>
        </w:rPr>
        <w:t xml:space="preserve">the decision I </w:t>
      </w:r>
      <w:r>
        <w:rPr>
          <w:rFonts w:ascii="Arial"/>
          <w:color w:val="000000"/>
          <w:sz w:val="24"/>
        </w:rPr>
        <w:t xml:space="preserve">have </w:t>
      </w:r>
      <w:r>
        <w:rPr>
          <w:rFonts w:ascii="Arial"/>
          <w:color w:val="000000"/>
          <w:sz w:val="24"/>
        </w:rPr>
        <w:t>to</w:t>
      </w:r>
      <w:r>
        <w:rPr>
          <w:rFonts w:ascii="Arial"/>
          <w:color w:val="000000"/>
          <w:sz w:val="24"/>
        </w:rPr>
        <w:t xml:space="preserve"> </w:t>
      </w:r>
      <w:r>
        <w:rPr>
          <w:rFonts w:ascii="Arial"/>
          <w:color w:val="000000"/>
          <w:sz w:val="24"/>
        </w:rPr>
        <w:t>make</w:t>
      </w:r>
      <w:r>
        <w:rPr>
          <w:rFonts w:ascii="Arial"/>
          <w:color w:val="000000"/>
          <w:sz w:val="24"/>
        </w:rPr>
        <w:t xml:space="preserve"> </w:t>
      </w:r>
      <w:r>
        <w:rPr>
          <w:rFonts w:ascii="Arial"/>
          <w:color w:val="000000"/>
          <w:sz w:val="24"/>
        </w:rPr>
        <w:t xml:space="preserve">with respect to cl </w:t>
      </w:r>
      <w:r>
        <w:rPr>
          <w:rFonts w:ascii="Arial"/>
          <w:color w:val="000000"/>
          <w:sz w:val="24"/>
        </w:rPr>
        <w:t>4.6(4)(a)(ii) of SLEP</w:t>
      </w:r>
      <w:r>
        <w:rPr>
          <w:rFonts w:ascii="Arial"/>
          <w:color w:val="000000"/>
          <w:sz w:val="24"/>
        </w:rPr>
        <w:t xml:space="preserve"> </w:t>
      </w:r>
      <w:r>
        <w:rPr>
          <w:rFonts w:ascii="Arial"/>
          <w:color w:val="000000"/>
          <w:sz w:val="24"/>
        </w:rPr>
        <w:t>in another way</w:t>
      </w:r>
      <w:r>
        <w:rPr>
          <w:rFonts w:ascii="Arial"/>
          <w:color w:val="000000"/>
          <w:sz w:val="24"/>
        </w:rPr>
        <w:t>.</w:t>
      </w:r>
      <w:r>
        <w:rPr>
          <w:rFonts w:ascii="Arial"/>
          <w:color w:val="000000"/>
          <w:sz w:val="24"/>
        </w:rPr>
        <w:t xml:space="preserve"> </w:t>
      </w:r>
      <w:r>
        <w:rPr>
          <w:rFonts w:ascii="Arial"/>
          <w:color w:val="000000"/>
          <w:sz w:val="24"/>
        </w:rPr>
        <w:t>I can deal with th</w:t>
      </w:r>
      <w:r>
        <w:rPr>
          <w:rFonts w:ascii="Arial"/>
          <w:color w:val="000000"/>
          <w:sz w:val="24"/>
        </w:rPr>
        <w:t>e relevant matters</w:t>
      </w:r>
      <w:r>
        <w:rPr>
          <w:rFonts w:ascii="Arial"/>
          <w:color w:val="000000"/>
          <w:sz w:val="24"/>
        </w:rPr>
        <w:t>, as raised in the evidence,</w:t>
      </w:r>
      <w:r>
        <w:rPr>
          <w:rFonts w:ascii="Arial"/>
          <w:color w:val="000000"/>
          <w:sz w:val="24"/>
        </w:rPr>
        <w:t xml:space="preserve"> </w:t>
      </w:r>
      <w:r>
        <w:rPr>
          <w:rFonts w:ascii="Arial"/>
          <w:color w:val="000000"/>
          <w:sz w:val="24"/>
        </w:rPr>
        <w:t xml:space="preserve">relatively </w:t>
      </w:r>
      <w:r>
        <w:rPr>
          <w:rFonts w:ascii="Arial"/>
          <w:color w:val="000000"/>
          <w:sz w:val="24"/>
        </w:rPr>
        <w:t>briefly</w:t>
      </w:r>
      <w:r>
        <w:rPr>
          <w:rFonts w:ascii="Arial"/>
          <w:color w:val="000000"/>
          <w:sz w:val="24"/>
        </w:rPr>
        <w:t xml:space="preserve"> </w:t>
      </w:r>
      <w:r>
        <w:rPr>
          <w:rFonts w:ascii="Arial"/>
          <w:color w:val="000000"/>
          <w:sz w:val="24"/>
        </w:rPr>
        <w:t>in</w:t>
      </w:r>
      <w:r>
        <w:rPr>
          <w:rFonts w:ascii="Arial"/>
          <w:color w:val="000000"/>
          <w:sz w:val="24"/>
        </w:rPr>
        <w:t xml:space="preserve"> </w:t>
      </w:r>
      <w:r>
        <w:rPr>
          <w:rFonts w:ascii="Arial"/>
          <w:color w:val="000000"/>
          <w:sz w:val="24"/>
        </w:rPr>
        <w:t>point form</w:t>
      </w:r>
      <w:r>
        <w:rPr>
          <w:rFonts w:ascii="Arial"/>
          <w:color w:val="000000"/>
          <w:sz w:val="24"/>
        </w:rPr>
        <w:t>.</w:t>
      </w:r>
    </w:p>
    <w:p>
      <w:pPr>
        <w:pStyle w:val="CaselawBullet"/>
        <w:numPr>
          <w:ilvl w:val="0"/>
          <w:numId w:val="83"/>
        </w:numPr>
        <w:spacing w:before="150" w:after="0"/>
        <w:ind w:left="600" w:hanging="250"/>
      </w:pPr>
      <w:r>
        <w:rPr>
          <w:rFonts w:ascii="Arial"/>
          <w:color w:val="000000"/>
          <w:sz w:val="24"/>
        </w:rPr>
        <w:t>Section 46(2)(a) of the Housing SEPP</w:t>
      </w:r>
      <w:r>
        <w:rPr>
          <w:rFonts w:ascii="Arial"/>
          <w:color w:val="000000"/>
          <w:sz w:val="24"/>
        </w:rPr>
        <w:t xml:space="preserve"> </w:t>
      </w:r>
      <w:r>
        <w:rPr>
          <w:rFonts w:ascii="Arial"/>
          <w:color w:val="000000"/>
          <w:sz w:val="24"/>
        </w:rPr>
        <w:t>make</w:t>
      </w:r>
      <w:r>
        <w:rPr>
          <w:rFonts w:ascii="Arial"/>
          <w:color w:val="000000"/>
          <w:sz w:val="24"/>
        </w:rPr>
        <w:t>s</w:t>
      </w:r>
      <w:r>
        <w:rPr>
          <w:rFonts w:ascii="Arial"/>
          <w:color w:val="000000"/>
          <w:sz w:val="24"/>
        </w:rPr>
        <w:t xml:space="preserve"> </w:t>
      </w:r>
      <w:r>
        <w:rPr>
          <w:rFonts w:ascii="Arial"/>
          <w:color w:val="000000"/>
          <w:sz w:val="24"/>
        </w:rPr>
        <w:t>directly plain</w:t>
      </w:r>
      <w:r>
        <w:rPr>
          <w:rFonts w:ascii="Arial"/>
          <w:color w:val="000000"/>
          <w:sz w:val="24"/>
        </w:rPr>
        <w:t xml:space="preserve"> </w:t>
      </w:r>
      <w:r>
        <w:rPr>
          <w:rFonts w:ascii="Arial"/>
          <w:color w:val="000000"/>
          <w:sz w:val="24"/>
        </w:rPr>
        <w:t xml:space="preserve">that </w:t>
      </w:r>
      <w:r>
        <w:rPr>
          <w:rFonts w:ascii="Arial"/>
          <w:color w:val="000000"/>
          <w:sz w:val="24"/>
        </w:rPr>
        <w:t>it</w:t>
      </w:r>
      <w:r>
        <w:rPr>
          <w:rFonts w:ascii="Arial"/>
          <w:color w:val="000000"/>
          <w:sz w:val="24"/>
        </w:rPr>
        <w:t xml:space="preserve"> </w:t>
      </w:r>
      <w:r>
        <w:rPr>
          <w:rFonts w:ascii="Arial"/>
          <w:color w:val="000000"/>
          <w:sz w:val="24"/>
        </w:rPr>
        <w:t>does not apply to this DA</w:t>
      </w:r>
      <w:r>
        <w:rPr>
          <w:rFonts w:ascii="Arial"/>
          <w:color w:val="000000"/>
          <w:sz w:val="24"/>
        </w:rPr>
        <w:t>,</w:t>
      </w:r>
      <w:r>
        <w:rPr>
          <w:rFonts w:ascii="Arial"/>
          <w:color w:val="000000"/>
          <w:sz w:val="24"/>
        </w:rPr>
        <w:t xml:space="preserve"> </w:t>
      </w:r>
      <w:r>
        <w:rPr>
          <w:rFonts w:ascii="Arial"/>
          <w:color w:val="000000"/>
          <w:sz w:val="24"/>
        </w:rPr>
        <w:t>as it is strata subdivided</w:t>
      </w:r>
      <w:r>
        <w:rPr>
          <w:rFonts w:ascii="Arial"/>
          <w:color w:val="000000"/>
          <w:sz w:val="24"/>
        </w:rPr>
        <w:t xml:space="preserve">. </w:t>
      </w:r>
    </w:p>
    <w:p>
      <w:pPr>
        <w:pStyle w:val="CaselawBullet"/>
        <w:numPr>
          <w:ilvl w:val="0"/>
          <w:numId w:val="83"/>
        </w:numPr>
        <w:spacing w:before="150" w:after="0"/>
        <w:ind w:left="600" w:hanging="250"/>
      </w:pPr>
      <w:r>
        <w:rPr>
          <w:rFonts w:ascii="Arial"/>
          <w:color w:val="000000"/>
          <w:sz w:val="24"/>
        </w:rPr>
        <w:t>S</w:t>
      </w:r>
      <w:r>
        <w:rPr>
          <w:rFonts w:ascii="Arial"/>
          <w:color w:val="000000"/>
          <w:sz w:val="24"/>
        </w:rPr>
        <w:t>ection 4.2.3.12 of SDCP</w:t>
      </w:r>
      <w:r>
        <w:rPr>
          <w:rFonts w:ascii="Arial"/>
          <w:color w:val="000000"/>
          <w:sz w:val="24"/>
        </w:rPr>
        <w:t>,</w:t>
      </w:r>
      <w:r>
        <w:rPr>
          <w:rFonts w:ascii="Arial"/>
          <w:color w:val="000000"/>
          <w:sz w:val="24"/>
        </w:rPr>
        <w:t xml:space="preserve"> </w:t>
      </w:r>
      <w:r>
        <w:rPr>
          <w:rFonts w:ascii="Arial"/>
          <w:color w:val="000000"/>
          <w:sz w:val="24"/>
        </w:rPr>
        <w:t xml:space="preserve">relating </w:t>
      </w:r>
      <w:r>
        <w:rPr>
          <w:rFonts w:ascii="Arial"/>
          <w:color w:val="000000"/>
          <w:sz w:val="24"/>
        </w:rPr>
        <w:t xml:space="preserve">to </w:t>
      </w:r>
      <w:r>
        <w:rPr>
          <w:rFonts w:ascii="Arial"/>
          <w:color w:val="000000"/>
          <w:sz w:val="24"/>
        </w:rPr>
        <w:t>dwelling mix</w:t>
      </w:r>
      <w:r>
        <w:rPr>
          <w:rFonts w:ascii="Arial"/>
          <w:color w:val="000000"/>
          <w:sz w:val="24"/>
        </w:rPr>
        <w:t xml:space="preserve">, while not applying to the proposal directly, is not the point of </w:t>
      </w:r>
      <w:r>
        <w:rPr>
          <w:rFonts w:ascii="Arial"/>
          <w:color w:val="000000"/>
          <w:sz w:val="24"/>
        </w:rPr>
        <w:t>concern for me</w:t>
      </w:r>
      <w:r>
        <w:rPr>
          <w:rFonts w:ascii="Arial"/>
          <w:color w:val="000000"/>
          <w:sz w:val="24"/>
        </w:rPr>
        <w:t>,</w:t>
      </w:r>
      <w:r>
        <w:rPr>
          <w:rFonts w:ascii="Arial"/>
          <w:color w:val="000000"/>
          <w:sz w:val="24"/>
        </w:rPr>
        <w:t xml:space="preserve"> </w:t>
      </w:r>
      <w:r>
        <w:rPr>
          <w:rFonts w:ascii="Arial"/>
          <w:color w:val="000000"/>
          <w:sz w:val="24"/>
        </w:rPr>
        <w:t xml:space="preserve">which relates to the loss of existing more affordable housing supply </w:t>
      </w:r>
      <w:r>
        <w:rPr>
          <w:rFonts w:ascii="Arial"/>
          <w:color w:val="000000"/>
          <w:sz w:val="24"/>
        </w:rPr>
        <w:t xml:space="preserve">(of </w:t>
      </w:r>
      <w:r>
        <w:rPr>
          <w:rFonts w:ascii="Arial"/>
          <w:color w:val="000000"/>
          <w:sz w:val="24"/>
        </w:rPr>
        <w:t>community need</w:t>
      </w:r>
      <w:r>
        <w:rPr>
          <w:rFonts w:ascii="Arial"/>
          <w:color w:val="000000"/>
          <w:sz w:val="24"/>
        </w:rPr>
        <w:t>)</w:t>
      </w:r>
      <w:r>
        <w:rPr>
          <w:rFonts w:ascii="Arial"/>
          <w:color w:val="000000"/>
          <w:sz w:val="24"/>
        </w:rPr>
        <w:t xml:space="preserve">. </w:t>
      </w:r>
      <w:r>
        <w:rPr>
          <w:rFonts w:ascii="Arial"/>
          <w:color w:val="000000"/>
          <w:sz w:val="24"/>
        </w:rPr>
        <w:t xml:space="preserve">It </w:t>
      </w:r>
      <w:r>
        <w:rPr>
          <w:rFonts w:ascii="Arial"/>
          <w:color w:val="000000"/>
          <w:sz w:val="24"/>
        </w:rPr>
        <w:t xml:space="preserve">is true (mindful of the cited ABS stats) </w:t>
      </w:r>
      <w:r>
        <w:rPr>
          <w:rFonts w:ascii="Arial"/>
          <w:color w:val="000000"/>
          <w:sz w:val="24"/>
        </w:rPr>
        <w:t xml:space="preserve">that </w:t>
      </w:r>
      <w:r>
        <w:rPr>
          <w:rFonts w:ascii="Arial"/>
          <w:color w:val="000000"/>
          <w:sz w:val="24"/>
        </w:rPr>
        <w:t xml:space="preserve">the </w:t>
      </w:r>
      <w:r>
        <w:rPr>
          <w:rFonts w:ascii="Arial"/>
          <w:color w:val="000000"/>
          <w:sz w:val="24"/>
        </w:rPr>
        <w:t xml:space="preserve">local </w:t>
      </w:r>
      <w:r>
        <w:rPr>
          <w:rFonts w:ascii="Arial"/>
          <w:color w:val="000000"/>
          <w:sz w:val="24"/>
        </w:rPr>
        <w:t xml:space="preserve">housing mix </w:t>
      </w:r>
      <w:r>
        <w:rPr>
          <w:rFonts w:ascii="Arial"/>
          <w:color w:val="000000"/>
          <w:sz w:val="24"/>
        </w:rPr>
        <w:t xml:space="preserve">in Elizabeth Bay </w:t>
      </w:r>
      <w:r>
        <w:rPr>
          <w:rFonts w:ascii="Arial"/>
          <w:color w:val="000000"/>
          <w:sz w:val="24"/>
        </w:rPr>
        <w:t>diversifies</w:t>
      </w:r>
      <w:r>
        <w:rPr>
          <w:rFonts w:ascii="Arial"/>
          <w:color w:val="000000"/>
          <w:sz w:val="24"/>
        </w:rPr>
        <w:t xml:space="preserve"> </w:t>
      </w:r>
      <w:r>
        <w:rPr>
          <w:rFonts w:ascii="Arial"/>
          <w:color w:val="000000"/>
          <w:sz w:val="24"/>
        </w:rPr>
        <w:t>if new housing contain</w:t>
      </w:r>
      <w:r>
        <w:rPr>
          <w:rFonts w:ascii="Arial"/>
          <w:color w:val="000000"/>
          <w:sz w:val="24"/>
        </w:rPr>
        <w:t>ing</w:t>
      </w:r>
      <w:r>
        <w:rPr>
          <w:rFonts w:ascii="Arial"/>
          <w:color w:val="000000"/>
          <w:sz w:val="24"/>
        </w:rPr>
        <w:t xml:space="preserve"> </w:t>
      </w:r>
      <w:r>
        <w:rPr>
          <w:rFonts w:ascii="Arial"/>
          <w:color w:val="000000"/>
          <w:sz w:val="24"/>
        </w:rPr>
        <w:t xml:space="preserve">more 3+ bedroom residences </w:t>
      </w:r>
      <w:r>
        <w:rPr>
          <w:rFonts w:ascii="Arial"/>
          <w:color w:val="000000"/>
          <w:sz w:val="24"/>
        </w:rPr>
        <w:t>is provided and housing of two bedroom or less are taken away</w:t>
      </w:r>
      <w:r>
        <w:rPr>
          <w:rFonts w:ascii="Arial"/>
          <w:color w:val="000000"/>
          <w:sz w:val="24"/>
        </w:rPr>
        <w:t xml:space="preserve">. But </w:t>
      </w:r>
      <w:r>
        <w:rPr>
          <w:rFonts w:ascii="Arial"/>
          <w:color w:val="000000"/>
          <w:sz w:val="24"/>
        </w:rPr>
        <w:t>even if this is a desirable environmental outcome</w:t>
      </w:r>
      <w:r>
        <w:rPr>
          <w:rFonts w:ascii="Arial"/>
          <w:color w:val="000000"/>
          <w:sz w:val="24"/>
        </w:rPr>
        <w:t xml:space="preserve"> </w:t>
      </w:r>
      <w:r>
        <w:rPr>
          <w:rFonts w:ascii="Arial"/>
          <w:color w:val="000000"/>
          <w:sz w:val="24"/>
        </w:rPr>
        <w:t xml:space="preserve">(and </w:t>
      </w:r>
      <w:r>
        <w:rPr>
          <w:rFonts w:ascii="Arial"/>
          <w:color w:val="000000"/>
          <w:sz w:val="24"/>
        </w:rPr>
        <w:t>Section 4.2.3.12 of SDCP</w:t>
      </w:r>
      <w:r>
        <w:rPr>
          <w:rFonts w:ascii="Arial"/>
          <w:color w:val="000000"/>
          <w:sz w:val="24"/>
        </w:rPr>
        <w:t xml:space="preserve"> </w:t>
      </w:r>
      <w:r>
        <w:rPr>
          <w:rFonts w:ascii="Arial"/>
          <w:color w:val="000000"/>
          <w:sz w:val="24"/>
        </w:rPr>
        <w:t>does not take on this question as it is concerned with new housing mix not loss of existing comparably affordable housing)</w:t>
      </w:r>
      <w:r>
        <w:rPr>
          <w:rFonts w:ascii="Arial"/>
          <w:color w:val="000000"/>
          <w:sz w:val="24"/>
        </w:rPr>
        <w:t>, it</w:t>
      </w:r>
      <w:r>
        <w:rPr>
          <w:rFonts w:ascii="Arial"/>
          <w:color w:val="000000"/>
          <w:sz w:val="24"/>
        </w:rPr>
        <w:t xml:space="preserve"> </w:t>
      </w:r>
      <w:r>
        <w:rPr>
          <w:rFonts w:ascii="Arial"/>
          <w:color w:val="000000"/>
          <w:sz w:val="24"/>
        </w:rPr>
        <w:t>relate</w:t>
      </w:r>
      <w:r>
        <w:rPr>
          <w:rFonts w:ascii="Arial"/>
          <w:color w:val="000000"/>
          <w:sz w:val="24"/>
        </w:rPr>
        <w:t>s</w:t>
      </w:r>
      <w:r>
        <w:rPr>
          <w:rFonts w:ascii="Arial"/>
          <w:color w:val="000000"/>
          <w:sz w:val="24"/>
        </w:rPr>
        <w:t xml:space="preserve"> </w:t>
      </w:r>
      <w:r>
        <w:rPr>
          <w:rFonts w:ascii="Arial"/>
          <w:color w:val="000000"/>
          <w:sz w:val="24"/>
        </w:rPr>
        <w:t>to the second R1 zone objective, concerned with providing for a variety of housing types and densities.</w:t>
      </w:r>
      <w:r>
        <w:rPr>
          <w:rFonts w:ascii="Arial"/>
          <w:color w:val="000000"/>
          <w:sz w:val="24"/>
        </w:rPr>
        <w:t xml:space="preserve"> </w:t>
      </w:r>
    </w:p>
    <w:p>
      <w:pPr>
        <w:pStyle w:val="CaselawBullet"/>
        <w:numPr>
          <w:ilvl w:val="0"/>
          <w:numId w:val="83"/>
        </w:numPr>
        <w:spacing w:before="150" w:after="0"/>
        <w:ind w:left="600" w:hanging="250"/>
      </w:pPr>
      <w:r>
        <w:rPr>
          <w:rFonts w:ascii="Arial"/>
          <w:color w:val="000000"/>
          <w:sz w:val="24"/>
        </w:rPr>
        <w:t xml:space="preserve">Similarly, cl </w:t>
      </w:r>
      <w:r>
        <w:rPr>
          <w:rFonts w:ascii="Arial"/>
          <w:color w:val="000000"/>
          <w:sz w:val="24"/>
        </w:rPr>
        <w:t>7.13 of SLEP</w:t>
      </w:r>
      <w:r>
        <w:rPr>
          <w:rFonts w:ascii="Arial"/>
          <w:color w:val="000000"/>
          <w:sz w:val="24"/>
        </w:rPr>
        <w:t xml:space="preserve"> </w:t>
      </w:r>
      <w:r>
        <w:rPr>
          <w:rFonts w:ascii="Arial"/>
          <w:color w:val="000000"/>
          <w:sz w:val="24"/>
        </w:rPr>
        <w:t xml:space="preserve">is concerned with </w:t>
      </w:r>
      <w:r>
        <w:rPr>
          <w:rFonts w:ascii="Arial"/>
          <w:color w:val="000000"/>
          <w:sz w:val="24"/>
        </w:rPr>
        <w:t xml:space="preserve">contributions from </w:t>
      </w:r>
      <w:r>
        <w:rPr>
          <w:rFonts w:ascii="Arial"/>
          <w:color w:val="000000"/>
          <w:sz w:val="24"/>
        </w:rPr>
        <w:t>new development</w:t>
      </w:r>
      <w:r>
        <w:rPr>
          <w:rFonts w:ascii="Arial"/>
          <w:color w:val="000000"/>
          <w:sz w:val="24"/>
        </w:rPr>
        <w:t>,</w:t>
      </w:r>
      <w:r>
        <w:rPr>
          <w:rFonts w:ascii="Arial"/>
          <w:color w:val="000000"/>
          <w:sz w:val="24"/>
        </w:rPr>
        <w:t xml:space="preserve"> </w:t>
      </w:r>
      <w:r>
        <w:rPr>
          <w:rFonts w:ascii="Arial"/>
          <w:color w:val="000000"/>
          <w:sz w:val="24"/>
        </w:rPr>
        <w:t xml:space="preserve">together incrementally contributing to future affordable housing over time. </w:t>
      </w:r>
      <w:r>
        <w:rPr>
          <w:rFonts w:ascii="Arial"/>
          <w:color w:val="000000"/>
          <w:sz w:val="24"/>
        </w:rPr>
        <w:t>The concern here is on a different topic: the loss of existing (comparably affordable) housing. The loss of such housing stock would likely place greater pressure on existing programs concerned with providing affordable housing.</w:t>
      </w:r>
      <w:r>
        <w:rPr>
          <w:rFonts w:ascii="Arial"/>
          <w:color w:val="000000"/>
          <w:sz w:val="24"/>
        </w:rPr>
        <w:t xml:space="preserve"> </w:t>
      </w:r>
    </w:p>
    <w:p>
      <w:pPr>
        <w:pStyle w:val="CaselawBullet"/>
        <w:numPr>
          <w:ilvl w:val="0"/>
          <w:numId w:val="83"/>
        </w:numPr>
        <w:spacing w:before="150" w:after="0"/>
        <w:ind w:left="600" w:hanging="250"/>
      </w:pPr>
      <w:r>
        <w:rPr>
          <w:rFonts w:ascii="Arial"/>
          <w:color w:val="000000"/>
          <w:sz w:val="24"/>
        </w:rPr>
        <w:t xml:space="preserve">There were no submissions on the imminence and certainty of </w:t>
      </w:r>
      <w:r>
        <w:rPr>
          <w:rFonts w:ascii="Arial"/>
          <w:color w:val="000000"/>
          <w:sz w:val="24"/>
        </w:rPr>
        <w:t>Council</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draft</w:t>
      </w:r>
      <w:r>
        <w:rPr>
          <w:rFonts w:ascii="Arial"/>
          <w:color w:val="000000"/>
          <w:sz w:val="24"/>
        </w:rPr>
        <w:t xml:space="preserve"> </w:t>
      </w:r>
      <w:r>
        <w:rPr>
          <w:rFonts w:ascii="Arial"/>
          <w:color w:val="000000"/>
          <w:sz w:val="24"/>
        </w:rPr>
        <w:t xml:space="preserve">planning proposal relating to </w:t>
      </w:r>
      <w:r>
        <w:rPr>
          <w:rFonts w:ascii="Arial"/>
          <w:color w:val="000000"/>
          <w:sz w:val="24"/>
        </w:rPr>
        <w:t>“</w:t>
      </w:r>
      <w:r>
        <w:rPr>
          <w:rFonts w:ascii="Arial"/>
          <w:color w:val="000000"/>
          <w:sz w:val="24"/>
        </w:rPr>
        <w:t>dwelling retention</w:t>
      </w:r>
      <w:r>
        <w:rPr>
          <w:rFonts w:ascii="Arial"/>
          <w:color w:val="000000"/>
          <w:sz w:val="24"/>
        </w:rPr>
        <w:t>”</w:t>
      </w:r>
      <w:r>
        <w:rPr>
          <w:rFonts w:ascii="Arial"/>
          <w:color w:val="000000"/>
          <w:sz w:val="24"/>
        </w:rPr>
        <w:t xml:space="preserve">. </w:t>
      </w:r>
      <w:r>
        <w:rPr>
          <w:rFonts w:ascii="Arial"/>
          <w:color w:val="000000"/>
          <w:sz w:val="24"/>
        </w:rPr>
        <w:t xml:space="preserve"> </w:t>
      </w:r>
      <w:r>
        <w:rPr>
          <w:rFonts w:ascii="Arial"/>
          <w:color w:val="000000"/>
          <w:sz w:val="24"/>
        </w:rPr>
        <w:t>However, even if it were</w:t>
      </w:r>
      <w:r>
        <w:rPr>
          <w:rFonts w:ascii="Arial"/>
          <w:color w:val="000000"/>
          <w:sz w:val="24"/>
        </w:rPr>
        <w:t xml:space="preserve"> </w:t>
      </w:r>
      <w:r>
        <w:rPr>
          <w:rFonts w:ascii="Arial"/>
          <w:color w:val="000000"/>
          <w:sz w:val="24"/>
        </w:rPr>
        <w:t>(imminent and certain)</w:t>
      </w:r>
      <w:r>
        <w:rPr>
          <w:rFonts w:ascii="Arial"/>
          <w:color w:val="000000"/>
          <w:sz w:val="24"/>
        </w:rPr>
        <w:t xml:space="preserve">, </w:t>
      </w:r>
      <w:r>
        <w:rPr>
          <w:rFonts w:ascii="Arial"/>
          <w:color w:val="000000"/>
          <w:sz w:val="24"/>
        </w:rPr>
        <w:t xml:space="preserve">there was no suggestion of an intention to override applicable provision with respect to cl </w:t>
      </w:r>
      <w:r>
        <w:rPr>
          <w:rFonts w:ascii="Arial"/>
          <w:color w:val="000000"/>
          <w:sz w:val="24"/>
        </w:rPr>
        <w:t>4.6(4)(a)(ii) of SLEP</w:t>
      </w:r>
      <w:r>
        <w:rPr>
          <w:rFonts w:ascii="Arial"/>
          <w:color w:val="000000"/>
          <w:sz w:val="24"/>
        </w:rPr>
        <w:t xml:space="preserve"> </w:t>
      </w:r>
      <w:r>
        <w:rPr>
          <w:rFonts w:ascii="Arial"/>
          <w:color w:val="000000"/>
          <w:sz w:val="24"/>
        </w:rPr>
        <w:t>in the case of a development standard contravention</w:t>
      </w:r>
      <w:r>
        <w:rPr>
          <w:rFonts w:ascii="Arial"/>
          <w:color w:val="000000"/>
          <w:sz w:val="24"/>
        </w:rPr>
        <w:t>.</w:t>
      </w:r>
    </w:p>
    <w:p>
      <w:pPr>
        <w:pStyle w:val="CaselawNumbered10"/>
        <w:numPr>
          <w:ilvl w:val="0"/>
          <w:numId w:val="84"/>
        </w:numPr>
        <w:spacing w:before="150" w:after="0"/>
        <w:ind w:left="600" w:hanging="600"/>
      </w:pPr>
      <w:r>
        <w:rPr>
          <w:rFonts w:ascii="Arial"/>
          <w:color w:val="000000"/>
          <w:sz w:val="24"/>
        </w:rPr>
        <w:t xml:space="preserve">While </w:t>
      </w:r>
      <w:r>
        <w:rPr>
          <w:rFonts w:ascii="Arial"/>
          <w:color w:val="000000"/>
          <w:sz w:val="24"/>
        </w:rPr>
        <w:t xml:space="preserve">each of these matters </w:t>
      </w:r>
      <w:r>
        <w:rPr>
          <w:rFonts w:ascii="Arial"/>
          <w:color w:val="000000"/>
          <w:sz w:val="24"/>
        </w:rPr>
        <w:t>are notable, I don</w:t>
      </w:r>
      <w:r>
        <w:rPr>
          <w:rFonts w:ascii="Arial"/>
          <w:color w:val="000000"/>
          <w:sz w:val="24"/>
        </w:rPr>
        <w:t>’</w:t>
      </w:r>
      <w:r>
        <w:rPr>
          <w:rFonts w:ascii="Arial"/>
          <w:color w:val="000000"/>
          <w:sz w:val="24"/>
        </w:rPr>
        <w:t>t see any of these provisions as providing a</w:t>
      </w:r>
      <w:r>
        <w:rPr>
          <w:rFonts w:ascii="Arial"/>
          <w:color w:val="000000"/>
          <w:sz w:val="24"/>
        </w:rPr>
        <w:t>n exit</w:t>
      </w:r>
      <w:r>
        <w:rPr>
          <w:rFonts w:ascii="Arial"/>
          <w:color w:val="000000"/>
          <w:sz w:val="24"/>
        </w:rPr>
        <w:t xml:space="preserve"> </w:t>
      </w:r>
      <w:r>
        <w:rPr>
          <w:rFonts w:ascii="Arial"/>
          <w:color w:val="000000"/>
          <w:sz w:val="24"/>
        </w:rPr>
        <w:t>pathway</w:t>
      </w:r>
      <w:r>
        <w:rPr>
          <w:rFonts w:ascii="Arial"/>
          <w:color w:val="000000"/>
          <w:sz w:val="24"/>
        </w:rPr>
        <w:t xml:space="preserve"> </w:t>
      </w:r>
      <w:r>
        <w:rPr>
          <w:rFonts w:ascii="Arial"/>
          <w:color w:val="000000"/>
          <w:sz w:val="24"/>
        </w:rPr>
        <w:t>from the</w:t>
      </w:r>
      <w:r>
        <w:rPr>
          <w:rFonts w:ascii="Arial"/>
          <w:color w:val="000000"/>
          <w:sz w:val="24"/>
        </w:rPr>
        <w:t xml:space="preserve"> </w:t>
      </w:r>
      <w:r>
        <w:rPr>
          <w:rFonts w:ascii="Arial"/>
          <w:color w:val="000000"/>
          <w:sz w:val="24"/>
        </w:rPr>
        <w:t xml:space="preserve">Court being required to </w:t>
      </w:r>
      <w:r>
        <w:rPr>
          <w:rFonts w:ascii="Arial"/>
          <w:color w:val="000000"/>
          <w:sz w:val="24"/>
        </w:rPr>
        <w:t>decide its</w:t>
      </w:r>
      <w:r>
        <w:rPr>
          <w:rFonts w:ascii="Arial"/>
          <w:color w:val="000000"/>
          <w:sz w:val="24"/>
        </w:rPr>
        <w:t xml:space="preserve"> </w:t>
      </w:r>
      <w:r>
        <w:rPr>
          <w:rFonts w:ascii="Arial"/>
          <w:color w:val="000000"/>
          <w:sz w:val="24"/>
        </w:rPr>
        <w:t xml:space="preserve">opinion in </w:t>
      </w:r>
      <w:r>
        <w:rPr>
          <w:rFonts w:ascii="Arial"/>
          <w:color w:val="000000"/>
          <w:sz w:val="24"/>
        </w:rPr>
        <w:t xml:space="preserve">relation to satisfaction or otherwise </w:t>
      </w:r>
      <w:r>
        <w:rPr>
          <w:rFonts w:ascii="Arial"/>
          <w:color w:val="000000"/>
          <w:sz w:val="24"/>
        </w:rPr>
        <w:t xml:space="preserve">that the proposed development is in the public interest </w:t>
      </w:r>
      <w:r>
        <w:rPr>
          <w:rFonts w:ascii="Arial"/>
          <w:color w:val="000000"/>
          <w:sz w:val="24"/>
        </w:rPr>
        <w:t xml:space="preserve">because it is consistent with the objectives of the </w:t>
      </w:r>
      <w:r>
        <w:rPr>
          <w:rFonts w:ascii="Arial"/>
          <w:color w:val="000000"/>
          <w:sz w:val="24"/>
        </w:rPr>
        <w:t>R1 zone (</w:t>
      </w:r>
      <w:r>
        <w:rPr>
          <w:rFonts w:ascii="Arial"/>
          <w:color w:val="000000"/>
          <w:sz w:val="24"/>
        </w:rPr>
        <w:t>cl 4.6(4)(a)(i</w:t>
      </w:r>
      <w:r>
        <w:rPr>
          <w:rFonts w:ascii="Arial"/>
          <w:color w:val="000000"/>
          <w:sz w:val="24"/>
        </w:rPr>
        <w:t>i</w:t>
      </w:r>
      <w:r>
        <w:rPr>
          <w:rFonts w:ascii="Arial"/>
          <w:color w:val="000000"/>
          <w:sz w:val="24"/>
        </w:rPr>
        <w:t>) of SLEP</w:t>
      </w:r>
      <w:r>
        <w:rPr>
          <w:rFonts w:ascii="Arial"/>
          <w:color w:val="000000"/>
          <w:sz w:val="24"/>
        </w:rPr>
        <w:t>)</w:t>
      </w:r>
      <w:r>
        <w:rPr>
          <w:rFonts w:ascii="Arial"/>
          <w:color w:val="000000"/>
          <w:sz w:val="24"/>
        </w:rPr>
        <w:t xml:space="preserve">. </w:t>
      </w:r>
    </w:p>
    <w:p>
      <w:pPr>
        <w:pStyle w:val="CaselawHeading2"/>
        <w:keepNext/>
        <w:spacing w:before="150" w:after="150" w:line="264"/>
        <w:ind w:left="0"/>
        <w:jc w:val="left"/>
      </w:pPr>
      <w:r>
        <w:rPr>
          <w:rFonts w:ascii="Arial"/>
        </w:rPr>
        <w:t>Merits considerations</w:t>
      </w:r>
    </w:p>
    <w:p>
      <w:pPr>
        <w:pStyle w:val="CaselawNumbered10"/>
        <w:numPr>
          <w:ilvl w:val="0"/>
          <w:numId w:val="85"/>
        </w:numPr>
        <w:spacing w:before="150" w:after="0"/>
        <w:ind w:left="600" w:hanging="600"/>
      </w:pPr>
      <w:r>
        <w:rPr>
          <w:rFonts w:ascii="Arial"/>
          <w:color w:val="000000"/>
          <w:sz w:val="24"/>
        </w:rPr>
        <w:t>For completeness I will address the merits of the proposal</w:t>
      </w:r>
      <w:r>
        <w:rPr>
          <w:rFonts w:ascii="Arial"/>
          <w:color w:val="000000"/>
          <w:sz w:val="24"/>
        </w:rPr>
        <w:t xml:space="preserve"> </w:t>
      </w:r>
      <w:r>
        <w:rPr>
          <w:rFonts w:ascii="Arial"/>
          <w:color w:val="000000"/>
          <w:sz w:val="24"/>
        </w:rPr>
        <w:t>now</w:t>
      </w:r>
      <w:r>
        <w:rPr>
          <w:rFonts w:ascii="Arial"/>
          <w:color w:val="000000"/>
          <w:sz w:val="24"/>
        </w:rPr>
        <w:t>.</w:t>
      </w:r>
    </w:p>
    <w:p>
      <w:pPr>
        <w:pStyle w:val="CaselawHeading3"/>
        <w:keepNext/>
        <w:spacing w:before="150" w:after="150" w:line="264"/>
        <w:ind w:left="0"/>
        <w:jc w:val="left"/>
      </w:pPr>
      <w:r>
        <w:rPr>
          <w:rFonts w:ascii="Arial"/>
        </w:rPr>
        <w:t>View impacts</w:t>
      </w:r>
    </w:p>
    <w:p>
      <w:pPr>
        <w:pStyle w:val="CaselawHeading4"/>
        <w:keepNext/>
        <w:spacing w:before="150" w:after="150" w:line="264"/>
        <w:ind w:left="600"/>
        <w:jc w:val="left"/>
      </w:pPr>
      <w:r>
        <w:rPr>
          <w:rFonts w:ascii="Arial"/>
        </w:rPr>
        <w:t>Policy</w:t>
      </w:r>
    </w:p>
    <w:p>
      <w:pPr>
        <w:pStyle w:val="CaselawNumbered10"/>
        <w:numPr>
          <w:ilvl w:val="0"/>
          <w:numId w:val="86"/>
        </w:numPr>
        <w:spacing w:before="150" w:after="0"/>
        <w:ind w:left="600" w:hanging="600"/>
      </w:pPr>
      <w:r>
        <w:rPr>
          <w:rFonts w:ascii="Arial"/>
          <w:color w:val="000000"/>
          <w:sz w:val="24"/>
        </w:rPr>
        <w:t>I do note that cl</w:t>
      </w:r>
      <w:r>
        <w:rPr>
          <w:rFonts w:ascii="Arial"/>
          <w:color w:val="000000"/>
          <w:sz w:val="24"/>
        </w:rPr>
        <w:t xml:space="preserve"> </w:t>
      </w:r>
      <w:r>
        <w:rPr>
          <w:rFonts w:ascii="Arial"/>
          <w:color w:val="000000"/>
          <w:sz w:val="24"/>
        </w:rPr>
        <w:t>6.21 of SLEP relating to d</w:t>
      </w:r>
      <w:r>
        <w:rPr>
          <w:rFonts w:ascii="Arial"/>
          <w:color w:val="000000"/>
          <w:sz w:val="24"/>
        </w:rPr>
        <w:t>esign</w:t>
      </w:r>
      <w:r>
        <w:rPr>
          <w:rFonts w:ascii="Arial"/>
          <w:color w:val="000000"/>
          <w:sz w:val="24"/>
        </w:rPr>
        <w:t xml:space="preserve"> </w:t>
      </w:r>
      <w:r>
        <w:rPr>
          <w:rFonts w:ascii="Arial"/>
          <w:color w:val="000000"/>
          <w:sz w:val="24"/>
        </w:rPr>
        <w:t xml:space="preserve">excellence includes a requirement to consider (among many other things) </w:t>
      </w:r>
      <w:r>
        <w:rPr>
          <w:rFonts w:ascii="Arial"/>
          <w:color w:val="000000"/>
          <w:sz w:val="24"/>
        </w:rPr>
        <w:t>“</w:t>
      </w:r>
      <w:r>
        <w:rPr>
          <w:rFonts w:ascii="Arial"/>
          <w:color w:val="000000"/>
          <w:sz w:val="24"/>
        </w:rPr>
        <w:t>whether the proposed development detrimentally impacts on view corridors</w:t>
      </w:r>
      <w:r>
        <w:rPr>
          <w:rFonts w:ascii="Arial"/>
          <w:color w:val="000000"/>
          <w:sz w:val="24"/>
        </w:rPr>
        <w:t>”</w:t>
      </w:r>
      <w:r>
        <w:rPr>
          <w:rFonts w:ascii="Arial"/>
          <w:color w:val="000000"/>
          <w:sz w:val="24"/>
        </w:rPr>
        <w:t xml:space="preserve">. </w:t>
      </w:r>
      <w:r>
        <w:rPr>
          <w:rFonts w:ascii="Arial"/>
          <w:color w:val="000000"/>
          <w:sz w:val="24"/>
        </w:rPr>
        <w:t>Also</w:t>
      </w:r>
      <w:r>
        <w:rPr>
          <w:rFonts w:ascii="Arial"/>
          <w:color w:val="000000"/>
          <w:sz w:val="24"/>
        </w:rPr>
        <w:t xml:space="preserve"> </w:t>
      </w:r>
      <w:r>
        <w:rPr>
          <w:rFonts w:ascii="Arial"/>
          <w:color w:val="000000"/>
          <w:sz w:val="24"/>
        </w:rPr>
        <w:t>s</w:t>
      </w:r>
      <w:r>
        <w:rPr>
          <w:rFonts w:ascii="Arial"/>
          <w:color w:val="000000"/>
          <w:sz w:val="24"/>
        </w:rPr>
        <w:t xml:space="preserve">ection 4.2.3.10(2) of SDCP </w:t>
      </w:r>
      <w:r>
        <w:rPr>
          <w:rFonts w:ascii="Arial"/>
          <w:color w:val="000000"/>
          <w:sz w:val="24"/>
        </w:rPr>
        <w:t xml:space="preserve">provides that </w:t>
      </w:r>
      <w:r>
        <w:rPr>
          <w:rFonts w:ascii="Arial"/>
          <w:color w:val="000000"/>
          <w:sz w:val="24"/>
        </w:rPr>
        <w:t>“</w:t>
      </w:r>
      <w:r>
        <w:rPr>
          <w:rFonts w:ascii="Arial"/>
          <w:color w:val="000000"/>
          <w:sz w:val="24"/>
        </w:rPr>
        <w:t>views and outlooks from existing residential development should be considered in the site planning and massing of new development</w:t>
      </w:r>
      <w:r>
        <w:rPr>
          <w:rFonts w:ascii="Arial"/>
          <w:color w:val="000000"/>
          <w:sz w:val="24"/>
        </w:rPr>
        <w:t>”</w:t>
      </w:r>
      <w:r>
        <w:rPr>
          <w:rFonts w:ascii="Arial"/>
          <w:color w:val="000000"/>
          <w:sz w:val="24"/>
        </w:rPr>
        <w:t xml:space="preserve">. </w:t>
      </w:r>
      <w:r>
        <w:rPr>
          <w:rFonts w:ascii="Arial"/>
          <w:color w:val="000000"/>
          <w:sz w:val="24"/>
        </w:rPr>
        <w:t>Otherwise, it was the Court</w:t>
      </w:r>
      <w:r>
        <w:rPr>
          <w:rFonts w:ascii="Arial"/>
          <w:color w:val="000000"/>
          <w:sz w:val="24"/>
        </w:rPr>
        <w:t>’</w:t>
      </w:r>
      <w:r>
        <w:rPr>
          <w:rFonts w:ascii="Arial"/>
          <w:color w:val="000000"/>
          <w:sz w:val="24"/>
        </w:rPr>
        <w:t xml:space="preserve">s planning principle relating to </w:t>
      </w:r>
      <w:r>
        <w:rPr>
          <w:rFonts w:ascii="Arial"/>
          <w:color w:val="000000"/>
          <w:sz w:val="24"/>
        </w:rPr>
        <w:t>“</w:t>
      </w:r>
      <w:r>
        <w:rPr>
          <w:rFonts w:ascii="Arial"/>
          <w:color w:val="000000"/>
          <w:sz w:val="24"/>
        </w:rPr>
        <w:t>view sharing</w:t>
      </w:r>
      <w:r>
        <w:rPr>
          <w:rFonts w:ascii="Arial"/>
          <w:color w:val="000000"/>
          <w:sz w:val="24"/>
        </w:rPr>
        <w:t xml:space="preserve">” </w:t>
      </w:r>
      <w:r>
        <w:rPr>
          <w:rFonts w:ascii="Arial"/>
          <w:color w:val="000000"/>
          <w:sz w:val="24"/>
        </w:rPr>
        <w:t>that was the point of attention in view impact evaluation</w:t>
      </w:r>
      <w:r>
        <w:rPr>
          <w:rFonts w:ascii="Arial"/>
          <w:color w:val="000000"/>
          <w:sz w:val="24"/>
        </w:rPr>
        <w:t xml:space="preserve"> </w:t>
      </w:r>
      <w:r>
        <w:rPr>
          <w:rFonts w:ascii="Arial"/>
          <w:color w:val="000000"/>
          <w:sz w:val="24"/>
        </w:rPr>
        <w:t>(</w:t>
      </w:r>
      <w:r>
        <w:rPr>
          <w:rFonts w:ascii="Arial"/>
          <w:i/>
          <w:color w:val="000000"/>
          <w:sz w:val="24"/>
        </w:rPr>
        <w:t>Tenacity Consulting v Wa</w:t>
      </w:r>
      <w:r>
        <w:rPr>
          <w:rFonts w:ascii="Arial"/>
          <w:i/>
          <w:color w:val="000000"/>
          <w:sz w:val="24"/>
        </w:rPr>
        <w:t>r</w:t>
      </w:r>
      <w:r>
        <w:rPr>
          <w:rFonts w:ascii="Arial"/>
          <w:i/>
          <w:color w:val="000000"/>
          <w:sz w:val="24"/>
        </w:rPr>
        <w:t>ringah</w:t>
      </w:r>
      <w:r>
        <w:rPr>
          <w:rFonts w:ascii="Arial"/>
          <w:color w:val="000000"/>
          <w:sz w:val="24"/>
        </w:rPr>
        <w:t xml:space="preserve"> </w:t>
      </w:r>
      <w:r>
        <w:rPr>
          <w:rFonts w:ascii="Arial"/>
          <w:color w:val="000000"/>
          <w:sz w:val="24"/>
        </w:rPr>
        <w:t>134 LGERA 23</w:t>
      </w:r>
      <w:r>
        <w:rPr>
          <w:rFonts w:ascii="Arial"/>
          <w:color w:val="000000"/>
          <w:sz w:val="24"/>
        </w:rPr>
        <w:t>;</w:t>
      </w:r>
      <w:r>
        <w:rPr>
          <w:rFonts w:ascii="Arial"/>
          <w:color w:val="000000"/>
          <w:sz w:val="24"/>
        </w:rPr>
        <w:t xml:space="preserve"> </w:t>
      </w:r>
      <w:r>
        <w:rPr>
          <w:rFonts w:ascii="Arial"/>
          <w:color w:val="000000"/>
          <w:sz w:val="24"/>
        </w:rPr>
        <w:t>[2004] NSWLEC 140</w:t>
      </w:r>
      <w:r>
        <w:rPr>
          <w:rFonts w:ascii="Arial"/>
          <w:color w:val="000000"/>
          <w:sz w:val="24"/>
        </w:rPr>
        <w:t xml:space="preserve">, </w:t>
      </w:r>
      <w:r>
        <w:rPr>
          <w:rFonts w:ascii="Arial"/>
          <w:color w:val="000000"/>
          <w:sz w:val="24"/>
        </w:rPr>
        <w:t>in particular the</w:t>
      </w:r>
      <w:r>
        <w:rPr>
          <w:rFonts w:ascii="Arial"/>
          <w:color w:val="000000"/>
          <w:sz w:val="24"/>
        </w:rPr>
        <w:t xml:space="preserve"> </w:t>
      </w:r>
      <w:r>
        <w:rPr>
          <w:rFonts w:ascii="Arial"/>
          <w:color w:val="000000"/>
          <w:sz w:val="24"/>
        </w:rPr>
        <w:t>four-step process outlined at [23]-[29])</w:t>
      </w:r>
      <w:r>
        <w:rPr>
          <w:rFonts w:ascii="Arial"/>
          <w:color w:val="000000"/>
          <w:sz w:val="24"/>
        </w:rPr>
        <w:t xml:space="preserve">. </w:t>
      </w:r>
    </w:p>
    <w:p>
      <w:pPr>
        <w:pStyle w:val="CaselawHeading4"/>
        <w:keepNext/>
        <w:spacing w:before="150" w:after="150" w:line="264"/>
        <w:ind w:left="600"/>
        <w:jc w:val="left"/>
      </w:pPr>
      <w:r>
        <w:rPr>
          <w:rFonts w:ascii="Arial"/>
        </w:rPr>
        <w:t>Expert evidence</w:t>
      </w:r>
    </w:p>
    <w:p>
      <w:pPr>
        <w:pStyle w:val="CaselawNumbered10"/>
        <w:numPr>
          <w:ilvl w:val="0"/>
          <w:numId w:val="87"/>
        </w:numPr>
        <w:spacing w:before="150" w:after="0"/>
        <w:ind w:left="600" w:hanging="600"/>
      </w:pPr>
      <w:r>
        <w:rPr>
          <w:rFonts w:ascii="Arial"/>
          <w:color w:val="000000"/>
          <w:sz w:val="24"/>
        </w:rPr>
        <w:t xml:space="preserve">Ex </w:t>
      </w:r>
      <w:r>
        <w:rPr>
          <w:rFonts w:ascii="Arial"/>
          <w:color w:val="000000"/>
          <w:sz w:val="24"/>
        </w:rPr>
        <w:t>4</w:t>
      </w:r>
      <w:r>
        <w:rPr>
          <w:rFonts w:ascii="Arial"/>
          <w:color w:val="000000"/>
          <w:sz w:val="24"/>
        </w:rPr>
        <w:t xml:space="preserve"> </w:t>
      </w:r>
      <w:r>
        <w:rPr>
          <w:rFonts w:ascii="Arial"/>
          <w:color w:val="000000"/>
          <w:sz w:val="24"/>
        </w:rPr>
        <w:t xml:space="preserve">indicates view loss objections were raised from some 34 individual apartments, within apartment buildings identified as: (1) </w:t>
      </w:r>
      <w:r>
        <w:rPr>
          <w:rFonts w:ascii="Arial"/>
          <w:color w:val="000000"/>
          <w:sz w:val="24"/>
        </w:rPr>
        <w:t xml:space="preserve">15 </w:t>
      </w:r>
      <w:r>
        <w:rPr>
          <w:rFonts w:ascii="Arial"/>
          <w:color w:val="000000"/>
          <w:sz w:val="24"/>
        </w:rPr>
        <w:t xml:space="preserve">– </w:t>
      </w:r>
      <w:r>
        <w:rPr>
          <w:rFonts w:ascii="Arial"/>
          <w:color w:val="000000"/>
          <w:sz w:val="24"/>
        </w:rPr>
        <w:t>19 Onslow Avenue</w:t>
      </w:r>
      <w:r>
        <w:rPr>
          <w:rFonts w:ascii="Arial"/>
          <w:color w:val="000000"/>
          <w:sz w:val="24"/>
        </w:rPr>
        <w:t xml:space="preserve">, (2) </w:t>
      </w:r>
      <w:r>
        <w:rPr>
          <w:rFonts w:ascii="Arial"/>
          <w:color w:val="000000"/>
          <w:sz w:val="24"/>
        </w:rPr>
        <w:t>12 Onslow Avenue</w:t>
      </w:r>
      <w:r>
        <w:rPr>
          <w:rFonts w:ascii="Arial"/>
          <w:color w:val="000000"/>
          <w:sz w:val="24"/>
        </w:rPr>
        <w:t>, (3) 13 Onslow Avenue, (4) 8 Onslow Avenue and (5) 23 Billyard Avenue. One communal area was also identified as of concern</w:t>
      </w:r>
      <w:r>
        <w:rPr>
          <w:rFonts w:ascii="Arial"/>
          <w:color w:val="000000"/>
          <w:sz w:val="24"/>
        </w:rPr>
        <w:t xml:space="preserve"> </w:t>
      </w:r>
      <w:r>
        <w:rPr>
          <w:rFonts w:ascii="Arial"/>
          <w:color w:val="000000"/>
          <w:sz w:val="24"/>
        </w:rPr>
        <w:t xml:space="preserve">(within </w:t>
      </w:r>
      <w:r>
        <w:rPr>
          <w:rFonts w:ascii="Arial"/>
          <w:color w:val="000000"/>
          <w:sz w:val="24"/>
        </w:rPr>
        <w:t xml:space="preserve">15 </w:t>
      </w:r>
      <w:r>
        <w:rPr>
          <w:rFonts w:ascii="Arial"/>
          <w:color w:val="000000"/>
          <w:sz w:val="24"/>
        </w:rPr>
        <w:t xml:space="preserve">– </w:t>
      </w:r>
      <w:r>
        <w:rPr>
          <w:rFonts w:ascii="Arial"/>
          <w:color w:val="000000"/>
          <w:sz w:val="24"/>
        </w:rPr>
        <w:t>19 Onslow</w:t>
      </w:r>
      <w:r>
        <w:rPr>
          <w:rFonts w:ascii="Arial"/>
          <w:color w:val="000000"/>
          <w:sz w:val="24"/>
        </w:rPr>
        <w:t xml:space="preserve"> </w:t>
      </w:r>
      <w:r>
        <w:rPr>
          <w:rFonts w:ascii="Arial"/>
          <w:color w:val="000000"/>
          <w:sz w:val="24"/>
        </w:rPr>
        <w:t>Avenue)</w:t>
      </w:r>
      <w:r>
        <w:rPr>
          <w:rFonts w:ascii="Arial"/>
          <w:color w:val="000000"/>
          <w:sz w:val="24"/>
        </w:rPr>
        <w:t xml:space="preserve">. Objections also raised view loss from the public domain. </w:t>
      </w:r>
    </w:p>
    <w:p>
      <w:pPr>
        <w:pStyle w:val="CaselawNumbered10"/>
        <w:numPr>
          <w:ilvl w:val="0"/>
          <w:numId w:val="87"/>
        </w:numPr>
        <w:spacing w:before="150" w:after="0"/>
        <w:ind w:left="600" w:hanging="600"/>
      </w:pPr>
      <w:r>
        <w:rPr>
          <w:rFonts w:ascii="Arial"/>
          <w:color w:val="000000"/>
          <w:sz w:val="24"/>
        </w:rPr>
        <w:t>An approach agreed between the parties (</w:t>
      </w:r>
      <w:r>
        <w:rPr>
          <w:rFonts w:ascii="Arial"/>
          <w:color w:val="000000"/>
          <w:sz w:val="24"/>
        </w:rPr>
        <w:t>ie</w:t>
      </w:r>
      <w:r>
        <w:rPr>
          <w:rFonts w:ascii="Arial"/>
          <w:color w:val="000000"/>
          <w:sz w:val="24"/>
        </w:rPr>
        <w:t xml:space="preserve"> </w:t>
      </w:r>
      <w:r>
        <w:rPr>
          <w:rFonts w:ascii="Arial"/>
          <w:color w:val="000000"/>
          <w:sz w:val="24"/>
        </w:rPr>
        <w:t xml:space="preserve">with full participation of the Council) determined which of these apartments did not, and which did, warrant more detailed investigation (including preparation of view loss photomontages based on associated </w:t>
      </w:r>
      <w:r>
        <w:rPr>
          <w:rFonts w:ascii="Arial"/>
          <w:color w:val="000000"/>
          <w:sz w:val="24"/>
        </w:rPr>
        <w:t xml:space="preserve">photogrammetric </w:t>
      </w:r>
      <w:r>
        <w:rPr>
          <w:rFonts w:ascii="Arial"/>
          <w:color w:val="000000"/>
          <w:sz w:val="24"/>
        </w:rPr>
        <w:t>modelling) and which did not.</w:t>
      </w:r>
      <w:r>
        <w:rPr>
          <w:rFonts w:ascii="Arial"/>
          <w:color w:val="000000"/>
          <w:sz w:val="24"/>
        </w:rPr>
        <w:t xml:space="preserve"> </w:t>
      </w:r>
      <w:r>
        <w:rPr>
          <w:rFonts w:ascii="Arial"/>
          <w:color w:val="000000"/>
          <w:sz w:val="24"/>
        </w:rPr>
        <w:t xml:space="preserve">The VSR includes a </w:t>
      </w:r>
      <w:r>
        <w:rPr>
          <w:rFonts w:ascii="Arial"/>
          <w:i/>
          <w:color w:val="000000"/>
          <w:sz w:val="24"/>
        </w:rPr>
        <w:t>Tenacity</w:t>
      </w:r>
      <w:r>
        <w:rPr>
          <w:rFonts w:ascii="Arial"/>
          <w:color w:val="000000"/>
          <w:sz w:val="24"/>
        </w:rPr>
        <w:t>–</w:t>
      </w:r>
      <w:r>
        <w:rPr>
          <w:rFonts w:ascii="Arial"/>
          <w:color w:val="000000"/>
          <w:sz w:val="24"/>
        </w:rPr>
        <w:t xml:space="preserve">based </w:t>
      </w:r>
      <w:r>
        <w:rPr>
          <w:rFonts w:ascii="Arial"/>
          <w:color w:val="000000"/>
          <w:sz w:val="24"/>
        </w:rPr>
        <w:t xml:space="preserve">evaluation of view loss impact for </w:t>
      </w:r>
      <w:r>
        <w:rPr>
          <w:rFonts w:ascii="Arial"/>
          <w:color w:val="000000"/>
          <w:sz w:val="24"/>
        </w:rPr>
        <w:t>selected</w:t>
      </w:r>
      <w:r>
        <w:rPr>
          <w:rFonts w:ascii="Arial"/>
          <w:color w:val="000000"/>
          <w:sz w:val="24"/>
        </w:rPr>
        <w:t xml:space="preserve"> </w:t>
      </w:r>
      <w:r>
        <w:rPr>
          <w:rFonts w:ascii="Arial"/>
          <w:color w:val="000000"/>
          <w:sz w:val="24"/>
        </w:rPr>
        <w:t>properties.</w:t>
      </w:r>
    </w:p>
    <w:p>
      <w:pPr>
        <w:pStyle w:val="CaselawNumbered10"/>
        <w:numPr>
          <w:ilvl w:val="0"/>
          <w:numId w:val="87"/>
        </w:numPr>
        <w:spacing w:before="150" w:after="0"/>
        <w:ind w:left="600" w:hanging="600"/>
      </w:pPr>
      <w:r>
        <w:rPr>
          <w:rFonts w:ascii="Arial"/>
          <w:color w:val="000000"/>
          <w:sz w:val="24"/>
        </w:rPr>
        <w:t xml:space="preserve">Ms </w:t>
      </w:r>
      <w:r>
        <w:rPr>
          <w:rFonts w:ascii="Arial"/>
          <w:color w:val="000000"/>
          <w:sz w:val="24"/>
        </w:rPr>
        <w:t xml:space="preserve">Maze-Riley </w:t>
      </w:r>
      <w:r>
        <w:rPr>
          <w:rFonts w:ascii="Arial"/>
          <w:color w:val="000000"/>
          <w:sz w:val="24"/>
        </w:rPr>
        <w:t xml:space="preserve">and Ms Errington agreed that the final View Sharing Report (VSR), dated 25 September 2024 (Ex 4 Appendix D), </w:t>
      </w:r>
      <w:r>
        <w:rPr>
          <w:rFonts w:ascii="Arial"/>
          <w:color w:val="000000"/>
          <w:sz w:val="24"/>
        </w:rPr>
        <w:t>accurately depict</w:t>
      </w:r>
      <w:r>
        <w:rPr>
          <w:rFonts w:ascii="Arial"/>
          <w:color w:val="000000"/>
          <w:sz w:val="24"/>
        </w:rPr>
        <w:t>s</w:t>
      </w:r>
      <w:r>
        <w:rPr>
          <w:rFonts w:ascii="Arial"/>
          <w:color w:val="000000"/>
          <w:sz w:val="24"/>
        </w:rPr>
        <w:t xml:space="preserve"> </w:t>
      </w:r>
      <w:r>
        <w:rPr>
          <w:rFonts w:ascii="Arial"/>
          <w:color w:val="000000"/>
          <w:sz w:val="24"/>
        </w:rPr>
        <w:t xml:space="preserve">the proposed building design as amended </w:t>
      </w:r>
      <w:r>
        <w:rPr>
          <w:rFonts w:ascii="Arial"/>
          <w:color w:val="000000"/>
          <w:sz w:val="24"/>
        </w:rPr>
        <w:t>(including</w:t>
      </w:r>
      <w:r>
        <w:rPr>
          <w:rFonts w:ascii="Arial"/>
          <w:color w:val="000000"/>
          <w:sz w:val="24"/>
        </w:rPr>
        <w:t xml:space="preserve"> </w:t>
      </w:r>
      <w:r>
        <w:rPr>
          <w:rFonts w:ascii="Arial"/>
          <w:color w:val="000000"/>
          <w:sz w:val="24"/>
        </w:rPr>
        <w:t>rooftop shade structures</w:t>
      </w:r>
      <w:r>
        <w:rPr>
          <w:rFonts w:ascii="Arial"/>
          <w:color w:val="000000"/>
          <w:sz w:val="24"/>
        </w:rPr>
        <w:t xml:space="preserve">) allowing, through its </w:t>
      </w:r>
      <w:r>
        <w:rPr>
          <w:rFonts w:ascii="Arial"/>
          <w:color w:val="000000"/>
          <w:sz w:val="24"/>
        </w:rPr>
        <w:t>“</w:t>
      </w:r>
      <w:r>
        <w:rPr>
          <w:rFonts w:ascii="Arial"/>
          <w:color w:val="000000"/>
          <w:sz w:val="24"/>
        </w:rPr>
        <w:t>certifiably accurate</w:t>
      </w:r>
      <w:r>
        <w:rPr>
          <w:rFonts w:ascii="Arial"/>
          <w:color w:val="000000"/>
          <w:sz w:val="24"/>
        </w:rPr>
        <w:t xml:space="preserve">” </w:t>
      </w:r>
      <w:r>
        <w:rPr>
          <w:rFonts w:ascii="Arial"/>
          <w:color w:val="000000"/>
          <w:sz w:val="24"/>
        </w:rPr>
        <w:t xml:space="preserve">photomontages, the full extent of view sharing and view loss to be determined. Notably, the experts agreed that the VSR </w:t>
      </w:r>
      <w:r>
        <w:rPr>
          <w:rFonts w:ascii="Arial"/>
          <w:color w:val="000000"/>
          <w:sz w:val="24"/>
        </w:rPr>
        <w:t>“</w:t>
      </w:r>
      <w:r>
        <w:rPr>
          <w:rFonts w:ascii="Arial"/>
          <w:color w:val="000000"/>
          <w:sz w:val="24"/>
        </w:rPr>
        <w:t>assessed</w:t>
      </w:r>
      <w:r>
        <w:rPr>
          <w:rFonts w:ascii="Arial"/>
          <w:color w:val="000000"/>
          <w:sz w:val="24"/>
        </w:rPr>
        <w:t xml:space="preserve"> </w:t>
      </w:r>
      <w:r>
        <w:rPr>
          <w:rFonts w:ascii="Arial"/>
          <w:color w:val="000000"/>
          <w:sz w:val="24"/>
        </w:rPr>
        <w:t>the potential view impacts based on a sample of the closest and most impacted apartments located in neighbouring residential buildings</w:t>
      </w:r>
      <w:r>
        <w:rPr>
          <w:rFonts w:ascii="Arial"/>
          <w:color w:val="000000"/>
          <w:sz w:val="24"/>
        </w:rPr>
        <w:t xml:space="preserve">” </w:t>
      </w:r>
      <w:r>
        <w:rPr>
          <w:rFonts w:ascii="Arial"/>
          <w:color w:val="000000"/>
          <w:sz w:val="24"/>
        </w:rPr>
        <w:t>(Ex TP Tabl</w:t>
      </w:r>
      <w:r>
        <w:rPr>
          <w:rFonts w:ascii="Arial"/>
          <w:color w:val="000000"/>
          <w:sz w:val="24"/>
        </w:rPr>
        <w:t xml:space="preserve">e </w:t>
      </w:r>
      <w:r>
        <w:rPr>
          <w:rFonts w:ascii="Arial"/>
          <w:color w:val="000000"/>
          <w:sz w:val="24"/>
        </w:rPr>
        <w:t xml:space="preserve">1 </w:t>
      </w:r>
      <w:r>
        <w:rPr>
          <w:rFonts w:ascii="Arial"/>
          <w:color w:val="000000"/>
          <w:sz w:val="24"/>
        </w:rPr>
        <w:t>Topic</w:t>
      </w:r>
      <w:r>
        <w:rPr>
          <w:rFonts w:ascii="Arial"/>
          <w:color w:val="000000"/>
          <w:sz w:val="24"/>
        </w:rPr>
        <w:t xml:space="preserve"> </w:t>
      </w:r>
      <w:r>
        <w:rPr>
          <w:rFonts w:ascii="Arial"/>
          <w:color w:val="000000"/>
          <w:sz w:val="24"/>
        </w:rPr>
        <w:t>C</w:t>
      </w:r>
      <w:r>
        <w:rPr>
          <w:rFonts w:ascii="Arial"/>
          <w:color w:val="000000"/>
          <w:sz w:val="24"/>
        </w:rPr>
        <w:t xml:space="preserve"> </w:t>
      </w:r>
      <w:r>
        <w:rPr>
          <w:rFonts w:ascii="Arial"/>
          <w:color w:val="000000"/>
          <w:sz w:val="24"/>
        </w:rPr>
        <w:t>Point</w:t>
      </w:r>
      <w:r>
        <w:rPr>
          <w:rFonts w:ascii="Arial"/>
          <w:color w:val="000000"/>
          <w:sz w:val="24"/>
        </w:rPr>
        <w:t xml:space="preserve"> </w:t>
      </w:r>
      <w:r>
        <w:rPr>
          <w:rFonts w:ascii="Arial"/>
          <w:color w:val="000000"/>
          <w:sz w:val="24"/>
        </w:rPr>
        <w:t>2)</w:t>
      </w:r>
      <w:r>
        <w:rPr>
          <w:rFonts w:ascii="Arial"/>
          <w:color w:val="000000"/>
          <w:sz w:val="24"/>
        </w:rPr>
        <w:t xml:space="preserve"> </w:t>
      </w:r>
      <w:r>
        <w:rPr>
          <w:rFonts w:ascii="Arial"/>
          <w:color w:val="000000"/>
          <w:sz w:val="24"/>
        </w:rPr>
        <w:t xml:space="preserve">and that </w:t>
      </w:r>
      <w:r>
        <w:rPr>
          <w:rFonts w:ascii="Arial"/>
          <w:color w:val="000000"/>
          <w:sz w:val="24"/>
        </w:rPr>
        <w:t>‘</w:t>
      </w:r>
      <w:r>
        <w:rPr>
          <w:rFonts w:ascii="Arial"/>
          <w:color w:val="000000"/>
          <w:sz w:val="24"/>
        </w:rPr>
        <w:t>worst-case</w:t>
      </w:r>
      <w:r>
        <w:rPr>
          <w:rFonts w:ascii="Arial"/>
          <w:color w:val="000000"/>
          <w:sz w:val="24"/>
        </w:rPr>
        <w:t xml:space="preserve">’ </w:t>
      </w:r>
      <w:r>
        <w:rPr>
          <w:rFonts w:ascii="Arial"/>
          <w:color w:val="000000"/>
          <w:sz w:val="24"/>
        </w:rPr>
        <w:t>views for modelling and analysis were adopted</w:t>
      </w:r>
      <w:r>
        <w:rPr>
          <w:rFonts w:ascii="Arial"/>
          <w:color w:val="000000"/>
          <w:sz w:val="24"/>
        </w:rPr>
        <w:t xml:space="preserve"> </w:t>
      </w:r>
      <w:r>
        <w:rPr>
          <w:rFonts w:ascii="Arial"/>
          <w:color w:val="000000"/>
          <w:sz w:val="24"/>
        </w:rPr>
        <w:t>(Ex TP Tabl</w:t>
      </w:r>
      <w:r>
        <w:rPr>
          <w:rFonts w:ascii="Arial"/>
          <w:color w:val="000000"/>
          <w:sz w:val="24"/>
        </w:rPr>
        <w:t xml:space="preserve">e </w:t>
      </w:r>
      <w:r>
        <w:rPr>
          <w:rFonts w:ascii="Arial"/>
          <w:color w:val="000000"/>
          <w:sz w:val="24"/>
        </w:rPr>
        <w:t xml:space="preserve">1 </w:t>
      </w:r>
      <w:r>
        <w:rPr>
          <w:rFonts w:ascii="Arial"/>
          <w:color w:val="000000"/>
          <w:sz w:val="24"/>
        </w:rPr>
        <w:t>Topic</w:t>
      </w:r>
      <w:r>
        <w:rPr>
          <w:rFonts w:ascii="Arial"/>
          <w:color w:val="000000"/>
          <w:sz w:val="24"/>
        </w:rPr>
        <w:t xml:space="preserve"> </w:t>
      </w:r>
      <w:r>
        <w:rPr>
          <w:rFonts w:ascii="Arial"/>
          <w:color w:val="000000"/>
          <w:sz w:val="24"/>
        </w:rPr>
        <w:t xml:space="preserve">C </w:t>
      </w:r>
      <w:r>
        <w:rPr>
          <w:rFonts w:ascii="Arial"/>
          <w:color w:val="000000"/>
          <w:sz w:val="24"/>
        </w:rPr>
        <w:t>Point</w:t>
      </w:r>
      <w:r>
        <w:rPr>
          <w:rFonts w:ascii="Arial"/>
          <w:color w:val="000000"/>
          <w:sz w:val="24"/>
        </w:rPr>
        <w:t xml:space="preserve"> </w:t>
      </w:r>
      <w:r>
        <w:rPr>
          <w:rFonts w:ascii="Arial"/>
          <w:color w:val="000000"/>
          <w:sz w:val="24"/>
        </w:rPr>
        <w:t>5</w:t>
      </w:r>
      <w:r>
        <w:rPr>
          <w:rFonts w:ascii="Arial"/>
          <w:color w:val="000000"/>
          <w:sz w:val="24"/>
        </w:rPr>
        <w:t>)</w:t>
      </w:r>
      <w:r>
        <w:rPr>
          <w:rFonts w:ascii="Arial"/>
          <w:color w:val="000000"/>
          <w:sz w:val="24"/>
        </w:rPr>
        <w:t xml:space="preserve">. </w:t>
      </w:r>
    </w:p>
    <w:p>
      <w:pPr>
        <w:pStyle w:val="CaselawNumbered10"/>
        <w:numPr>
          <w:ilvl w:val="0"/>
          <w:numId w:val="87"/>
        </w:numPr>
        <w:spacing w:before="150" w:after="0"/>
        <w:ind w:left="600" w:hanging="600"/>
      </w:pPr>
      <w:r>
        <w:rPr>
          <w:rFonts w:ascii="Arial"/>
          <w:color w:val="000000"/>
          <w:sz w:val="24"/>
        </w:rPr>
        <w:t>The agreed position of the experts is that (Ex TP par 21):</w:t>
      </w:r>
    </w:p>
    <w:p>
      <w:pPr>
        <w:pStyle w:val="CaselawCoversheet"/>
        <w:spacing w:before="150" w:after="150"/>
        <w:ind w:left="1350"/>
        <w:jc w:val="left"/>
      </w:pPr>
      <w:r>
        <w:rPr>
          <w:rFonts w:ascii="Arial"/>
          <w:color w:val="000000"/>
          <w:sz w:val="24"/>
        </w:rPr>
        <w:t>“… the extent of view loss is low and limited, view impacts per dwelling are negligible or minor, and view sharing is reasonable and supportable.”</w:t>
      </w:r>
    </w:p>
    <w:p>
      <w:pPr>
        <w:pStyle w:val="CaselawNumbered10"/>
        <w:numPr>
          <w:ilvl w:val="0"/>
          <w:numId w:val="88"/>
        </w:numPr>
        <w:spacing w:before="150" w:after="0"/>
        <w:ind w:left="600" w:hanging="600"/>
      </w:pPr>
      <w:r>
        <w:rPr>
          <w:rFonts w:ascii="Arial"/>
          <w:color w:val="000000"/>
          <w:sz w:val="24"/>
        </w:rPr>
        <w:t xml:space="preserve">Notably the experts also indicated that non-complying elements of the proposal </w:t>
      </w:r>
      <w:r>
        <w:rPr>
          <w:rFonts w:ascii="Arial"/>
          <w:color w:val="000000"/>
          <w:sz w:val="24"/>
        </w:rPr>
        <w:t>(</w:t>
      </w:r>
      <w:r>
        <w:rPr>
          <w:rFonts w:ascii="Arial"/>
          <w:color w:val="000000"/>
          <w:sz w:val="24"/>
        </w:rPr>
        <w:t>ie</w:t>
      </w:r>
      <w:r>
        <w:rPr>
          <w:rFonts w:ascii="Arial"/>
          <w:color w:val="000000"/>
          <w:sz w:val="24"/>
        </w:rPr>
        <w:t xml:space="preserve"> </w:t>
      </w:r>
      <w:r>
        <w:rPr>
          <w:rFonts w:ascii="Arial"/>
          <w:color w:val="000000"/>
          <w:sz w:val="24"/>
        </w:rPr>
        <w:t xml:space="preserve">relating to the building height contravention) </w:t>
      </w:r>
      <w:r>
        <w:rPr>
          <w:rFonts w:ascii="Arial"/>
          <w:color w:val="000000"/>
          <w:sz w:val="24"/>
        </w:rPr>
        <w:t xml:space="preserve">do not cause unreasonable view loss </w:t>
      </w:r>
      <w:r>
        <w:rPr>
          <w:rFonts w:ascii="Arial"/>
          <w:color w:val="000000"/>
          <w:sz w:val="24"/>
        </w:rPr>
        <w:t>(</w:t>
      </w:r>
      <w:r>
        <w:rPr>
          <w:rFonts w:ascii="Arial"/>
          <w:color w:val="000000"/>
          <w:sz w:val="24"/>
        </w:rPr>
        <w:t>or shadow</w:t>
      </w:r>
      <w:r>
        <w:rPr>
          <w:rFonts w:ascii="Arial"/>
          <w:color w:val="000000"/>
          <w:sz w:val="24"/>
        </w:rPr>
        <w:t>)</w:t>
      </w:r>
      <w:r>
        <w:rPr>
          <w:rFonts w:ascii="Arial"/>
          <w:color w:val="000000"/>
          <w:sz w:val="24"/>
        </w:rPr>
        <w:t xml:space="preserve"> </w:t>
      </w:r>
      <w:r>
        <w:rPr>
          <w:rFonts w:ascii="Arial"/>
          <w:color w:val="000000"/>
          <w:sz w:val="24"/>
        </w:rPr>
        <w:t xml:space="preserve">impacts (Ex </w:t>
      </w:r>
      <w:r>
        <w:rPr>
          <w:rFonts w:ascii="Arial"/>
          <w:color w:val="000000"/>
          <w:sz w:val="24"/>
        </w:rPr>
        <w:t>4</w:t>
      </w:r>
      <w:r>
        <w:rPr>
          <w:rFonts w:ascii="Arial"/>
          <w:color w:val="000000"/>
          <w:sz w:val="24"/>
        </w:rPr>
        <w:t xml:space="preserve"> </w:t>
      </w:r>
      <w:r>
        <w:rPr>
          <w:rFonts w:ascii="Arial"/>
          <w:color w:val="000000"/>
          <w:sz w:val="24"/>
        </w:rPr>
        <w:t>Tabl</w:t>
      </w:r>
      <w:r>
        <w:rPr>
          <w:rFonts w:ascii="Arial"/>
          <w:color w:val="000000"/>
          <w:sz w:val="24"/>
        </w:rPr>
        <w:t xml:space="preserve">e </w:t>
      </w:r>
      <w:r>
        <w:rPr>
          <w:rFonts w:ascii="Arial"/>
          <w:color w:val="000000"/>
          <w:sz w:val="24"/>
        </w:rPr>
        <w:t xml:space="preserve">1 </w:t>
      </w:r>
      <w:r>
        <w:rPr>
          <w:rFonts w:ascii="Arial"/>
          <w:color w:val="000000"/>
          <w:sz w:val="24"/>
        </w:rPr>
        <w:t>Topic</w:t>
      </w:r>
      <w:r>
        <w:rPr>
          <w:rFonts w:ascii="Arial"/>
          <w:color w:val="000000"/>
          <w:sz w:val="24"/>
        </w:rPr>
        <w:t xml:space="preserve"> </w:t>
      </w:r>
      <w:r>
        <w:rPr>
          <w:rFonts w:ascii="Arial"/>
          <w:color w:val="000000"/>
          <w:sz w:val="24"/>
        </w:rPr>
        <w:t xml:space="preserve">A </w:t>
      </w:r>
      <w:r>
        <w:rPr>
          <w:rFonts w:ascii="Arial"/>
          <w:color w:val="000000"/>
          <w:sz w:val="24"/>
        </w:rPr>
        <w:t>Point</w:t>
      </w:r>
      <w:r>
        <w:rPr>
          <w:rFonts w:ascii="Arial"/>
          <w:color w:val="000000"/>
          <w:sz w:val="24"/>
        </w:rPr>
        <w:t xml:space="preserve"> </w:t>
      </w:r>
      <w:r>
        <w:rPr>
          <w:rFonts w:ascii="Arial"/>
          <w:color w:val="000000"/>
          <w:sz w:val="24"/>
        </w:rPr>
        <w:t xml:space="preserve">12). </w:t>
      </w:r>
    </w:p>
    <w:p>
      <w:pPr>
        <w:pStyle w:val="CaselawNumbered10"/>
        <w:numPr>
          <w:ilvl w:val="0"/>
          <w:numId w:val="88"/>
        </w:numPr>
        <w:spacing w:before="150" w:after="0"/>
        <w:ind w:left="600" w:hanging="600"/>
      </w:pPr>
      <w:r>
        <w:rPr>
          <w:rFonts w:ascii="Arial"/>
          <w:color w:val="000000"/>
          <w:sz w:val="24"/>
        </w:rPr>
        <w:t xml:space="preserve">Briefly here, I </w:t>
      </w:r>
      <w:r>
        <w:rPr>
          <w:rFonts w:ascii="Arial"/>
          <w:color w:val="000000"/>
          <w:sz w:val="24"/>
        </w:rPr>
        <w:t>note</w:t>
      </w:r>
      <w:r>
        <w:rPr>
          <w:rFonts w:ascii="Arial"/>
          <w:color w:val="000000"/>
          <w:sz w:val="24"/>
        </w:rPr>
        <w:t xml:space="preserve"> </w:t>
      </w:r>
      <w:r>
        <w:rPr>
          <w:rFonts w:ascii="Arial"/>
          <w:color w:val="000000"/>
          <w:sz w:val="24"/>
        </w:rPr>
        <w:t xml:space="preserve">that </w:t>
      </w:r>
      <w:r>
        <w:rPr>
          <w:rFonts w:ascii="Arial"/>
          <w:color w:val="000000"/>
          <w:sz w:val="24"/>
        </w:rPr>
        <w:t>a number of</w:t>
      </w:r>
      <w:r>
        <w:rPr>
          <w:rFonts w:ascii="Arial"/>
          <w:color w:val="000000"/>
          <w:sz w:val="24"/>
        </w:rPr>
        <w:t xml:space="preserve"> </w:t>
      </w:r>
      <w:r>
        <w:rPr>
          <w:rFonts w:ascii="Arial"/>
          <w:color w:val="000000"/>
          <w:sz w:val="24"/>
        </w:rPr>
        <w:t xml:space="preserve">objecting submissions expressed </w:t>
      </w:r>
      <w:r>
        <w:rPr>
          <w:rFonts w:ascii="Arial"/>
          <w:color w:val="000000"/>
          <w:sz w:val="24"/>
        </w:rPr>
        <w:t xml:space="preserve">considerable </w:t>
      </w:r>
      <w:r>
        <w:rPr>
          <w:rFonts w:ascii="Arial"/>
          <w:color w:val="000000"/>
          <w:sz w:val="24"/>
        </w:rPr>
        <w:t>disagreement with these opinions of the experts.</w:t>
      </w:r>
    </w:p>
    <w:p>
      <w:pPr>
        <w:pStyle w:val="CaselawHeading4"/>
        <w:keepNext/>
        <w:spacing w:before="150" w:after="150" w:line="264"/>
        <w:ind w:left="600"/>
        <w:jc w:val="left"/>
      </w:pPr>
      <w:r>
        <w:rPr>
          <w:rFonts w:ascii="Arial"/>
        </w:rPr>
        <w:t xml:space="preserve">Findings in relation to view </w:t>
      </w:r>
      <w:r>
        <w:rPr>
          <w:rFonts w:ascii="Arial"/>
        </w:rPr>
        <w:t>impact</w:t>
      </w:r>
    </w:p>
    <w:p>
      <w:pPr>
        <w:pStyle w:val="CaselawNumbered10"/>
        <w:numPr>
          <w:ilvl w:val="0"/>
          <w:numId w:val="89"/>
        </w:numPr>
        <w:spacing w:before="150" w:after="0"/>
        <w:ind w:left="600" w:hanging="600"/>
      </w:pPr>
      <w:r>
        <w:rPr>
          <w:rFonts w:ascii="Arial"/>
          <w:color w:val="000000"/>
          <w:sz w:val="24"/>
        </w:rPr>
        <w:t xml:space="preserve">I gave some consideration to the question of how to balance differing expert and lay evidence in </w:t>
      </w:r>
      <w:r>
        <w:rPr>
          <w:rFonts w:ascii="Arial"/>
          <w:i/>
          <w:color w:val="000000"/>
          <w:sz w:val="24"/>
        </w:rPr>
        <w:t xml:space="preserve">GFM Investment Group Pty Ltd in its capacity as Trustee for GFM Home Trust </w:t>
      </w:r>
      <w:r>
        <w:rPr>
          <w:rFonts w:ascii="Arial"/>
          <w:i/>
          <w:color w:val="000000"/>
          <w:sz w:val="24"/>
        </w:rPr>
        <w:t>Subtrust</w:t>
      </w:r>
      <w:r>
        <w:rPr>
          <w:rFonts w:ascii="Arial"/>
          <w:i/>
          <w:color w:val="000000"/>
          <w:sz w:val="24"/>
        </w:rPr>
        <w:t xml:space="preserve"> No. 7 v Inner West Council</w:t>
      </w:r>
      <w:r>
        <w:rPr>
          <w:rFonts w:ascii="Arial"/>
          <w:color w:val="000000"/>
          <w:sz w:val="24"/>
        </w:rPr>
        <w:t xml:space="preserve"> </w:t>
      </w:r>
      <w:r>
        <w:rPr>
          <w:rFonts w:ascii="Arial"/>
          <w:color w:val="000000"/>
          <w:sz w:val="24"/>
        </w:rPr>
        <w:t>[2023] NSWLEC 1112</w:t>
      </w:r>
      <w:r>
        <w:rPr>
          <w:rFonts w:ascii="Arial"/>
          <w:color w:val="000000"/>
          <w:sz w:val="24"/>
        </w:rPr>
        <w:t xml:space="preserve"> </w:t>
      </w:r>
      <w:r>
        <w:rPr>
          <w:rFonts w:ascii="Arial"/>
          <w:color w:val="000000"/>
          <w:sz w:val="24"/>
        </w:rPr>
        <w:t>at [41]:</w:t>
      </w:r>
    </w:p>
    <w:p>
      <w:pPr>
        <w:pStyle w:val="CaselawCoversheet"/>
        <w:spacing w:before="150" w:after="150"/>
        <w:ind w:left="1350"/>
        <w:jc w:val="left"/>
      </w:pPr>
      <w:r>
        <w:rPr>
          <w:rFonts w:ascii="Arial"/>
          <w:color w:val="000000"/>
          <w:sz w:val="24"/>
        </w:rPr>
        <w:t>How lay submissions of this kind are to be addressed is a matter of common consideration in this Court. I note for example the more recent framing of the topic by Dixon SC in </w:t>
      </w:r>
      <w:r>
        <w:rPr>
          <w:rFonts w:ascii="Arial"/>
          <w:color w:val="000000"/>
          <w:sz w:val="24"/>
        </w:rPr>
        <w:t>McDonald’s Australia Limited v Coffs Harbour City Council</w:t>
      </w:r>
      <w:r>
        <w:rPr>
          <w:rFonts w:ascii="Arial"/>
          <w:color w:val="000000"/>
          <w:sz w:val="24"/>
        </w:rPr>
        <w:t> [2023] NSWLEC 1067 ([49] et seq) who refers to the findings of Lloyd J in </w:t>
      </w:r>
      <w:r>
        <w:rPr>
          <w:rFonts w:ascii="Arial"/>
          <w:color w:val="000000"/>
          <w:sz w:val="24"/>
        </w:rPr>
        <w:t>New Century Developments Pty Ltd v Baulkham Hills Shire Council</w:t>
      </w:r>
      <w:r>
        <w:rPr>
          <w:rFonts w:ascii="Arial"/>
          <w:color w:val="000000"/>
          <w:sz w:val="24"/>
        </w:rPr>
        <w:t> (2003) 127 LGERA 303; [2003] NSWLEC 154 (</w:t>
      </w:r>
      <w:r>
        <w:rPr>
          <w:rFonts w:ascii="Arial"/>
          <w:color w:val="000000"/>
          <w:sz w:val="24"/>
        </w:rPr>
        <w:t>New Century Developments</w:t>
      </w:r>
      <w:r>
        <w:rPr>
          <w:rFonts w:ascii="Arial"/>
          <w:color w:val="000000"/>
          <w:sz w:val="24"/>
        </w:rPr>
        <w:t>) [61]. The statutory position is clear in that s 4.15(1)(d) of the EPA Act requires a consent authority to take into consideration submissions of this kind. </w:t>
      </w:r>
      <w:r>
        <w:rPr>
          <w:rFonts w:ascii="Arial"/>
          <w:color w:val="000000"/>
          <w:sz w:val="24"/>
        </w:rPr>
        <w:t>New Century Developments</w:t>
      </w:r>
      <w:r>
        <w:rPr>
          <w:rFonts w:ascii="Arial"/>
          <w:color w:val="000000"/>
          <w:sz w:val="24"/>
        </w:rPr>
        <w:t xml:space="preserve"> then points to the need for discernment and to seek objective substantiation (</w:t>
      </w:r>
      <w:r>
        <w:rPr>
          <w:rFonts w:ascii="Arial"/>
          <w:color w:val="000000"/>
          <w:sz w:val="24"/>
        </w:rPr>
        <w:t>ie rather than “blindly accepting”) such lay submissions.</w:t>
      </w:r>
    </w:p>
    <w:p>
      <w:pPr>
        <w:pStyle w:val="CaselawNumbered10"/>
        <w:numPr>
          <w:ilvl w:val="0"/>
          <w:numId w:val="90"/>
        </w:numPr>
        <w:spacing w:before="150" w:after="0"/>
        <w:ind w:left="600" w:hanging="600"/>
      </w:pPr>
      <w:r>
        <w:rPr>
          <w:rFonts w:ascii="Arial"/>
          <w:color w:val="000000"/>
          <w:sz w:val="24"/>
        </w:rPr>
        <w:t xml:space="preserve">My own evaluation of view loss is based on the VSR, the evidence of the relevant experts, and objectors, and my own physical inspection from a small number of apartments within certain of the apartment buildings, the relevant private (communal) open space, and Onslow Avenue as the relevant public domain view area. </w:t>
      </w:r>
      <w:r>
        <w:rPr>
          <w:rFonts w:ascii="Arial"/>
          <w:color w:val="000000"/>
          <w:sz w:val="24"/>
        </w:rPr>
        <w:t xml:space="preserve"> </w:t>
      </w:r>
      <w:r>
        <w:rPr>
          <w:rFonts w:ascii="Arial"/>
          <w:color w:val="000000"/>
          <w:sz w:val="24"/>
        </w:rPr>
        <w:t xml:space="preserve">It was this physical inspection from selected locations that provided the </w:t>
      </w:r>
      <w:r>
        <w:rPr>
          <w:rFonts w:ascii="Arial"/>
          <w:color w:val="000000"/>
          <w:sz w:val="24"/>
        </w:rPr>
        <w:t>“</w:t>
      </w:r>
      <w:r>
        <w:rPr>
          <w:rFonts w:ascii="Arial"/>
          <w:color w:val="000000"/>
          <w:sz w:val="24"/>
        </w:rPr>
        <w:t>objective substantiation I sought in this instance.</w:t>
      </w:r>
    </w:p>
    <w:p>
      <w:pPr>
        <w:pStyle w:val="CaselawHeading5"/>
        <w:keepNext/>
        <w:spacing w:before="150" w:after="150" w:line="264"/>
        <w:ind w:left="600"/>
        <w:jc w:val="left"/>
      </w:pPr>
      <w:r>
        <w:rPr>
          <w:rFonts w:ascii="Arial"/>
        </w:rPr>
        <w:t>View loss from the public domain</w:t>
      </w:r>
    </w:p>
    <w:p>
      <w:pPr>
        <w:pStyle w:val="CaselawNumbered10"/>
        <w:numPr>
          <w:ilvl w:val="0"/>
          <w:numId w:val="91"/>
        </w:numPr>
        <w:spacing w:before="150" w:after="0"/>
        <w:ind w:left="600" w:hanging="600"/>
      </w:pPr>
      <w:r>
        <w:rPr>
          <w:rFonts w:ascii="Arial"/>
          <w:color w:val="000000"/>
          <w:sz w:val="24"/>
        </w:rPr>
        <w:t xml:space="preserve">I was not persuaded by objecting submissions raising concern about view impact </w:t>
      </w:r>
      <w:r>
        <w:rPr>
          <w:rFonts w:ascii="Arial"/>
          <w:color w:val="000000"/>
          <w:sz w:val="24"/>
        </w:rPr>
        <w:t>from the public domain</w:t>
      </w:r>
      <w:r>
        <w:rPr>
          <w:rFonts w:ascii="Arial"/>
          <w:color w:val="000000"/>
          <w:sz w:val="24"/>
        </w:rPr>
        <w:t xml:space="preserve"> </w:t>
      </w:r>
      <w:r>
        <w:rPr>
          <w:rFonts w:ascii="Arial"/>
          <w:color w:val="000000"/>
          <w:sz w:val="24"/>
        </w:rPr>
        <w:t>(also noting Ex 1 Contention 6(d) which had been struck out by Council in any event)</w:t>
      </w:r>
      <w:r>
        <w:rPr>
          <w:rFonts w:ascii="Arial"/>
          <w:color w:val="000000"/>
          <w:sz w:val="24"/>
        </w:rPr>
        <w:t>. It seemed the most at</w:t>
      </w:r>
      <w:r>
        <w:rPr>
          <w:rFonts w:ascii="Arial"/>
          <w:color w:val="000000"/>
          <w:sz w:val="24"/>
        </w:rPr>
        <w:t>-</w:t>
      </w:r>
      <w:r>
        <w:rPr>
          <w:rFonts w:ascii="Arial"/>
          <w:color w:val="000000"/>
          <w:sz w:val="24"/>
        </w:rPr>
        <w:t xml:space="preserve">risk area was the gap between buildings as viewed from along the </w:t>
      </w:r>
      <w:r>
        <w:rPr>
          <w:rFonts w:ascii="Arial"/>
          <w:color w:val="000000"/>
          <w:sz w:val="24"/>
        </w:rPr>
        <w:t>Onslow Avenue road</w:t>
      </w:r>
      <w:r>
        <w:rPr>
          <w:rFonts w:ascii="Arial"/>
          <w:color w:val="000000"/>
          <w:sz w:val="24"/>
        </w:rPr>
        <w:t xml:space="preserve"> </w:t>
      </w:r>
      <w:r>
        <w:rPr>
          <w:rFonts w:ascii="Arial"/>
          <w:color w:val="000000"/>
          <w:sz w:val="24"/>
        </w:rPr>
        <w:t>reservation. On my own experience, o</w:t>
      </w:r>
      <w:r>
        <w:rPr>
          <w:rFonts w:ascii="Arial"/>
          <w:color w:val="000000"/>
          <w:sz w:val="24"/>
        </w:rPr>
        <w:t xml:space="preserve">ne would need to stand very tall at the very western edge of the footpath </w:t>
      </w:r>
      <w:r>
        <w:rPr>
          <w:rFonts w:ascii="Arial"/>
          <w:color w:val="000000"/>
          <w:sz w:val="24"/>
        </w:rPr>
        <w:t xml:space="preserve">for </w:t>
      </w:r>
      <w:r>
        <w:rPr>
          <w:rFonts w:ascii="Arial"/>
          <w:color w:val="000000"/>
          <w:sz w:val="24"/>
        </w:rPr>
        <w:t>there</w:t>
      </w:r>
      <w:r>
        <w:rPr>
          <w:rFonts w:ascii="Arial"/>
          <w:color w:val="000000"/>
          <w:sz w:val="24"/>
        </w:rPr>
        <w:t xml:space="preserve"> </w:t>
      </w:r>
      <w:r>
        <w:rPr>
          <w:rFonts w:ascii="Arial"/>
          <w:color w:val="000000"/>
          <w:sz w:val="24"/>
        </w:rPr>
        <w:t xml:space="preserve">to be an effect on the </w:t>
      </w:r>
      <w:r>
        <w:rPr>
          <w:rFonts w:ascii="Arial"/>
          <w:color w:val="000000"/>
          <w:sz w:val="24"/>
        </w:rPr>
        <w:t xml:space="preserve">public </w:t>
      </w:r>
      <w:r>
        <w:rPr>
          <w:rFonts w:ascii="Arial"/>
          <w:color w:val="000000"/>
          <w:sz w:val="24"/>
        </w:rPr>
        <w:t xml:space="preserve">experience of </w:t>
      </w:r>
      <w:r>
        <w:rPr>
          <w:rFonts w:ascii="Arial"/>
          <w:color w:val="000000"/>
          <w:sz w:val="24"/>
        </w:rPr>
        <w:t>a</w:t>
      </w:r>
      <w:r>
        <w:rPr>
          <w:rFonts w:ascii="Arial"/>
          <w:color w:val="000000"/>
          <w:sz w:val="24"/>
        </w:rPr>
        <w:t xml:space="preserve"> </w:t>
      </w:r>
      <w:r>
        <w:rPr>
          <w:rFonts w:ascii="Arial"/>
          <w:color w:val="000000"/>
          <w:sz w:val="24"/>
        </w:rPr>
        <w:t>view to the harbour</w:t>
      </w:r>
      <w:r>
        <w:rPr>
          <w:rFonts w:ascii="Arial"/>
          <w:color w:val="000000"/>
          <w:sz w:val="24"/>
        </w:rPr>
        <w:t xml:space="preserve">. </w:t>
      </w:r>
    </w:p>
    <w:p>
      <w:pPr>
        <w:pStyle w:val="CaselawHeading5"/>
        <w:keepNext/>
        <w:spacing w:before="150" w:after="150" w:line="264"/>
        <w:ind w:left="600"/>
        <w:jc w:val="left"/>
      </w:pPr>
      <w:r>
        <w:rPr>
          <w:rFonts w:ascii="Arial"/>
        </w:rPr>
        <w:t>Unit 6C – 15-19 Onslow Avenue</w:t>
      </w:r>
    </w:p>
    <w:p>
      <w:pPr>
        <w:pStyle w:val="CaselawNumbered10"/>
        <w:numPr>
          <w:ilvl w:val="0"/>
          <w:numId w:val="92"/>
        </w:numPr>
        <w:spacing w:before="150" w:after="0"/>
        <w:ind w:left="600" w:hanging="600"/>
      </w:pPr>
      <w:r>
        <w:rPr>
          <w:rFonts w:ascii="Arial"/>
          <w:color w:val="000000"/>
          <w:sz w:val="24"/>
        </w:rPr>
        <w:t>There was certain descriptive material relating to Unit 6C which was in error in the V</w:t>
      </w:r>
      <w:r>
        <w:rPr>
          <w:rFonts w:ascii="Arial"/>
          <w:color w:val="000000"/>
          <w:sz w:val="24"/>
        </w:rPr>
        <w:t>SR</w:t>
      </w:r>
      <w:r>
        <w:rPr>
          <w:rFonts w:ascii="Arial"/>
          <w:color w:val="000000"/>
          <w:sz w:val="24"/>
        </w:rPr>
        <w:t>. This and the content of a</w:t>
      </w:r>
      <w:r>
        <w:rPr>
          <w:rFonts w:ascii="Arial"/>
          <w:color w:val="000000"/>
          <w:sz w:val="24"/>
        </w:rPr>
        <w:t>n objecting</w:t>
      </w:r>
      <w:r>
        <w:rPr>
          <w:rFonts w:ascii="Arial"/>
          <w:color w:val="000000"/>
          <w:sz w:val="24"/>
        </w:rPr>
        <w:t xml:space="preserve"> </w:t>
      </w:r>
      <w:r>
        <w:rPr>
          <w:rFonts w:ascii="Arial"/>
          <w:color w:val="000000"/>
          <w:sz w:val="24"/>
        </w:rPr>
        <w:t>submission</w:t>
      </w:r>
      <w:r>
        <w:rPr>
          <w:rFonts w:ascii="Arial"/>
          <w:color w:val="000000"/>
          <w:sz w:val="24"/>
        </w:rPr>
        <w:t>,</w:t>
      </w:r>
      <w:r>
        <w:rPr>
          <w:rFonts w:ascii="Arial"/>
          <w:color w:val="000000"/>
          <w:sz w:val="24"/>
        </w:rPr>
        <w:t xml:space="preserve"> </w:t>
      </w:r>
      <w:r>
        <w:rPr>
          <w:rFonts w:ascii="Arial"/>
          <w:color w:val="000000"/>
          <w:sz w:val="24"/>
        </w:rPr>
        <w:t xml:space="preserve">querying the </w:t>
      </w:r>
      <w:r>
        <w:rPr>
          <w:rFonts w:ascii="Arial"/>
          <w:color w:val="000000"/>
          <w:sz w:val="24"/>
        </w:rPr>
        <w:t xml:space="preserve">VSR </w:t>
      </w:r>
      <w:r>
        <w:rPr>
          <w:rFonts w:ascii="Arial"/>
          <w:color w:val="000000"/>
          <w:sz w:val="24"/>
        </w:rPr>
        <w:t>findings with respect to Unit 6C</w:t>
      </w:r>
      <w:r>
        <w:rPr>
          <w:rFonts w:ascii="Arial"/>
          <w:color w:val="000000"/>
          <w:sz w:val="24"/>
        </w:rPr>
        <w:t>,</w:t>
      </w:r>
      <w:r>
        <w:rPr>
          <w:rFonts w:ascii="Arial"/>
          <w:color w:val="000000"/>
          <w:sz w:val="24"/>
        </w:rPr>
        <w:t xml:space="preserve"> </w:t>
      </w:r>
      <w:r>
        <w:rPr>
          <w:rFonts w:ascii="Arial"/>
          <w:color w:val="000000"/>
          <w:sz w:val="24"/>
        </w:rPr>
        <w:t xml:space="preserve">triggered my interest in re-inspecting from this property. I have reviewed the </w:t>
      </w:r>
      <w:r>
        <w:rPr>
          <w:rFonts w:ascii="Arial"/>
          <w:color w:val="000000"/>
          <w:sz w:val="24"/>
        </w:rPr>
        <w:t xml:space="preserve">VSR </w:t>
      </w:r>
      <w:r>
        <w:rPr>
          <w:rFonts w:ascii="Arial"/>
          <w:color w:val="000000"/>
          <w:sz w:val="24"/>
        </w:rPr>
        <w:t>analysis of this property</w:t>
      </w:r>
      <w:r>
        <w:rPr>
          <w:rFonts w:ascii="Arial"/>
          <w:color w:val="000000"/>
          <w:sz w:val="24"/>
        </w:rPr>
        <w:t>’</w:t>
      </w:r>
      <w:r>
        <w:rPr>
          <w:rFonts w:ascii="Arial"/>
          <w:color w:val="000000"/>
          <w:sz w:val="24"/>
        </w:rPr>
        <w:t xml:space="preserve">s view loss which found it </w:t>
      </w:r>
      <w:r>
        <w:rPr>
          <w:rFonts w:ascii="Arial"/>
          <w:color w:val="000000"/>
          <w:sz w:val="24"/>
        </w:rPr>
        <w:t>“</w:t>
      </w:r>
      <w:r>
        <w:rPr>
          <w:rFonts w:ascii="Arial"/>
          <w:color w:val="000000"/>
          <w:sz w:val="24"/>
        </w:rPr>
        <w:t>negligible</w:t>
      </w:r>
      <w:r>
        <w:rPr>
          <w:rFonts w:ascii="Arial"/>
          <w:color w:val="000000"/>
          <w:sz w:val="24"/>
        </w:rPr>
        <w:t>”</w:t>
      </w:r>
      <w:r>
        <w:rPr>
          <w:rFonts w:ascii="Arial"/>
          <w:color w:val="000000"/>
          <w:sz w:val="24"/>
        </w:rPr>
        <w:t xml:space="preserve">. Having viewed from the property, I disagree significantly. </w:t>
      </w:r>
    </w:p>
    <w:p>
      <w:pPr>
        <w:pStyle w:val="CaselawNumbered10"/>
        <w:numPr>
          <w:ilvl w:val="0"/>
          <w:numId w:val="92"/>
        </w:numPr>
        <w:spacing w:before="150" w:after="0"/>
        <w:ind w:left="600" w:hanging="600"/>
      </w:pPr>
      <w:r>
        <w:rPr>
          <w:rFonts w:ascii="Arial"/>
          <w:color w:val="000000"/>
          <w:sz w:val="24"/>
        </w:rPr>
        <w:t xml:space="preserve">I disagree with the following commentary in the </w:t>
      </w:r>
      <w:r>
        <w:rPr>
          <w:rFonts w:ascii="Arial"/>
          <w:color w:val="000000"/>
          <w:sz w:val="24"/>
        </w:rPr>
        <w:t xml:space="preserve">VSR </w:t>
      </w:r>
      <w:r>
        <w:rPr>
          <w:rFonts w:ascii="Arial"/>
          <w:color w:val="000000"/>
          <w:sz w:val="24"/>
        </w:rPr>
        <w:t>with respect to views from this property</w:t>
      </w:r>
      <w:r>
        <w:rPr>
          <w:rFonts w:ascii="Arial"/>
          <w:color w:val="000000"/>
          <w:sz w:val="24"/>
        </w:rPr>
        <w:t xml:space="preserve"> </w:t>
      </w:r>
      <w:r>
        <w:rPr>
          <w:rFonts w:ascii="Arial"/>
          <w:color w:val="000000"/>
          <w:sz w:val="24"/>
        </w:rPr>
        <w:t>(generally referencing p 27 VSR)</w:t>
      </w:r>
      <w:r>
        <w:rPr>
          <w:rFonts w:ascii="Arial"/>
          <w:color w:val="000000"/>
          <w:sz w:val="24"/>
        </w:rPr>
        <w:t xml:space="preserve">. The description of current harbour views as </w:t>
      </w:r>
      <w:r>
        <w:rPr>
          <w:rFonts w:ascii="Arial"/>
          <w:color w:val="000000"/>
          <w:sz w:val="24"/>
        </w:rPr>
        <w:t>“</w:t>
      </w:r>
      <w:r>
        <w:rPr>
          <w:rFonts w:ascii="Arial"/>
          <w:color w:val="000000"/>
          <w:sz w:val="24"/>
        </w:rPr>
        <w:t>highly oblique</w:t>
      </w:r>
      <w:r>
        <w:rPr>
          <w:rFonts w:ascii="Arial"/>
          <w:color w:val="000000"/>
          <w:sz w:val="24"/>
        </w:rPr>
        <w:t xml:space="preserve">” </w:t>
      </w:r>
      <w:r>
        <w:rPr>
          <w:rFonts w:ascii="Arial"/>
          <w:color w:val="000000"/>
          <w:sz w:val="24"/>
        </w:rPr>
        <w:t xml:space="preserve">is inappropriate and misdirects. The </w:t>
      </w:r>
      <w:r>
        <w:rPr>
          <w:rFonts w:ascii="Arial"/>
          <w:color w:val="000000"/>
          <w:sz w:val="24"/>
        </w:rPr>
        <w:t xml:space="preserve">available </w:t>
      </w:r>
      <w:r>
        <w:rPr>
          <w:rFonts w:ascii="Arial"/>
          <w:color w:val="000000"/>
          <w:sz w:val="24"/>
        </w:rPr>
        <w:t>views are more to</w:t>
      </w:r>
      <w:r>
        <w:rPr>
          <w:rFonts w:ascii="Arial"/>
          <w:color w:val="000000"/>
          <w:sz w:val="24"/>
        </w:rPr>
        <w:t>wards</w:t>
      </w:r>
      <w:r>
        <w:rPr>
          <w:rFonts w:ascii="Arial"/>
          <w:color w:val="000000"/>
          <w:sz w:val="24"/>
        </w:rPr>
        <w:t xml:space="preserve"> </w:t>
      </w:r>
      <w:r>
        <w:rPr>
          <w:rFonts w:ascii="Arial"/>
          <w:color w:val="000000"/>
          <w:sz w:val="24"/>
        </w:rPr>
        <w:t>the front than the side boundary. The</w:t>
      </w:r>
      <w:r>
        <w:rPr>
          <w:rFonts w:ascii="Arial"/>
          <w:color w:val="000000"/>
          <w:sz w:val="24"/>
        </w:rPr>
        <w:t xml:space="preserve"> </w:t>
      </w:r>
      <w:r>
        <w:rPr>
          <w:rFonts w:ascii="Arial"/>
          <w:color w:val="000000"/>
          <w:sz w:val="24"/>
        </w:rPr>
        <w:t>views</w:t>
      </w:r>
      <w:r>
        <w:rPr>
          <w:rFonts w:ascii="Arial"/>
          <w:color w:val="000000"/>
          <w:sz w:val="24"/>
        </w:rPr>
        <w:t xml:space="preserve"> </w:t>
      </w:r>
      <w:r>
        <w:rPr>
          <w:rFonts w:ascii="Arial"/>
          <w:color w:val="000000"/>
          <w:sz w:val="24"/>
        </w:rPr>
        <w:t>are very evident within the unit</w:t>
      </w:r>
      <w:r>
        <w:rPr>
          <w:rFonts w:ascii="Arial"/>
          <w:color w:val="000000"/>
          <w:sz w:val="24"/>
        </w:rPr>
        <w:t xml:space="preserve">, both sitting and standing, </w:t>
      </w:r>
      <w:r>
        <w:rPr>
          <w:rFonts w:ascii="Arial"/>
          <w:color w:val="000000"/>
          <w:sz w:val="24"/>
        </w:rPr>
        <w:t>and are in alignment with a central movement path between the dining room and the balcony. The</w:t>
      </w:r>
      <w:r>
        <w:rPr>
          <w:rFonts w:ascii="Arial"/>
          <w:color w:val="000000"/>
          <w:sz w:val="24"/>
        </w:rPr>
        <w:t xml:space="preserve"> </w:t>
      </w:r>
      <w:r>
        <w:rPr>
          <w:rFonts w:ascii="Arial"/>
          <w:color w:val="000000"/>
          <w:sz w:val="24"/>
        </w:rPr>
        <w:t>available harbour views</w:t>
      </w:r>
      <w:r>
        <w:rPr>
          <w:rFonts w:ascii="Arial"/>
          <w:color w:val="000000"/>
          <w:sz w:val="24"/>
        </w:rPr>
        <w:t xml:space="preserve"> </w:t>
      </w:r>
      <w:r>
        <w:rPr>
          <w:rFonts w:ascii="Arial"/>
          <w:color w:val="000000"/>
          <w:sz w:val="24"/>
        </w:rPr>
        <w:t xml:space="preserve">are the highlight of the balcony experience and have a presence when walking around the living area of the unit. It is an overstatement </w:t>
      </w:r>
      <w:r>
        <w:rPr>
          <w:rFonts w:ascii="Arial"/>
          <w:color w:val="000000"/>
          <w:sz w:val="24"/>
        </w:rPr>
        <w:t xml:space="preserve">(in the </w:t>
      </w:r>
      <w:r>
        <w:rPr>
          <w:rFonts w:ascii="Arial"/>
          <w:color w:val="000000"/>
          <w:sz w:val="24"/>
        </w:rPr>
        <w:t>VSR</w:t>
      </w:r>
      <w:r>
        <w:rPr>
          <w:rFonts w:ascii="Arial"/>
          <w:color w:val="000000"/>
          <w:sz w:val="24"/>
        </w:rPr>
        <w:t>)</w:t>
      </w:r>
      <w:r>
        <w:rPr>
          <w:rFonts w:ascii="Arial"/>
          <w:color w:val="000000"/>
          <w:sz w:val="24"/>
        </w:rPr>
        <w:t xml:space="preserve"> </w:t>
      </w:r>
      <w:r>
        <w:rPr>
          <w:rFonts w:ascii="Arial"/>
          <w:color w:val="000000"/>
          <w:sz w:val="24"/>
        </w:rPr>
        <w:t xml:space="preserve">to say that in this case the </w:t>
      </w:r>
      <w:r>
        <w:rPr>
          <w:rFonts w:ascii="Arial"/>
          <w:color w:val="000000"/>
          <w:sz w:val="24"/>
        </w:rPr>
        <w:t>“</w:t>
      </w:r>
      <w:r>
        <w:rPr>
          <w:rFonts w:ascii="Arial"/>
          <w:color w:val="000000"/>
          <w:sz w:val="24"/>
        </w:rPr>
        <w:t>intervening vegetation heavily screens</w:t>
      </w:r>
      <w:r>
        <w:rPr>
          <w:rFonts w:ascii="Arial"/>
          <w:color w:val="000000"/>
          <w:sz w:val="24"/>
        </w:rPr>
        <w:t>”</w:t>
      </w:r>
      <w:r>
        <w:rPr>
          <w:rFonts w:ascii="Arial"/>
          <w:color w:val="000000"/>
          <w:sz w:val="24"/>
        </w:rPr>
        <w:t xml:space="preserve">. At present the </w:t>
      </w:r>
      <w:r>
        <w:rPr>
          <w:rFonts w:ascii="Arial"/>
          <w:color w:val="000000"/>
          <w:sz w:val="24"/>
        </w:rPr>
        <w:t xml:space="preserve">visual experience </w:t>
      </w:r>
      <w:r>
        <w:rPr>
          <w:rFonts w:ascii="Arial"/>
          <w:color w:val="000000"/>
          <w:sz w:val="24"/>
        </w:rPr>
        <w:t xml:space="preserve">of the harbour view includes </w:t>
      </w:r>
      <w:r>
        <w:rPr>
          <w:rFonts w:ascii="Arial"/>
          <w:color w:val="000000"/>
          <w:sz w:val="24"/>
        </w:rPr>
        <w:t>th</w:t>
      </w:r>
      <w:r>
        <w:rPr>
          <w:rFonts w:ascii="Arial"/>
          <w:color w:val="000000"/>
          <w:sz w:val="24"/>
        </w:rPr>
        <w:t>is</w:t>
      </w:r>
      <w:r>
        <w:rPr>
          <w:rFonts w:ascii="Arial"/>
          <w:color w:val="000000"/>
          <w:sz w:val="24"/>
        </w:rPr>
        <w:t xml:space="preserve"> </w:t>
      </w:r>
      <w:r>
        <w:rPr>
          <w:rFonts w:ascii="Arial"/>
          <w:color w:val="000000"/>
          <w:sz w:val="24"/>
        </w:rPr>
        <w:t xml:space="preserve">tree </w:t>
      </w:r>
      <w:r>
        <w:rPr>
          <w:rFonts w:ascii="Arial"/>
          <w:color w:val="000000"/>
          <w:sz w:val="24"/>
        </w:rPr>
        <w:t xml:space="preserve">canopy. That is, there is reasonable visual permeability through the tree to the water. </w:t>
      </w:r>
    </w:p>
    <w:p>
      <w:pPr>
        <w:pStyle w:val="CaselawNumbered10"/>
        <w:numPr>
          <w:ilvl w:val="0"/>
          <w:numId w:val="92"/>
        </w:numPr>
        <w:spacing w:before="150" w:after="0"/>
        <w:ind w:left="600" w:hanging="600"/>
      </w:pPr>
      <w:r>
        <w:rPr>
          <w:rFonts w:ascii="Arial"/>
          <w:color w:val="000000"/>
          <w:sz w:val="24"/>
        </w:rPr>
        <w:t xml:space="preserve">The most significant point of disagreement </w:t>
      </w:r>
      <w:r>
        <w:rPr>
          <w:rFonts w:ascii="Arial"/>
          <w:color w:val="000000"/>
          <w:sz w:val="24"/>
        </w:rPr>
        <w:t xml:space="preserve">I have with the </w:t>
      </w:r>
      <w:r>
        <w:rPr>
          <w:rFonts w:ascii="Arial"/>
          <w:color w:val="000000"/>
          <w:sz w:val="24"/>
        </w:rPr>
        <w:t xml:space="preserve">VSR </w:t>
      </w:r>
      <w:r>
        <w:rPr>
          <w:rFonts w:ascii="Arial"/>
          <w:color w:val="000000"/>
          <w:sz w:val="24"/>
        </w:rPr>
        <w:t xml:space="preserve">is that the existing view from the balcony would be unaffected. Having viewed from the balcony, I believe Figure 27 in the VIA does not adequately represent the setting. A photograph in Ex 16 (seventh page), from a standing position (a reasonable aspect to consider views) more </w:t>
      </w:r>
      <w:r>
        <w:rPr>
          <w:rFonts w:ascii="Arial"/>
          <w:color w:val="000000"/>
          <w:sz w:val="24"/>
        </w:rPr>
        <w:t>objectively</w:t>
      </w:r>
      <w:r>
        <w:rPr>
          <w:rFonts w:ascii="Arial"/>
          <w:color w:val="000000"/>
          <w:sz w:val="24"/>
        </w:rPr>
        <w:t xml:space="preserve"> </w:t>
      </w:r>
      <w:r>
        <w:rPr>
          <w:rFonts w:ascii="Arial"/>
          <w:color w:val="000000"/>
          <w:sz w:val="24"/>
        </w:rPr>
        <w:t xml:space="preserve">represented the whole of the view available from the balcony and the </w:t>
      </w:r>
      <w:r>
        <w:rPr>
          <w:rFonts w:ascii="Arial"/>
          <w:color w:val="000000"/>
          <w:sz w:val="24"/>
        </w:rPr>
        <w:t xml:space="preserve">view </w:t>
      </w:r>
      <w:r>
        <w:rPr>
          <w:rFonts w:ascii="Arial"/>
          <w:color w:val="000000"/>
          <w:sz w:val="24"/>
        </w:rPr>
        <w:t xml:space="preserve">loss factor (within a reasonable margin of error having regard to the estimated height of the </w:t>
      </w:r>
      <w:r>
        <w:rPr>
          <w:rFonts w:ascii="Arial"/>
          <w:color w:val="000000"/>
          <w:sz w:val="24"/>
        </w:rPr>
        <w:t xml:space="preserve">proposed </w:t>
      </w:r>
      <w:r>
        <w:rPr>
          <w:rFonts w:ascii="Arial"/>
          <w:color w:val="000000"/>
          <w:sz w:val="24"/>
        </w:rPr>
        <w:t>building). It is the case that an area of water</w:t>
      </w:r>
      <w:r>
        <w:rPr>
          <w:rFonts w:ascii="Arial"/>
          <w:color w:val="000000"/>
          <w:sz w:val="24"/>
        </w:rPr>
        <w:t>/</w:t>
      </w:r>
      <w:r>
        <w:rPr>
          <w:rFonts w:ascii="Arial"/>
          <w:color w:val="000000"/>
          <w:sz w:val="24"/>
        </w:rPr>
        <w:t>land interface view would remain, but this is a narrow field of view and the whole view would be cut off markedly by the proposal. There would be a moderate view loss impact</w:t>
      </w:r>
      <w:r>
        <w:rPr>
          <w:rFonts w:ascii="Arial"/>
          <w:color w:val="000000"/>
          <w:sz w:val="24"/>
        </w:rPr>
        <w:t xml:space="preserve"> </w:t>
      </w:r>
      <w:r>
        <w:rPr>
          <w:rFonts w:ascii="Arial"/>
          <w:color w:val="000000"/>
          <w:sz w:val="24"/>
        </w:rPr>
        <w:t>from Unit 6C</w:t>
      </w:r>
      <w:r>
        <w:rPr>
          <w:rFonts w:ascii="Arial"/>
          <w:color w:val="000000"/>
          <w:sz w:val="24"/>
        </w:rPr>
        <w:t xml:space="preserve">. </w:t>
      </w:r>
    </w:p>
    <w:p>
      <w:pPr>
        <w:pStyle w:val="CaselawHeading5"/>
        <w:keepNext/>
        <w:spacing w:before="150" w:after="150" w:line="264"/>
        <w:ind w:left="600"/>
        <w:jc w:val="left"/>
      </w:pPr>
      <w:r>
        <w:rPr>
          <w:rFonts w:ascii="Arial"/>
        </w:rPr>
        <w:t xml:space="preserve">Communal open space </w:t>
      </w:r>
      <w:r>
        <w:rPr>
          <w:rFonts w:ascii="Arial"/>
        </w:rPr>
        <w:t>– 15-19 Onslow Avenue</w:t>
      </w:r>
    </w:p>
    <w:p>
      <w:pPr>
        <w:pStyle w:val="CaselawNumbered10"/>
        <w:numPr>
          <w:ilvl w:val="0"/>
          <w:numId w:val="93"/>
        </w:numPr>
        <w:spacing w:before="150" w:after="0"/>
        <w:ind w:left="600" w:hanging="600"/>
      </w:pPr>
      <w:r>
        <w:rPr>
          <w:rFonts w:ascii="Arial"/>
          <w:color w:val="000000"/>
          <w:sz w:val="24"/>
        </w:rPr>
        <w:t xml:space="preserve">15-19 Onslow Avenue </w:t>
      </w:r>
      <w:r>
        <w:rPr>
          <w:rFonts w:ascii="Arial"/>
          <w:color w:val="000000"/>
          <w:sz w:val="24"/>
        </w:rPr>
        <w:t xml:space="preserve">is the tallest building in the immediate locality, with the built form itself suggestive of quite high density, although unusually beneficially endowed with communal open space. I revisited this area after one of the objectors (Mr Moody) </w:t>
      </w:r>
      <w:r>
        <w:rPr>
          <w:rFonts w:ascii="Arial"/>
          <w:color w:val="000000"/>
          <w:sz w:val="24"/>
        </w:rPr>
        <w:t xml:space="preserve">drew to my attention </w:t>
      </w:r>
      <w:r>
        <w:rPr>
          <w:rFonts w:ascii="Arial"/>
          <w:color w:val="000000"/>
          <w:sz w:val="24"/>
        </w:rPr>
        <w:t xml:space="preserve">certain provisions within the ADG, and other policy documents, highlighting the importance of high quality communal open space and its beneficial aspects for higher density developments. It was suggested that a number of apartments in this </w:t>
      </w:r>
      <w:r>
        <w:rPr>
          <w:rFonts w:ascii="Arial"/>
          <w:color w:val="000000"/>
          <w:sz w:val="24"/>
        </w:rPr>
        <w:t xml:space="preserve">building </w:t>
      </w:r>
      <w:r>
        <w:rPr>
          <w:rFonts w:ascii="Arial"/>
          <w:color w:val="000000"/>
          <w:sz w:val="24"/>
        </w:rPr>
        <w:t>”</w:t>
      </w:r>
      <w:r>
        <w:rPr>
          <w:rFonts w:ascii="Arial"/>
          <w:color w:val="000000"/>
          <w:sz w:val="24"/>
        </w:rPr>
        <w:t>have</w:t>
      </w:r>
      <w:r>
        <w:rPr>
          <w:rFonts w:ascii="Arial"/>
          <w:color w:val="000000"/>
          <w:sz w:val="24"/>
        </w:rPr>
        <w:t xml:space="preserve"> </w:t>
      </w:r>
      <w:r>
        <w:rPr>
          <w:rFonts w:ascii="Arial"/>
          <w:color w:val="000000"/>
          <w:sz w:val="24"/>
        </w:rPr>
        <w:t>no balcony and no aspec</w:t>
      </w:r>
      <w:r>
        <w:rPr>
          <w:rFonts w:ascii="Arial"/>
          <w:color w:val="000000"/>
          <w:sz w:val="24"/>
        </w:rPr>
        <w:t>t</w:t>
      </w:r>
      <w:r>
        <w:rPr>
          <w:rFonts w:ascii="Arial"/>
          <w:color w:val="000000"/>
          <w:sz w:val="24"/>
        </w:rPr>
        <w:t xml:space="preserve">” </w:t>
      </w:r>
      <w:r>
        <w:rPr>
          <w:rFonts w:ascii="Arial"/>
          <w:color w:val="000000"/>
          <w:sz w:val="24"/>
        </w:rPr>
        <w:t xml:space="preserve">(T 5/11/24 36 (28)). </w:t>
      </w:r>
      <w:r>
        <w:rPr>
          <w:rFonts w:ascii="Arial"/>
          <w:color w:val="000000"/>
          <w:sz w:val="24"/>
        </w:rPr>
        <w:t>This property</w:t>
      </w:r>
      <w:r>
        <w:rPr>
          <w:rFonts w:ascii="Arial"/>
          <w:color w:val="000000"/>
          <w:sz w:val="24"/>
        </w:rPr>
        <w:t xml:space="preserve"> </w:t>
      </w:r>
      <w:r>
        <w:rPr>
          <w:rFonts w:ascii="Arial"/>
          <w:color w:val="000000"/>
          <w:sz w:val="24"/>
        </w:rPr>
        <w:t>has a large area of grassed communal open space (</w:t>
      </w:r>
      <w:r>
        <w:rPr>
          <w:rFonts w:ascii="Arial"/>
          <w:color w:val="000000"/>
          <w:sz w:val="24"/>
        </w:rPr>
        <w:t>“</w:t>
      </w:r>
      <w:r>
        <w:rPr>
          <w:rFonts w:ascii="Arial"/>
          <w:color w:val="000000"/>
          <w:sz w:val="24"/>
        </w:rPr>
        <w:t>a breathing space</w:t>
      </w:r>
      <w:r>
        <w:rPr>
          <w:rFonts w:ascii="Arial"/>
          <w:color w:val="000000"/>
          <w:sz w:val="24"/>
        </w:rPr>
        <w:t>”</w:t>
      </w:r>
      <w:r>
        <w:rPr>
          <w:rFonts w:ascii="Arial"/>
          <w:color w:val="000000"/>
          <w:sz w:val="24"/>
        </w:rPr>
        <w:t xml:space="preserve">) and a pool where there are views between buildings to the harbour. That is, an existing high amenity feature of the property </w:t>
      </w:r>
      <w:r>
        <w:rPr>
          <w:rFonts w:ascii="Arial"/>
          <w:color w:val="000000"/>
          <w:sz w:val="24"/>
        </w:rPr>
        <w:t>comprises</w:t>
      </w:r>
      <w:r>
        <w:rPr>
          <w:rFonts w:ascii="Arial"/>
          <w:color w:val="000000"/>
          <w:sz w:val="24"/>
        </w:rPr>
        <w:t xml:space="preserve"> </w:t>
      </w:r>
      <w:r>
        <w:rPr>
          <w:rFonts w:ascii="Arial"/>
          <w:color w:val="000000"/>
          <w:sz w:val="24"/>
        </w:rPr>
        <w:t xml:space="preserve">the view eastwards, between the site and </w:t>
      </w:r>
      <w:r>
        <w:rPr>
          <w:rFonts w:ascii="Arial"/>
          <w:color w:val="000000"/>
          <w:sz w:val="24"/>
        </w:rPr>
        <w:t>12 Onslow Avenue</w:t>
      </w:r>
      <w:r>
        <w:rPr>
          <w:rFonts w:ascii="Arial"/>
          <w:color w:val="000000"/>
          <w:sz w:val="24"/>
        </w:rPr>
        <w:t xml:space="preserve">, to the harbour and a land/water interface across the </w:t>
      </w:r>
      <w:r>
        <w:rPr>
          <w:rFonts w:ascii="Arial"/>
          <w:color w:val="000000"/>
          <w:sz w:val="24"/>
        </w:rPr>
        <w:t xml:space="preserve">immediate </w:t>
      </w:r>
      <w:r>
        <w:rPr>
          <w:rFonts w:ascii="Arial"/>
          <w:color w:val="000000"/>
          <w:sz w:val="24"/>
        </w:rPr>
        <w:t xml:space="preserve">bay. It is available only from a certain area of the communal open space near the pool. My recall is that this communal open space area was a point of congregation </w:t>
      </w:r>
      <w:r>
        <w:rPr>
          <w:rFonts w:ascii="Arial"/>
          <w:color w:val="000000"/>
          <w:sz w:val="24"/>
        </w:rPr>
        <w:t xml:space="preserve">of residents </w:t>
      </w:r>
      <w:r>
        <w:rPr>
          <w:rFonts w:ascii="Arial"/>
          <w:color w:val="000000"/>
          <w:sz w:val="24"/>
        </w:rPr>
        <w:t>from time to time</w:t>
      </w:r>
      <w:r>
        <w:rPr>
          <w:rFonts w:ascii="Arial"/>
          <w:color w:val="000000"/>
          <w:sz w:val="24"/>
        </w:rPr>
        <w:t xml:space="preserve">. </w:t>
      </w:r>
    </w:p>
    <w:p>
      <w:pPr>
        <w:pStyle w:val="CaselawNumbered10"/>
        <w:numPr>
          <w:ilvl w:val="0"/>
          <w:numId w:val="93"/>
        </w:numPr>
        <w:spacing w:before="150" w:after="0"/>
        <w:ind w:left="600" w:hanging="600"/>
      </w:pPr>
      <w:r>
        <w:rPr>
          <w:rFonts w:ascii="Arial"/>
          <w:color w:val="000000"/>
          <w:sz w:val="24"/>
        </w:rPr>
        <w:t>At a maximum</w:t>
      </w:r>
      <w:r>
        <w:rPr>
          <w:rFonts w:ascii="Arial"/>
          <w:color w:val="000000"/>
          <w:sz w:val="24"/>
        </w:rPr>
        <w:t>, and very imprecisely</w:t>
      </w:r>
      <w:r>
        <w:rPr>
          <w:rFonts w:ascii="Arial"/>
          <w:color w:val="000000"/>
          <w:sz w:val="24"/>
        </w:rPr>
        <w:t xml:space="preserve">, the existing view corridor (between the buildings) to the harbour is about </w:t>
      </w:r>
      <w:r>
        <w:rPr>
          <w:rFonts w:ascii="Arial"/>
          <w:color w:val="000000"/>
          <w:sz w:val="24"/>
        </w:rPr>
        <w:t>5.5m</w:t>
      </w:r>
      <w:r>
        <w:rPr>
          <w:rFonts w:ascii="Arial"/>
          <w:color w:val="000000"/>
          <w:sz w:val="24"/>
        </w:rPr>
        <w:t xml:space="preserve"> </w:t>
      </w:r>
      <w:r>
        <w:rPr>
          <w:rFonts w:ascii="Arial"/>
          <w:color w:val="000000"/>
          <w:sz w:val="24"/>
        </w:rPr>
        <w:t xml:space="preserve">wide. Most of this corridor associates </w:t>
      </w:r>
      <w:r>
        <w:rPr>
          <w:rFonts w:ascii="Arial"/>
          <w:color w:val="000000"/>
          <w:sz w:val="24"/>
        </w:rPr>
        <w:t>with the existing building setbacks on the site</w:t>
      </w:r>
      <w:r>
        <w:rPr>
          <w:rFonts w:ascii="Arial"/>
          <w:color w:val="000000"/>
          <w:sz w:val="24"/>
        </w:rPr>
        <w:t xml:space="preserve"> </w:t>
      </w:r>
      <w:r>
        <w:rPr>
          <w:rFonts w:ascii="Arial"/>
          <w:color w:val="000000"/>
          <w:sz w:val="24"/>
        </w:rPr>
        <w:t>itself</w:t>
      </w:r>
      <w:r>
        <w:rPr>
          <w:rFonts w:ascii="Arial"/>
          <w:color w:val="000000"/>
          <w:sz w:val="24"/>
        </w:rPr>
        <w:t xml:space="preserve"> </w:t>
      </w:r>
      <w:r>
        <w:rPr>
          <w:rFonts w:ascii="Arial"/>
          <w:color w:val="000000"/>
          <w:sz w:val="24"/>
        </w:rPr>
        <w:t>(minimum of 4.656m at present, reducing to a minimum of 3.027m with the proposed development (Ex C Tab 12 DA003 Rev E)</w:t>
      </w:r>
      <w:r>
        <w:rPr>
          <w:rFonts w:ascii="Arial"/>
          <w:color w:val="000000"/>
          <w:sz w:val="24"/>
        </w:rPr>
        <w:t>. With the proposal</w:t>
      </w:r>
      <w:r>
        <w:rPr>
          <w:rFonts w:ascii="Arial"/>
          <w:color w:val="000000"/>
          <w:sz w:val="24"/>
        </w:rPr>
        <w:t>, a</w:t>
      </w:r>
      <w:r>
        <w:rPr>
          <w:rFonts w:ascii="Arial"/>
          <w:color w:val="000000"/>
          <w:sz w:val="24"/>
        </w:rPr>
        <w:t xml:space="preserve">bout </w:t>
      </w:r>
      <w:r>
        <w:rPr>
          <w:rFonts w:ascii="Arial"/>
          <w:color w:val="000000"/>
          <w:sz w:val="24"/>
        </w:rPr>
        <w:t>30%</w:t>
      </w:r>
      <w:r>
        <w:rPr>
          <w:rFonts w:ascii="Arial"/>
          <w:color w:val="000000"/>
          <w:sz w:val="24"/>
        </w:rPr>
        <w:t xml:space="preserve"> </w:t>
      </w:r>
      <w:r>
        <w:rPr>
          <w:rFonts w:ascii="Arial"/>
          <w:color w:val="000000"/>
          <w:sz w:val="24"/>
        </w:rPr>
        <w:t>of the view corridor</w:t>
      </w:r>
      <w:r>
        <w:rPr>
          <w:rFonts w:ascii="Arial"/>
          <w:color w:val="000000"/>
          <w:sz w:val="24"/>
        </w:rPr>
        <w:t xml:space="preserve"> </w:t>
      </w:r>
      <w:r>
        <w:rPr>
          <w:rFonts w:ascii="Arial"/>
          <w:color w:val="000000"/>
          <w:sz w:val="24"/>
        </w:rPr>
        <w:t xml:space="preserve">from the ideal spot within the communal open space at </w:t>
      </w:r>
      <w:r>
        <w:rPr>
          <w:rFonts w:ascii="Arial"/>
          <w:color w:val="000000"/>
          <w:sz w:val="24"/>
        </w:rPr>
        <w:t>15-19 Onslow Avenue</w:t>
      </w:r>
      <w:r>
        <w:rPr>
          <w:rFonts w:ascii="Arial"/>
          <w:color w:val="000000"/>
          <w:sz w:val="24"/>
        </w:rPr>
        <w:t xml:space="preserve"> </w:t>
      </w:r>
      <w:r>
        <w:rPr>
          <w:rFonts w:ascii="Arial"/>
          <w:color w:val="000000"/>
          <w:sz w:val="24"/>
        </w:rPr>
        <w:t>would be lost. This aspect of the view loss of the development was not part of the photomontage modelling</w:t>
      </w:r>
      <w:r>
        <w:rPr>
          <w:rFonts w:ascii="Arial"/>
          <w:color w:val="000000"/>
          <w:sz w:val="24"/>
        </w:rPr>
        <w:t xml:space="preserve"> </w:t>
      </w:r>
      <w:r>
        <w:rPr>
          <w:rFonts w:ascii="Arial"/>
          <w:color w:val="000000"/>
          <w:sz w:val="24"/>
        </w:rPr>
        <w:t xml:space="preserve">or </w:t>
      </w:r>
      <w:r>
        <w:rPr>
          <w:rFonts w:ascii="Arial"/>
          <w:i/>
          <w:color w:val="000000"/>
          <w:sz w:val="24"/>
        </w:rPr>
        <w:t>Tenacity</w:t>
      </w:r>
      <w:r>
        <w:rPr>
          <w:rFonts w:ascii="Arial"/>
          <w:color w:val="000000"/>
          <w:sz w:val="24"/>
        </w:rPr>
        <w:t xml:space="preserve"> </w:t>
      </w:r>
      <w:r>
        <w:rPr>
          <w:rFonts w:ascii="Arial"/>
          <w:color w:val="000000"/>
          <w:sz w:val="24"/>
        </w:rPr>
        <w:t>testing</w:t>
      </w:r>
      <w:r>
        <w:rPr>
          <w:rFonts w:ascii="Arial"/>
          <w:color w:val="000000"/>
          <w:sz w:val="24"/>
        </w:rPr>
        <w:t xml:space="preserve">. </w:t>
      </w:r>
    </w:p>
    <w:p>
      <w:pPr>
        <w:pStyle w:val="CaselawNumbered10"/>
        <w:numPr>
          <w:ilvl w:val="0"/>
          <w:numId w:val="93"/>
        </w:numPr>
        <w:spacing w:before="150" w:after="0"/>
        <w:ind w:left="600" w:hanging="600"/>
      </w:pPr>
      <w:r>
        <w:rPr>
          <w:rFonts w:ascii="Arial"/>
          <w:color w:val="000000"/>
          <w:sz w:val="24"/>
        </w:rPr>
        <w:t xml:space="preserve">My general conclusion </w:t>
      </w:r>
      <w:r>
        <w:rPr>
          <w:rFonts w:ascii="Arial"/>
          <w:color w:val="000000"/>
          <w:sz w:val="24"/>
        </w:rPr>
        <w:t xml:space="preserve">with respect to communal open space at </w:t>
      </w:r>
      <w:r>
        <w:rPr>
          <w:rFonts w:ascii="Arial"/>
          <w:color w:val="000000"/>
          <w:sz w:val="24"/>
        </w:rPr>
        <w:t xml:space="preserve">15-19 Onslow Avenue </w:t>
      </w:r>
      <w:r>
        <w:rPr>
          <w:rFonts w:ascii="Arial"/>
          <w:color w:val="000000"/>
          <w:sz w:val="24"/>
        </w:rPr>
        <w:t xml:space="preserve">is that the proposal would bring an adverse effect on the amenity enjoyed from </w:t>
      </w:r>
      <w:r>
        <w:rPr>
          <w:rFonts w:ascii="Arial"/>
          <w:color w:val="000000"/>
          <w:sz w:val="24"/>
        </w:rPr>
        <w:t>there</w:t>
      </w:r>
      <w:r>
        <w:rPr>
          <w:rFonts w:ascii="Arial"/>
          <w:color w:val="000000"/>
          <w:sz w:val="24"/>
        </w:rPr>
        <w:t xml:space="preserve">. A quite special feature </w:t>
      </w:r>
      <w:r>
        <w:rPr>
          <w:rFonts w:ascii="Arial"/>
          <w:color w:val="000000"/>
          <w:sz w:val="24"/>
        </w:rPr>
        <w:t>and likely point of some social congregation</w:t>
      </w:r>
      <w:r>
        <w:rPr>
          <w:rFonts w:ascii="Arial"/>
          <w:color w:val="000000"/>
          <w:sz w:val="24"/>
        </w:rPr>
        <w:t>,</w:t>
      </w:r>
      <w:r>
        <w:rPr>
          <w:rFonts w:ascii="Arial"/>
          <w:color w:val="000000"/>
          <w:sz w:val="24"/>
        </w:rPr>
        <w:t xml:space="preserve"> </w:t>
      </w:r>
      <w:r>
        <w:rPr>
          <w:rFonts w:ascii="Arial"/>
          <w:color w:val="000000"/>
          <w:sz w:val="24"/>
        </w:rPr>
        <w:t>which is easily understood to be of value</w:t>
      </w:r>
      <w:r>
        <w:rPr>
          <w:rFonts w:ascii="Arial"/>
          <w:color w:val="000000"/>
          <w:sz w:val="24"/>
        </w:rPr>
        <w:t>,</w:t>
      </w:r>
      <w:r>
        <w:rPr>
          <w:rFonts w:ascii="Arial"/>
          <w:color w:val="000000"/>
          <w:sz w:val="24"/>
        </w:rPr>
        <w:t xml:space="preserve"> </w:t>
      </w:r>
      <w:r>
        <w:rPr>
          <w:rFonts w:ascii="Arial"/>
          <w:color w:val="000000"/>
          <w:sz w:val="24"/>
        </w:rPr>
        <w:t>would be diminished</w:t>
      </w:r>
      <w:r>
        <w:rPr>
          <w:rFonts w:ascii="Arial"/>
          <w:color w:val="000000"/>
          <w:sz w:val="24"/>
        </w:rPr>
        <w:t xml:space="preserve"> </w:t>
      </w:r>
      <w:r>
        <w:rPr>
          <w:rFonts w:ascii="Arial"/>
          <w:color w:val="000000"/>
          <w:sz w:val="24"/>
        </w:rPr>
        <w:t>to a noticeable extent.</w:t>
      </w:r>
      <w:r>
        <w:rPr>
          <w:rFonts w:ascii="Arial"/>
          <w:color w:val="000000"/>
          <w:sz w:val="24"/>
        </w:rPr>
        <w:t xml:space="preserve"> </w:t>
      </w:r>
      <w:r>
        <w:rPr>
          <w:rFonts w:ascii="Arial"/>
          <w:color w:val="000000"/>
          <w:sz w:val="24"/>
        </w:rPr>
        <w:t>I can note that the building height contravention is not a relevant factor here.</w:t>
      </w:r>
    </w:p>
    <w:p>
      <w:pPr>
        <w:pStyle w:val="CaselawHeading5"/>
        <w:keepNext/>
        <w:spacing w:before="150" w:after="150" w:line="264"/>
        <w:ind w:left="600"/>
        <w:jc w:val="left"/>
      </w:pPr>
      <w:r>
        <w:rPr>
          <w:rFonts w:ascii="Arial"/>
        </w:rPr>
        <w:t>Units 5 and 7 - 12 Onslow Avenue</w:t>
      </w:r>
    </w:p>
    <w:p>
      <w:pPr>
        <w:pStyle w:val="CaselawNumbered10"/>
        <w:numPr>
          <w:ilvl w:val="0"/>
          <w:numId w:val="94"/>
        </w:numPr>
        <w:spacing w:before="150" w:after="0"/>
        <w:ind w:left="600" w:hanging="600"/>
      </w:pPr>
      <w:r>
        <w:rPr>
          <w:rFonts w:ascii="Arial"/>
          <w:color w:val="000000"/>
          <w:sz w:val="24"/>
        </w:rPr>
        <w:t xml:space="preserve">I agreed with the evidence in some objecting submissions that the photomontages for both Units 5 and 7, 12 Onslow Avenue, were taken at the left </w:t>
      </w:r>
      <w:r>
        <w:rPr>
          <w:rFonts w:ascii="Arial"/>
          <w:color w:val="000000"/>
          <w:sz w:val="24"/>
        </w:rPr>
        <w:t>or northern corner</w:t>
      </w:r>
      <w:r>
        <w:rPr>
          <w:rFonts w:ascii="Arial"/>
          <w:color w:val="000000"/>
          <w:sz w:val="24"/>
        </w:rPr>
        <w:t xml:space="preserve"> </w:t>
      </w:r>
      <w:r>
        <w:rPr>
          <w:rFonts w:ascii="Arial"/>
          <w:color w:val="000000"/>
          <w:sz w:val="24"/>
        </w:rPr>
        <w:t>of the balcony, whereas the natural area to sit and stand was more central to the balcony. During the site inspection I inspected from these two balcony locations to better understand the implications if view loss was considered more central to either balcony</w:t>
      </w:r>
      <w:r>
        <w:rPr>
          <w:rFonts w:ascii="Arial"/>
          <w:color w:val="000000"/>
          <w:sz w:val="24"/>
        </w:rPr>
        <w:t>, both of which</w:t>
      </w:r>
      <w:r>
        <w:rPr>
          <w:rFonts w:ascii="Arial"/>
          <w:color w:val="000000"/>
          <w:sz w:val="24"/>
        </w:rPr>
        <w:t xml:space="preserve"> </w:t>
      </w:r>
      <w:r>
        <w:rPr>
          <w:rFonts w:ascii="Arial"/>
          <w:color w:val="000000"/>
          <w:sz w:val="24"/>
        </w:rPr>
        <w:t xml:space="preserve">had harbour views </w:t>
      </w:r>
      <w:r>
        <w:rPr>
          <w:rFonts w:ascii="Arial"/>
          <w:color w:val="000000"/>
          <w:sz w:val="24"/>
        </w:rPr>
        <w:t>more or less directly</w:t>
      </w:r>
      <w:r>
        <w:rPr>
          <w:rFonts w:ascii="Arial"/>
          <w:color w:val="000000"/>
          <w:sz w:val="24"/>
        </w:rPr>
        <w:t xml:space="preserve"> </w:t>
      </w:r>
      <w:r>
        <w:rPr>
          <w:rFonts w:ascii="Arial"/>
          <w:color w:val="000000"/>
          <w:sz w:val="24"/>
        </w:rPr>
        <w:t xml:space="preserve">outwards to the east. </w:t>
      </w:r>
      <w:r>
        <w:rPr>
          <w:rFonts w:ascii="Arial"/>
          <w:color w:val="000000"/>
          <w:sz w:val="24"/>
        </w:rPr>
        <w:t>Insofar as the particulars of the photomontage location, t</w:t>
      </w:r>
      <w:r>
        <w:rPr>
          <w:rFonts w:ascii="Arial"/>
          <w:color w:val="000000"/>
          <w:sz w:val="24"/>
        </w:rPr>
        <w:t xml:space="preserve">here was no difference </w:t>
      </w:r>
      <w:r>
        <w:rPr>
          <w:rFonts w:ascii="Arial"/>
          <w:color w:val="000000"/>
          <w:sz w:val="24"/>
        </w:rPr>
        <w:t xml:space="preserve">in impact </w:t>
      </w:r>
      <w:r>
        <w:rPr>
          <w:rFonts w:ascii="Arial"/>
          <w:color w:val="000000"/>
          <w:sz w:val="24"/>
        </w:rPr>
        <w:t>in regard to</w:t>
      </w:r>
      <w:r>
        <w:rPr>
          <w:rFonts w:ascii="Arial"/>
          <w:color w:val="000000"/>
          <w:sz w:val="24"/>
        </w:rPr>
        <w:t xml:space="preserve"> </w:t>
      </w:r>
      <w:r>
        <w:rPr>
          <w:rFonts w:ascii="Arial"/>
          <w:color w:val="000000"/>
          <w:sz w:val="24"/>
        </w:rPr>
        <w:t xml:space="preserve">Unit 5 at the lower elevation. </w:t>
      </w:r>
    </w:p>
    <w:p>
      <w:pPr>
        <w:pStyle w:val="CaselawNumbered10"/>
        <w:numPr>
          <w:ilvl w:val="0"/>
          <w:numId w:val="94"/>
        </w:numPr>
        <w:spacing w:before="150" w:after="0"/>
        <w:ind w:left="600" w:hanging="600"/>
      </w:pPr>
      <w:r>
        <w:rPr>
          <w:rFonts w:ascii="Arial"/>
          <w:color w:val="000000"/>
          <w:sz w:val="24"/>
        </w:rPr>
        <w:t>For Unit 7 there was a difference in impact when view loss was considered more centrally on the balcony. In the filed photomontage (</w:t>
      </w:r>
      <w:r>
        <w:rPr>
          <w:rFonts w:ascii="Arial"/>
          <w:color w:val="000000"/>
          <w:sz w:val="24"/>
        </w:rPr>
        <w:t xml:space="preserve">Ex 4 </w:t>
      </w:r>
      <w:r>
        <w:rPr>
          <w:rFonts w:ascii="Arial"/>
          <w:color w:val="000000"/>
          <w:sz w:val="24"/>
        </w:rPr>
        <w:t>Appendix D DWG: VP7-C</w:t>
      </w:r>
      <w:r>
        <w:rPr>
          <w:rFonts w:ascii="Arial"/>
          <w:color w:val="000000"/>
          <w:sz w:val="24"/>
        </w:rPr>
        <w:t xml:space="preserve"> </w:t>
      </w:r>
      <w:r>
        <w:rPr>
          <w:rFonts w:ascii="Arial"/>
          <w:color w:val="000000"/>
          <w:sz w:val="24"/>
        </w:rPr>
        <w:t xml:space="preserve">– </w:t>
      </w:r>
      <w:r>
        <w:rPr>
          <w:rFonts w:ascii="Arial"/>
          <w:color w:val="000000"/>
          <w:sz w:val="24"/>
        </w:rPr>
        <w:t>ie</w:t>
      </w:r>
      <w:r>
        <w:rPr>
          <w:rFonts w:ascii="Arial"/>
          <w:color w:val="000000"/>
          <w:sz w:val="24"/>
        </w:rPr>
        <w:t xml:space="preserve"> </w:t>
      </w:r>
      <w:r>
        <w:rPr>
          <w:rFonts w:ascii="Arial"/>
          <w:color w:val="000000"/>
          <w:sz w:val="24"/>
        </w:rPr>
        <w:t>from the left corner of the balcony</w:t>
      </w:r>
      <w:r>
        <w:rPr>
          <w:rFonts w:ascii="Arial"/>
          <w:color w:val="000000"/>
          <w:sz w:val="24"/>
        </w:rPr>
        <w:t xml:space="preserve">) the highest elements on the roof of the </w:t>
      </w:r>
      <w:r>
        <w:rPr>
          <w:rFonts w:ascii="Arial"/>
          <w:color w:val="000000"/>
          <w:sz w:val="24"/>
        </w:rPr>
        <w:t xml:space="preserve">proposed </w:t>
      </w:r>
      <w:r>
        <w:rPr>
          <w:rFonts w:ascii="Arial"/>
          <w:color w:val="000000"/>
          <w:sz w:val="24"/>
        </w:rPr>
        <w:t xml:space="preserve">Billyard Ave building (the lift over run and open area canopy) would align with an existing </w:t>
      </w:r>
      <w:r>
        <w:rPr>
          <w:rFonts w:ascii="Arial"/>
          <w:color w:val="000000"/>
          <w:sz w:val="24"/>
        </w:rPr>
        <w:t>viewline</w:t>
      </w:r>
      <w:r>
        <w:rPr>
          <w:rFonts w:ascii="Arial"/>
          <w:color w:val="000000"/>
          <w:sz w:val="24"/>
        </w:rPr>
        <w:t xml:space="preserve"> </w:t>
      </w:r>
      <w:r>
        <w:rPr>
          <w:rFonts w:ascii="Arial"/>
          <w:color w:val="000000"/>
          <w:sz w:val="24"/>
        </w:rPr>
        <w:t xml:space="preserve">towards a large thick-canopied tree, which limits the harbour view (although </w:t>
      </w:r>
      <w:r>
        <w:rPr>
          <w:rFonts w:ascii="Arial"/>
          <w:color w:val="000000"/>
          <w:sz w:val="24"/>
        </w:rPr>
        <w:t xml:space="preserve">the existing </w:t>
      </w:r>
      <w:r>
        <w:rPr>
          <w:rFonts w:ascii="Arial"/>
          <w:color w:val="000000"/>
          <w:sz w:val="24"/>
        </w:rPr>
        <w:t xml:space="preserve">tree is </w:t>
      </w:r>
      <w:r>
        <w:rPr>
          <w:rFonts w:ascii="Arial"/>
          <w:color w:val="000000"/>
          <w:sz w:val="24"/>
        </w:rPr>
        <w:t xml:space="preserve">naturally </w:t>
      </w:r>
      <w:r>
        <w:rPr>
          <w:rFonts w:ascii="Arial"/>
          <w:color w:val="000000"/>
          <w:sz w:val="24"/>
        </w:rPr>
        <w:t xml:space="preserve">more pleasant in aspect compared to </w:t>
      </w:r>
      <w:r>
        <w:rPr>
          <w:rFonts w:ascii="Arial"/>
          <w:color w:val="000000"/>
          <w:sz w:val="24"/>
        </w:rPr>
        <w:t>the proposed</w:t>
      </w:r>
      <w:r>
        <w:rPr>
          <w:rFonts w:ascii="Arial"/>
          <w:color w:val="000000"/>
          <w:sz w:val="24"/>
        </w:rPr>
        <w:t xml:space="preserve"> </w:t>
      </w:r>
      <w:r>
        <w:rPr>
          <w:rFonts w:ascii="Arial"/>
          <w:color w:val="000000"/>
          <w:sz w:val="24"/>
        </w:rPr>
        <w:t xml:space="preserve">building). However, when viewed from the centre of the balcony these higher elements of the </w:t>
      </w:r>
      <w:r>
        <w:rPr>
          <w:rFonts w:ascii="Arial"/>
          <w:color w:val="000000"/>
          <w:sz w:val="24"/>
        </w:rPr>
        <w:t>Billyard Ave</w:t>
      </w:r>
      <w:r>
        <w:rPr>
          <w:rFonts w:ascii="Arial"/>
          <w:color w:val="000000"/>
          <w:sz w:val="24"/>
        </w:rPr>
        <w:t>nue</w:t>
      </w:r>
      <w:r>
        <w:rPr>
          <w:rFonts w:ascii="Arial"/>
          <w:color w:val="000000"/>
          <w:sz w:val="24"/>
        </w:rPr>
        <w:t xml:space="preserve"> </w:t>
      </w:r>
      <w:r>
        <w:rPr>
          <w:rFonts w:ascii="Arial"/>
          <w:color w:val="000000"/>
          <w:sz w:val="24"/>
        </w:rPr>
        <w:t>building</w:t>
      </w:r>
      <w:r>
        <w:rPr>
          <w:rFonts w:ascii="Arial"/>
          <w:color w:val="000000"/>
          <w:sz w:val="24"/>
        </w:rPr>
        <w:t xml:space="preserve"> </w:t>
      </w:r>
      <w:r>
        <w:rPr>
          <w:rFonts w:ascii="Arial"/>
          <w:color w:val="000000"/>
          <w:sz w:val="24"/>
        </w:rPr>
        <w:t>would restrict</w:t>
      </w:r>
      <w:r>
        <w:rPr>
          <w:rFonts w:ascii="Arial"/>
          <w:color w:val="000000"/>
          <w:sz w:val="24"/>
        </w:rPr>
        <w:t xml:space="preserve"> </w:t>
      </w:r>
      <w:r>
        <w:rPr>
          <w:rFonts w:ascii="Arial"/>
          <w:color w:val="000000"/>
          <w:sz w:val="24"/>
        </w:rPr>
        <w:t>a</w:t>
      </w:r>
      <w:r>
        <w:rPr>
          <w:rFonts w:ascii="Arial"/>
          <w:color w:val="000000"/>
          <w:sz w:val="24"/>
        </w:rPr>
        <w:t>n existing available</w:t>
      </w:r>
      <w:r>
        <w:rPr>
          <w:rFonts w:ascii="Arial"/>
          <w:color w:val="000000"/>
          <w:sz w:val="24"/>
        </w:rPr>
        <w:t xml:space="preserve"> </w:t>
      </w:r>
      <w:r>
        <w:rPr>
          <w:rFonts w:ascii="Arial"/>
          <w:color w:val="000000"/>
          <w:sz w:val="24"/>
        </w:rPr>
        <w:t xml:space="preserve">view of a </w:t>
      </w:r>
      <w:r>
        <w:rPr>
          <w:rFonts w:ascii="Arial"/>
          <w:color w:val="000000"/>
          <w:sz w:val="24"/>
        </w:rPr>
        <w:t>baylet</w:t>
      </w:r>
      <w:r>
        <w:rPr>
          <w:rFonts w:ascii="Arial"/>
          <w:color w:val="000000"/>
          <w:sz w:val="24"/>
        </w:rPr>
        <w:t xml:space="preserve"> </w:t>
      </w:r>
      <w:r>
        <w:rPr>
          <w:rFonts w:ascii="Arial"/>
          <w:color w:val="000000"/>
          <w:sz w:val="24"/>
        </w:rPr>
        <w:t xml:space="preserve">and </w:t>
      </w:r>
      <w:r>
        <w:rPr>
          <w:rFonts w:ascii="Arial"/>
          <w:color w:val="000000"/>
          <w:sz w:val="24"/>
        </w:rPr>
        <w:t>harbour shoreline. At present this relatively foregrounded detail</w:t>
      </w:r>
      <w:r>
        <w:rPr>
          <w:rFonts w:ascii="Arial"/>
          <w:color w:val="000000"/>
          <w:sz w:val="24"/>
        </w:rPr>
        <w:t xml:space="preserve"> </w:t>
      </w:r>
      <w:r>
        <w:rPr>
          <w:rFonts w:ascii="Arial"/>
          <w:color w:val="000000"/>
          <w:sz w:val="24"/>
        </w:rPr>
        <w:t>of</w:t>
      </w:r>
      <w:r>
        <w:rPr>
          <w:rFonts w:ascii="Arial"/>
          <w:color w:val="000000"/>
          <w:sz w:val="24"/>
        </w:rPr>
        <w:t xml:space="preserve"> </w:t>
      </w:r>
      <w:r>
        <w:rPr>
          <w:rFonts w:ascii="Arial"/>
          <w:color w:val="000000"/>
          <w:sz w:val="24"/>
        </w:rPr>
        <w:t xml:space="preserve">the </w:t>
      </w:r>
      <w:r>
        <w:rPr>
          <w:rFonts w:ascii="Arial"/>
          <w:color w:val="000000"/>
          <w:sz w:val="24"/>
        </w:rPr>
        <w:t>“</w:t>
      </w:r>
      <w:r>
        <w:rPr>
          <w:rFonts w:ascii="Arial"/>
          <w:color w:val="000000"/>
          <w:sz w:val="24"/>
        </w:rPr>
        <w:t>interface between land and water</w:t>
      </w:r>
      <w:r>
        <w:rPr>
          <w:rFonts w:ascii="Arial"/>
          <w:color w:val="000000"/>
          <w:sz w:val="24"/>
        </w:rPr>
        <w:t xml:space="preserve">” </w:t>
      </w:r>
      <w:r>
        <w:rPr>
          <w:rFonts w:ascii="Arial"/>
          <w:color w:val="000000"/>
          <w:sz w:val="24"/>
        </w:rPr>
        <w:t>(</w:t>
      </w:r>
      <w:r>
        <w:rPr>
          <w:rFonts w:ascii="Arial"/>
          <w:i/>
          <w:color w:val="000000"/>
          <w:sz w:val="24"/>
        </w:rPr>
        <w:t>Tenacity</w:t>
      </w:r>
      <w:r>
        <w:rPr>
          <w:rFonts w:ascii="Arial"/>
          <w:color w:val="000000"/>
          <w:sz w:val="24"/>
        </w:rPr>
        <w:t xml:space="preserve"> </w:t>
      </w:r>
      <w:r>
        <w:rPr>
          <w:rFonts w:ascii="Arial"/>
          <w:color w:val="000000"/>
          <w:sz w:val="24"/>
        </w:rPr>
        <w:t xml:space="preserve">[26]) is visible. It is also significant to the </w:t>
      </w:r>
      <w:r>
        <w:rPr>
          <w:rFonts w:ascii="Arial"/>
          <w:color w:val="000000"/>
          <w:sz w:val="24"/>
        </w:rPr>
        <w:t>“</w:t>
      </w:r>
      <w:r>
        <w:rPr>
          <w:rFonts w:ascii="Arial"/>
          <w:color w:val="000000"/>
          <w:sz w:val="24"/>
        </w:rPr>
        <w:t>wholeness</w:t>
      </w:r>
      <w:r>
        <w:rPr>
          <w:rFonts w:ascii="Arial"/>
          <w:color w:val="000000"/>
          <w:sz w:val="24"/>
        </w:rPr>
        <w:t xml:space="preserve">” </w:t>
      </w:r>
      <w:r>
        <w:rPr>
          <w:rFonts w:ascii="Arial"/>
          <w:color w:val="000000"/>
          <w:sz w:val="24"/>
        </w:rPr>
        <w:t>(</w:t>
      </w:r>
      <w:r>
        <w:rPr>
          <w:rFonts w:ascii="Arial"/>
          <w:i/>
          <w:color w:val="000000"/>
          <w:sz w:val="24"/>
        </w:rPr>
        <w:t>Tenacity</w:t>
      </w:r>
      <w:r>
        <w:rPr>
          <w:rFonts w:ascii="Arial"/>
          <w:color w:val="000000"/>
          <w:sz w:val="24"/>
        </w:rPr>
        <w:t xml:space="preserve"> </w:t>
      </w:r>
      <w:r>
        <w:rPr>
          <w:rFonts w:ascii="Arial"/>
          <w:color w:val="000000"/>
          <w:sz w:val="24"/>
        </w:rPr>
        <w:t>[26])</w:t>
      </w:r>
      <w:r>
        <w:rPr>
          <w:rFonts w:ascii="Arial"/>
          <w:color w:val="000000"/>
          <w:sz w:val="24"/>
        </w:rPr>
        <w:t xml:space="preserve"> </w:t>
      </w:r>
      <w:r>
        <w:rPr>
          <w:rFonts w:ascii="Arial"/>
          <w:color w:val="000000"/>
          <w:sz w:val="24"/>
        </w:rPr>
        <w:t xml:space="preserve">of the view which is available from this setting (the canopy tree I mention is viewed as a harmonious element in that sense). </w:t>
      </w:r>
    </w:p>
    <w:p>
      <w:pPr>
        <w:pStyle w:val="CaselawNumbered10"/>
        <w:numPr>
          <w:ilvl w:val="0"/>
          <w:numId w:val="94"/>
        </w:numPr>
        <w:spacing w:before="150" w:after="0"/>
        <w:ind w:left="600" w:hanging="600"/>
      </w:pPr>
      <w:r>
        <w:rPr>
          <w:rFonts w:ascii="Arial"/>
          <w:color w:val="000000"/>
          <w:sz w:val="24"/>
        </w:rPr>
        <w:t>Again</w:t>
      </w:r>
      <w:r>
        <w:rPr>
          <w:rFonts w:ascii="Arial"/>
          <w:color w:val="000000"/>
          <w:sz w:val="24"/>
        </w:rPr>
        <w:t xml:space="preserve"> </w:t>
      </w:r>
      <w:r>
        <w:rPr>
          <w:rFonts w:ascii="Arial"/>
          <w:color w:val="000000"/>
          <w:sz w:val="24"/>
        </w:rPr>
        <w:t>I see it as not useful to describe t</w:t>
      </w:r>
      <w:r>
        <w:rPr>
          <w:rFonts w:ascii="Arial"/>
          <w:color w:val="000000"/>
          <w:sz w:val="24"/>
        </w:rPr>
        <w:t xml:space="preserve">he existing view </w:t>
      </w:r>
      <w:r>
        <w:rPr>
          <w:rFonts w:ascii="Arial"/>
          <w:color w:val="000000"/>
          <w:sz w:val="24"/>
        </w:rPr>
        <w:t>as</w:t>
      </w:r>
      <w:r>
        <w:rPr>
          <w:rFonts w:ascii="Arial"/>
          <w:color w:val="000000"/>
          <w:sz w:val="24"/>
        </w:rPr>
        <w:t xml:space="preserve"> </w:t>
      </w:r>
      <w:r>
        <w:rPr>
          <w:rFonts w:ascii="Arial"/>
          <w:color w:val="000000"/>
          <w:sz w:val="24"/>
        </w:rPr>
        <w:t>“</w:t>
      </w:r>
      <w:r>
        <w:rPr>
          <w:rFonts w:ascii="Arial"/>
          <w:color w:val="000000"/>
          <w:sz w:val="24"/>
        </w:rPr>
        <w:t>highly oblique to the north-east</w:t>
      </w:r>
      <w:r>
        <w:rPr>
          <w:rFonts w:ascii="Arial"/>
          <w:color w:val="000000"/>
          <w:sz w:val="24"/>
        </w:rPr>
        <w:t xml:space="preserve">” </w:t>
      </w:r>
      <w:r>
        <w:rPr>
          <w:rFonts w:ascii="Arial"/>
          <w:color w:val="000000"/>
          <w:sz w:val="24"/>
        </w:rPr>
        <w:t>(V</w:t>
      </w:r>
      <w:r>
        <w:rPr>
          <w:rFonts w:ascii="Arial"/>
          <w:color w:val="000000"/>
          <w:sz w:val="24"/>
        </w:rPr>
        <w:t>SA</w:t>
      </w:r>
      <w:r>
        <w:rPr>
          <w:rFonts w:ascii="Arial"/>
          <w:color w:val="000000"/>
          <w:sz w:val="24"/>
        </w:rPr>
        <w:t xml:space="preserve"> </w:t>
      </w:r>
      <w:r>
        <w:rPr>
          <w:rFonts w:ascii="Arial"/>
          <w:color w:val="000000"/>
          <w:sz w:val="24"/>
        </w:rPr>
        <w:t xml:space="preserve">p 39). Rather the segment of harbour </w:t>
      </w:r>
      <w:r>
        <w:rPr>
          <w:rFonts w:ascii="Arial"/>
          <w:color w:val="000000"/>
          <w:sz w:val="24"/>
        </w:rPr>
        <w:t>available to view</w:t>
      </w:r>
      <w:r>
        <w:rPr>
          <w:rFonts w:ascii="Arial"/>
          <w:color w:val="000000"/>
          <w:sz w:val="24"/>
        </w:rPr>
        <w:t xml:space="preserve"> </w:t>
      </w:r>
      <w:r>
        <w:rPr>
          <w:rFonts w:ascii="Arial"/>
          <w:color w:val="000000"/>
          <w:sz w:val="24"/>
        </w:rPr>
        <w:t xml:space="preserve">is quite perpendicular to the balcony and not narrow (straddling the foreground palm tree). </w:t>
      </w:r>
      <w:r>
        <w:rPr>
          <w:rFonts w:ascii="Arial"/>
          <w:color w:val="000000"/>
          <w:sz w:val="24"/>
        </w:rPr>
        <w:t xml:space="preserve">It is the case that the view which would be constrained is to the left of </w:t>
      </w:r>
      <w:r>
        <w:rPr>
          <w:rFonts w:ascii="Arial"/>
          <w:color w:val="000000"/>
          <w:sz w:val="24"/>
        </w:rPr>
        <w:t>centre</w:t>
      </w:r>
      <w:r>
        <w:rPr>
          <w:rFonts w:ascii="Arial"/>
          <w:color w:val="000000"/>
          <w:sz w:val="24"/>
        </w:rPr>
        <w:t xml:space="preserve"> </w:t>
      </w:r>
      <w:r>
        <w:rPr>
          <w:rFonts w:ascii="Arial"/>
          <w:color w:val="000000"/>
          <w:sz w:val="24"/>
        </w:rPr>
        <w:t xml:space="preserve">but it also </w:t>
      </w:r>
      <w:r>
        <w:rPr>
          <w:rFonts w:ascii="Arial"/>
          <w:color w:val="000000"/>
          <w:sz w:val="24"/>
        </w:rPr>
        <w:t>acts as an</w:t>
      </w:r>
      <w:r>
        <w:rPr>
          <w:rFonts w:ascii="Arial"/>
          <w:color w:val="000000"/>
          <w:sz w:val="24"/>
        </w:rPr>
        <w:t xml:space="preserve"> </w:t>
      </w:r>
      <w:r>
        <w:rPr>
          <w:rFonts w:ascii="Arial"/>
          <w:color w:val="000000"/>
          <w:sz w:val="24"/>
        </w:rPr>
        <w:t>interesting land/water interface element of the whole view</w:t>
      </w:r>
      <w:r>
        <w:rPr>
          <w:rFonts w:ascii="Arial"/>
          <w:color w:val="000000"/>
          <w:sz w:val="24"/>
        </w:rPr>
        <w:t xml:space="preserve"> </w:t>
      </w:r>
      <w:r>
        <w:rPr>
          <w:rFonts w:ascii="Arial"/>
          <w:color w:val="000000"/>
          <w:sz w:val="24"/>
        </w:rPr>
        <w:t>from this balcony</w:t>
      </w:r>
      <w:r>
        <w:rPr>
          <w:rFonts w:ascii="Arial"/>
          <w:color w:val="000000"/>
          <w:sz w:val="24"/>
        </w:rPr>
        <w:t xml:space="preserve">. </w:t>
      </w:r>
      <w:r>
        <w:rPr>
          <w:rFonts w:ascii="Arial"/>
          <w:color w:val="000000"/>
          <w:sz w:val="24"/>
        </w:rPr>
        <w:t xml:space="preserve">When compared to the current view, the </w:t>
      </w:r>
      <w:r>
        <w:rPr>
          <w:rFonts w:ascii="Arial"/>
          <w:color w:val="000000"/>
          <w:sz w:val="24"/>
        </w:rPr>
        <w:t>above described</w:t>
      </w:r>
      <w:r>
        <w:rPr>
          <w:rFonts w:ascii="Arial"/>
          <w:color w:val="000000"/>
          <w:sz w:val="24"/>
        </w:rPr>
        <w:t xml:space="preserve"> </w:t>
      </w:r>
      <w:r>
        <w:rPr>
          <w:rFonts w:ascii="Arial"/>
          <w:color w:val="000000"/>
          <w:sz w:val="24"/>
        </w:rPr>
        <w:t>view loss, replaced by way of a</w:t>
      </w:r>
      <w:r>
        <w:rPr>
          <w:rFonts w:ascii="Arial"/>
          <w:color w:val="000000"/>
          <w:sz w:val="24"/>
        </w:rPr>
        <w:t>n</w:t>
      </w:r>
      <w:r>
        <w:rPr>
          <w:rFonts w:ascii="Arial"/>
          <w:color w:val="000000"/>
          <w:sz w:val="24"/>
        </w:rPr>
        <w:t xml:space="preserve"> </w:t>
      </w:r>
      <w:r>
        <w:rPr>
          <w:rFonts w:ascii="Arial"/>
          <w:color w:val="000000"/>
          <w:sz w:val="24"/>
        </w:rPr>
        <w:t xml:space="preserve">immediate foreground view of the upper level of the Billyard building would make for a moderate, rather than minor, view loss impact. </w:t>
      </w:r>
    </w:p>
    <w:p>
      <w:pPr>
        <w:pStyle w:val="CaselawHeading5"/>
        <w:keepNext/>
        <w:spacing w:before="150" w:after="150" w:line="264"/>
        <w:ind w:left="600"/>
        <w:jc w:val="left"/>
      </w:pPr>
      <w:r>
        <w:rPr>
          <w:rFonts w:ascii="Arial"/>
        </w:rPr>
        <w:t>Unit 2 – 13 Onslow Avenue</w:t>
      </w:r>
    </w:p>
    <w:p>
      <w:pPr>
        <w:pStyle w:val="CaselawNumbered10"/>
        <w:numPr>
          <w:ilvl w:val="0"/>
          <w:numId w:val="95"/>
        </w:numPr>
        <w:spacing w:before="150" w:after="0"/>
        <w:ind w:left="600" w:hanging="600"/>
      </w:pPr>
      <w:r>
        <w:rPr>
          <w:rFonts w:ascii="Arial"/>
          <w:color w:val="000000"/>
          <w:sz w:val="24"/>
        </w:rPr>
        <w:t xml:space="preserve">There is a similarity here with the situation described </w:t>
      </w:r>
      <w:r>
        <w:rPr>
          <w:rFonts w:ascii="Arial"/>
          <w:color w:val="000000"/>
          <w:sz w:val="24"/>
        </w:rPr>
        <w:t>in regard to</w:t>
      </w:r>
      <w:r>
        <w:rPr>
          <w:rFonts w:ascii="Arial"/>
          <w:color w:val="000000"/>
          <w:sz w:val="24"/>
        </w:rPr>
        <w:t xml:space="preserve"> </w:t>
      </w:r>
      <w:r>
        <w:rPr>
          <w:rFonts w:ascii="Arial"/>
          <w:color w:val="000000"/>
          <w:sz w:val="24"/>
        </w:rPr>
        <w:t xml:space="preserve">the communal open space at </w:t>
      </w:r>
      <w:r>
        <w:rPr>
          <w:rFonts w:ascii="Arial"/>
          <w:color w:val="000000"/>
          <w:sz w:val="24"/>
        </w:rPr>
        <w:t>15-19 Onslow Avenue</w:t>
      </w:r>
      <w:r>
        <w:rPr>
          <w:rFonts w:ascii="Arial"/>
          <w:color w:val="000000"/>
          <w:sz w:val="24"/>
        </w:rPr>
        <w:t xml:space="preserve">, in that </w:t>
      </w:r>
      <w:r>
        <w:rPr>
          <w:rFonts w:ascii="Arial"/>
          <w:color w:val="000000"/>
          <w:sz w:val="24"/>
        </w:rPr>
        <w:t xml:space="preserve">it is not the building height but its massing which would </w:t>
      </w:r>
      <w:r>
        <w:rPr>
          <w:rFonts w:ascii="Arial"/>
          <w:color w:val="000000"/>
          <w:sz w:val="24"/>
        </w:rPr>
        <w:t xml:space="preserve">further </w:t>
      </w:r>
      <w:r>
        <w:rPr>
          <w:rFonts w:ascii="Arial"/>
          <w:color w:val="000000"/>
          <w:sz w:val="24"/>
        </w:rPr>
        <w:t xml:space="preserve">narrow an existing limited but valued view corridor, especially from an open balcony. Relevant here is that the corridor which would be lost does involve a mid-ground water land interface view, which enriches </w:t>
      </w:r>
      <w:r>
        <w:rPr>
          <w:rFonts w:ascii="Arial"/>
          <w:color w:val="000000"/>
          <w:sz w:val="24"/>
        </w:rPr>
        <w:t>it</w:t>
      </w:r>
      <w:r>
        <w:rPr>
          <w:rFonts w:ascii="Arial"/>
          <w:color w:val="000000"/>
          <w:sz w:val="24"/>
        </w:rPr>
        <w:t>. Otherwise, there are limits to the views available from this ground floor unit</w:t>
      </w:r>
      <w:r>
        <w:rPr>
          <w:rFonts w:ascii="Arial"/>
          <w:color w:val="000000"/>
          <w:sz w:val="24"/>
        </w:rPr>
        <w:t>. In this case, again</w:t>
      </w:r>
      <w:r>
        <w:rPr>
          <w:rFonts w:ascii="Arial"/>
          <w:color w:val="000000"/>
          <w:sz w:val="24"/>
        </w:rPr>
        <w:t xml:space="preserve"> </w:t>
      </w:r>
      <w:r>
        <w:rPr>
          <w:rFonts w:ascii="Arial"/>
          <w:color w:val="000000"/>
          <w:sz w:val="24"/>
        </w:rPr>
        <w:t xml:space="preserve">something which could be reasonably understood to be of some </w:t>
      </w:r>
      <w:r>
        <w:rPr>
          <w:rFonts w:ascii="Arial"/>
          <w:color w:val="000000"/>
          <w:sz w:val="24"/>
        </w:rPr>
        <w:t>significant</w:t>
      </w:r>
      <w:r>
        <w:rPr>
          <w:rFonts w:ascii="Arial"/>
          <w:color w:val="000000"/>
          <w:sz w:val="24"/>
        </w:rPr>
        <w:t xml:space="preserve"> </w:t>
      </w:r>
      <w:r>
        <w:rPr>
          <w:rFonts w:ascii="Arial"/>
          <w:color w:val="000000"/>
          <w:sz w:val="24"/>
        </w:rPr>
        <w:t xml:space="preserve">amenity to the </w:t>
      </w:r>
      <w:r>
        <w:rPr>
          <w:rFonts w:ascii="Arial"/>
          <w:color w:val="000000"/>
          <w:sz w:val="24"/>
        </w:rPr>
        <w:t>residence</w:t>
      </w:r>
      <w:r>
        <w:rPr>
          <w:rFonts w:ascii="Arial"/>
          <w:color w:val="000000"/>
          <w:sz w:val="24"/>
        </w:rPr>
        <w:t xml:space="preserve"> </w:t>
      </w:r>
      <w:r>
        <w:rPr>
          <w:rFonts w:ascii="Arial"/>
          <w:color w:val="000000"/>
          <w:sz w:val="24"/>
        </w:rPr>
        <w:t xml:space="preserve">would be diminished. There would be a moderate-minor (rather than minor) view impact on this dwelling, while recognising the limits to the views that are available. The layer of assessment of reasonableness then would set this impact into context. </w:t>
      </w:r>
    </w:p>
    <w:p>
      <w:pPr>
        <w:pStyle w:val="CaselawHeading3"/>
        <w:keepNext/>
        <w:spacing w:before="150" w:after="150" w:line="264"/>
        <w:ind w:left="0"/>
        <w:jc w:val="left"/>
      </w:pPr>
      <w:r>
        <w:rPr>
          <w:rFonts w:ascii="Arial"/>
        </w:rPr>
        <w:t>Other matters</w:t>
      </w:r>
    </w:p>
    <w:p>
      <w:pPr>
        <w:pStyle w:val="CaselawNumbered10"/>
        <w:numPr>
          <w:ilvl w:val="0"/>
          <w:numId w:val="96"/>
        </w:numPr>
        <w:spacing w:before="150" w:after="0"/>
        <w:ind w:left="600" w:hanging="600"/>
      </w:pPr>
      <w:r>
        <w:rPr>
          <w:rFonts w:ascii="Arial"/>
          <w:color w:val="000000"/>
          <w:sz w:val="24"/>
        </w:rPr>
        <w:t xml:space="preserve">There </w:t>
      </w:r>
      <w:r>
        <w:rPr>
          <w:rFonts w:ascii="Arial"/>
          <w:color w:val="000000"/>
          <w:sz w:val="24"/>
        </w:rPr>
        <w:t xml:space="preserve">are some other </w:t>
      </w:r>
      <w:r>
        <w:rPr>
          <w:rFonts w:ascii="Arial"/>
          <w:color w:val="000000"/>
          <w:sz w:val="24"/>
        </w:rPr>
        <w:t xml:space="preserve">considerations </w:t>
      </w:r>
      <w:r>
        <w:rPr>
          <w:rFonts w:ascii="Arial"/>
          <w:color w:val="000000"/>
          <w:sz w:val="24"/>
        </w:rPr>
        <w:t>raised</w:t>
      </w:r>
      <w:r>
        <w:rPr>
          <w:rFonts w:ascii="Arial"/>
          <w:color w:val="000000"/>
          <w:sz w:val="24"/>
        </w:rPr>
        <w:t>, related to merits,</w:t>
      </w:r>
      <w:r>
        <w:rPr>
          <w:rFonts w:ascii="Arial"/>
          <w:color w:val="000000"/>
          <w:sz w:val="24"/>
        </w:rPr>
        <w:t xml:space="preserve"> </w:t>
      </w:r>
      <w:r>
        <w:rPr>
          <w:rFonts w:ascii="Arial"/>
          <w:color w:val="000000"/>
          <w:sz w:val="24"/>
        </w:rPr>
        <w:t xml:space="preserve">which I can deal with </w:t>
      </w:r>
      <w:r>
        <w:rPr>
          <w:rFonts w:ascii="Arial"/>
          <w:color w:val="000000"/>
          <w:sz w:val="24"/>
        </w:rPr>
        <w:t>now more briefly</w:t>
      </w:r>
      <w:r>
        <w:rPr>
          <w:rFonts w:ascii="Arial"/>
          <w:color w:val="000000"/>
          <w:sz w:val="24"/>
        </w:rPr>
        <w:t>.</w:t>
      </w:r>
    </w:p>
    <w:p>
      <w:pPr>
        <w:pStyle w:val="CaselawNumbered10"/>
        <w:numPr>
          <w:ilvl w:val="0"/>
          <w:numId w:val="96"/>
        </w:numPr>
        <w:spacing w:before="150" w:after="0"/>
        <w:ind w:left="600" w:hanging="600"/>
      </w:pPr>
      <w:r>
        <w:rPr>
          <w:rFonts w:ascii="Arial"/>
          <w:color w:val="000000"/>
          <w:sz w:val="24"/>
        </w:rPr>
        <w:t>H</w:t>
      </w:r>
      <w:r>
        <w:rPr>
          <w:rFonts w:ascii="Arial"/>
          <w:color w:val="000000"/>
          <w:sz w:val="24"/>
        </w:rPr>
        <w:t xml:space="preserve">aving regard to the various objecting and </w:t>
      </w:r>
      <w:r>
        <w:rPr>
          <w:rFonts w:ascii="Arial"/>
          <w:color w:val="000000"/>
          <w:sz w:val="24"/>
        </w:rPr>
        <w:t>supportive</w:t>
      </w:r>
      <w:r>
        <w:rPr>
          <w:rFonts w:ascii="Arial"/>
          <w:color w:val="000000"/>
          <w:sz w:val="24"/>
        </w:rPr>
        <w:t xml:space="preserve"> submissions, i</w:t>
      </w:r>
      <w:r>
        <w:rPr>
          <w:rFonts w:ascii="Arial"/>
          <w:color w:val="000000"/>
          <w:sz w:val="24"/>
        </w:rPr>
        <w:t xml:space="preserve">n this balancing exercise, I place no weight on the private financial benefits to the owners of the existing units of the site. Similarly, no weight applies to those who benefit financially from the development not going ahead. Impact on property values is not a proper planning consideration: </w:t>
      </w:r>
      <w:r>
        <w:rPr>
          <w:rFonts w:ascii="Arial"/>
          <w:i/>
          <w:color w:val="000000"/>
          <w:sz w:val="24"/>
        </w:rPr>
        <w:t>Australian Turf Club v Liverpool City Council (No 2)</w:t>
      </w:r>
      <w:r>
        <w:rPr>
          <w:rFonts w:ascii="Arial"/>
          <w:color w:val="000000"/>
          <w:sz w:val="24"/>
        </w:rPr>
        <w:t xml:space="preserve"> [2014] NSWLEC 1099 at [16].</w:t>
      </w:r>
    </w:p>
    <w:p>
      <w:pPr>
        <w:pStyle w:val="CaselawNumbered10"/>
        <w:numPr>
          <w:ilvl w:val="0"/>
          <w:numId w:val="96"/>
        </w:numPr>
        <w:spacing w:before="150" w:after="0"/>
        <w:ind w:left="600" w:hanging="600"/>
      </w:pPr>
      <w:r>
        <w:rPr>
          <w:rFonts w:ascii="Arial"/>
          <w:color w:val="000000"/>
          <w:sz w:val="24"/>
        </w:rPr>
        <w:t>There were considerable objections raised in lay submissions about the adopted maximum building height plain as presented in architectural drawings (</w:t>
      </w:r>
      <w:r>
        <w:rPr>
          <w:rFonts w:ascii="Arial"/>
          <w:color w:val="000000"/>
          <w:sz w:val="24"/>
        </w:rPr>
        <w:t>ie</w:t>
      </w:r>
      <w:r>
        <w:rPr>
          <w:rFonts w:ascii="Arial"/>
          <w:color w:val="000000"/>
          <w:sz w:val="24"/>
        </w:rPr>
        <w:t xml:space="preserve"> </w:t>
      </w:r>
      <w:r>
        <w:rPr>
          <w:rFonts w:ascii="Arial"/>
          <w:color w:val="000000"/>
          <w:sz w:val="24"/>
        </w:rPr>
        <w:t xml:space="preserve">above existing </w:t>
      </w:r>
      <w:r>
        <w:rPr>
          <w:rFonts w:ascii="Arial"/>
          <w:color w:val="000000"/>
          <w:sz w:val="24"/>
        </w:rPr>
        <w:t>land, which itself was a matter of some dispute on the part of objectors</w:t>
      </w:r>
      <w:r>
        <w:rPr>
          <w:rFonts w:ascii="Arial"/>
          <w:color w:val="000000"/>
          <w:sz w:val="24"/>
        </w:rPr>
        <w:t xml:space="preserve">). </w:t>
      </w:r>
      <w:r>
        <w:rPr>
          <w:rFonts w:ascii="Arial"/>
          <w:color w:val="000000"/>
          <w:sz w:val="24"/>
        </w:rPr>
        <w:t>T</w:t>
      </w:r>
      <w:r>
        <w:rPr>
          <w:rFonts w:ascii="Arial"/>
          <w:color w:val="000000"/>
          <w:sz w:val="24"/>
        </w:rPr>
        <w:t xml:space="preserve">he </w:t>
      </w:r>
      <w:r>
        <w:rPr>
          <w:rFonts w:ascii="Arial"/>
          <w:color w:val="000000"/>
          <w:sz w:val="24"/>
        </w:rPr>
        <w:t>parties</w:t>
      </w:r>
      <w:r>
        <w:rPr>
          <w:rFonts w:ascii="Arial"/>
          <w:color w:val="000000"/>
          <w:sz w:val="24"/>
        </w:rPr>
        <w:t xml:space="preserve">’ </w:t>
      </w:r>
      <w:r>
        <w:rPr>
          <w:rFonts w:ascii="Arial"/>
          <w:color w:val="000000"/>
          <w:sz w:val="24"/>
        </w:rPr>
        <w:t xml:space="preserve">experts </w:t>
      </w:r>
      <w:r>
        <w:rPr>
          <w:rFonts w:ascii="Arial"/>
          <w:color w:val="000000"/>
          <w:sz w:val="24"/>
        </w:rPr>
        <w:t xml:space="preserve">advised me that they </w:t>
      </w:r>
      <w:r>
        <w:rPr>
          <w:rFonts w:ascii="Arial"/>
          <w:color w:val="000000"/>
          <w:sz w:val="24"/>
        </w:rPr>
        <w:t xml:space="preserve">have scrutinised this topic </w:t>
      </w:r>
      <w:r>
        <w:rPr>
          <w:rFonts w:ascii="Arial"/>
          <w:color w:val="000000"/>
          <w:sz w:val="24"/>
        </w:rPr>
        <w:t xml:space="preserve">considerably </w:t>
      </w:r>
      <w:r>
        <w:rPr>
          <w:rFonts w:ascii="Arial"/>
          <w:color w:val="000000"/>
          <w:sz w:val="24"/>
        </w:rPr>
        <w:t>and it</w:t>
      </w:r>
      <w:r>
        <w:rPr>
          <w:rFonts w:ascii="Arial"/>
          <w:color w:val="000000"/>
          <w:sz w:val="24"/>
        </w:rPr>
        <w:t xml:space="preserve"> </w:t>
      </w:r>
      <w:r>
        <w:rPr>
          <w:rFonts w:ascii="Arial"/>
          <w:color w:val="000000"/>
          <w:sz w:val="24"/>
        </w:rPr>
        <w:t>i</w:t>
      </w:r>
      <w:r>
        <w:rPr>
          <w:rFonts w:ascii="Arial"/>
          <w:color w:val="000000"/>
          <w:sz w:val="24"/>
        </w:rPr>
        <w:t xml:space="preserve">s reasonable for me to accept the position of these very experienced experts on this technical question. </w:t>
      </w:r>
    </w:p>
    <w:p>
      <w:pPr>
        <w:pStyle w:val="CaselawNumbered10"/>
        <w:numPr>
          <w:ilvl w:val="0"/>
          <w:numId w:val="96"/>
        </w:numPr>
        <w:spacing w:before="150" w:after="0"/>
        <w:ind w:left="600" w:hanging="600"/>
      </w:pPr>
      <w:r>
        <w:rPr>
          <w:rFonts w:ascii="Arial"/>
          <w:color w:val="000000"/>
          <w:sz w:val="24"/>
        </w:rPr>
        <w:t>Similarly, I accept that the proposal would meet the solar access provisions of SDCP, which are quite</w:t>
      </w:r>
      <w:r>
        <w:rPr>
          <w:rFonts w:ascii="Arial"/>
          <w:color w:val="000000"/>
          <w:sz w:val="24"/>
        </w:rPr>
        <w:t xml:space="preserve"> </w:t>
      </w:r>
      <w:r>
        <w:rPr>
          <w:rFonts w:ascii="Arial"/>
          <w:color w:val="000000"/>
          <w:sz w:val="24"/>
        </w:rPr>
        <w:t>intricate and</w:t>
      </w:r>
      <w:r>
        <w:rPr>
          <w:rFonts w:ascii="Arial"/>
          <w:color w:val="000000"/>
          <w:sz w:val="24"/>
        </w:rPr>
        <w:t xml:space="preserve"> </w:t>
      </w:r>
      <w:r>
        <w:rPr>
          <w:rFonts w:ascii="Arial"/>
          <w:color w:val="000000"/>
          <w:sz w:val="24"/>
        </w:rPr>
        <w:t>technical. Council</w:t>
      </w:r>
      <w:r>
        <w:rPr>
          <w:rFonts w:ascii="Arial"/>
          <w:color w:val="000000"/>
          <w:sz w:val="24"/>
        </w:rPr>
        <w:t>’</w:t>
      </w:r>
      <w:r>
        <w:rPr>
          <w:rFonts w:ascii="Arial"/>
          <w:color w:val="000000"/>
          <w:sz w:val="24"/>
        </w:rPr>
        <w:t>s experts had scrutinised this closely and were convinced in this regard.</w:t>
      </w:r>
    </w:p>
    <w:p>
      <w:pPr>
        <w:pStyle w:val="CaselawNumbered10"/>
        <w:numPr>
          <w:ilvl w:val="0"/>
          <w:numId w:val="96"/>
        </w:numPr>
        <w:spacing w:before="150" w:after="0"/>
        <w:ind w:left="600" w:hanging="600"/>
      </w:pPr>
      <w:r>
        <w:rPr>
          <w:rFonts w:ascii="Arial"/>
          <w:color w:val="000000"/>
          <w:sz w:val="24"/>
        </w:rPr>
        <w:t xml:space="preserve">I am not convinced that </w:t>
      </w:r>
      <w:r>
        <w:rPr>
          <w:rFonts w:ascii="Arial"/>
          <w:color w:val="000000"/>
          <w:sz w:val="24"/>
        </w:rPr>
        <w:t xml:space="preserve">what I might call </w:t>
      </w:r>
      <w:r>
        <w:rPr>
          <w:rFonts w:ascii="Arial"/>
          <w:color w:val="000000"/>
          <w:sz w:val="24"/>
        </w:rPr>
        <w:t xml:space="preserve">the </w:t>
      </w:r>
      <w:r>
        <w:rPr>
          <w:rFonts w:ascii="Arial"/>
          <w:color w:val="000000"/>
          <w:sz w:val="24"/>
        </w:rPr>
        <w:t>“</w:t>
      </w:r>
      <w:r>
        <w:rPr>
          <w:rFonts w:ascii="Arial"/>
          <w:color w:val="000000"/>
          <w:sz w:val="24"/>
        </w:rPr>
        <w:t>modernisation</w:t>
      </w:r>
      <w:r>
        <w:rPr>
          <w:rFonts w:ascii="Arial"/>
          <w:color w:val="000000"/>
          <w:sz w:val="24"/>
        </w:rPr>
        <w:t xml:space="preserve">” </w:t>
      </w:r>
      <w:r>
        <w:rPr>
          <w:rFonts w:ascii="Arial"/>
          <w:color w:val="000000"/>
          <w:sz w:val="24"/>
        </w:rPr>
        <w:t>aspect of the proposal raised in some objecting submissions</w:t>
      </w:r>
      <w:r>
        <w:rPr>
          <w:rFonts w:ascii="Arial"/>
          <w:color w:val="000000"/>
          <w:sz w:val="24"/>
        </w:rPr>
        <w:t xml:space="preserve"> </w:t>
      </w:r>
      <w:r>
        <w:rPr>
          <w:rFonts w:ascii="Arial"/>
          <w:color w:val="000000"/>
          <w:sz w:val="24"/>
        </w:rPr>
        <w:t xml:space="preserve">and even in some expert evidence </w:t>
      </w:r>
      <w:r>
        <w:rPr>
          <w:rFonts w:ascii="Arial"/>
          <w:color w:val="000000"/>
          <w:sz w:val="24"/>
        </w:rPr>
        <w:t xml:space="preserve">has any merit. It is unreasonable to think generally that buildings need modernisation after </w:t>
      </w:r>
      <w:r>
        <w:rPr>
          <w:rFonts w:ascii="Arial"/>
          <w:color w:val="000000"/>
          <w:sz w:val="24"/>
        </w:rPr>
        <w:t>“</w:t>
      </w:r>
      <w:r>
        <w:rPr>
          <w:rFonts w:ascii="Arial"/>
          <w:color w:val="000000"/>
          <w:sz w:val="24"/>
        </w:rPr>
        <w:t>50</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years of existence, it would depend on the circumstances of the case. </w:t>
      </w:r>
    </w:p>
    <w:p>
      <w:pPr>
        <w:pStyle w:val="CaselawNumbered10"/>
        <w:numPr>
          <w:ilvl w:val="0"/>
          <w:numId w:val="96"/>
        </w:numPr>
        <w:spacing w:before="150" w:after="0"/>
        <w:ind w:left="600" w:hanging="600"/>
      </w:pPr>
      <w:r>
        <w:rPr>
          <w:rFonts w:ascii="Arial"/>
          <w:color w:val="000000"/>
          <w:sz w:val="24"/>
        </w:rPr>
        <w:t xml:space="preserve">The reference to the proposal providing </w:t>
      </w:r>
      <w:r>
        <w:rPr>
          <w:rFonts w:ascii="Arial"/>
          <w:color w:val="000000"/>
          <w:sz w:val="24"/>
        </w:rPr>
        <w:t>“</w:t>
      </w:r>
      <w:r>
        <w:rPr>
          <w:rFonts w:ascii="Arial"/>
          <w:color w:val="000000"/>
          <w:sz w:val="24"/>
        </w:rPr>
        <w:t>high-amenity housing stock which will meet the needs of the community</w:t>
      </w:r>
      <w:r>
        <w:rPr>
          <w:rFonts w:ascii="Arial"/>
          <w:color w:val="000000"/>
          <w:sz w:val="24"/>
        </w:rPr>
        <w:t xml:space="preserve">” </w:t>
      </w:r>
      <w:r>
        <w:rPr>
          <w:rFonts w:ascii="Arial"/>
          <w:color w:val="000000"/>
          <w:sz w:val="24"/>
        </w:rPr>
        <w:t>needs to be balanced against the point that</w:t>
      </w:r>
      <w:r>
        <w:rPr>
          <w:rFonts w:ascii="Arial"/>
          <w:color w:val="000000"/>
          <w:sz w:val="24"/>
        </w:rPr>
        <w:t xml:space="preserve"> </w:t>
      </w:r>
      <w:r>
        <w:rPr>
          <w:rFonts w:ascii="Arial"/>
          <w:color w:val="000000"/>
          <w:sz w:val="24"/>
        </w:rPr>
        <w:t xml:space="preserve">this high-amenity stock is only available to a small cohort and the existing housing </w:t>
      </w:r>
      <w:r>
        <w:rPr>
          <w:rFonts w:ascii="Arial"/>
          <w:color w:val="000000"/>
          <w:sz w:val="24"/>
        </w:rPr>
        <w:t xml:space="preserve">on the site </w:t>
      </w:r>
      <w:r>
        <w:rPr>
          <w:rFonts w:ascii="Arial"/>
          <w:color w:val="000000"/>
          <w:sz w:val="24"/>
        </w:rPr>
        <w:t xml:space="preserve">also meets </w:t>
      </w:r>
      <w:r>
        <w:rPr>
          <w:rFonts w:ascii="Arial"/>
          <w:color w:val="000000"/>
          <w:sz w:val="24"/>
        </w:rPr>
        <w:t xml:space="preserve">needs of the </w:t>
      </w:r>
      <w:r>
        <w:rPr>
          <w:rFonts w:ascii="Arial"/>
          <w:color w:val="000000"/>
          <w:sz w:val="24"/>
        </w:rPr>
        <w:t xml:space="preserve">community because of its </w:t>
      </w:r>
      <w:r>
        <w:rPr>
          <w:rFonts w:ascii="Arial"/>
          <w:color w:val="000000"/>
          <w:sz w:val="24"/>
        </w:rPr>
        <w:t xml:space="preserve">relative </w:t>
      </w:r>
      <w:r>
        <w:rPr>
          <w:rFonts w:ascii="Arial"/>
          <w:color w:val="000000"/>
          <w:sz w:val="24"/>
        </w:rPr>
        <w:t xml:space="preserve">pricing, </w:t>
      </w:r>
      <w:r>
        <w:rPr>
          <w:rFonts w:ascii="Arial"/>
          <w:color w:val="000000"/>
          <w:sz w:val="24"/>
        </w:rPr>
        <w:t>as it happens,</w:t>
      </w:r>
      <w:r>
        <w:rPr>
          <w:rFonts w:ascii="Arial"/>
          <w:color w:val="000000"/>
          <w:sz w:val="24"/>
        </w:rPr>
        <w:t xml:space="preserve"> </w:t>
      </w:r>
      <w:r>
        <w:rPr>
          <w:rFonts w:ascii="Arial"/>
          <w:color w:val="000000"/>
          <w:sz w:val="24"/>
        </w:rPr>
        <w:t xml:space="preserve">related to lower </w:t>
      </w:r>
      <w:r>
        <w:rPr>
          <w:rFonts w:ascii="Arial"/>
          <w:color w:val="000000"/>
          <w:sz w:val="24"/>
        </w:rPr>
        <w:t>“</w:t>
      </w:r>
      <w:r>
        <w:rPr>
          <w:rFonts w:ascii="Arial"/>
          <w:color w:val="000000"/>
          <w:sz w:val="24"/>
        </w:rPr>
        <w:t>amenity</w:t>
      </w:r>
      <w:r>
        <w:rPr>
          <w:rFonts w:ascii="Arial"/>
          <w:color w:val="000000"/>
          <w:sz w:val="24"/>
        </w:rPr>
        <w:t xml:space="preserve">” </w:t>
      </w:r>
      <w:r>
        <w:rPr>
          <w:rFonts w:ascii="Arial"/>
          <w:color w:val="000000"/>
          <w:sz w:val="24"/>
        </w:rPr>
        <w:t xml:space="preserve">credentials. </w:t>
      </w:r>
      <w:r>
        <w:rPr>
          <w:rFonts w:ascii="Arial"/>
          <w:color w:val="000000"/>
          <w:sz w:val="24"/>
        </w:rPr>
        <w:t>Based on the lay objecting submissions there was a positive feeling about the existing social and housing mix.</w:t>
      </w:r>
    </w:p>
    <w:p>
      <w:pPr>
        <w:pStyle w:val="CaselawNumbered10"/>
        <w:numPr>
          <w:ilvl w:val="0"/>
          <w:numId w:val="96"/>
        </w:numPr>
        <w:spacing w:before="150" w:after="0"/>
        <w:ind w:left="600" w:hanging="600"/>
      </w:pPr>
      <w:r>
        <w:rPr>
          <w:rFonts w:ascii="Arial"/>
          <w:color w:val="000000"/>
          <w:sz w:val="24"/>
        </w:rPr>
        <w:t>I do not see an argued preference for owner occupiers over renters as a planning consideration.</w:t>
      </w:r>
    </w:p>
    <w:p>
      <w:pPr>
        <w:pStyle w:val="CaselawNumbered10"/>
        <w:numPr>
          <w:ilvl w:val="0"/>
          <w:numId w:val="96"/>
        </w:numPr>
        <w:spacing w:before="150" w:after="0"/>
        <w:ind w:left="600" w:hanging="600"/>
      </w:pPr>
      <w:r>
        <w:rPr>
          <w:rFonts w:ascii="Arial"/>
          <w:color w:val="000000"/>
          <w:sz w:val="24"/>
        </w:rPr>
        <w:t xml:space="preserve">The positive economic impacts associated with </w:t>
      </w:r>
      <w:r>
        <w:rPr>
          <w:rFonts w:ascii="Arial"/>
          <w:color w:val="000000"/>
          <w:sz w:val="24"/>
        </w:rPr>
        <w:t>the development</w:t>
      </w:r>
      <w:r>
        <w:rPr>
          <w:rFonts w:ascii="Arial"/>
          <w:color w:val="000000"/>
          <w:sz w:val="24"/>
        </w:rPr>
        <w:t>’</w:t>
      </w:r>
      <w:r>
        <w:rPr>
          <w:rFonts w:ascii="Arial"/>
          <w:color w:val="000000"/>
          <w:sz w:val="24"/>
        </w:rPr>
        <w:t xml:space="preserve">s </w:t>
      </w:r>
      <w:r>
        <w:rPr>
          <w:rFonts w:ascii="Arial"/>
          <w:color w:val="000000"/>
          <w:sz w:val="24"/>
        </w:rPr>
        <w:t xml:space="preserve">construction are </w:t>
      </w:r>
      <w:r>
        <w:rPr>
          <w:rFonts w:ascii="Arial"/>
          <w:color w:val="000000"/>
          <w:sz w:val="24"/>
        </w:rPr>
        <w:t xml:space="preserve">important and </w:t>
      </w:r>
      <w:r>
        <w:rPr>
          <w:rFonts w:ascii="Arial"/>
          <w:color w:val="000000"/>
          <w:sz w:val="24"/>
        </w:rPr>
        <w:t>not</w:t>
      </w:r>
      <w:r>
        <w:rPr>
          <w:rFonts w:ascii="Arial"/>
          <w:color w:val="000000"/>
          <w:sz w:val="24"/>
        </w:rPr>
        <w:t>able.</w:t>
      </w:r>
      <w:r>
        <w:rPr>
          <w:rFonts w:ascii="Arial"/>
          <w:color w:val="000000"/>
          <w:sz w:val="24"/>
        </w:rPr>
        <w:t xml:space="preserve"> </w:t>
      </w:r>
      <w:r>
        <w:rPr>
          <w:rFonts w:ascii="Arial"/>
          <w:color w:val="000000"/>
          <w:sz w:val="24"/>
        </w:rPr>
        <w:t>I don</w:t>
      </w:r>
      <w:r>
        <w:rPr>
          <w:rFonts w:ascii="Arial"/>
          <w:color w:val="000000"/>
          <w:sz w:val="24"/>
        </w:rPr>
        <w:t>’</w:t>
      </w:r>
      <w:r>
        <w:rPr>
          <w:rFonts w:ascii="Arial"/>
          <w:color w:val="000000"/>
          <w:sz w:val="24"/>
        </w:rPr>
        <w:t>t recall any quantification in the material before me, apart from the $23m figure on development cost quoted in the Class 1 Application (Ex A</w:t>
      </w:r>
      <w:r>
        <w:rPr>
          <w:rFonts w:ascii="Arial"/>
          <w:color w:val="000000"/>
          <w:sz w:val="24"/>
        </w:rPr>
        <w:t xml:space="preserve"> </w:t>
      </w:r>
      <w:r>
        <w:rPr>
          <w:rFonts w:ascii="Arial"/>
          <w:color w:val="000000"/>
          <w:sz w:val="24"/>
        </w:rPr>
        <w:t>Tab 1). T</w:t>
      </w:r>
      <w:r>
        <w:rPr>
          <w:rFonts w:ascii="Arial"/>
          <w:color w:val="000000"/>
          <w:sz w:val="24"/>
        </w:rPr>
        <w:t>his would be a considerable scale demolition</w:t>
      </w:r>
      <w:r>
        <w:rPr>
          <w:rFonts w:ascii="Arial"/>
          <w:color w:val="000000"/>
          <w:sz w:val="24"/>
        </w:rPr>
        <w:t>, earthworks</w:t>
      </w:r>
      <w:r>
        <w:rPr>
          <w:rFonts w:ascii="Arial"/>
          <w:color w:val="000000"/>
          <w:sz w:val="24"/>
        </w:rPr>
        <w:t xml:space="preserve"> </w:t>
      </w:r>
      <w:r>
        <w:rPr>
          <w:rFonts w:ascii="Arial"/>
          <w:color w:val="000000"/>
          <w:sz w:val="24"/>
        </w:rPr>
        <w:t xml:space="preserve">and construction effort that would bring important benefits to </w:t>
      </w:r>
      <w:r>
        <w:rPr>
          <w:rFonts w:ascii="Arial"/>
          <w:color w:val="000000"/>
          <w:sz w:val="24"/>
        </w:rPr>
        <w:t>a number of</w:t>
      </w:r>
      <w:r>
        <w:rPr>
          <w:rFonts w:ascii="Arial"/>
          <w:color w:val="000000"/>
          <w:sz w:val="24"/>
        </w:rPr>
        <w:t xml:space="preserve"> </w:t>
      </w:r>
      <w:r>
        <w:rPr>
          <w:rFonts w:ascii="Arial"/>
          <w:color w:val="000000"/>
          <w:sz w:val="24"/>
        </w:rPr>
        <w:t>individual</w:t>
      </w:r>
      <w:r>
        <w:rPr>
          <w:rFonts w:ascii="Arial"/>
          <w:color w:val="000000"/>
          <w:sz w:val="24"/>
        </w:rPr>
        <w:t>s</w:t>
      </w:r>
      <w:r>
        <w:rPr>
          <w:rFonts w:ascii="Arial"/>
          <w:color w:val="000000"/>
          <w:sz w:val="24"/>
        </w:rPr>
        <w:t xml:space="preserve"> </w:t>
      </w:r>
      <w:r>
        <w:rPr>
          <w:rFonts w:ascii="Arial"/>
          <w:color w:val="000000"/>
          <w:sz w:val="24"/>
        </w:rPr>
        <w:t xml:space="preserve">and firms by way of </w:t>
      </w:r>
      <w:r>
        <w:rPr>
          <w:rFonts w:ascii="Arial"/>
          <w:color w:val="000000"/>
          <w:sz w:val="24"/>
        </w:rPr>
        <w:t xml:space="preserve">investment, </w:t>
      </w:r>
      <w:r>
        <w:rPr>
          <w:rFonts w:ascii="Arial"/>
          <w:color w:val="000000"/>
          <w:sz w:val="24"/>
        </w:rPr>
        <w:t>job</w:t>
      </w:r>
      <w:r>
        <w:rPr>
          <w:rFonts w:ascii="Arial"/>
          <w:color w:val="000000"/>
          <w:sz w:val="24"/>
        </w:rPr>
        <w:t xml:space="preserve"> </w:t>
      </w:r>
      <w:r>
        <w:rPr>
          <w:rFonts w:ascii="Arial"/>
          <w:color w:val="000000"/>
          <w:sz w:val="24"/>
        </w:rPr>
        <w:t>creation</w:t>
      </w:r>
      <w:r>
        <w:rPr>
          <w:rFonts w:ascii="Arial"/>
          <w:color w:val="000000"/>
          <w:sz w:val="24"/>
        </w:rPr>
        <w:t xml:space="preserve"> </w:t>
      </w:r>
      <w:r>
        <w:rPr>
          <w:rFonts w:ascii="Arial"/>
          <w:color w:val="000000"/>
          <w:sz w:val="24"/>
        </w:rPr>
        <w:t xml:space="preserve">and multiplier effects. </w:t>
      </w:r>
    </w:p>
    <w:p>
      <w:pPr>
        <w:pStyle w:val="CaselawNumbered10"/>
        <w:numPr>
          <w:ilvl w:val="0"/>
          <w:numId w:val="96"/>
        </w:numPr>
        <w:spacing w:before="150" w:after="0"/>
        <w:ind w:left="600" w:hanging="600"/>
      </w:pPr>
      <w:r>
        <w:rPr>
          <w:rFonts w:ascii="Arial"/>
          <w:color w:val="000000"/>
          <w:sz w:val="24"/>
        </w:rPr>
        <w:t xml:space="preserve">While </w:t>
      </w:r>
      <w:r>
        <w:rPr>
          <w:rFonts w:ascii="Arial"/>
          <w:color w:val="000000"/>
          <w:sz w:val="24"/>
        </w:rPr>
        <w:t>the new</w:t>
      </w:r>
      <w:r>
        <w:rPr>
          <w:rFonts w:ascii="Arial"/>
          <w:color w:val="000000"/>
          <w:sz w:val="24"/>
        </w:rPr>
        <w:t xml:space="preserve"> </w:t>
      </w:r>
      <w:r>
        <w:rPr>
          <w:rFonts w:ascii="Arial"/>
          <w:color w:val="000000"/>
          <w:sz w:val="24"/>
        </w:rPr>
        <w:t xml:space="preserve">building </w:t>
      </w:r>
      <w:r>
        <w:rPr>
          <w:rFonts w:ascii="Arial"/>
          <w:color w:val="000000"/>
          <w:sz w:val="24"/>
        </w:rPr>
        <w:t>is argued to</w:t>
      </w:r>
      <w:r>
        <w:rPr>
          <w:rFonts w:ascii="Arial"/>
          <w:color w:val="000000"/>
          <w:sz w:val="24"/>
        </w:rPr>
        <w:t xml:space="preserve"> </w:t>
      </w:r>
      <w:r>
        <w:rPr>
          <w:rFonts w:ascii="Arial"/>
          <w:color w:val="000000"/>
          <w:sz w:val="24"/>
        </w:rPr>
        <w:t xml:space="preserve">be a relatively high performer </w:t>
      </w:r>
      <w:r>
        <w:rPr>
          <w:rFonts w:ascii="Arial"/>
          <w:color w:val="000000"/>
          <w:sz w:val="24"/>
        </w:rPr>
        <w:t xml:space="preserve">in environmental terms (mindful of Ex 4 p 39 Topic V Point 5), </w:t>
      </w:r>
      <w:r>
        <w:rPr>
          <w:rFonts w:ascii="Arial"/>
          <w:color w:val="000000"/>
          <w:sz w:val="24"/>
        </w:rPr>
        <w:t xml:space="preserve">I do not see the environmental benefits argued by the experts as convincing. </w:t>
      </w:r>
      <w:r>
        <w:rPr>
          <w:rFonts w:ascii="Arial"/>
          <w:color w:val="000000"/>
          <w:sz w:val="24"/>
        </w:rPr>
        <w:t>As far as I could see the arguments</w:t>
      </w:r>
      <w:r>
        <w:rPr>
          <w:rFonts w:ascii="Arial"/>
          <w:color w:val="000000"/>
          <w:sz w:val="24"/>
        </w:rPr>
        <w:t xml:space="preserve"> </w:t>
      </w:r>
      <w:r>
        <w:rPr>
          <w:rFonts w:ascii="Arial"/>
          <w:color w:val="000000"/>
          <w:sz w:val="24"/>
        </w:rPr>
        <w:t xml:space="preserve">do not </w:t>
      </w:r>
      <w:r>
        <w:rPr>
          <w:rFonts w:ascii="Arial"/>
          <w:color w:val="000000"/>
          <w:sz w:val="24"/>
        </w:rPr>
        <w:t xml:space="preserve">give consideration </w:t>
      </w:r>
      <w:r>
        <w:rPr>
          <w:rFonts w:ascii="Arial"/>
          <w:color w:val="000000"/>
          <w:sz w:val="24"/>
        </w:rPr>
        <w:t>to</w:t>
      </w:r>
      <w:r>
        <w:rPr>
          <w:rFonts w:ascii="Arial"/>
          <w:color w:val="000000"/>
          <w:sz w:val="24"/>
        </w:rPr>
        <w:t xml:space="preserve"> </w:t>
      </w:r>
      <w:r>
        <w:rPr>
          <w:rFonts w:ascii="Arial"/>
          <w:color w:val="000000"/>
          <w:sz w:val="24"/>
        </w:rPr>
        <w:t>the negative effects (</w:t>
      </w:r>
      <w:r>
        <w:rPr>
          <w:rFonts w:ascii="Arial"/>
          <w:color w:val="000000"/>
          <w:sz w:val="24"/>
        </w:rPr>
        <w:t>eg</w:t>
      </w:r>
      <w:r>
        <w:rPr>
          <w:rFonts w:ascii="Arial"/>
          <w:color w:val="000000"/>
          <w:sz w:val="24"/>
        </w:rPr>
        <w:t xml:space="preserve"> </w:t>
      </w:r>
      <w:r>
        <w:rPr>
          <w:rFonts w:ascii="Arial"/>
          <w:color w:val="000000"/>
          <w:sz w:val="24"/>
        </w:rPr>
        <w:t>waste generation from demolition and disposal of relevant materials, embodied energy associated with construction of new development).</w:t>
      </w:r>
    </w:p>
    <w:p>
      <w:pPr>
        <w:pStyle w:val="CaselawNumbered10"/>
        <w:numPr>
          <w:ilvl w:val="0"/>
          <w:numId w:val="96"/>
        </w:numPr>
        <w:spacing w:before="150" w:after="0"/>
        <w:ind w:left="600" w:hanging="600"/>
      </w:pPr>
      <w:r>
        <w:rPr>
          <w:rFonts w:ascii="Arial"/>
          <w:color w:val="000000"/>
          <w:sz w:val="24"/>
        </w:rPr>
        <w:t xml:space="preserve">I do not see the expert reference to demolition of the existing </w:t>
      </w:r>
      <w:r>
        <w:rPr>
          <w:rFonts w:ascii="Arial"/>
          <w:color w:val="000000"/>
          <w:sz w:val="24"/>
        </w:rPr>
        <w:t>“</w:t>
      </w:r>
      <w:r>
        <w:rPr>
          <w:rFonts w:ascii="Arial"/>
          <w:color w:val="000000"/>
          <w:sz w:val="24"/>
        </w:rPr>
        <w:t>neutral</w:t>
      </w:r>
      <w:r>
        <w:rPr>
          <w:rFonts w:ascii="Arial"/>
          <w:color w:val="000000"/>
          <w:sz w:val="24"/>
        </w:rPr>
        <w:t xml:space="preserve">” </w:t>
      </w:r>
      <w:r>
        <w:rPr>
          <w:rFonts w:ascii="Arial"/>
          <w:color w:val="000000"/>
          <w:sz w:val="24"/>
        </w:rPr>
        <w:t xml:space="preserve">buildings, in heritage terms, as being </w:t>
      </w:r>
      <w:r>
        <w:rPr>
          <w:rFonts w:ascii="Arial"/>
          <w:color w:val="000000"/>
          <w:sz w:val="24"/>
        </w:rPr>
        <w:t>“</w:t>
      </w:r>
      <w:r>
        <w:rPr>
          <w:rFonts w:ascii="Arial"/>
          <w:color w:val="000000"/>
          <w:sz w:val="24"/>
        </w:rPr>
        <w:t>supported under [SDCP heritage] controls</w:t>
      </w:r>
      <w:r>
        <w:rPr>
          <w:rFonts w:ascii="Arial"/>
          <w:color w:val="000000"/>
          <w:sz w:val="24"/>
        </w:rPr>
        <w:t xml:space="preserve">” </w:t>
      </w:r>
      <w:r>
        <w:rPr>
          <w:rFonts w:ascii="Arial"/>
          <w:color w:val="000000"/>
          <w:sz w:val="24"/>
        </w:rPr>
        <w:t>(see [</w:t>
      </w:r>
      <w:hyperlink r:id="rId48">
        <w:r>
          <w:rPr>
            <w:rFonts w:ascii="Arial"/>
            <w:color w:val="000000"/>
            <w:sz w:val="24"/>
            <w:u w:val="single"/>
          </w:rPr>
          <w:t/>
        </w:r>
        <w:r>
          <w:rPr>
            <w:rFonts w:ascii="Arial"/>
            <w:color w:val="000000"/>
            <w:sz w:val="24"/>
          </w:rPr>
          <w:t>55</w:t>
        </w:r>
      </w:hyperlink>
      <w:hyperlink r:id="rId49">
        <w:r>
          <w:rPr>
            <w:rFonts w:ascii="Arial"/>
            <w:color w:val="000000"/>
            <w:sz w:val="24"/>
          </w:rPr>
          <w:t/>
        </w:r>
      </w:hyperlink>
      <w:r>
        <w:rPr>
          <w:rFonts w:ascii="Arial"/>
          <w:color w:val="000000"/>
          <w:sz w:val="24"/>
        </w:rPr>
        <w:t xml:space="preserve">]), as an accurate representation of the policy position. </w:t>
      </w:r>
      <w:r>
        <w:rPr>
          <w:rFonts w:ascii="Arial"/>
          <w:color w:val="000000"/>
          <w:sz w:val="24"/>
        </w:rPr>
        <w:t>I understand the heritage-related provisions concerning infill buildings to be at s 3.9.8 of SDCP and are as follows:</w:t>
      </w:r>
    </w:p>
    <w:p>
      <w:pPr>
        <w:pStyle w:val="CaselawCoversheet"/>
        <w:spacing w:before="150" w:after="150"/>
        <w:ind w:left="1350"/>
        <w:jc w:val="left"/>
      </w:pPr>
      <w:r>
        <w:rPr>
          <w:rFonts w:ascii="Arial"/>
          <w:i/>
          <w:color w:val="000000"/>
          <w:sz w:val="24"/>
        </w:rPr>
        <w:t>3.9.8 Neutral and appropriate infill buildings</w:t>
      </w:r>
    </w:p>
    <w:p>
      <w:pPr>
        <w:pStyle w:val="CaselawCoversheet"/>
        <w:spacing w:before="150" w:after="150"/>
        <w:ind w:left="1350"/>
        <w:jc w:val="left"/>
      </w:pPr>
      <w:r>
        <w:rPr>
          <w:rFonts w:ascii="Arial"/>
          <w:color w:val="000000"/>
          <w:sz w:val="24"/>
        </w:rPr>
        <w:t>Neutral buildings are buildings that do not contribute nor detract from the significant character of the heritage conservation area.</w:t>
      </w:r>
    </w:p>
    <w:p>
      <w:pPr>
        <w:pStyle w:val="CaselawCoversheet"/>
        <w:spacing w:before="150" w:after="150"/>
        <w:ind w:left="1350"/>
        <w:jc w:val="left"/>
      </w:pPr>
      <w:r>
        <w:rPr>
          <w:rFonts w:ascii="Arial"/>
          <w:color w:val="000000"/>
          <w:sz w:val="24"/>
        </w:rPr>
        <w:t>Neutral buildings are:</w:t>
      </w:r>
    </w:p>
    <w:p>
      <w:pPr>
        <w:pStyle w:val="CaselawCoversheet"/>
        <w:spacing w:before="150" w:after="150"/>
        <w:ind w:left="1350"/>
        <w:jc w:val="left"/>
      </w:pPr>
      <w:r>
        <w:rPr>
          <w:rFonts w:ascii="Arial"/>
          <w:color w:val="000000"/>
          <w:sz w:val="24"/>
        </w:rPr>
        <w:t xml:space="preserve">• From a significant historical period, but altered in form, unlikely to be </w:t>
      </w:r>
      <w:r>
        <w:rPr>
          <w:rFonts w:ascii="Arial"/>
          <w:color w:val="000000"/>
          <w:sz w:val="24"/>
        </w:rPr>
        <w:t>reversed;</w:t>
      </w:r>
    </w:p>
    <w:p>
      <w:pPr>
        <w:pStyle w:val="CaselawCoversheet"/>
        <w:spacing w:before="150" w:after="150"/>
        <w:ind w:left="1350"/>
        <w:jc w:val="left"/>
      </w:pPr>
      <w:r>
        <w:rPr>
          <w:rFonts w:ascii="Arial"/>
          <w:color w:val="000000"/>
          <w:sz w:val="24"/>
        </w:rPr>
        <w:t>• sympathetic contemporary infill; or</w:t>
      </w:r>
    </w:p>
    <w:p>
      <w:pPr>
        <w:pStyle w:val="CaselawCoversheet"/>
        <w:spacing w:before="150" w:after="150"/>
        <w:ind w:left="1350"/>
        <w:jc w:val="left"/>
      </w:pPr>
      <w:r>
        <w:rPr>
          <w:rFonts w:ascii="Arial"/>
          <w:color w:val="000000"/>
          <w:sz w:val="24"/>
        </w:rPr>
        <w:t>• from a non-significant historical period but do not detract from the character of the Heritage Conservation Area.</w:t>
      </w:r>
    </w:p>
    <w:p>
      <w:pPr>
        <w:pStyle w:val="CaselawCoversheet"/>
        <w:spacing w:before="150" w:after="150"/>
        <w:ind w:left="1350"/>
        <w:jc w:val="left"/>
      </w:pPr>
      <w:r>
        <w:rPr>
          <w:rFonts w:ascii="Arial"/>
          <w:color w:val="000000"/>
          <w:sz w:val="24"/>
        </w:rPr>
        <w:t>(1) Demolition of neutral buildings will only be considered where it can be</w:t>
      </w:r>
      <w:r>
        <w:rPr>
          <w:rFonts w:ascii="Arial"/>
          <w:color w:val="000000"/>
          <w:sz w:val="24"/>
        </w:rPr>
        <w:t xml:space="preserve"> </w:t>
      </w:r>
      <w:r>
        <w:rPr>
          <w:rFonts w:ascii="Arial"/>
          <w:color w:val="000000"/>
          <w:sz w:val="24"/>
        </w:rPr>
        <w:t>demonstrated that:</w:t>
      </w:r>
    </w:p>
    <w:p>
      <w:pPr>
        <w:pStyle w:val="CaselawCoversheet"/>
        <w:spacing w:before="150" w:after="150"/>
        <w:ind w:left="2100"/>
        <w:jc w:val="left"/>
      </w:pPr>
      <w:r>
        <w:rPr>
          <w:rFonts w:ascii="Arial"/>
          <w:color w:val="000000"/>
          <w:sz w:val="24"/>
        </w:rPr>
        <w:t>(a) restoration of the building is not reasonable; and</w:t>
      </w:r>
    </w:p>
    <w:p>
      <w:pPr>
        <w:pStyle w:val="CaselawCoversheet"/>
        <w:spacing w:before="150" w:after="150"/>
        <w:ind w:left="2100"/>
        <w:jc w:val="left"/>
      </w:pPr>
      <w:r>
        <w:rPr>
          <w:rFonts w:ascii="Arial"/>
          <w:color w:val="000000"/>
          <w:sz w:val="24"/>
        </w:rPr>
        <w:t>(b) the replacement building will not compromise the heritage significance</w:t>
      </w:r>
      <w:r>
        <w:rPr>
          <w:rFonts w:ascii="Arial"/>
          <w:color w:val="000000"/>
          <w:sz w:val="24"/>
        </w:rPr>
        <w:t xml:space="preserve"> </w:t>
      </w:r>
      <w:r>
        <w:rPr>
          <w:rFonts w:ascii="Arial"/>
          <w:color w:val="000000"/>
          <w:sz w:val="24"/>
        </w:rPr>
        <w:t>of the heritage conservation area.</w:t>
      </w:r>
    </w:p>
    <w:p>
      <w:pPr>
        <w:pStyle w:val="CaselawCoversheet"/>
        <w:spacing w:before="150" w:after="150"/>
        <w:ind w:left="1350"/>
        <w:jc w:val="left"/>
      </w:pPr>
      <w:r>
        <w:rPr>
          <w:rFonts w:ascii="Arial"/>
          <w:color w:val="000000"/>
          <w:sz w:val="24"/>
        </w:rPr>
        <w:t>(2) Where demolition of a neutral building is allowed, a photographic record of</w:t>
      </w:r>
      <w:r>
        <w:rPr>
          <w:rFonts w:ascii="Arial"/>
          <w:color w:val="000000"/>
          <w:sz w:val="24"/>
        </w:rPr>
        <w:t xml:space="preserve"> the building may be required to be submitted to the </w:t>
      </w:r>
      <w:r>
        <w:rPr>
          <w:rFonts w:ascii="Arial"/>
          <w:color w:val="000000"/>
          <w:sz w:val="24"/>
        </w:rPr>
        <w:t>City.</w:t>
      </w:r>
    </w:p>
    <w:p>
      <w:pPr>
        <w:pStyle w:val="CaselawCoversheet"/>
        <w:spacing w:before="150" w:after="150"/>
        <w:ind w:left="1350"/>
        <w:jc w:val="left"/>
      </w:pPr>
      <w:r>
        <w:rPr>
          <w:rFonts w:ascii="Arial"/>
          <w:color w:val="000000"/>
          <w:sz w:val="24"/>
        </w:rPr>
        <w:t>(3) Alterations and additions to a neutral building are to:</w:t>
      </w:r>
    </w:p>
    <w:p>
      <w:pPr>
        <w:pStyle w:val="CaselawCoversheet"/>
        <w:spacing w:before="150" w:after="150"/>
        <w:ind w:left="2100"/>
        <w:jc w:val="left"/>
      </w:pPr>
      <w:r>
        <w:rPr>
          <w:rFonts w:ascii="Arial"/>
          <w:color w:val="000000"/>
          <w:sz w:val="24"/>
        </w:rPr>
        <w:t>(a) remove unsympathetic alterations and additions, including</w:t>
      </w:r>
      <w:r>
        <w:rPr>
          <w:rFonts w:ascii="Arial"/>
          <w:color w:val="000000"/>
          <w:sz w:val="24"/>
        </w:rPr>
        <w:t xml:space="preserve"> inappropriate building </w:t>
      </w:r>
      <w:r>
        <w:rPr>
          <w:rFonts w:ascii="Arial"/>
          <w:color w:val="000000"/>
          <w:sz w:val="24"/>
        </w:rPr>
        <w:t>elements;</w:t>
      </w:r>
    </w:p>
    <w:p>
      <w:pPr>
        <w:pStyle w:val="CaselawCoversheet"/>
        <w:spacing w:before="150" w:after="150"/>
        <w:ind w:left="2100"/>
        <w:jc w:val="left"/>
      </w:pPr>
      <w:r>
        <w:rPr>
          <w:rFonts w:ascii="Arial"/>
          <w:color w:val="000000"/>
          <w:sz w:val="24"/>
        </w:rPr>
        <w:t xml:space="preserve">(b) respect the original building in terms of bulk, form, scale and </w:t>
      </w:r>
      <w:r>
        <w:rPr>
          <w:rFonts w:ascii="Arial"/>
          <w:color w:val="000000"/>
          <w:sz w:val="24"/>
        </w:rPr>
        <w:t>height;</w:t>
      </w:r>
    </w:p>
    <w:p>
      <w:pPr>
        <w:pStyle w:val="CaselawCoversheet"/>
        <w:spacing w:before="150" w:after="150"/>
        <w:ind w:left="2100"/>
        <w:jc w:val="left"/>
      </w:pPr>
      <w:r>
        <w:rPr>
          <w:rFonts w:ascii="Arial"/>
          <w:color w:val="000000"/>
          <w:sz w:val="24"/>
        </w:rPr>
        <w:t>(c) minimise the removal of significant features and building elements; and</w:t>
      </w:r>
    </w:p>
    <w:p>
      <w:pPr>
        <w:pStyle w:val="CaselawCoversheet"/>
        <w:spacing w:before="150" w:after="150"/>
        <w:ind w:left="2100"/>
        <w:jc w:val="left"/>
      </w:pPr>
      <w:r>
        <w:rPr>
          <w:rFonts w:ascii="Arial"/>
          <w:color w:val="000000"/>
          <w:sz w:val="24"/>
        </w:rPr>
        <w:t>(d) use appropriate materials, finishes and colours that do not reduce the significance of the Heritage Conservation Area.</w:t>
      </w:r>
    </w:p>
    <w:p>
      <w:pPr>
        <w:pStyle w:val="CaselawNumbered10"/>
        <w:numPr>
          <w:ilvl w:val="0"/>
          <w:numId w:val="97"/>
        </w:numPr>
        <w:spacing w:before="150" w:after="0"/>
        <w:ind w:left="600" w:hanging="600"/>
      </w:pPr>
      <w:r>
        <w:rPr>
          <w:rFonts w:ascii="Arial"/>
          <w:color w:val="000000"/>
          <w:sz w:val="24"/>
        </w:rPr>
        <w:t>While I may have interpreted the expert</w:t>
      </w:r>
      <w:r>
        <w:rPr>
          <w:rFonts w:ascii="Arial"/>
          <w:color w:val="000000"/>
          <w:sz w:val="24"/>
        </w:rPr>
        <w:t>’</w:t>
      </w:r>
      <w:r>
        <w:rPr>
          <w:rFonts w:ascii="Arial"/>
          <w:color w:val="000000"/>
          <w:sz w:val="24"/>
        </w:rPr>
        <w:t>s comments over-literally, t</w:t>
      </w:r>
      <w:r>
        <w:rPr>
          <w:rFonts w:ascii="Arial"/>
          <w:color w:val="000000"/>
          <w:sz w:val="24"/>
        </w:rPr>
        <w:t>he</w:t>
      </w:r>
      <w:r>
        <w:rPr>
          <w:rFonts w:ascii="Arial"/>
          <w:color w:val="000000"/>
          <w:sz w:val="24"/>
        </w:rPr>
        <w:t xml:space="preserve"> </w:t>
      </w:r>
      <w:r>
        <w:rPr>
          <w:rFonts w:ascii="Arial"/>
          <w:color w:val="000000"/>
          <w:sz w:val="24"/>
        </w:rPr>
        <w:t>above</w:t>
      </w:r>
      <w:r>
        <w:rPr>
          <w:rFonts w:ascii="Arial"/>
          <w:color w:val="000000"/>
          <w:sz w:val="24"/>
        </w:rPr>
        <w:t xml:space="preserve"> </w:t>
      </w:r>
      <w:r>
        <w:rPr>
          <w:rFonts w:ascii="Arial"/>
          <w:color w:val="000000"/>
          <w:sz w:val="24"/>
        </w:rPr>
        <w:t xml:space="preserve">provisions would not properly be seen as being supportive of demolition of neutral buildings as a matter of policy. </w:t>
      </w:r>
      <w:r>
        <w:rPr>
          <w:rFonts w:ascii="Arial"/>
          <w:color w:val="000000"/>
          <w:sz w:val="24"/>
        </w:rPr>
        <w:t>T</w:t>
      </w:r>
      <w:r>
        <w:rPr>
          <w:rFonts w:ascii="Arial"/>
          <w:color w:val="000000"/>
          <w:sz w:val="24"/>
        </w:rPr>
        <w:t xml:space="preserve">hey would be better interpreted as seeking to retain neutral buildings in HCAs, and not allowing demolition unless certain </w:t>
      </w:r>
      <w:r>
        <w:rPr>
          <w:rFonts w:ascii="Arial"/>
          <w:color w:val="000000"/>
          <w:sz w:val="24"/>
        </w:rPr>
        <w:t>prerequisites</w:t>
      </w:r>
      <w:r>
        <w:rPr>
          <w:rFonts w:ascii="Arial"/>
          <w:color w:val="000000"/>
          <w:sz w:val="24"/>
        </w:rPr>
        <w:t xml:space="preserve"> </w:t>
      </w:r>
      <w:r>
        <w:rPr>
          <w:rFonts w:ascii="Arial"/>
          <w:color w:val="000000"/>
          <w:sz w:val="24"/>
        </w:rPr>
        <w:t>can be demonstrated</w:t>
      </w:r>
      <w:r>
        <w:rPr>
          <w:rFonts w:ascii="Arial"/>
          <w:color w:val="000000"/>
          <w:sz w:val="24"/>
        </w:rPr>
        <w:t xml:space="preserve">. </w:t>
      </w:r>
      <w:r>
        <w:rPr>
          <w:rFonts w:ascii="Arial"/>
          <w:color w:val="000000"/>
          <w:sz w:val="24"/>
        </w:rPr>
        <w:t xml:space="preserve">Heritage </w:t>
      </w:r>
      <w:r>
        <w:rPr>
          <w:rFonts w:ascii="Arial"/>
          <w:color w:val="000000"/>
          <w:sz w:val="24"/>
        </w:rPr>
        <w:t>itself</w:t>
      </w:r>
      <w:r>
        <w:rPr>
          <w:rFonts w:ascii="Arial"/>
          <w:color w:val="000000"/>
          <w:sz w:val="24"/>
        </w:rPr>
        <w:t xml:space="preserve"> </w:t>
      </w:r>
      <w:r>
        <w:rPr>
          <w:rFonts w:ascii="Arial"/>
          <w:color w:val="000000"/>
          <w:sz w:val="24"/>
        </w:rPr>
        <w:t xml:space="preserve">is a neutral factor in this evaluation. </w:t>
      </w:r>
    </w:p>
    <w:p>
      <w:pPr>
        <w:pStyle w:val="CaselawNumbered10"/>
        <w:numPr>
          <w:ilvl w:val="0"/>
          <w:numId w:val="97"/>
        </w:numPr>
        <w:spacing w:before="150" w:after="0"/>
        <w:ind w:left="600" w:hanging="600"/>
      </w:pPr>
      <w:r>
        <w:rPr>
          <w:rFonts w:ascii="Arial"/>
          <w:color w:val="000000"/>
          <w:sz w:val="24"/>
        </w:rPr>
        <w:t xml:space="preserve">There was a concern raised about impact upon the </w:t>
      </w:r>
      <w:r>
        <w:rPr>
          <w:rFonts w:ascii="Arial"/>
          <w:color w:val="000000"/>
          <w:sz w:val="24"/>
        </w:rPr>
        <w:t>outlook</w:t>
      </w:r>
      <w:r>
        <w:rPr>
          <w:rFonts w:ascii="Arial"/>
          <w:color w:val="000000"/>
          <w:sz w:val="24"/>
        </w:rPr>
        <w:t xml:space="preserve"> </w:t>
      </w:r>
      <w:r>
        <w:rPr>
          <w:rFonts w:ascii="Arial"/>
          <w:color w:val="000000"/>
          <w:sz w:val="24"/>
        </w:rPr>
        <w:t xml:space="preserve">enjoyed through </w:t>
      </w:r>
      <w:r>
        <w:rPr>
          <w:rFonts w:ascii="Arial"/>
          <w:color w:val="000000"/>
          <w:sz w:val="24"/>
        </w:rPr>
        <w:t>window areas</w:t>
      </w:r>
      <w:r>
        <w:rPr>
          <w:rFonts w:ascii="Arial"/>
          <w:color w:val="000000"/>
          <w:sz w:val="24"/>
        </w:rPr>
        <w:t xml:space="preserve"> </w:t>
      </w:r>
      <w:r>
        <w:rPr>
          <w:rFonts w:ascii="Arial"/>
          <w:color w:val="000000"/>
          <w:sz w:val="24"/>
        </w:rPr>
        <w:t xml:space="preserve">in an </w:t>
      </w:r>
      <w:r>
        <w:rPr>
          <w:rFonts w:ascii="Arial"/>
          <w:color w:val="000000"/>
          <w:sz w:val="24"/>
        </w:rPr>
        <w:t>upper level</w:t>
      </w:r>
      <w:r>
        <w:rPr>
          <w:rFonts w:ascii="Arial"/>
          <w:color w:val="000000"/>
          <w:sz w:val="24"/>
        </w:rPr>
        <w:t xml:space="preserve"> </w:t>
      </w:r>
      <w:r>
        <w:rPr>
          <w:rFonts w:ascii="Arial"/>
          <w:color w:val="000000"/>
          <w:sz w:val="24"/>
        </w:rPr>
        <w:t xml:space="preserve">area within </w:t>
      </w:r>
      <w:r>
        <w:rPr>
          <w:rFonts w:ascii="Arial"/>
          <w:color w:val="000000"/>
          <w:sz w:val="24"/>
        </w:rPr>
        <w:t>Unit 12/12 Onslow Avenue</w:t>
      </w:r>
      <w:r>
        <w:rPr>
          <w:rFonts w:ascii="Arial"/>
          <w:color w:val="000000"/>
          <w:sz w:val="24"/>
        </w:rPr>
        <w:t>. The VIA determined that the propos</w:t>
      </w:r>
      <w:r>
        <w:rPr>
          <w:rFonts w:ascii="Arial"/>
          <w:color w:val="000000"/>
          <w:sz w:val="24"/>
        </w:rPr>
        <w:t xml:space="preserve">ed </w:t>
      </w:r>
      <w:r>
        <w:rPr>
          <w:rFonts w:ascii="Arial"/>
          <w:color w:val="000000"/>
          <w:sz w:val="24"/>
        </w:rPr>
        <w:t xml:space="preserve">penthouse </w:t>
      </w:r>
      <w:r>
        <w:rPr>
          <w:rFonts w:ascii="Arial"/>
          <w:color w:val="000000"/>
          <w:sz w:val="24"/>
        </w:rPr>
        <w:t xml:space="preserve">in </w:t>
      </w:r>
      <w:r>
        <w:rPr>
          <w:rFonts w:ascii="Arial"/>
          <w:color w:val="000000"/>
          <w:sz w:val="24"/>
        </w:rPr>
        <w:t>this</w:t>
      </w:r>
      <w:r>
        <w:rPr>
          <w:rFonts w:ascii="Arial"/>
          <w:color w:val="000000"/>
          <w:sz w:val="24"/>
        </w:rPr>
        <w:t xml:space="preserve"> </w:t>
      </w:r>
      <w:r>
        <w:rPr>
          <w:rFonts w:ascii="Arial"/>
          <w:color w:val="000000"/>
          <w:sz w:val="24"/>
        </w:rPr>
        <w:t xml:space="preserve">Onslow Avenue building </w:t>
      </w:r>
      <w:r>
        <w:rPr>
          <w:rFonts w:ascii="Arial"/>
          <w:color w:val="000000"/>
          <w:sz w:val="24"/>
        </w:rPr>
        <w:t>“</w:t>
      </w:r>
      <w:r>
        <w:rPr>
          <w:rFonts w:ascii="Arial"/>
          <w:color w:val="000000"/>
          <w:sz w:val="24"/>
        </w:rPr>
        <w:t>blocks all scenic attributes</w:t>
      </w:r>
      <w:r>
        <w:rPr>
          <w:rFonts w:ascii="Arial"/>
          <w:color w:val="000000"/>
          <w:sz w:val="24"/>
        </w:rPr>
        <w:t xml:space="preserve">” </w:t>
      </w:r>
      <w:r>
        <w:rPr>
          <w:rFonts w:ascii="Arial"/>
          <w:color w:val="000000"/>
          <w:sz w:val="24"/>
        </w:rPr>
        <w:t>currently available from this position. I certainly agree with the VIA conclusion that a factor here is that other much more accessible and higher valuable harbour views are available within this residence. But objectively it can be observed that a particular point of enjoyment of this residence would be lost. A very pleasing outlook would be replaced by the proposed development</w:t>
      </w:r>
      <w:r>
        <w:rPr>
          <w:rFonts w:ascii="Arial"/>
          <w:color w:val="000000"/>
          <w:sz w:val="24"/>
        </w:rPr>
        <w:t>’</w:t>
      </w:r>
      <w:r>
        <w:rPr>
          <w:rFonts w:ascii="Arial"/>
          <w:color w:val="000000"/>
          <w:sz w:val="24"/>
        </w:rPr>
        <w:t>s building massing</w:t>
      </w:r>
      <w:r>
        <w:rPr>
          <w:rFonts w:ascii="Arial"/>
          <w:color w:val="000000"/>
          <w:sz w:val="24"/>
        </w:rPr>
        <w:t xml:space="preserve"> </w:t>
      </w:r>
      <w:r>
        <w:rPr>
          <w:rFonts w:ascii="Arial"/>
          <w:color w:val="000000"/>
          <w:sz w:val="24"/>
        </w:rPr>
        <w:t>in the immediate foreground.</w:t>
      </w:r>
    </w:p>
    <w:p>
      <w:pPr>
        <w:pStyle w:val="CaselawHeading3"/>
        <w:keepNext/>
        <w:spacing w:before="150" w:after="150" w:line="264"/>
        <w:ind w:left="0"/>
        <w:jc w:val="left"/>
      </w:pPr>
      <w:r>
        <w:rPr>
          <w:rFonts w:ascii="Arial"/>
        </w:rPr>
        <w:t>Given the need to balance positive and negative impacts -</w:t>
      </w:r>
      <w:r>
        <w:rPr>
          <w:rFonts w:ascii="Arial"/>
        </w:rPr>
        <w:t xml:space="preserve"> the proposal would also fail on the </w:t>
      </w:r>
      <w:r>
        <w:rPr>
          <w:rFonts w:ascii="Arial"/>
        </w:rPr>
        <w:t>merits</w:t>
      </w:r>
    </w:p>
    <w:p>
      <w:pPr>
        <w:pStyle w:val="CaselawNumbered10"/>
        <w:numPr>
          <w:ilvl w:val="0"/>
          <w:numId w:val="98"/>
        </w:numPr>
        <w:spacing w:before="150" w:after="0"/>
        <w:ind w:left="600" w:hanging="600"/>
      </w:pPr>
      <w:r>
        <w:rPr>
          <w:rFonts w:ascii="Arial"/>
          <w:color w:val="000000"/>
          <w:sz w:val="24"/>
        </w:rPr>
        <w:t xml:space="preserve">As a commissioner of the </w:t>
      </w:r>
      <w:r>
        <w:rPr>
          <w:rFonts w:ascii="Arial"/>
          <w:color w:val="000000"/>
          <w:sz w:val="24"/>
        </w:rPr>
        <w:t>Court</w:t>
      </w:r>
      <w:r>
        <w:rPr>
          <w:rFonts w:ascii="Arial"/>
          <w:color w:val="000000"/>
          <w:sz w:val="24"/>
        </w:rPr>
        <w:t xml:space="preserve"> </w:t>
      </w:r>
      <w:r>
        <w:rPr>
          <w:rFonts w:ascii="Arial"/>
          <w:color w:val="000000"/>
          <w:sz w:val="24"/>
        </w:rPr>
        <w:t>it is common when evaluating the merits aspects of development applications which do provide for more housing (</w:t>
      </w:r>
      <w:r>
        <w:rPr>
          <w:rFonts w:ascii="Arial"/>
          <w:color w:val="000000"/>
          <w:sz w:val="24"/>
        </w:rPr>
        <w:t>ie</w:t>
      </w:r>
      <w:r>
        <w:rPr>
          <w:rFonts w:ascii="Arial"/>
          <w:color w:val="000000"/>
          <w:sz w:val="24"/>
        </w:rPr>
        <w:t xml:space="preserve"> </w:t>
      </w:r>
      <w:r>
        <w:rPr>
          <w:rFonts w:ascii="Arial"/>
          <w:color w:val="000000"/>
          <w:sz w:val="24"/>
        </w:rPr>
        <w:t xml:space="preserve">consistent with the core objective of residential zones) to </w:t>
      </w:r>
      <w:r>
        <w:rPr>
          <w:rFonts w:ascii="Arial"/>
          <w:color w:val="000000"/>
          <w:sz w:val="24"/>
        </w:rPr>
        <w:t xml:space="preserve">consider whether to be </w:t>
      </w:r>
      <w:r>
        <w:rPr>
          <w:rFonts w:ascii="Arial"/>
          <w:color w:val="000000"/>
          <w:sz w:val="24"/>
        </w:rPr>
        <w:t xml:space="preserve">more tolerant of </w:t>
      </w:r>
      <w:r>
        <w:rPr>
          <w:rFonts w:ascii="Arial"/>
          <w:color w:val="000000"/>
          <w:sz w:val="24"/>
        </w:rPr>
        <w:t xml:space="preserve">potential </w:t>
      </w:r>
      <w:r>
        <w:rPr>
          <w:rFonts w:ascii="Arial"/>
          <w:color w:val="000000"/>
          <w:sz w:val="24"/>
        </w:rPr>
        <w:t xml:space="preserve">impacts. </w:t>
      </w:r>
      <w:r>
        <w:rPr>
          <w:rFonts w:ascii="Arial"/>
          <w:color w:val="000000"/>
          <w:sz w:val="24"/>
        </w:rPr>
        <w:t xml:space="preserve"> </w:t>
      </w:r>
      <w:r>
        <w:rPr>
          <w:rFonts w:ascii="Arial"/>
          <w:color w:val="000000"/>
          <w:sz w:val="24"/>
        </w:rPr>
        <w:t xml:space="preserve">Just </w:t>
      </w:r>
      <w:r>
        <w:rPr>
          <w:rFonts w:ascii="Arial"/>
          <w:color w:val="000000"/>
          <w:sz w:val="24"/>
        </w:rPr>
        <w:t>because</w:t>
      </w:r>
      <w:r>
        <w:rPr>
          <w:rFonts w:ascii="Arial"/>
          <w:color w:val="000000"/>
          <w:sz w:val="24"/>
        </w:rPr>
        <w:t xml:space="preserve"> </w:t>
      </w:r>
      <w:r>
        <w:rPr>
          <w:rFonts w:ascii="Arial"/>
          <w:color w:val="000000"/>
          <w:sz w:val="24"/>
        </w:rPr>
        <w:t>it happens to be very recent</w:t>
      </w:r>
      <w:r>
        <w:rPr>
          <w:rFonts w:ascii="Arial"/>
          <w:color w:val="000000"/>
          <w:sz w:val="24"/>
        </w:rPr>
        <w:t>,</w:t>
      </w:r>
      <w:r>
        <w:rPr>
          <w:rFonts w:ascii="Arial"/>
          <w:color w:val="000000"/>
          <w:sz w:val="24"/>
        </w:rPr>
        <w:t xml:space="preserve"> </w:t>
      </w:r>
      <w:r>
        <w:rPr>
          <w:rFonts w:ascii="Arial"/>
          <w:color w:val="000000"/>
          <w:sz w:val="24"/>
        </w:rPr>
        <w:t xml:space="preserve">I note my judgement in the following case in that respect: </w:t>
      </w:r>
      <w:r>
        <w:rPr>
          <w:rFonts w:ascii="Arial"/>
          <w:i/>
          <w:color w:val="000000"/>
          <w:sz w:val="24"/>
        </w:rPr>
        <w:t>Station Lane Pty Ltd v Penrith City Council</w:t>
      </w:r>
      <w:r>
        <w:rPr>
          <w:rFonts w:ascii="Arial"/>
          <w:color w:val="000000"/>
          <w:sz w:val="24"/>
        </w:rPr>
        <w:t xml:space="preserve"> </w:t>
      </w:r>
      <w:r>
        <w:rPr>
          <w:rFonts w:ascii="Arial"/>
          <w:color w:val="000000"/>
          <w:sz w:val="24"/>
        </w:rPr>
        <w:t xml:space="preserve">[2024] NSWLEC 1797 </w:t>
      </w:r>
      <w:r>
        <w:rPr>
          <w:rFonts w:ascii="Arial"/>
          <w:color w:val="000000"/>
          <w:sz w:val="24"/>
        </w:rPr>
        <w:t xml:space="preserve">at [40]. </w:t>
      </w:r>
    </w:p>
    <w:p>
      <w:pPr>
        <w:pStyle w:val="CaselawNumbered10"/>
        <w:numPr>
          <w:ilvl w:val="0"/>
          <w:numId w:val="98"/>
        </w:numPr>
        <w:spacing w:before="150" w:after="0"/>
        <w:ind w:left="600" w:hanging="600"/>
      </w:pPr>
      <w:r>
        <w:rPr>
          <w:rFonts w:ascii="Arial"/>
          <w:color w:val="000000"/>
          <w:sz w:val="24"/>
        </w:rPr>
        <w:t xml:space="preserve">Such an approach </w:t>
      </w:r>
      <w:r>
        <w:rPr>
          <w:rFonts w:ascii="Arial"/>
          <w:color w:val="000000"/>
          <w:sz w:val="24"/>
        </w:rPr>
        <w:t xml:space="preserve">is quite consistent with the evaluation framework outlined by Preston CJ in </w:t>
      </w:r>
      <w:r>
        <w:rPr>
          <w:rFonts w:ascii="Arial"/>
          <w:i/>
          <w:color w:val="000000"/>
          <w:sz w:val="24"/>
        </w:rPr>
        <w:t xml:space="preserve">Bulga </w:t>
      </w:r>
      <w:r>
        <w:rPr>
          <w:rFonts w:ascii="Arial"/>
          <w:i/>
          <w:color w:val="000000"/>
          <w:sz w:val="24"/>
        </w:rPr>
        <w:t>Milbrodale</w:t>
      </w:r>
      <w:r>
        <w:rPr>
          <w:rFonts w:ascii="Arial"/>
          <w:i/>
          <w:color w:val="000000"/>
          <w:sz w:val="24"/>
        </w:rPr>
        <w:t xml:space="preserve"> Progress Association Inc v Minister for Planning and Infrastructure and Warkworth Mining Limited</w:t>
      </w:r>
      <w:r>
        <w:rPr>
          <w:rFonts w:ascii="Arial"/>
          <w:color w:val="000000"/>
          <w:sz w:val="24"/>
        </w:rPr>
        <w:t xml:space="preserve"> </w:t>
      </w:r>
      <w:r>
        <w:rPr>
          <w:rFonts w:ascii="Arial"/>
          <w:color w:val="000000"/>
          <w:sz w:val="24"/>
        </w:rPr>
        <w:t>(2013) 194 LGERA 347</w:t>
      </w:r>
      <w:r>
        <w:rPr>
          <w:rFonts w:ascii="Arial"/>
          <w:color w:val="000000"/>
          <w:sz w:val="24"/>
        </w:rPr>
        <w:t xml:space="preserve">; </w:t>
      </w:r>
      <w:r>
        <w:rPr>
          <w:rFonts w:ascii="Arial"/>
          <w:color w:val="000000"/>
          <w:sz w:val="24"/>
        </w:rPr>
        <w:t>[2013] NSWLEC 48 (</w:t>
      </w:r>
      <w:r>
        <w:rPr>
          <w:rFonts w:ascii="Arial"/>
          <w:color w:val="000000"/>
          <w:sz w:val="24"/>
        </w:rPr>
        <w:t>eg</w:t>
      </w:r>
      <w:r>
        <w:rPr>
          <w:rFonts w:ascii="Arial"/>
          <w:color w:val="000000"/>
          <w:sz w:val="24"/>
        </w:rPr>
        <w:t xml:space="preserve"> </w:t>
      </w:r>
      <w:r>
        <w:rPr>
          <w:rFonts w:ascii="Arial"/>
          <w:color w:val="000000"/>
          <w:sz w:val="24"/>
        </w:rPr>
        <w:t>at [484])</w:t>
      </w:r>
      <w:r>
        <w:rPr>
          <w:rFonts w:ascii="Arial"/>
          <w:color w:val="000000"/>
          <w:sz w:val="24"/>
        </w:rPr>
        <w:t>. Here it was</w:t>
      </w:r>
      <w:r>
        <w:rPr>
          <w:rFonts w:ascii="Arial"/>
          <w:color w:val="000000"/>
          <w:sz w:val="24"/>
        </w:rPr>
        <w:t xml:space="preserve"> </w:t>
      </w:r>
      <w:r>
        <w:rPr>
          <w:rFonts w:ascii="Arial"/>
          <w:color w:val="000000"/>
          <w:sz w:val="24"/>
        </w:rPr>
        <w:t>suggest</w:t>
      </w:r>
      <w:r>
        <w:rPr>
          <w:rFonts w:ascii="Arial"/>
          <w:color w:val="000000"/>
          <w:sz w:val="24"/>
        </w:rPr>
        <w:t>ed as</w:t>
      </w:r>
      <w:r>
        <w:rPr>
          <w:rFonts w:ascii="Arial"/>
          <w:color w:val="000000"/>
          <w:sz w:val="24"/>
        </w:rPr>
        <w:t xml:space="preserve"> </w:t>
      </w:r>
      <w:r>
        <w:rPr>
          <w:rFonts w:ascii="Arial"/>
          <w:color w:val="000000"/>
          <w:sz w:val="24"/>
        </w:rPr>
        <w:t>an essential task of the Court to apply appropriate weight to relevant matters in determining whether the preferable decision is to approve or disapprove of a proposal.</w:t>
      </w:r>
    </w:p>
    <w:p>
      <w:pPr>
        <w:pStyle w:val="CaselawNumbered10"/>
        <w:numPr>
          <w:ilvl w:val="0"/>
          <w:numId w:val="98"/>
        </w:numPr>
        <w:spacing w:before="150" w:after="0"/>
        <w:ind w:left="600" w:hanging="600"/>
      </w:pPr>
      <w:r>
        <w:rPr>
          <w:rFonts w:ascii="Arial"/>
          <w:color w:val="000000"/>
          <w:sz w:val="24"/>
        </w:rPr>
        <w:t>T</w:t>
      </w:r>
      <w:r>
        <w:rPr>
          <w:rFonts w:ascii="Arial"/>
          <w:color w:val="000000"/>
          <w:sz w:val="24"/>
        </w:rPr>
        <w:t xml:space="preserve">his proposed development would bring certain beneficial aspects, which are consistent with, for example, Objective 1(c) of the EPA Act. </w:t>
      </w:r>
      <w:r>
        <w:rPr>
          <w:rFonts w:ascii="Arial"/>
          <w:color w:val="000000"/>
          <w:sz w:val="24"/>
        </w:rPr>
        <w:t>This</w:t>
      </w:r>
      <w:r>
        <w:rPr>
          <w:rFonts w:ascii="Arial"/>
          <w:color w:val="000000"/>
          <w:sz w:val="24"/>
        </w:rPr>
        <w:t xml:space="preserve"> </w:t>
      </w:r>
      <w:r>
        <w:rPr>
          <w:rFonts w:ascii="Arial"/>
          <w:color w:val="000000"/>
          <w:sz w:val="24"/>
        </w:rPr>
        <w:t xml:space="preserve">is </w:t>
      </w:r>
      <w:r>
        <w:rPr>
          <w:rFonts w:ascii="Arial"/>
          <w:color w:val="000000"/>
          <w:sz w:val="24"/>
        </w:rPr>
        <w:t xml:space="preserve">through </w:t>
      </w:r>
      <w:r>
        <w:rPr>
          <w:rFonts w:ascii="Arial"/>
          <w:color w:val="000000"/>
          <w:sz w:val="24"/>
        </w:rPr>
        <w:t>the development</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promotion of the economic use and development of land</w:t>
      </w:r>
      <w:r>
        <w:rPr>
          <w:rFonts w:ascii="Arial"/>
          <w:color w:val="000000"/>
          <w:sz w:val="24"/>
        </w:rPr>
        <w:t>. T</w:t>
      </w:r>
      <w:r>
        <w:rPr>
          <w:rFonts w:ascii="Arial"/>
          <w:color w:val="000000"/>
          <w:sz w:val="24"/>
        </w:rPr>
        <w:t xml:space="preserve">his development </w:t>
      </w:r>
      <w:r>
        <w:rPr>
          <w:rFonts w:ascii="Arial"/>
          <w:color w:val="000000"/>
          <w:sz w:val="24"/>
        </w:rPr>
        <w:t xml:space="preserve">would </w:t>
      </w:r>
      <w:r>
        <w:rPr>
          <w:rFonts w:ascii="Arial"/>
          <w:color w:val="000000"/>
          <w:sz w:val="24"/>
        </w:rPr>
        <w:t>make a contribution</w:t>
      </w:r>
      <w:r>
        <w:rPr>
          <w:rFonts w:ascii="Arial"/>
          <w:color w:val="000000"/>
          <w:sz w:val="24"/>
        </w:rPr>
        <w:t xml:space="preserve"> </w:t>
      </w:r>
      <w:r>
        <w:rPr>
          <w:rFonts w:ascii="Arial"/>
          <w:color w:val="000000"/>
          <w:sz w:val="24"/>
        </w:rPr>
        <w:t>to the</w:t>
      </w:r>
      <w:r>
        <w:rPr>
          <w:rFonts w:ascii="Arial"/>
          <w:color w:val="000000"/>
          <w:sz w:val="24"/>
        </w:rPr>
        <w:t xml:space="preserve"> </w:t>
      </w:r>
      <w:r>
        <w:rPr>
          <w:rFonts w:ascii="Arial"/>
          <w:color w:val="000000"/>
          <w:sz w:val="24"/>
        </w:rPr>
        <w:t>construction sector</w:t>
      </w:r>
      <w:r>
        <w:rPr>
          <w:rFonts w:ascii="Arial"/>
          <w:color w:val="000000"/>
          <w:sz w:val="24"/>
        </w:rPr>
        <w:t xml:space="preserve">, an important factor in </w:t>
      </w:r>
      <w:r>
        <w:rPr>
          <w:rFonts w:ascii="Arial"/>
          <w:color w:val="000000"/>
          <w:sz w:val="24"/>
        </w:rPr>
        <w:t>the economic welfare of the community.</w:t>
      </w:r>
      <w:r>
        <w:rPr>
          <w:rFonts w:ascii="Arial"/>
          <w:color w:val="000000"/>
          <w:sz w:val="24"/>
        </w:rPr>
        <w:t xml:space="preserve"> </w:t>
      </w:r>
    </w:p>
    <w:p>
      <w:pPr>
        <w:pStyle w:val="CaselawNumbered10"/>
        <w:numPr>
          <w:ilvl w:val="0"/>
          <w:numId w:val="98"/>
        </w:numPr>
        <w:spacing w:before="150" w:after="0"/>
        <w:ind w:left="600" w:hanging="600"/>
      </w:pPr>
      <w:r>
        <w:rPr>
          <w:rFonts w:ascii="Arial"/>
          <w:color w:val="000000"/>
          <w:sz w:val="24"/>
        </w:rPr>
        <w:t>The proposal would also add to the housing mix in the locality by providing for more 3+bedroom residences</w:t>
      </w:r>
      <w:r>
        <w:rPr>
          <w:rFonts w:ascii="Arial"/>
          <w:color w:val="000000"/>
          <w:sz w:val="24"/>
        </w:rPr>
        <w:t xml:space="preserve">. Removing the larger cohort </w:t>
      </w:r>
      <w:r>
        <w:rPr>
          <w:rFonts w:ascii="Arial"/>
          <w:color w:val="000000"/>
          <w:sz w:val="24"/>
        </w:rPr>
        <w:t xml:space="preserve">with </w:t>
      </w:r>
      <w:r>
        <w:rPr>
          <w:rFonts w:ascii="Arial"/>
          <w:color w:val="000000"/>
          <w:sz w:val="24"/>
        </w:rPr>
        <w:t xml:space="preserve"> </w:t>
      </w:r>
      <w:r>
        <w:rPr>
          <w:rFonts w:ascii="Arial"/>
          <w:color w:val="000000"/>
          <w:sz w:val="24"/>
        </w:rPr>
        <w:t>two</w:t>
      </w:r>
      <w:r>
        <w:rPr>
          <w:rFonts w:ascii="Arial"/>
          <w:color w:val="000000"/>
          <w:sz w:val="24"/>
        </w:rPr>
        <w:t xml:space="preserve"> </w:t>
      </w:r>
      <w:r>
        <w:rPr>
          <w:rFonts w:ascii="Arial"/>
          <w:color w:val="000000"/>
          <w:sz w:val="24"/>
        </w:rPr>
        <w:t>bedrooms and less</w:t>
      </w:r>
      <w:r>
        <w:rPr>
          <w:rFonts w:ascii="Arial"/>
          <w:color w:val="000000"/>
          <w:sz w:val="24"/>
        </w:rPr>
        <w:t xml:space="preserve"> </w:t>
      </w:r>
      <w:r>
        <w:rPr>
          <w:rFonts w:ascii="Arial"/>
          <w:color w:val="000000"/>
          <w:sz w:val="24"/>
        </w:rPr>
        <w:t>would also assist with this statistical equation</w:t>
      </w:r>
      <w:r>
        <w:rPr>
          <w:rFonts w:ascii="Arial"/>
          <w:color w:val="000000"/>
          <w:sz w:val="24"/>
        </w:rPr>
        <w:t xml:space="preserve">. </w:t>
      </w:r>
      <w:r>
        <w:rPr>
          <w:rFonts w:ascii="Arial"/>
          <w:color w:val="000000"/>
          <w:sz w:val="24"/>
        </w:rPr>
        <w:t>I am not convinced that great weight goes to this factor.</w:t>
      </w:r>
    </w:p>
    <w:p>
      <w:pPr>
        <w:pStyle w:val="CaselawNumbered10"/>
        <w:numPr>
          <w:ilvl w:val="0"/>
          <w:numId w:val="98"/>
        </w:numPr>
        <w:spacing w:before="150" w:after="0"/>
        <w:ind w:left="600" w:hanging="600"/>
      </w:pPr>
      <w:r>
        <w:rPr>
          <w:rFonts w:ascii="Arial"/>
          <w:color w:val="000000"/>
          <w:sz w:val="24"/>
        </w:rPr>
        <w:t xml:space="preserve">There are obvious negative social impacts associated with the proposal which are more substantial and warrant greater weight. These are centred on the important matter of the reduction of housing which meets community need. </w:t>
      </w:r>
    </w:p>
    <w:p>
      <w:pPr>
        <w:pStyle w:val="CaselawNumbered10"/>
        <w:numPr>
          <w:ilvl w:val="0"/>
          <w:numId w:val="98"/>
        </w:numPr>
        <w:spacing w:before="150" w:after="0"/>
        <w:ind w:left="600" w:hanging="600"/>
      </w:pPr>
      <w:r>
        <w:rPr>
          <w:rFonts w:ascii="Arial"/>
          <w:color w:val="000000"/>
          <w:sz w:val="24"/>
        </w:rPr>
        <w:t xml:space="preserve">Despite considerable positive design responses as the proposal has evolved, there remain </w:t>
      </w:r>
      <w:r>
        <w:rPr>
          <w:rFonts w:ascii="Arial"/>
          <w:color w:val="000000"/>
          <w:sz w:val="24"/>
        </w:rPr>
        <w:t>some</w:t>
      </w:r>
      <w:r>
        <w:rPr>
          <w:rFonts w:ascii="Arial"/>
          <w:color w:val="000000"/>
          <w:sz w:val="24"/>
        </w:rPr>
        <w:t xml:space="preserve"> </w:t>
      </w:r>
      <w:r>
        <w:rPr>
          <w:rFonts w:ascii="Arial"/>
          <w:color w:val="000000"/>
          <w:sz w:val="24"/>
        </w:rPr>
        <w:t xml:space="preserve">negative amenity impacts. Above I have identified view loss impacts, which were </w:t>
      </w:r>
      <w:r>
        <w:rPr>
          <w:rFonts w:ascii="Arial"/>
          <w:color w:val="000000"/>
          <w:sz w:val="24"/>
        </w:rPr>
        <w:t xml:space="preserve">in some instances </w:t>
      </w:r>
      <w:r>
        <w:rPr>
          <w:rFonts w:ascii="Arial"/>
          <w:color w:val="000000"/>
          <w:sz w:val="24"/>
        </w:rPr>
        <w:t xml:space="preserve">understated in the </w:t>
      </w:r>
      <w:r>
        <w:rPr>
          <w:rFonts w:ascii="Arial"/>
          <w:color w:val="000000"/>
          <w:sz w:val="24"/>
        </w:rPr>
        <w:t>application material and in the relevant expert reports</w:t>
      </w:r>
      <w:r>
        <w:rPr>
          <w:rFonts w:ascii="Arial"/>
          <w:color w:val="000000"/>
          <w:sz w:val="24"/>
        </w:rPr>
        <w:t xml:space="preserve">. The fourth step of </w:t>
      </w:r>
      <w:r>
        <w:rPr>
          <w:rFonts w:ascii="Arial"/>
          <w:i/>
          <w:color w:val="000000"/>
          <w:sz w:val="24"/>
        </w:rPr>
        <w:t>Tenacity</w:t>
      </w:r>
      <w:r>
        <w:rPr>
          <w:rFonts w:ascii="Arial"/>
          <w:color w:val="000000"/>
          <w:sz w:val="24"/>
        </w:rPr>
        <w:t xml:space="preserve"> </w:t>
      </w:r>
      <w:r>
        <w:rPr>
          <w:rFonts w:ascii="Arial"/>
          <w:color w:val="000000"/>
          <w:sz w:val="24"/>
        </w:rPr>
        <w:t xml:space="preserve">is concerned with the reasonableness of the development as proposed and there is a question why even minor </w:t>
      </w:r>
      <w:r>
        <w:rPr>
          <w:rFonts w:ascii="Arial"/>
          <w:color w:val="000000"/>
          <w:sz w:val="24"/>
        </w:rPr>
        <w:t xml:space="preserve">say view or other amenity </w:t>
      </w:r>
      <w:r>
        <w:rPr>
          <w:rFonts w:ascii="Arial"/>
          <w:color w:val="000000"/>
          <w:sz w:val="24"/>
        </w:rPr>
        <w:t xml:space="preserve">impact is acceptable when there is a more serious negative </w:t>
      </w:r>
      <w:r>
        <w:rPr>
          <w:rFonts w:ascii="Arial"/>
          <w:color w:val="000000"/>
          <w:sz w:val="24"/>
        </w:rPr>
        <w:t>effect</w:t>
      </w:r>
      <w:r>
        <w:rPr>
          <w:rFonts w:ascii="Arial"/>
          <w:color w:val="000000"/>
          <w:sz w:val="24"/>
        </w:rPr>
        <w:t xml:space="preserve"> </w:t>
      </w:r>
      <w:r>
        <w:rPr>
          <w:rFonts w:ascii="Arial"/>
          <w:color w:val="000000"/>
          <w:sz w:val="24"/>
        </w:rPr>
        <w:t xml:space="preserve">associated with the proposal. </w:t>
      </w:r>
    </w:p>
    <w:p>
      <w:pPr>
        <w:pStyle w:val="CaselawNumbered10"/>
        <w:numPr>
          <w:ilvl w:val="0"/>
          <w:numId w:val="98"/>
        </w:numPr>
        <w:spacing w:before="150" w:after="0"/>
        <w:ind w:left="600" w:hanging="600"/>
      </w:pPr>
      <w:r>
        <w:rPr>
          <w:rFonts w:ascii="Arial"/>
          <w:color w:val="000000"/>
          <w:sz w:val="24"/>
        </w:rPr>
        <w:t xml:space="preserve">Other amenity impacts include new visual bulk </w:t>
      </w:r>
      <w:r>
        <w:rPr>
          <w:rFonts w:ascii="Arial"/>
          <w:color w:val="000000"/>
          <w:sz w:val="24"/>
        </w:rPr>
        <w:t>in excess of</w:t>
      </w:r>
      <w:r>
        <w:rPr>
          <w:rFonts w:ascii="Arial"/>
          <w:color w:val="000000"/>
          <w:sz w:val="24"/>
        </w:rPr>
        <w:t xml:space="preserve"> </w:t>
      </w:r>
      <w:r>
        <w:rPr>
          <w:rFonts w:ascii="Arial"/>
          <w:color w:val="000000"/>
          <w:sz w:val="24"/>
        </w:rPr>
        <w:t>height controls and there is the general neighbourhood annoyance associated with the demolition and construction of a significant scale project of this kind.</w:t>
      </w:r>
      <w:r>
        <w:rPr>
          <w:rFonts w:ascii="Arial"/>
          <w:color w:val="000000"/>
          <w:sz w:val="24"/>
        </w:rPr>
        <w:t xml:space="preserve"> </w:t>
      </w:r>
    </w:p>
    <w:p>
      <w:pPr>
        <w:pStyle w:val="CaselawNumbered10"/>
        <w:numPr>
          <w:ilvl w:val="0"/>
          <w:numId w:val="98"/>
        </w:numPr>
        <w:spacing w:before="150" w:after="0"/>
        <w:ind w:left="600" w:hanging="600"/>
      </w:pPr>
      <w:r>
        <w:rPr>
          <w:rFonts w:ascii="Arial"/>
          <w:color w:val="000000"/>
          <w:sz w:val="24"/>
        </w:rPr>
        <w:t>It is regular practice for</w:t>
      </w:r>
      <w:r>
        <w:rPr>
          <w:rFonts w:ascii="Arial"/>
          <w:color w:val="000000"/>
          <w:sz w:val="24"/>
        </w:rPr>
        <w:t xml:space="preserve"> </w:t>
      </w:r>
      <w:r>
        <w:rPr>
          <w:rFonts w:ascii="Arial"/>
          <w:color w:val="000000"/>
          <w:sz w:val="24"/>
        </w:rPr>
        <w:t xml:space="preserve">such impacts </w:t>
      </w:r>
      <w:r>
        <w:rPr>
          <w:rFonts w:ascii="Arial"/>
          <w:color w:val="000000"/>
          <w:sz w:val="24"/>
        </w:rPr>
        <w:t>to be</w:t>
      </w:r>
      <w:r>
        <w:rPr>
          <w:rFonts w:ascii="Arial"/>
          <w:color w:val="000000"/>
          <w:sz w:val="24"/>
        </w:rPr>
        <w:t xml:space="preserve"> </w:t>
      </w:r>
      <w:r>
        <w:rPr>
          <w:rFonts w:ascii="Arial"/>
          <w:color w:val="000000"/>
          <w:sz w:val="24"/>
        </w:rPr>
        <w:t>balanced out by the positive aspects of a development</w:t>
      </w:r>
      <w:r>
        <w:rPr>
          <w:rFonts w:ascii="Arial"/>
          <w:color w:val="000000"/>
          <w:sz w:val="24"/>
        </w:rPr>
        <w:t xml:space="preserve"> </w:t>
      </w:r>
      <w:r>
        <w:rPr>
          <w:rFonts w:ascii="Arial"/>
          <w:color w:val="000000"/>
          <w:sz w:val="24"/>
        </w:rPr>
        <w:t>(</w:t>
      </w:r>
      <w:r>
        <w:rPr>
          <w:rFonts w:ascii="Arial"/>
          <w:color w:val="000000"/>
          <w:sz w:val="24"/>
        </w:rPr>
        <w:t>eg</w:t>
      </w:r>
      <w:r>
        <w:rPr>
          <w:rFonts w:ascii="Arial"/>
          <w:color w:val="000000"/>
          <w:sz w:val="24"/>
        </w:rPr>
        <w:t xml:space="preserve"> </w:t>
      </w:r>
      <w:r>
        <w:rPr>
          <w:rFonts w:ascii="Arial"/>
          <w:color w:val="000000"/>
          <w:sz w:val="24"/>
        </w:rPr>
        <w:t>when providing for the housing needs of the community)</w:t>
      </w:r>
      <w:r>
        <w:rPr>
          <w:rFonts w:ascii="Arial"/>
          <w:color w:val="000000"/>
          <w:sz w:val="24"/>
        </w:rPr>
        <w:t>. But in this instance, because I can</w:t>
      </w:r>
      <w:r>
        <w:rPr>
          <w:rFonts w:ascii="Arial"/>
          <w:color w:val="000000"/>
          <w:sz w:val="24"/>
        </w:rPr>
        <w:t>’</w:t>
      </w:r>
      <w:r>
        <w:rPr>
          <w:rFonts w:ascii="Arial"/>
          <w:color w:val="000000"/>
          <w:sz w:val="24"/>
        </w:rPr>
        <w:t>t rely on this proposal as responding to a higher order housing goal, in fact finding it would work against it, a differing set of weightings need to be in place in this (</w:t>
      </w:r>
      <w:r>
        <w:rPr>
          <w:rFonts w:ascii="Arial"/>
          <w:i/>
          <w:color w:val="000000"/>
          <w:sz w:val="24"/>
        </w:rPr>
        <w:t>Bulga</w:t>
      </w:r>
      <w:r>
        <w:rPr>
          <w:rFonts w:ascii="Arial"/>
          <w:color w:val="000000"/>
          <w:sz w:val="24"/>
        </w:rPr>
        <w:t>-identified) balancing exercises.</w:t>
      </w:r>
    </w:p>
    <w:p>
      <w:pPr>
        <w:pStyle w:val="CaselawHeading2"/>
        <w:keepNext/>
        <w:spacing w:before="150" w:after="150" w:line="264"/>
        <w:ind w:left="0"/>
        <w:jc w:val="left"/>
      </w:pPr>
      <w:r>
        <w:rPr>
          <w:rFonts w:ascii="Arial"/>
        </w:rPr>
        <w:t>Concluding remarks</w:t>
      </w:r>
    </w:p>
    <w:p>
      <w:pPr>
        <w:pStyle w:val="CaselawNumbered10"/>
        <w:numPr>
          <w:ilvl w:val="0"/>
          <w:numId w:val="99"/>
        </w:numPr>
        <w:spacing w:before="150" w:after="0"/>
        <w:ind w:left="600" w:hanging="600"/>
      </w:pPr>
      <w:r>
        <w:rPr>
          <w:rFonts w:ascii="Arial"/>
          <w:color w:val="000000"/>
          <w:sz w:val="24"/>
        </w:rPr>
        <w:t xml:space="preserve">I note the fact that the proposal comes before me with agreed </w:t>
      </w:r>
      <w:r>
        <w:rPr>
          <w:rFonts w:ascii="Arial"/>
          <w:color w:val="000000"/>
          <w:sz w:val="24"/>
        </w:rPr>
        <w:t>draft</w:t>
      </w:r>
      <w:r>
        <w:rPr>
          <w:rFonts w:ascii="Arial"/>
          <w:color w:val="000000"/>
          <w:sz w:val="24"/>
        </w:rPr>
        <w:t xml:space="preserve"> </w:t>
      </w:r>
      <w:r>
        <w:rPr>
          <w:rFonts w:ascii="Arial"/>
          <w:color w:val="000000"/>
          <w:sz w:val="24"/>
        </w:rPr>
        <w:t xml:space="preserve">orders </w:t>
      </w:r>
      <w:r>
        <w:rPr>
          <w:rFonts w:ascii="Arial"/>
          <w:color w:val="000000"/>
          <w:sz w:val="24"/>
        </w:rPr>
        <w:t xml:space="preserve">requesting </w:t>
      </w:r>
      <w:r>
        <w:rPr>
          <w:rFonts w:ascii="Arial"/>
          <w:color w:val="000000"/>
          <w:sz w:val="24"/>
        </w:rPr>
        <w:t xml:space="preserve">the grant of consent. Having regard to the whole of the </w:t>
      </w:r>
      <w:r>
        <w:rPr>
          <w:rFonts w:ascii="Arial"/>
          <w:color w:val="000000"/>
          <w:sz w:val="24"/>
        </w:rPr>
        <w:t>relevant circumstances</w:t>
      </w:r>
      <w:r>
        <w:rPr>
          <w:rFonts w:ascii="Arial"/>
          <w:color w:val="000000"/>
          <w:sz w:val="24"/>
        </w:rPr>
        <w:t>, I am unable to do so</w:t>
      </w:r>
      <w:r>
        <w:rPr>
          <w:rFonts w:ascii="Arial"/>
          <w:color w:val="000000"/>
          <w:sz w:val="24"/>
        </w:rPr>
        <w:t>.</w:t>
      </w:r>
    </w:p>
    <w:p>
      <w:pPr>
        <w:pStyle w:val="CaselawNumbered10"/>
        <w:numPr>
          <w:ilvl w:val="0"/>
          <w:numId w:val="99"/>
        </w:numPr>
        <w:spacing w:before="150" w:after="0"/>
        <w:ind w:left="600" w:hanging="600"/>
      </w:pPr>
      <w:r>
        <w:rPr>
          <w:rFonts w:ascii="Arial"/>
          <w:color w:val="000000"/>
          <w:sz w:val="24"/>
        </w:rPr>
        <w:t>As outlined above, the proposed development would breach an applicable development standard relating to building height under SLEP. The permissive powers of cl 4.6(2) of SLEP are not available to me because I am not satisfied that the proposed development is in the public interest because it is consistent with the objectives for development within the R1 zone objectives (cl 4.6(</w:t>
      </w:r>
      <w:r>
        <w:rPr>
          <w:rFonts w:ascii="Arial"/>
          <w:color w:val="000000"/>
          <w:sz w:val="24"/>
        </w:rPr>
        <w:t>4</w:t>
      </w:r>
      <w:r>
        <w:rPr>
          <w:rFonts w:ascii="Arial"/>
          <w:color w:val="000000"/>
          <w:sz w:val="24"/>
        </w:rPr>
        <w:t>)(a)(ii)</w:t>
      </w:r>
      <w:r>
        <w:rPr>
          <w:rFonts w:ascii="Arial"/>
          <w:color w:val="000000"/>
          <w:sz w:val="24"/>
        </w:rPr>
        <w:t>)</w:t>
      </w:r>
      <w:r>
        <w:rPr>
          <w:rFonts w:ascii="Arial"/>
          <w:color w:val="000000"/>
          <w:sz w:val="24"/>
        </w:rPr>
        <w:t>. The essence of it is that the proposed development would not provide for the housing needs of the community. It would have the opposite to effect. There is no power available to grant consent.</w:t>
      </w:r>
    </w:p>
    <w:p>
      <w:pPr>
        <w:pStyle w:val="CaselawNumbered10"/>
        <w:numPr>
          <w:ilvl w:val="0"/>
          <w:numId w:val="99"/>
        </w:numPr>
        <w:spacing w:before="150" w:after="0"/>
        <w:ind w:left="600" w:hanging="600"/>
      </w:pPr>
      <w:r>
        <w:rPr>
          <w:rFonts w:ascii="Arial"/>
          <w:color w:val="000000"/>
          <w:sz w:val="24"/>
        </w:rPr>
        <w:t xml:space="preserve">The proposal would also fail on merits. The merits failure is also essentially concerned with the adverse social impact of reduced housing supply which meets community need. </w:t>
      </w:r>
      <w:r>
        <w:rPr>
          <w:rFonts w:ascii="Arial"/>
          <w:color w:val="000000"/>
          <w:sz w:val="24"/>
        </w:rPr>
        <w:t xml:space="preserve"> </w:t>
      </w:r>
      <w:r>
        <w:rPr>
          <w:rFonts w:ascii="Arial"/>
          <w:color w:val="000000"/>
          <w:sz w:val="24"/>
        </w:rPr>
        <w:t xml:space="preserve">In my view this easily outweighs the construction-related economic benefits which generate, the platform for which is created by effecting the removal of existing housing stock. </w:t>
      </w:r>
      <w:r>
        <w:rPr>
          <w:rFonts w:ascii="Arial"/>
          <w:color w:val="000000"/>
          <w:sz w:val="24"/>
        </w:rPr>
        <w:t xml:space="preserve">The amenity impacts are moderate and would, were the situation to be </w:t>
      </w:r>
      <w:r>
        <w:rPr>
          <w:rFonts w:ascii="Arial"/>
          <w:color w:val="000000"/>
          <w:sz w:val="24"/>
        </w:rPr>
        <w:t>“</w:t>
      </w:r>
      <w:r>
        <w:rPr>
          <w:rFonts w:ascii="Arial"/>
          <w:color w:val="000000"/>
          <w:sz w:val="24"/>
        </w:rPr>
        <w:t>reversed</w:t>
      </w:r>
      <w:r>
        <w:rPr>
          <w:rFonts w:ascii="Arial"/>
          <w:color w:val="000000"/>
          <w:sz w:val="24"/>
        </w:rPr>
        <w:t xml:space="preserve">” </w:t>
      </w:r>
      <w:r>
        <w:rPr>
          <w:rFonts w:ascii="Arial"/>
          <w:color w:val="000000"/>
          <w:sz w:val="24"/>
        </w:rPr>
        <w:t>(</w:t>
      </w:r>
      <w:r>
        <w:rPr>
          <w:rFonts w:ascii="Arial"/>
          <w:color w:val="000000"/>
          <w:sz w:val="24"/>
        </w:rPr>
        <w:t>ie</w:t>
      </w:r>
      <w:r>
        <w:rPr>
          <w:rFonts w:ascii="Arial"/>
          <w:color w:val="000000"/>
          <w:sz w:val="24"/>
        </w:rPr>
        <w:t xml:space="preserve"> </w:t>
      </w:r>
      <w:r>
        <w:rPr>
          <w:rFonts w:ascii="Arial"/>
          <w:color w:val="000000"/>
          <w:sz w:val="24"/>
        </w:rPr>
        <w:t>the proposal was increasing housing supply, particularly were it for an in-need group), the weightings could also be reversed.</w:t>
      </w:r>
    </w:p>
    <w:p>
      <w:pPr>
        <w:pStyle w:val="CaselawHeading2"/>
        <w:keepNext/>
        <w:spacing w:before="150" w:after="150" w:line="264"/>
        <w:ind w:left="0"/>
        <w:jc w:val="left"/>
      </w:pPr>
      <w:r>
        <w:rPr>
          <w:rFonts w:ascii="Arial"/>
        </w:rPr>
        <w:t>Orders</w:t>
      </w:r>
    </w:p>
    <w:p>
      <w:pPr>
        <w:pStyle w:val="CaselawNumbered10"/>
        <w:numPr>
          <w:ilvl w:val="0"/>
          <w:numId w:val="100"/>
        </w:numPr>
        <w:spacing w:before="150" w:after="0"/>
        <w:ind w:left="600" w:hanging="600"/>
      </w:pPr>
      <w:r>
        <w:rPr>
          <w:rFonts w:ascii="Arial"/>
          <w:color w:val="000000"/>
          <w:sz w:val="24"/>
        </w:rPr>
        <w:t xml:space="preserve">The Court </w:t>
      </w:r>
      <w:r>
        <w:rPr>
          <w:rFonts w:ascii="Arial"/>
          <w:color w:val="000000"/>
          <w:sz w:val="24"/>
        </w:rPr>
        <w:t>orders that</w:t>
      </w:r>
      <w:r>
        <w:rPr>
          <w:rFonts w:ascii="Arial"/>
          <w:color w:val="000000"/>
          <w:sz w:val="24"/>
        </w:rPr>
        <w:t>:</w:t>
      </w:r>
    </w:p>
    <w:p>
      <w:pPr>
        <w:pStyle w:val="CaselawNumbered1"/>
        <w:numPr>
          <w:ilvl w:val="0"/>
          <w:numId w:val="101"/>
        </w:numPr>
        <w:spacing w:before="150" w:after="0"/>
        <w:ind w:left="1350" w:hanging="750"/>
      </w:pPr>
      <w:r>
        <w:rPr>
          <w:rFonts w:ascii="Arial"/>
          <w:color w:val="000000"/>
          <w:sz w:val="24"/>
        </w:rPr>
        <w:t>The appeal is dismissed.</w:t>
      </w:r>
    </w:p>
    <w:p>
      <w:pPr>
        <w:pStyle w:val="CaselawNumbered1"/>
        <w:numPr>
          <w:ilvl w:val="0"/>
          <w:numId w:val="101"/>
        </w:numPr>
        <w:spacing w:before="150" w:after="0"/>
        <w:ind w:left="1350" w:hanging="750"/>
      </w:pPr>
      <w:r>
        <w:rPr>
          <w:rFonts w:ascii="Arial"/>
          <w:color w:val="000000"/>
          <w:sz w:val="24"/>
        </w:rPr>
        <w:t>Development Application No. D/2023/727 for the demolition of existing buildings/trees, construction of two new residential flat buildings (including excavation for a shared basement structure), site landscaping and provision for utilities and stormwater infrastructure at 21C Billyard Avenue and 10 Onslow Avenue</w:t>
      </w:r>
      <w:r>
        <w:rPr>
          <w:rFonts w:ascii="Arial"/>
          <w:color w:val="000000"/>
          <w:sz w:val="24"/>
        </w:rPr>
        <w:t>,</w:t>
      </w:r>
      <w:r>
        <w:rPr>
          <w:rFonts w:ascii="Arial"/>
          <w:color w:val="000000"/>
          <w:sz w:val="24"/>
        </w:rPr>
        <w:t xml:space="preserve"> </w:t>
      </w:r>
      <w:r>
        <w:rPr>
          <w:rFonts w:ascii="Arial"/>
          <w:color w:val="000000"/>
          <w:sz w:val="24"/>
        </w:rPr>
        <w:t xml:space="preserve">Elizabeth Bay 2011 NSW is </w:t>
      </w:r>
      <w:r>
        <w:rPr>
          <w:rFonts w:ascii="Arial"/>
          <w:color w:val="000000"/>
          <w:sz w:val="24"/>
        </w:rPr>
        <w:t>refused.</w:t>
      </w:r>
    </w:p>
    <w:p>
      <w:pPr>
        <w:pStyle w:val="CaselawNumbered1"/>
        <w:numPr>
          <w:ilvl w:val="0"/>
          <w:numId w:val="101"/>
        </w:numPr>
        <w:spacing w:before="150" w:after="0"/>
        <w:ind w:left="1350" w:hanging="750"/>
      </w:pPr>
      <w:r>
        <w:rPr>
          <w:rFonts w:ascii="Arial"/>
          <w:color w:val="000000"/>
          <w:sz w:val="24"/>
        </w:rPr>
        <w:t xml:space="preserve">The </w:t>
      </w:r>
      <w:r>
        <w:rPr>
          <w:rFonts w:ascii="Arial"/>
          <w:color w:val="000000"/>
          <w:sz w:val="24"/>
        </w:rPr>
        <w:t>E</w:t>
      </w:r>
      <w:r>
        <w:rPr>
          <w:rFonts w:ascii="Arial"/>
          <w:color w:val="000000"/>
          <w:sz w:val="24"/>
        </w:rPr>
        <w:t xml:space="preserve">xhibits are returned, </w:t>
      </w:r>
      <w:r>
        <w:rPr>
          <w:rFonts w:ascii="Arial"/>
          <w:color w:val="000000"/>
          <w:sz w:val="24"/>
        </w:rPr>
        <w:t>with the exception of</w:t>
      </w:r>
      <w:r>
        <w:rPr>
          <w:rFonts w:ascii="Arial"/>
          <w:color w:val="000000"/>
          <w:sz w:val="24"/>
        </w:rPr>
        <w:t xml:space="preserve"> </w:t>
      </w:r>
      <w:r>
        <w:rPr>
          <w:rFonts w:ascii="Arial"/>
          <w:color w:val="000000"/>
          <w:sz w:val="24"/>
        </w:rPr>
        <w:t>E</w:t>
      </w:r>
      <w:r>
        <w:rPr>
          <w:rFonts w:ascii="Arial"/>
          <w:color w:val="000000"/>
          <w:sz w:val="24"/>
        </w:rPr>
        <w:t xml:space="preserve">xhibits </w:t>
      </w:r>
      <w:r>
        <w:rPr>
          <w:rFonts w:ascii="Arial"/>
          <w:color w:val="000000"/>
          <w:sz w:val="24"/>
        </w:rPr>
        <w:t xml:space="preserve">2 and </w:t>
      </w:r>
      <w:r>
        <w:rPr>
          <w:rFonts w:ascii="Arial"/>
          <w:color w:val="000000"/>
          <w:sz w:val="24"/>
        </w:rPr>
        <w:t>A-G</w:t>
      </w:r>
      <w:r>
        <w:rPr>
          <w:rFonts w:ascii="Arial"/>
          <w:color w:val="000000"/>
          <w:sz w:val="24"/>
        </w:rPr>
        <w:t xml:space="preserve"> </w:t>
      </w:r>
      <w:r>
        <w:rPr>
          <w:rFonts w:ascii="Arial"/>
          <w:color w:val="000000"/>
          <w:sz w:val="24"/>
        </w:rPr>
        <w:t>which are retained.</w:t>
      </w:r>
    </w:p>
    <w:p>
      <w:pPr>
        <w:pStyle w:val="CaselawNormal"/>
        <w:spacing w:before="150" w:after="150"/>
        <w:ind w:left="600"/>
        <w:jc w:val="left"/>
      </w:pPr>
      <w:r>
        <w:rPr>
          <w:rFonts w:ascii="Arial"/>
          <w:color w:val="000000"/>
          <w:sz w:val="24"/>
        </w:rPr>
        <w:t> </w:t>
      </w:r>
    </w:p>
    <w:p>
      <w:pPr>
        <w:pStyle w:val="CaselawHeading2"/>
        <w:keepNext/>
        <w:spacing w:before="150" w:after="150" w:line="264"/>
        <w:ind w:left="0"/>
        <w:jc w:val="left"/>
      </w:pPr>
      <w:r>
        <w:rPr>
          <w:rFonts w:ascii="Arial"/>
        </w:rPr>
        <w:t xml:space="preserve">P Walsh </w:t>
      </w:r>
    </w:p>
    <w:p>
      <w:pPr>
        <w:pStyle w:val="CaselawHeading2"/>
        <w:keepNext/>
        <w:spacing w:before="150" w:after="150" w:line="264"/>
        <w:ind w:left="0"/>
        <w:jc w:val="left"/>
      </w:pPr>
      <w:r>
        <w:rPr>
          <w:rFonts w:ascii="Arial"/>
        </w:rPr>
        <w:t>Commissioner of the Court</w:t>
      </w:r>
    </w:p>
    <w:p>
      <w:pPr>
        <w:pStyle w:val="CaselawNormal"/>
        <w:spacing w:before="150" w:after="150"/>
        <w:ind w:left="600"/>
        <w:jc w:val="left"/>
      </w:pPr>
      <w:r>
        <w:rPr>
          <w:rFonts w:ascii="Arial"/>
          <w:color w:val="000000"/>
          <w:sz w:val="24"/>
        </w:rPr>
        <w:t>**********</w:t>
      </w:r>
    </w:p>
    <w:p w:rsidR="00F65F85" w:rsidP="00F65F85" w:rsidRDefault="00F65F85">
      <w:pPr>
        <w:shd w:val="clear" w:color="auto" w:fill="FFFFFF"/>
        <w:spacing w:after="0" w:line="240" w:lineRule="auto"/>
        <w:ind w:left="119"/>
        <w:rPr>
          <w:rFonts w:cs="Arial"/>
          <w:color w:val="737373"/>
          <w:sz w:val="20"/>
          <w:szCs w:val="20"/>
          <w:lang w:eastAsia="en-US"/>
        </w:rPr>
      </w:pPr>
    </w:p>
    <w:p w:rsidR="00121EC3" w:rsidP="00F65F85" w:rsidRDefault="00121EC3">
      <w:pPr>
        <w:shd w:val="clear" w:color="auto" w:fill="FFFFFF"/>
        <w:spacing w:after="0" w:line="240" w:lineRule="auto"/>
        <w:ind w:left="119"/>
        <w:rPr>
          <w:rFonts w:cs="Arial"/>
          <w:color w:val="737373"/>
          <w:sz w:val="20"/>
          <w:szCs w:val="20"/>
          <w:lang w:eastAsia="en-US"/>
        </w:rPr>
      </w:pPr>
      <w:bookmarkStart w:name="_GoBack" w:id="0"/>
      <w:bookmarkEnd w:id="0"/>
    </w:p>
    <w:p w:rsidRPr="00820AFE" w:rsidR="004C5062" w:rsidP="00121EC3" w:rsidRDefault="00121EC3">
      <w:pPr>
        <w:shd w:val="clear" w:color="auto" w:fill="FFFFFF"/>
        <w:spacing w:after="0" w:line="240" w:lineRule="auto"/>
        <w:ind w:left="119"/>
        <w:rPr>
          <w:rFonts w:cs="Arial"/>
          <w:color w:val="000000"/>
          <w:lang w:eastAsia="en-US"/>
        </w:rPr>
      </w:pPr>
      <w:r w:rsidRPr="00575FAB">
        <w:rPr>
          <w:rFonts w:cs="Arial"/>
          <w:color w:val="737373"/>
          <w:sz w:val="20"/>
          <w:szCs w:val="20"/>
          <w:lang w:eastAsia="en-US"/>
        </w:rPr>
        <w:t>DISCLAIMER - Every effort has been made to comply with suppression orders or statutory provisions prohibiting publication that may apply to this judgment or decision. The onus remains on any person using material in the judgment or decision to ensure that the intended use of that material does not breach any such order or provision. Further e</w:t>
      </w:r>
      <w:r>
        <w:rPr>
          <w:rFonts w:cs="Arial"/>
          <w:color w:val="737373"/>
          <w:sz w:val="20"/>
          <w:szCs w:val="20"/>
          <w:lang w:eastAsia="en-US"/>
        </w:rPr>
        <w:t xml:space="preserve">nquiries may be directed to the </w:t>
      </w:r>
      <w:r w:rsidRPr="00575FAB">
        <w:rPr>
          <w:rFonts w:cs="Arial"/>
          <w:color w:val="737373"/>
          <w:sz w:val="20"/>
          <w:szCs w:val="20"/>
          <w:lang w:eastAsia="en-US"/>
        </w:rPr>
        <w:t>Registry of the Court or Tribunal in which it was generated.</w:t>
      </w:r>
    </w:p>
    <w:sectPr w:rsidRPr="00820AFE" w:rsidR="004C506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2F5B" w:rsidRDefault="00882F5B" w:rsidP="0049645A">
      <w:pPr>
        <w:spacing w:after="0" w:line="240" w:lineRule="auto"/>
      </w:pPr>
      <w:r>
        <w:separator/>
      </w:r>
    </w:p>
  </w:endnote>
  <w:endnote w:type="continuationSeparator" w:id="0">
    <w:p w:rsidR="00882F5B" w:rsidRDefault="00882F5B" w:rsidP="004964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2F5B" w:rsidRDefault="00882F5B" w:rsidP="0049645A">
      <w:pPr>
        <w:spacing w:after="0" w:line="240" w:lineRule="auto"/>
      </w:pPr>
      <w:r>
        <w:separator/>
      </w:r>
    </w:p>
  </w:footnote>
  <w:footnote w:type="continuationSeparator" w:id="0">
    <w:p w:rsidR="00882F5B" w:rsidRDefault="00882F5B" w:rsidP="0049645A">
      <w:pPr>
        <w:spacing w:after="0" w:line="240" w:lineRule="auto"/>
      </w:pPr>
      <w:r>
        <w:continuationSeparator/>
      </w:r>
    </w:p>
  </w:footnote>
</w:footnotes>
</file>

<file path=word/numbering.xml><?xml version="1.0" encoding="utf-8"?>
<w:numbering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abstractNum w:abstractNumId="0">
    <w:nsid w:val="FFFFFF89"/>
    <w:multiLevelType w:val="singleLevel"/>
    <w:tmpl w:val="37A06812"/>
    <w:lvl w:ilvl="0">
      <w:start w:val="1"/>
      <w:numFmt w:val="bullet"/>
      <w:pStyle w:val="ListBullet"/>
      <w:lvlText w:val=""/>
      <w:lvlJc w:val="left"/>
      <w:pPr>
        <w:tabs>
          <w:tab w:val="num" w:pos="360"/>
        </w:tabs>
        <w:ind w:left="360" w:hanging="360"/>
      </w:pPr>
      <w:rPr>
        <w:rFonts w:hint="default" w:ascii="Symbol" w:hAnsi="Symbol"/>
      </w:rPr>
    </w:lvl>
  </w:abstractNum>
  <w:abstractNum w:abstractNumId="1">
    <w:nsid w:val="0E515A52"/>
    <w:multiLevelType w:val="hybridMultilevel"/>
    <w:tmpl w:val="A3AEE4F8"/>
    <w:lvl w:ilvl="0" w:tplc="8E3C1F56">
      <w:start w:val="1"/>
      <w:numFmt w:val="bullet"/>
      <w:pStyle w:val="Bulletforunderhdr12"/>
      <w:lvlText w:val=""/>
      <w:lvlJc w:val="left"/>
      <w:pPr>
        <w:tabs>
          <w:tab w:val="num" w:pos="1287"/>
        </w:tabs>
        <w:ind w:left="1287" w:hanging="360"/>
      </w:pPr>
      <w:rPr>
        <w:rFonts w:hint="default" w:ascii="Symbol" w:hAnsi="Symbol"/>
      </w:rPr>
    </w:lvl>
    <w:lvl w:ilvl="1" w:tplc="04090003">
      <w:start w:val="1"/>
      <w:numFmt w:val="bullet"/>
      <w:lvlText w:val="o"/>
      <w:lvlJc w:val="left"/>
      <w:pPr>
        <w:tabs>
          <w:tab w:val="num" w:pos="2007"/>
        </w:tabs>
        <w:ind w:left="2007" w:hanging="360"/>
      </w:pPr>
      <w:rPr>
        <w:rFonts w:hint="default" w:ascii="Courier New" w:hAnsi="Courier New" w:cs="Times New Roman"/>
      </w:rPr>
    </w:lvl>
    <w:lvl w:ilvl="2" w:tplc="04090005">
      <w:start w:val="1"/>
      <w:numFmt w:val="bullet"/>
      <w:lvlText w:val=""/>
      <w:lvlJc w:val="left"/>
      <w:pPr>
        <w:tabs>
          <w:tab w:val="num" w:pos="2727"/>
        </w:tabs>
        <w:ind w:left="2727" w:hanging="360"/>
      </w:pPr>
      <w:rPr>
        <w:rFonts w:hint="default" w:ascii="Wingdings" w:hAnsi="Wingdings"/>
      </w:rPr>
    </w:lvl>
    <w:lvl w:ilvl="3" w:tplc="04090001">
      <w:start w:val="1"/>
      <w:numFmt w:val="bullet"/>
      <w:lvlText w:val=""/>
      <w:lvlJc w:val="left"/>
      <w:pPr>
        <w:tabs>
          <w:tab w:val="num" w:pos="3447"/>
        </w:tabs>
        <w:ind w:left="3447" w:hanging="360"/>
      </w:pPr>
      <w:rPr>
        <w:rFonts w:hint="default" w:ascii="Symbol" w:hAnsi="Symbol"/>
      </w:rPr>
    </w:lvl>
    <w:lvl w:ilvl="4" w:tplc="04090003">
      <w:start w:val="1"/>
      <w:numFmt w:val="bullet"/>
      <w:lvlText w:val="o"/>
      <w:lvlJc w:val="left"/>
      <w:pPr>
        <w:tabs>
          <w:tab w:val="num" w:pos="4167"/>
        </w:tabs>
        <w:ind w:left="4167" w:hanging="360"/>
      </w:pPr>
      <w:rPr>
        <w:rFonts w:hint="default" w:ascii="Courier New" w:hAnsi="Courier New" w:cs="Times New Roman"/>
      </w:rPr>
    </w:lvl>
    <w:lvl w:ilvl="5" w:tplc="04090005">
      <w:start w:val="1"/>
      <w:numFmt w:val="bullet"/>
      <w:lvlText w:val=""/>
      <w:lvlJc w:val="left"/>
      <w:pPr>
        <w:tabs>
          <w:tab w:val="num" w:pos="4887"/>
        </w:tabs>
        <w:ind w:left="4887" w:hanging="360"/>
      </w:pPr>
      <w:rPr>
        <w:rFonts w:hint="default" w:ascii="Wingdings" w:hAnsi="Wingdings"/>
      </w:rPr>
    </w:lvl>
    <w:lvl w:ilvl="6" w:tplc="04090001">
      <w:start w:val="1"/>
      <w:numFmt w:val="bullet"/>
      <w:lvlText w:val=""/>
      <w:lvlJc w:val="left"/>
      <w:pPr>
        <w:tabs>
          <w:tab w:val="num" w:pos="5607"/>
        </w:tabs>
        <w:ind w:left="5607" w:hanging="360"/>
      </w:pPr>
      <w:rPr>
        <w:rFonts w:hint="default" w:ascii="Symbol" w:hAnsi="Symbol"/>
      </w:rPr>
    </w:lvl>
    <w:lvl w:ilvl="7" w:tplc="04090003">
      <w:start w:val="1"/>
      <w:numFmt w:val="bullet"/>
      <w:lvlText w:val="o"/>
      <w:lvlJc w:val="left"/>
      <w:pPr>
        <w:tabs>
          <w:tab w:val="num" w:pos="6327"/>
        </w:tabs>
        <w:ind w:left="6327" w:hanging="360"/>
      </w:pPr>
      <w:rPr>
        <w:rFonts w:hint="default" w:ascii="Courier New" w:hAnsi="Courier New" w:cs="Times New Roman"/>
      </w:rPr>
    </w:lvl>
    <w:lvl w:ilvl="8" w:tplc="04090005">
      <w:start w:val="1"/>
      <w:numFmt w:val="bullet"/>
      <w:lvlText w:val=""/>
      <w:lvlJc w:val="left"/>
      <w:pPr>
        <w:tabs>
          <w:tab w:val="num" w:pos="7047"/>
        </w:tabs>
        <w:ind w:left="7047" w:hanging="360"/>
      </w:pPr>
      <w:rPr>
        <w:rFonts w:hint="default" w:ascii="Wingdings" w:hAnsi="Wingdings"/>
      </w:rPr>
    </w:lvl>
  </w:abstractNum>
  <w:abstractNum w:abstractNumId="2">
    <w:nsid w:val="138E60B1"/>
    <w:multiLevelType w:val="singleLevel"/>
    <w:tmpl w:val="1EBA084E"/>
    <w:lvl w:ilvl="0">
      <w:start w:val="1"/>
      <w:numFmt w:val="bullet"/>
      <w:pStyle w:val="ListwithBullet"/>
      <w:lvlText w:val=""/>
      <w:lvlJc w:val="left"/>
      <w:pPr>
        <w:tabs>
          <w:tab w:val="num" w:pos="720"/>
        </w:tabs>
        <w:ind w:left="720" w:hanging="360"/>
      </w:pPr>
      <w:rPr>
        <w:rFonts w:hint="default" w:ascii="Wingdings" w:hAnsi="Wingdings"/>
        <w:sz w:val="12"/>
      </w:rPr>
    </w:lvl>
  </w:abstractNum>
  <w:abstractNum w:abstractNumId="3">
    <w:nsid w:val="1399788B"/>
    <w:multiLevelType w:val="hybridMultilevel"/>
    <w:tmpl w:val="8DFA16E2"/>
    <w:lvl w:ilvl="0" w:tplc="41E6A8CC">
      <w:start w:val="1"/>
      <w:numFmt w:val="bullet"/>
      <w:lvlText w:val="•"/>
      <w:lvlJc w:val="left"/>
      <w:pPr>
        <w:tabs>
          <w:tab w:val="num" w:pos="720"/>
        </w:tabs>
        <w:ind w:left="720" w:hanging="360"/>
      </w:pPr>
      <w:rPr>
        <w:rFonts w:hint="default" w:ascii="Arial" w:hAnsi="Arial" w:cs="Times New Roman"/>
      </w:rPr>
    </w:lvl>
    <w:lvl w:ilvl="1" w:tplc="3D0A3894">
      <w:start w:val="1"/>
      <w:numFmt w:val="bullet"/>
      <w:lvlText w:val="•"/>
      <w:lvlJc w:val="left"/>
      <w:pPr>
        <w:tabs>
          <w:tab w:val="num" w:pos="1440"/>
        </w:tabs>
        <w:ind w:left="1440" w:hanging="360"/>
      </w:pPr>
      <w:rPr>
        <w:rFonts w:hint="default" w:ascii="Arial" w:hAnsi="Arial" w:cs="Times New Roman"/>
      </w:rPr>
    </w:lvl>
    <w:lvl w:ilvl="2" w:tplc="D6DE8A02">
      <w:start w:val="1"/>
      <w:numFmt w:val="bullet"/>
      <w:lvlText w:val="•"/>
      <w:lvlJc w:val="left"/>
      <w:pPr>
        <w:tabs>
          <w:tab w:val="num" w:pos="2160"/>
        </w:tabs>
        <w:ind w:left="2160" w:hanging="360"/>
      </w:pPr>
      <w:rPr>
        <w:rFonts w:hint="default" w:ascii="Arial" w:hAnsi="Arial" w:cs="Times New Roman"/>
      </w:rPr>
    </w:lvl>
    <w:lvl w:ilvl="3" w:tplc="0DEEE040">
      <w:start w:val="1"/>
      <w:numFmt w:val="bullet"/>
      <w:lvlText w:val="•"/>
      <w:lvlJc w:val="left"/>
      <w:pPr>
        <w:tabs>
          <w:tab w:val="num" w:pos="2880"/>
        </w:tabs>
        <w:ind w:left="2880" w:hanging="360"/>
      </w:pPr>
      <w:rPr>
        <w:rFonts w:hint="default" w:ascii="Arial" w:hAnsi="Arial" w:cs="Times New Roman"/>
      </w:rPr>
    </w:lvl>
    <w:lvl w:ilvl="4" w:tplc="9D2C3098">
      <w:start w:val="1"/>
      <w:numFmt w:val="bullet"/>
      <w:lvlText w:val="•"/>
      <w:lvlJc w:val="left"/>
      <w:pPr>
        <w:tabs>
          <w:tab w:val="num" w:pos="3600"/>
        </w:tabs>
        <w:ind w:left="3600" w:hanging="360"/>
      </w:pPr>
      <w:rPr>
        <w:rFonts w:hint="default" w:ascii="Arial" w:hAnsi="Arial" w:cs="Times New Roman"/>
      </w:rPr>
    </w:lvl>
    <w:lvl w:ilvl="5" w:tplc="8E34C874">
      <w:start w:val="1"/>
      <w:numFmt w:val="bullet"/>
      <w:lvlText w:val="•"/>
      <w:lvlJc w:val="left"/>
      <w:pPr>
        <w:tabs>
          <w:tab w:val="num" w:pos="4320"/>
        </w:tabs>
        <w:ind w:left="4320" w:hanging="360"/>
      </w:pPr>
      <w:rPr>
        <w:rFonts w:hint="default" w:ascii="Arial" w:hAnsi="Arial" w:cs="Times New Roman"/>
      </w:rPr>
    </w:lvl>
    <w:lvl w:ilvl="6" w:tplc="861EB0D4">
      <w:start w:val="1"/>
      <w:numFmt w:val="bullet"/>
      <w:lvlText w:val="•"/>
      <w:lvlJc w:val="left"/>
      <w:pPr>
        <w:tabs>
          <w:tab w:val="num" w:pos="5040"/>
        </w:tabs>
        <w:ind w:left="5040" w:hanging="360"/>
      </w:pPr>
      <w:rPr>
        <w:rFonts w:hint="default" w:ascii="Arial" w:hAnsi="Arial" w:cs="Times New Roman"/>
      </w:rPr>
    </w:lvl>
    <w:lvl w:ilvl="7" w:tplc="5932446E">
      <w:start w:val="1"/>
      <w:numFmt w:val="bullet"/>
      <w:lvlText w:val="•"/>
      <w:lvlJc w:val="left"/>
      <w:pPr>
        <w:tabs>
          <w:tab w:val="num" w:pos="5760"/>
        </w:tabs>
        <w:ind w:left="5760" w:hanging="360"/>
      </w:pPr>
      <w:rPr>
        <w:rFonts w:hint="default" w:ascii="Arial" w:hAnsi="Arial" w:cs="Times New Roman"/>
      </w:rPr>
    </w:lvl>
    <w:lvl w:ilvl="8" w:tplc="969C7920">
      <w:start w:val="1"/>
      <w:numFmt w:val="bullet"/>
      <w:lvlText w:val="•"/>
      <w:lvlJc w:val="left"/>
      <w:pPr>
        <w:tabs>
          <w:tab w:val="num" w:pos="6480"/>
        </w:tabs>
        <w:ind w:left="6480" w:hanging="360"/>
      </w:pPr>
      <w:rPr>
        <w:rFonts w:hint="default" w:ascii="Arial" w:hAnsi="Arial" w:cs="Times New Roman"/>
      </w:rPr>
    </w:lvl>
  </w:abstractNum>
  <w:abstractNum w:abstractNumId="4">
    <w:nsid w:val="18A93517"/>
    <w:multiLevelType w:val="hybridMultilevel"/>
    <w:tmpl w:val="DFEC12B2"/>
    <w:lvl w:ilvl="0" w:tplc="D91818DA">
      <w:start w:val="1"/>
      <w:numFmt w:val="decimal"/>
      <w:pStyle w:val="DBRNumbering"/>
      <w:lvlText w:val="DBR_%1."/>
      <w:lvlJc w:val="left"/>
      <w:pPr>
        <w:ind w:left="36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5">
    <w:nsid w:val="236B011C"/>
    <w:multiLevelType w:val="hybridMultilevel"/>
    <w:tmpl w:val="A1D054F8"/>
    <w:lvl w:ilvl="0" w:tplc="345AD890">
      <w:start w:val="1"/>
      <w:numFmt w:val="bullet"/>
      <w:lvlText w:val="•"/>
      <w:lvlJc w:val="left"/>
      <w:pPr>
        <w:tabs>
          <w:tab w:val="num" w:pos="720"/>
        </w:tabs>
        <w:ind w:left="720" w:hanging="360"/>
      </w:pPr>
      <w:rPr>
        <w:rFonts w:hint="default" w:ascii="Arial" w:hAnsi="Arial" w:cs="Times New Roman"/>
      </w:rPr>
    </w:lvl>
    <w:lvl w:ilvl="1" w:tplc="C2A25116">
      <w:start w:val="1"/>
      <w:numFmt w:val="bullet"/>
      <w:lvlText w:val="•"/>
      <w:lvlJc w:val="left"/>
      <w:pPr>
        <w:tabs>
          <w:tab w:val="num" w:pos="1440"/>
        </w:tabs>
        <w:ind w:left="1440" w:hanging="360"/>
      </w:pPr>
      <w:rPr>
        <w:rFonts w:hint="default" w:ascii="Arial" w:hAnsi="Arial" w:cs="Times New Roman"/>
      </w:rPr>
    </w:lvl>
    <w:lvl w:ilvl="2" w:tplc="1952B01E">
      <w:start w:val="1"/>
      <w:numFmt w:val="bullet"/>
      <w:lvlText w:val="•"/>
      <w:lvlJc w:val="left"/>
      <w:pPr>
        <w:tabs>
          <w:tab w:val="num" w:pos="2160"/>
        </w:tabs>
        <w:ind w:left="2160" w:hanging="360"/>
      </w:pPr>
      <w:rPr>
        <w:rFonts w:hint="default" w:ascii="Arial" w:hAnsi="Arial" w:cs="Times New Roman"/>
      </w:rPr>
    </w:lvl>
    <w:lvl w:ilvl="3" w:tplc="FAF67244">
      <w:start w:val="1"/>
      <w:numFmt w:val="bullet"/>
      <w:lvlText w:val="•"/>
      <w:lvlJc w:val="left"/>
      <w:pPr>
        <w:tabs>
          <w:tab w:val="num" w:pos="2880"/>
        </w:tabs>
        <w:ind w:left="2880" w:hanging="360"/>
      </w:pPr>
      <w:rPr>
        <w:rFonts w:hint="default" w:ascii="Arial" w:hAnsi="Arial" w:cs="Times New Roman"/>
      </w:rPr>
    </w:lvl>
    <w:lvl w:ilvl="4" w:tplc="2C68FAE2">
      <w:start w:val="1"/>
      <w:numFmt w:val="bullet"/>
      <w:lvlText w:val="•"/>
      <w:lvlJc w:val="left"/>
      <w:pPr>
        <w:tabs>
          <w:tab w:val="num" w:pos="3600"/>
        </w:tabs>
        <w:ind w:left="3600" w:hanging="360"/>
      </w:pPr>
      <w:rPr>
        <w:rFonts w:hint="default" w:ascii="Arial" w:hAnsi="Arial" w:cs="Times New Roman"/>
      </w:rPr>
    </w:lvl>
    <w:lvl w:ilvl="5" w:tplc="665AEB92">
      <w:start w:val="1"/>
      <w:numFmt w:val="bullet"/>
      <w:lvlText w:val="•"/>
      <w:lvlJc w:val="left"/>
      <w:pPr>
        <w:tabs>
          <w:tab w:val="num" w:pos="4320"/>
        </w:tabs>
        <w:ind w:left="4320" w:hanging="360"/>
      </w:pPr>
      <w:rPr>
        <w:rFonts w:hint="default" w:ascii="Arial" w:hAnsi="Arial" w:cs="Times New Roman"/>
      </w:rPr>
    </w:lvl>
    <w:lvl w:ilvl="6" w:tplc="E1841134">
      <w:start w:val="1"/>
      <w:numFmt w:val="bullet"/>
      <w:lvlText w:val="•"/>
      <w:lvlJc w:val="left"/>
      <w:pPr>
        <w:tabs>
          <w:tab w:val="num" w:pos="5040"/>
        </w:tabs>
        <w:ind w:left="5040" w:hanging="360"/>
      </w:pPr>
      <w:rPr>
        <w:rFonts w:hint="default" w:ascii="Arial" w:hAnsi="Arial" w:cs="Times New Roman"/>
      </w:rPr>
    </w:lvl>
    <w:lvl w:ilvl="7" w:tplc="786C417E">
      <w:start w:val="1"/>
      <w:numFmt w:val="bullet"/>
      <w:lvlText w:val="•"/>
      <w:lvlJc w:val="left"/>
      <w:pPr>
        <w:tabs>
          <w:tab w:val="num" w:pos="5760"/>
        </w:tabs>
        <w:ind w:left="5760" w:hanging="360"/>
      </w:pPr>
      <w:rPr>
        <w:rFonts w:hint="default" w:ascii="Arial" w:hAnsi="Arial" w:cs="Times New Roman"/>
      </w:rPr>
    </w:lvl>
    <w:lvl w:ilvl="8" w:tplc="DCEE5316">
      <w:start w:val="1"/>
      <w:numFmt w:val="bullet"/>
      <w:lvlText w:val="•"/>
      <w:lvlJc w:val="left"/>
      <w:pPr>
        <w:tabs>
          <w:tab w:val="num" w:pos="6480"/>
        </w:tabs>
        <w:ind w:left="6480" w:hanging="360"/>
      </w:pPr>
      <w:rPr>
        <w:rFonts w:hint="default" w:ascii="Arial" w:hAnsi="Arial" w:cs="Times New Roman"/>
      </w:rPr>
    </w:lvl>
  </w:abstractNum>
  <w:abstractNum w:abstractNumId="6">
    <w:nsid w:val="2377446C"/>
    <w:multiLevelType w:val="hybridMultilevel"/>
    <w:tmpl w:val="1D28DDB4"/>
    <w:lvl w:ilvl="0" w:tplc="D8E08AF4">
      <w:start w:val="1"/>
      <w:numFmt w:val="bullet"/>
      <w:pStyle w:val="Index1"/>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7">
    <w:nsid w:val="28854318"/>
    <w:multiLevelType w:val="hybridMultilevel"/>
    <w:tmpl w:val="613233AA"/>
    <w:lvl w:ilvl="0" w:tplc="63647648">
      <w:start w:val="1"/>
      <w:numFmt w:val="bullet"/>
      <w:lvlText w:val="•"/>
      <w:lvlJc w:val="left"/>
      <w:pPr>
        <w:tabs>
          <w:tab w:val="num" w:pos="720"/>
        </w:tabs>
        <w:ind w:left="720" w:hanging="360"/>
      </w:pPr>
      <w:rPr>
        <w:rFonts w:hint="default" w:ascii="Arial" w:hAnsi="Arial" w:cs="Times New Roman"/>
      </w:rPr>
    </w:lvl>
    <w:lvl w:ilvl="1" w:tplc="4E50CA74">
      <w:start w:val="1"/>
      <w:numFmt w:val="bullet"/>
      <w:lvlText w:val="•"/>
      <w:lvlJc w:val="left"/>
      <w:pPr>
        <w:tabs>
          <w:tab w:val="num" w:pos="1440"/>
        </w:tabs>
        <w:ind w:left="1440" w:hanging="360"/>
      </w:pPr>
      <w:rPr>
        <w:rFonts w:hint="default" w:ascii="Arial" w:hAnsi="Arial" w:cs="Times New Roman"/>
      </w:rPr>
    </w:lvl>
    <w:lvl w:ilvl="2" w:tplc="7C24DACA">
      <w:start w:val="1"/>
      <w:numFmt w:val="bullet"/>
      <w:lvlText w:val="•"/>
      <w:lvlJc w:val="left"/>
      <w:pPr>
        <w:tabs>
          <w:tab w:val="num" w:pos="2160"/>
        </w:tabs>
        <w:ind w:left="2160" w:hanging="360"/>
      </w:pPr>
      <w:rPr>
        <w:rFonts w:hint="default" w:ascii="Arial" w:hAnsi="Arial" w:cs="Times New Roman"/>
      </w:rPr>
    </w:lvl>
    <w:lvl w:ilvl="3" w:tplc="26840C80">
      <w:start w:val="1"/>
      <w:numFmt w:val="bullet"/>
      <w:lvlText w:val="•"/>
      <w:lvlJc w:val="left"/>
      <w:pPr>
        <w:tabs>
          <w:tab w:val="num" w:pos="2880"/>
        </w:tabs>
        <w:ind w:left="2880" w:hanging="360"/>
      </w:pPr>
      <w:rPr>
        <w:rFonts w:hint="default" w:ascii="Arial" w:hAnsi="Arial" w:cs="Times New Roman"/>
      </w:rPr>
    </w:lvl>
    <w:lvl w:ilvl="4" w:tplc="10B09236">
      <w:start w:val="1"/>
      <w:numFmt w:val="bullet"/>
      <w:lvlText w:val="•"/>
      <w:lvlJc w:val="left"/>
      <w:pPr>
        <w:tabs>
          <w:tab w:val="num" w:pos="3600"/>
        </w:tabs>
        <w:ind w:left="3600" w:hanging="360"/>
      </w:pPr>
      <w:rPr>
        <w:rFonts w:hint="default" w:ascii="Arial" w:hAnsi="Arial" w:cs="Times New Roman"/>
      </w:rPr>
    </w:lvl>
    <w:lvl w:ilvl="5" w:tplc="CFDCCB16">
      <w:start w:val="1"/>
      <w:numFmt w:val="bullet"/>
      <w:lvlText w:val="•"/>
      <w:lvlJc w:val="left"/>
      <w:pPr>
        <w:tabs>
          <w:tab w:val="num" w:pos="4320"/>
        </w:tabs>
        <w:ind w:left="4320" w:hanging="360"/>
      </w:pPr>
      <w:rPr>
        <w:rFonts w:hint="default" w:ascii="Arial" w:hAnsi="Arial" w:cs="Times New Roman"/>
      </w:rPr>
    </w:lvl>
    <w:lvl w:ilvl="6" w:tplc="C706D966">
      <w:start w:val="1"/>
      <w:numFmt w:val="bullet"/>
      <w:lvlText w:val="•"/>
      <w:lvlJc w:val="left"/>
      <w:pPr>
        <w:tabs>
          <w:tab w:val="num" w:pos="5040"/>
        </w:tabs>
        <w:ind w:left="5040" w:hanging="360"/>
      </w:pPr>
      <w:rPr>
        <w:rFonts w:hint="default" w:ascii="Arial" w:hAnsi="Arial" w:cs="Times New Roman"/>
      </w:rPr>
    </w:lvl>
    <w:lvl w:ilvl="7" w:tplc="9BBABC10">
      <w:start w:val="1"/>
      <w:numFmt w:val="bullet"/>
      <w:lvlText w:val="•"/>
      <w:lvlJc w:val="left"/>
      <w:pPr>
        <w:tabs>
          <w:tab w:val="num" w:pos="5760"/>
        </w:tabs>
        <w:ind w:left="5760" w:hanging="360"/>
      </w:pPr>
      <w:rPr>
        <w:rFonts w:hint="default" w:ascii="Arial" w:hAnsi="Arial" w:cs="Times New Roman"/>
      </w:rPr>
    </w:lvl>
    <w:lvl w:ilvl="8" w:tplc="4258B410">
      <w:start w:val="1"/>
      <w:numFmt w:val="bullet"/>
      <w:lvlText w:val="•"/>
      <w:lvlJc w:val="left"/>
      <w:pPr>
        <w:tabs>
          <w:tab w:val="num" w:pos="6480"/>
        </w:tabs>
        <w:ind w:left="6480" w:hanging="360"/>
      </w:pPr>
      <w:rPr>
        <w:rFonts w:hint="default" w:ascii="Arial" w:hAnsi="Arial" w:cs="Times New Roman"/>
      </w:rPr>
    </w:lvl>
  </w:abstractNum>
  <w:abstractNum w:abstractNumId="8">
    <w:nsid w:val="294A3A9A"/>
    <w:multiLevelType w:val="hybridMultilevel"/>
    <w:tmpl w:val="D95C3AE0"/>
    <w:lvl w:ilvl="0" w:tplc="2C2E32B2">
      <w:start w:val="1"/>
      <w:numFmt w:val="bullet"/>
      <w:pStyle w:val="CaselawBullet"/>
      <w:lvlText w:val=""/>
      <w:lvlJc w:val="left"/>
      <w:pPr>
        <w:ind w:left="1440" w:hanging="360"/>
      </w:pPr>
      <w:rPr>
        <w:rFonts w:hint="default" w:ascii="Symbol" w:hAnsi="Symbol"/>
      </w:rPr>
    </w:lvl>
    <w:lvl w:ilvl="1" w:tplc="0C090003" w:tentative="true">
      <w:start w:val="1"/>
      <w:numFmt w:val="bullet"/>
      <w:lvlText w:val="o"/>
      <w:lvlJc w:val="left"/>
      <w:pPr>
        <w:ind w:left="2160" w:hanging="360"/>
      </w:pPr>
      <w:rPr>
        <w:rFonts w:hint="default" w:ascii="Courier New" w:hAnsi="Courier New" w:cs="Courier New"/>
      </w:rPr>
    </w:lvl>
    <w:lvl w:ilvl="2" w:tplc="0C090005" w:tentative="true">
      <w:start w:val="1"/>
      <w:numFmt w:val="bullet"/>
      <w:lvlText w:val=""/>
      <w:lvlJc w:val="left"/>
      <w:pPr>
        <w:ind w:left="2880" w:hanging="360"/>
      </w:pPr>
      <w:rPr>
        <w:rFonts w:hint="default" w:ascii="Wingdings" w:hAnsi="Wingdings"/>
      </w:rPr>
    </w:lvl>
    <w:lvl w:ilvl="3" w:tplc="0C090001" w:tentative="true">
      <w:start w:val="1"/>
      <w:numFmt w:val="bullet"/>
      <w:lvlText w:val=""/>
      <w:lvlJc w:val="left"/>
      <w:pPr>
        <w:ind w:left="3600" w:hanging="360"/>
      </w:pPr>
      <w:rPr>
        <w:rFonts w:hint="default" w:ascii="Symbol" w:hAnsi="Symbol"/>
      </w:rPr>
    </w:lvl>
    <w:lvl w:ilvl="4" w:tplc="0C090003" w:tentative="true">
      <w:start w:val="1"/>
      <w:numFmt w:val="bullet"/>
      <w:lvlText w:val="o"/>
      <w:lvlJc w:val="left"/>
      <w:pPr>
        <w:ind w:left="4320" w:hanging="360"/>
      </w:pPr>
      <w:rPr>
        <w:rFonts w:hint="default" w:ascii="Courier New" w:hAnsi="Courier New" w:cs="Courier New"/>
      </w:rPr>
    </w:lvl>
    <w:lvl w:ilvl="5" w:tplc="0C090005" w:tentative="true">
      <w:start w:val="1"/>
      <w:numFmt w:val="bullet"/>
      <w:lvlText w:val=""/>
      <w:lvlJc w:val="left"/>
      <w:pPr>
        <w:ind w:left="5040" w:hanging="360"/>
      </w:pPr>
      <w:rPr>
        <w:rFonts w:hint="default" w:ascii="Wingdings" w:hAnsi="Wingdings"/>
      </w:rPr>
    </w:lvl>
    <w:lvl w:ilvl="6" w:tplc="0C090001" w:tentative="true">
      <w:start w:val="1"/>
      <w:numFmt w:val="bullet"/>
      <w:lvlText w:val=""/>
      <w:lvlJc w:val="left"/>
      <w:pPr>
        <w:ind w:left="5760" w:hanging="360"/>
      </w:pPr>
      <w:rPr>
        <w:rFonts w:hint="default" w:ascii="Symbol" w:hAnsi="Symbol"/>
      </w:rPr>
    </w:lvl>
    <w:lvl w:ilvl="7" w:tplc="0C090003" w:tentative="true">
      <w:start w:val="1"/>
      <w:numFmt w:val="bullet"/>
      <w:lvlText w:val="o"/>
      <w:lvlJc w:val="left"/>
      <w:pPr>
        <w:ind w:left="6480" w:hanging="360"/>
      </w:pPr>
      <w:rPr>
        <w:rFonts w:hint="default" w:ascii="Courier New" w:hAnsi="Courier New" w:cs="Courier New"/>
      </w:rPr>
    </w:lvl>
    <w:lvl w:ilvl="8" w:tplc="0C090005" w:tentative="true">
      <w:start w:val="1"/>
      <w:numFmt w:val="bullet"/>
      <w:lvlText w:val=""/>
      <w:lvlJc w:val="left"/>
      <w:pPr>
        <w:ind w:left="7200" w:hanging="360"/>
      </w:pPr>
      <w:rPr>
        <w:rFonts w:hint="default" w:ascii="Wingdings" w:hAnsi="Wingdings"/>
      </w:rPr>
    </w:lvl>
  </w:abstractNum>
  <w:abstractNum w:abstractNumId="9">
    <w:nsid w:val="31D62726"/>
    <w:multiLevelType w:val="hybridMultilevel"/>
    <w:tmpl w:val="7CEA8C86"/>
    <w:lvl w:ilvl="0" w:tplc="08090001">
      <w:start w:val="1"/>
      <w:numFmt w:val="bullet"/>
      <w:pStyle w:val="TableBullet"/>
      <w:lvlText w:val=""/>
      <w:lvlJc w:val="left"/>
      <w:pPr>
        <w:tabs>
          <w:tab w:val="num" w:pos="1287"/>
        </w:tabs>
        <w:ind w:left="1287" w:hanging="360"/>
      </w:pPr>
      <w:rPr>
        <w:rFonts w:hint="default" w:ascii="Symbol" w:hAnsi="Symbol"/>
      </w:rPr>
    </w:lvl>
    <w:lvl w:ilvl="1" w:tplc="08090003">
      <w:start w:val="1"/>
      <w:numFmt w:val="bullet"/>
      <w:lvlText w:val="o"/>
      <w:lvlJc w:val="left"/>
      <w:pPr>
        <w:tabs>
          <w:tab w:val="num" w:pos="2007"/>
        </w:tabs>
        <w:ind w:left="2007" w:hanging="360"/>
      </w:pPr>
      <w:rPr>
        <w:rFonts w:hint="default" w:ascii="Courier New" w:hAnsi="Courier New" w:cs="Courier New"/>
      </w:rPr>
    </w:lvl>
    <w:lvl w:ilvl="2" w:tplc="08090005">
      <w:start w:val="1"/>
      <w:numFmt w:val="bullet"/>
      <w:lvlText w:val=""/>
      <w:lvlJc w:val="left"/>
      <w:pPr>
        <w:tabs>
          <w:tab w:val="num" w:pos="2727"/>
        </w:tabs>
        <w:ind w:left="2727" w:hanging="360"/>
      </w:pPr>
      <w:rPr>
        <w:rFonts w:hint="default" w:ascii="Wingdings" w:hAnsi="Wingdings"/>
      </w:rPr>
    </w:lvl>
    <w:lvl w:ilvl="3" w:tplc="08090001">
      <w:start w:val="1"/>
      <w:numFmt w:val="bullet"/>
      <w:lvlText w:val=""/>
      <w:lvlJc w:val="left"/>
      <w:pPr>
        <w:tabs>
          <w:tab w:val="num" w:pos="3447"/>
        </w:tabs>
        <w:ind w:left="3447" w:hanging="360"/>
      </w:pPr>
      <w:rPr>
        <w:rFonts w:hint="default" w:ascii="Symbol" w:hAnsi="Symbol"/>
      </w:rPr>
    </w:lvl>
    <w:lvl w:ilvl="4" w:tplc="08090003">
      <w:start w:val="1"/>
      <w:numFmt w:val="bullet"/>
      <w:lvlText w:val="o"/>
      <w:lvlJc w:val="left"/>
      <w:pPr>
        <w:tabs>
          <w:tab w:val="num" w:pos="4167"/>
        </w:tabs>
        <w:ind w:left="4167" w:hanging="360"/>
      </w:pPr>
      <w:rPr>
        <w:rFonts w:hint="default" w:ascii="Courier New" w:hAnsi="Courier New" w:cs="Courier New"/>
      </w:rPr>
    </w:lvl>
    <w:lvl w:ilvl="5" w:tplc="08090005">
      <w:start w:val="1"/>
      <w:numFmt w:val="bullet"/>
      <w:lvlText w:val=""/>
      <w:lvlJc w:val="left"/>
      <w:pPr>
        <w:tabs>
          <w:tab w:val="num" w:pos="4887"/>
        </w:tabs>
        <w:ind w:left="4887" w:hanging="360"/>
      </w:pPr>
      <w:rPr>
        <w:rFonts w:hint="default" w:ascii="Wingdings" w:hAnsi="Wingdings"/>
      </w:rPr>
    </w:lvl>
    <w:lvl w:ilvl="6" w:tplc="08090001">
      <w:start w:val="1"/>
      <w:numFmt w:val="bullet"/>
      <w:lvlText w:val=""/>
      <w:lvlJc w:val="left"/>
      <w:pPr>
        <w:tabs>
          <w:tab w:val="num" w:pos="5607"/>
        </w:tabs>
        <w:ind w:left="5607" w:hanging="360"/>
      </w:pPr>
      <w:rPr>
        <w:rFonts w:hint="default" w:ascii="Symbol" w:hAnsi="Symbol"/>
      </w:rPr>
    </w:lvl>
    <w:lvl w:ilvl="7" w:tplc="08090003">
      <w:start w:val="1"/>
      <w:numFmt w:val="bullet"/>
      <w:lvlText w:val="o"/>
      <w:lvlJc w:val="left"/>
      <w:pPr>
        <w:tabs>
          <w:tab w:val="num" w:pos="6327"/>
        </w:tabs>
        <w:ind w:left="6327" w:hanging="360"/>
      </w:pPr>
      <w:rPr>
        <w:rFonts w:hint="default" w:ascii="Courier New" w:hAnsi="Courier New" w:cs="Courier New"/>
      </w:rPr>
    </w:lvl>
    <w:lvl w:ilvl="8" w:tplc="08090005">
      <w:start w:val="1"/>
      <w:numFmt w:val="bullet"/>
      <w:lvlText w:val=""/>
      <w:lvlJc w:val="left"/>
      <w:pPr>
        <w:tabs>
          <w:tab w:val="num" w:pos="7047"/>
        </w:tabs>
        <w:ind w:left="7047" w:hanging="360"/>
      </w:pPr>
      <w:rPr>
        <w:rFonts w:hint="default" w:ascii="Wingdings" w:hAnsi="Wingdings"/>
      </w:rPr>
    </w:lvl>
  </w:abstractNum>
  <w:abstractNum w:abstractNumId="10">
    <w:nsid w:val="32C84D31"/>
    <w:multiLevelType w:val="hybridMultilevel"/>
    <w:tmpl w:val="6EA29FB4"/>
    <w:lvl w:ilvl="0" w:tplc="3AFAE3D2">
      <w:start w:val="1"/>
      <w:numFmt w:val="decimal"/>
      <w:pStyle w:val="CaselawNumbered1"/>
      <w:lvlText w:val="(%1)"/>
      <w:lvlJc w:val="left"/>
      <w:pPr>
        <w:ind w:left="720" w:hanging="360"/>
      </w:pPr>
      <w:rPr>
        <w:rFonts w:hint="default"/>
      </w:rPr>
    </w:lvl>
    <w:lvl w:ilvl="1" w:tplc="0C090019" w:tentative="true">
      <w:start w:val="1"/>
      <w:numFmt w:val="lowerLetter"/>
      <w:lvlText w:val="%2."/>
      <w:lvlJc w:val="left"/>
      <w:pPr>
        <w:ind w:left="1440" w:hanging="360"/>
      </w:pPr>
    </w:lvl>
    <w:lvl w:ilvl="2" w:tplc="0C09001B" w:tentative="true">
      <w:start w:val="1"/>
      <w:numFmt w:val="lowerRoman"/>
      <w:lvlText w:val="%3."/>
      <w:lvlJc w:val="right"/>
      <w:pPr>
        <w:ind w:left="2160" w:hanging="180"/>
      </w:pPr>
    </w:lvl>
    <w:lvl w:ilvl="3" w:tplc="0C09000F" w:tentative="true">
      <w:start w:val="1"/>
      <w:numFmt w:val="decimal"/>
      <w:lvlText w:val="%4."/>
      <w:lvlJc w:val="left"/>
      <w:pPr>
        <w:ind w:left="2880" w:hanging="360"/>
      </w:pPr>
    </w:lvl>
    <w:lvl w:ilvl="4" w:tplc="0C090019" w:tentative="true">
      <w:start w:val="1"/>
      <w:numFmt w:val="lowerLetter"/>
      <w:lvlText w:val="%5."/>
      <w:lvlJc w:val="left"/>
      <w:pPr>
        <w:ind w:left="3600" w:hanging="360"/>
      </w:pPr>
    </w:lvl>
    <w:lvl w:ilvl="5" w:tplc="0C09001B" w:tentative="true">
      <w:start w:val="1"/>
      <w:numFmt w:val="lowerRoman"/>
      <w:lvlText w:val="%6."/>
      <w:lvlJc w:val="right"/>
      <w:pPr>
        <w:ind w:left="4320" w:hanging="180"/>
      </w:pPr>
    </w:lvl>
    <w:lvl w:ilvl="6" w:tplc="0C09000F" w:tentative="true">
      <w:start w:val="1"/>
      <w:numFmt w:val="decimal"/>
      <w:lvlText w:val="%7."/>
      <w:lvlJc w:val="left"/>
      <w:pPr>
        <w:ind w:left="5040" w:hanging="360"/>
      </w:pPr>
    </w:lvl>
    <w:lvl w:ilvl="7" w:tplc="0C090019" w:tentative="true">
      <w:start w:val="1"/>
      <w:numFmt w:val="lowerLetter"/>
      <w:lvlText w:val="%8."/>
      <w:lvlJc w:val="left"/>
      <w:pPr>
        <w:ind w:left="5760" w:hanging="360"/>
      </w:pPr>
    </w:lvl>
    <w:lvl w:ilvl="8" w:tplc="0C09001B" w:tentative="true">
      <w:start w:val="1"/>
      <w:numFmt w:val="lowerRoman"/>
      <w:lvlText w:val="%9."/>
      <w:lvlJc w:val="right"/>
      <w:pPr>
        <w:ind w:left="6480" w:hanging="180"/>
      </w:pPr>
    </w:lvl>
  </w:abstractNum>
  <w:abstractNum w:abstractNumId="11">
    <w:nsid w:val="33DF2FB6"/>
    <w:multiLevelType w:val="hybridMultilevel"/>
    <w:tmpl w:val="33CC98FE"/>
    <w:lvl w:ilvl="0" w:tplc="DBA8805A">
      <w:start w:val="1"/>
      <w:numFmt w:val="decimal"/>
      <w:pStyle w:val="NFRNumbering"/>
      <w:lvlText w:val="NFR_%1."/>
      <w:lvlJc w:val="left"/>
      <w:pPr>
        <w:ind w:left="360" w:hanging="360"/>
      </w:p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0C09000F">
      <w:start w:val="1"/>
      <w:numFmt w:val="decimal"/>
      <w:lvlText w:val="%4."/>
      <w:lvlJc w:val="left"/>
      <w:pPr>
        <w:ind w:left="2520" w:hanging="360"/>
      </w:pPr>
    </w:lvl>
    <w:lvl w:ilvl="4" w:tplc="0C090019">
      <w:start w:val="1"/>
      <w:numFmt w:val="lowerLetter"/>
      <w:lvlText w:val="%5."/>
      <w:lvlJc w:val="left"/>
      <w:pPr>
        <w:ind w:left="3240" w:hanging="360"/>
      </w:pPr>
    </w:lvl>
    <w:lvl w:ilvl="5" w:tplc="0C09001B">
      <w:start w:val="1"/>
      <w:numFmt w:val="lowerRoman"/>
      <w:lvlText w:val="%6."/>
      <w:lvlJc w:val="right"/>
      <w:pPr>
        <w:ind w:left="3960" w:hanging="180"/>
      </w:pPr>
    </w:lvl>
    <w:lvl w:ilvl="6" w:tplc="0C09000F">
      <w:start w:val="1"/>
      <w:numFmt w:val="decimal"/>
      <w:lvlText w:val="%7."/>
      <w:lvlJc w:val="left"/>
      <w:pPr>
        <w:ind w:left="4680" w:hanging="360"/>
      </w:pPr>
    </w:lvl>
    <w:lvl w:ilvl="7" w:tplc="0C090019">
      <w:start w:val="1"/>
      <w:numFmt w:val="lowerLetter"/>
      <w:lvlText w:val="%8."/>
      <w:lvlJc w:val="left"/>
      <w:pPr>
        <w:ind w:left="5400" w:hanging="360"/>
      </w:pPr>
    </w:lvl>
    <w:lvl w:ilvl="8" w:tplc="0C09001B">
      <w:start w:val="1"/>
      <w:numFmt w:val="lowerRoman"/>
      <w:lvlText w:val="%9."/>
      <w:lvlJc w:val="right"/>
      <w:pPr>
        <w:ind w:left="6120" w:hanging="180"/>
      </w:pPr>
    </w:lvl>
  </w:abstractNum>
  <w:abstractNum w:abstractNumId="12">
    <w:nsid w:val="353D152B"/>
    <w:multiLevelType w:val="hybridMultilevel"/>
    <w:tmpl w:val="87261C24"/>
    <w:lvl w:ilvl="0" w:tplc="F3C2251E">
      <w:start w:val="1"/>
      <w:numFmt w:val="lowerRoman"/>
      <w:pStyle w:val="CaselawNumberedi"/>
      <w:lvlText w:val="(%1)"/>
      <w:lvlJc w:val="left"/>
      <w:pPr>
        <w:ind w:left="2160" w:hanging="360"/>
      </w:pPr>
      <w:rPr>
        <w:rFonts w:hint="default"/>
      </w:rPr>
    </w:lvl>
    <w:lvl w:ilvl="1" w:tplc="0C090019" w:tentative="true">
      <w:start w:val="1"/>
      <w:numFmt w:val="lowerLetter"/>
      <w:lvlText w:val="%2."/>
      <w:lvlJc w:val="left"/>
      <w:pPr>
        <w:ind w:left="2880" w:hanging="360"/>
      </w:pPr>
    </w:lvl>
    <w:lvl w:ilvl="2" w:tplc="0C09001B" w:tentative="true">
      <w:start w:val="1"/>
      <w:numFmt w:val="lowerRoman"/>
      <w:lvlText w:val="%3."/>
      <w:lvlJc w:val="right"/>
      <w:pPr>
        <w:ind w:left="3600" w:hanging="180"/>
      </w:pPr>
    </w:lvl>
    <w:lvl w:ilvl="3" w:tplc="0C09000F" w:tentative="true">
      <w:start w:val="1"/>
      <w:numFmt w:val="decimal"/>
      <w:lvlText w:val="%4."/>
      <w:lvlJc w:val="left"/>
      <w:pPr>
        <w:ind w:left="4320" w:hanging="360"/>
      </w:pPr>
    </w:lvl>
    <w:lvl w:ilvl="4" w:tplc="0C090019" w:tentative="true">
      <w:start w:val="1"/>
      <w:numFmt w:val="lowerLetter"/>
      <w:lvlText w:val="%5."/>
      <w:lvlJc w:val="left"/>
      <w:pPr>
        <w:ind w:left="5040" w:hanging="360"/>
      </w:pPr>
    </w:lvl>
    <w:lvl w:ilvl="5" w:tplc="0C09001B" w:tentative="true">
      <w:start w:val="1"/>
      <w:numFmt w:val="lowerRoman"/>
      <w:lvlText w:val="%6."/>
      <w:lvlJc w:val="right"/>
      <w:pPr>
        <w:ind w:left="5760" w:hanging="180"/>
      </w:pPr>
    </w:lvl>
    <w:lvl w:ilvl="6" w:tplc="0C09000F" w:tentative="true">
      <w:start w:val="1"/>
      <w:numFmt w:val="decimal"/>
      <w:lvlText w:val="%7."/>
      <w:lvlJc w:val="left"/>
      <w:pPr>
        <w:ind w:left="6480" w:hanging="360"/>
      </w:pPr>
    </w:lvl>
    <w:lvl w:ilvl="7" w:tplc="0C090019" w:tentative="true">
      <w:start w:val="1"/>
      <w:numFmt w:val="lowerLetter"/>
      <w:lvlText w:val="%8."/>
      <w:lvlJc w:val="left"/>
      <w:pPr>
        <w:ind w:left="7200" w:hanging="360"/>
      </w:pPr>
    </w:lvl>
    <w:lvl w:ilvl="8" w:tplc="0C09001B" w:tentative="true">
      <w:start w:val="1"/>
      <w:numFmt w:val="lowerRoman"/>
      <w:lvlText w:val="%9."/>
      <w:lvlJc w:val="right"/>
      <w:pPr>
        <w:ind w:left="7920" w:hanging="180"/>
      </w:pPr>
    </w:lvl>
  </w:abstractNum>
  <w:abstractNum w:abstractNumId="13">
    <w:nsid w:val="46736775"/>
    <w:multiLevelType w:val="hybridMultilevel"/>
    <w:tmpl w:val="81BEEDF8"/>
    <w:lvl w:ilvl="0" w:tplc="0C090001">
      <w:start w:val="1"/>
      <w:numFmt w:val="bullet"/>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14">
    <w:nsid w:val="4A6E132D"/>
    <w:multiLevelType w:val="multilevel"/>
    <w:tmpl w:val="EFFE9968"/>
    <w:lvl w:ilvl="0">
      <w:start w:val="1"/>
      <w:numFmt w:val="upperLetter"/>
      <w:lvlText w:val="%1."/>
      <w:lvlJc w:val="left"/>
      <w:pPr>
        <w:tabs>
          <w:tab w:val="num" w:pos="-288"/>
        </w:tabs>
        <w:ind w:left="-288" w:hanging="432"/>
      </w:pPr>
    </w:lvl>
    <w:lvl w:ilvl="1">
      <w:start w:val="1"/>
      <w:numFmt w:val="decimal"/>
      <w:pStyle w:val="AppendixHeading2"/>
      <w:lvlText w:val="%1.%2"/>
      <w:lvlJc w:val="left"/>
      <w:pPr>
        <w:tabs>
          <w:tab w:val="num" w:pos="-144"/>
        </w:tabs>
        <w:ind w:left="-144" w:hanging="576"/>
      </w:pPr>
    </w:lvl>
    <w:lvl w:ilvl="2">
      <w:start w:val="1"/>
      <w:numFmt w:val="decimal"/>
      <w:lvlText w:val="%2.%1.%3"/>
      <w:lvlJc w:val="left"/>
      <w:pPr>
        <w:tabs>
          <w:tab w:val="num" w:pos="360"/>
        </w:tabs>
        <w:ind w:left="0" w:hanging="720"/>
      </w:pPr>
    </w:lvl>
    <w:lvl w:ilvl="3">
      <w:start w:val="1"/>
      <w:numFmt w:val="decimal"/>
      <w:lvlText w:val="%1.%2.%3.%4"/>
      <w:lvlJc w:val="left"/>
      <w:pPr>
        <w:tabs>
          <w:tab w:val="num" w:pos="144"/>
        </w:tabs>
        <w:ind w:left="144" w:hanging="864"/>
      </w:pPr>
    </w:lvl>
    <w:lvl w:ilvl="4">
      <w:start w:val="1"/>
      <w:numFmt w:val="decimal"/>
      <w:lvlText w:val="%1.%2.%3.%4.%5"/>
      <w:lvlJc w:val="left"/>
      <w:pPr>
        <w:tabs>
          <w:tab w:val="num" w:pos="288"/>
        </w:tabs>
        <w:ind w:left="288" w:hanging="1008"/>
      </w:pPr>
    </w:lvl>
    <w:lvl w:ilvl="5">
      <w:start w:val="1"/>
      <w:numFmt w:val="decimal"/>
      <w:lvlText w:val="%1.%2.%3.%4.%5.%6"/>
      <w:lvlJc w:val="left"/>
      <w:pPr>
        <w:tabs>
          <w:tab w:val="num" w:pos="432"/>
        </w:tabs>
        <w:ind w:left="432" w:hanging="1152"/>
      </w:pPr>
    </w:lvl>
    <w:lvl w:ilvl="6">
      <w:start w:val="1"/>
      <w:numFmt w:val="decimal"/>
      <w:lvlText w:val="%1.%2.%3.%4.%5.%6.%7"/>
      <w:lvlJc w:val="left"/>
      <w:pPr>
        <w:tabs>
          <w:tab w:val="num" w:pos="576"/>
        </w:tabs>
        <w:ind w:left="576" w:hanging="1296"/>
      </w:pPr>
    </w:lvl>
    <w:lvl w:ilvl="7">
      <w:start w:val="1"/>
      <w:numFmt w:val="decimal"/>
      <w:lvlText w:val="%1.%2.%3.%4.%5.%6.%7.%8"/>
      <w:lvlJc w:val="left"/>
      <w:pPr>
        <w:tabs>
          <w:tab w:val="num" w:pos="720"/>
        </w:tabs>
        <w:ind w:left="720" w:hanging="1440"/>
      </w:pPr>
    </w:lvl>
    <w:lvl w:ilvl="8">
      <w:start w:val="1"/>
      <w:numFmt w:val="decimal"/>
      <w:lvlText w:val="%1.%2.%3.%4.%5.%6.%7.%8.%9"/>
      <w:lvlJc w:val="left"/>
      <w:pPr>
        <w:tabs>
          <w:tab w:val="num" w:pos="864"/>
        </w:tabs>
        <w:ind w:left="864" w:hanging="1584"/>
      </w:pPr>
    </w:lvl>
  </w:abstractNum>
  <w:abstractNum w:abstractNumId="15">
    <w:nsid w:val="50702DEE"/>
    <w:multiLevelType w:val="hybridMultilevel"/>
    <w:tmpl w:val="4DA6461C"/>
    <w:lvl w:ilvl="0" w:tplc="00C27798">
      <w:start w:val="1"/>
      <w:numFmt w:val="lowerLetter"/>
      <w:pStyle w:val="CaselawNumbereda"/>
      <w:lvlText w:val="(%1)"/>
      <w:lvlJc w:val="left"/>
      <w:pPr>
        <w:ind w:left="144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6">
    <w:nsid w:val="52623F3D"/>
    <w:multiLevelType w:val="hybridMultilevel"/>
    <w:tmpl w:val="A106EF2E"/>
    <w:lvl w:ilvl="0" w:tplc="4DAC301C">
      <w:start w:val="1"/>
      <w:numFmt w:val="decimal"/>
      <w:pStyle w:val="CaselawNumbered10"/>
      <w:lvlText w:val="%1"/>
      <w:lvlJc w:val="left"/>
      <w:pPr>
        <w:ind w:left="36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7">
    <w:nsid w:val="52CC25B4"/>
    <w:multiLevelType w:val="hybridMultilevel"/>
    <w:tmpl w:val="3DEE3746"/>
    <w:lvl w:ilvl="0" w:tplc="779C3EE2">
      <w:start w:val="1"/>
      <w:numFmt w:val="bullet"/>
      <w:pStyle w:val="ListBulletIndent"/>
      <w:lvlText w:val="o"/>
      <w:lvlJc w:val="left"/>
      <w:pPr>
        <w:tabs>
          <w:tab w:val="num" w:pos="1159"/>
        </w:tabs>
        <w:ind w:left="1159" w:hanging="360"/>
      </w:pPr>
      <w:rPr>
        <w:rFonts w:hint="default" w:ascii="Courier New" w:hAnsi="Courier New" w:cs="Times New Roman"/>
      </w:rPr>
    </w:lvl>
    <w:lvl w:ilvl="1" w:tplc="04090003">
      <w:start w:val="1"/>
      <w:numFmt w:val="bullet"/>
      <w:lvlText w:val="o"/>
      <w:lvlJc w:val="left"/>
      <w:pPr>
        <w:tabs>
          <w:tab w:val="num" w:pos="2160"/>
        </w:tabs>
        <w:ind w:left="2160" w:hanging="360"/>
      </w:pPr>
      <w:rPr>
        <w:rFonts w:hint="default" w:ascii="Courier New" w:hAnsi="Courier New" w:cs="Times New Roman"/>
      </w:rPr>
    </w:lvl>
    <w:lvl w:ilvl="2" w:tplc="04090005">
      <w:start w:val="1"/>
      <w:numFmt w:val="bullet"/>
      <w:lvlText w:val=""/>
      <w:lvlJc w:val="left"/>
      <w:pPr>
        <w:tabs>
          <w:tab w:val="num" w:pos="2880"/>
        </w:tabs>
        <w:ind w:left="2880" w:hanging="360"/>
      </w:pPr>
      <w:rPr>
        <w:rFonts w:hint="default" w:ascii="Wingdings" w:hAnsi="Wingdings"/>
      </w:rPr>
    </w:lvl>
    <w:lvl w:ilvl="3" w:tplc="04090001">
      <w:start w:val="1"/>
      <w:numFmt w:val="bullet"/>
      <w:lvlText w:val=""/>
      <w:lvlJc w:val="left"/>
      <w:pPr>
        <w:tabs>
          <w:tab w:val="num" w:pos="3600"/>
        </w:tabs>
        <w:ind w:left="3600" w:hanging="360"/>
      </w:pPr>
      <w:rPr>
        <w:rFonts w:hint="default" w:ascii="Symbol" w:hAnsi="Symbol"/>
      </w:rPr>
    </w:lvl>
    <w:lvl w:ilvl="4" w:tplc="04090003">
      <w:start w:val="1"/>
      <w:numFmt w:val="bullet"/>
      <w:lvlText w:val="o"/>
      <w:lvlJc w:val="left"/>
      <w:pPr>
        <w:tabs>
          <w:tab w:val="num" w:pos="4320"/>
        </w:tabs>
        <w:ind w:left="4320" w:hanging="360"/>
      </w:pPr>
      <w:rPr>
        <w:rFonts w:hint="default" w:ascii="Courier New" w:hAnsi="Courier New" w:cs="Times New Roman"/>
      </w:rPr>
    </w:lvl>
    <w:lvl w:ilvl="5" w:tplc="04090005">
      <w:start w:val="1"/>
      <w:numFmt w:val="bullet"/>
      <w:lvlText w:val=""/>
      <w:lvlJc w:val="left"/>
      <w:pPr>
        <w:tabs>
          <w:tab w:val="num" w:pos="5040"/>
        </w:tabs>
        <w:ind w:left="5040" w:hanging="360"/>
      </w:pPr>
      <w:rPr>
        <w:rFonts w:hint="default" w:ascii="Wingdings" w:hAnsi="Wingdings"/>
      </w:rPr>
    </w:lvl>
    <w:lvl w:ilvl="6" w:tplc="04090001">
      <w:start w:val="1"/>
      <w:numFmt w:val="bullet"/>
      <w:lvlText w:val=""/>
      <w:lvlJc w:val="left"/>
      <w:pPr>
        <w:tabs>
          <w:tab w:val="num" w:pos="5760"/>
        </w:tabs>
        <w:ind w:left="5760" w:hanging="360"/>
      </w:pPr>
      <w:rPr>
        <w:rFonts w:hint="default" w:ascii="Symbol" w:hAnsi="Symbol"/>
      </w:rPr>
    </w:lvl>
    <w:lvl w:ilvl="7" w:tplc="04090003">
      <w:start w:val="1"/>
      <w:numFmt w:val="bullet"/>
      <w:lvlText w:val="o"/>
      <w:lvlJc w:val="left"/>
      <w:pPr>
        <w:tabs>
          <w:tab w:val="num" w:pos="6480"/>
        </w:tabs>
        <w:ind w:left="6480" w:hanging="360"/>
      </w:pPr>
      <w:rPr>
        <w:rFonts w:hint="default" w:ascii="Courier New" w:hAnsi="Courier New" w:cs="Times New Roman"/>
      </w:rPr>
    </w:lvl>
    <w:lvl w:ilvl="8" w:tplc="04090005">
      <w:start w:val="1"/>
      <w:numFmt w:val="bullet"/>
      <w:lvlText w:val=""/>
      <w:lvlJc w:val="left"/>
      <w:pPr>
        <w:tabs>
          <w:tab w:val="num" w:pos="7200"/>
        </w:tabs>
        <w:ind w:left="7200" w:hanging="360"/>
      </w:pPr>
      <w:rPr>
        <w:rFonts w:hint="default" w:ascii="Wingdings" w:hAnsi="Wingdings"/>
      </w:rPr>
    </w:lvl>
  </w:abstractNum>
  <w:abstractNum w:abstractNumId="18">
    <w:nsid w:val="63917B65"/>
    <w:multiLevelType w:val="hybridMultilevel"/>
    <w:tmpl w:val="28DA8504"/>
    <w:lvl w:ilvl="0" w:tplc="7EBEE17E">
      <w:start w:val="1"/>
      <w:numFmt w:val="bullet"/>
      <w:lvlText w:val="•"/>
      <w:lvlJc w:val="left"/>
      <w:pPr>
        <w:tabs>
          <w:tab w:val="num" w:pos="720"/>
        </w:tabs>
        <w:ind w:left="720" w:hanging="360"/>
      </w:pPr>
      <w:rPr>
        <w:rFonts w:hint="default" w:ascii="Arial" w:hAnsi="Arial" w:cs="Times New Roman"/>
      </w:rPr>
    </w:lvl>
    <w:lvl w:ilvl="1" w:tplc="1DCC5FE4">
      <w:start w:val="1"/>
      <w:numFmt w:val="bullet"/>
      <w:lvlText w:val="•"/>
      <w:lvlJc w:val="left"/>
      <w:pPr>
        <w:tabs>
          <w:tab w:val="num" w:pos="1440"/>
        </w:tabs>
        <w:ind w:left="1440" w:hanging="360"/>
      </w:pPr>
      <w:rPr>
        <w:rFonts w:hint="default" w:ascii="Arial" w:hAnsi="Arial" w:cs="Times New Roman"/>
      </w:rPr>
    </w:lvl>
    <w:lvl w:ilvl="2" w:tplc="2E2254E0">
      <w:start w:val="1"/>
      <w:numFmt w:val="bullet"/>
      <w:lvlText w:val="•"/>
      <w:lvlJc w:val="left"/>
      <w:pPr>
        <w:tabs>
          <w:tab w:val="num" w:pos="2160"/>
        </w:tabs>
        <w:ind w:left="2160" w:hanging="360"/>
      </w:pPr>
      <w:rPr>
        <w:rFonts w:hint="default" w:ascii="Arial" w:hAnsi="Arial" w:cs="Times New Roman"/>
      </w:rPr>
    </w:lvl>
    <w:lvl w:ilvl="3" w:tplc="A5A07C72">
      <w:start w:val="1"/>
      <w:numFmt w:val="bullet"/>
      <w:lvlText w:val="•"/>
      <w:lvlJc w:val="left"/>
      <w:pPr>
        <w:tabs>
          <w:tab w:val="num" w:pos="2880"/>
        </w:tabs>
        <w:ind w:left="2880" w:hanging="360"/>
      </w:pPr>
      <w:rPr>
        <w:rFonts w:hint="default" w:ascii="Arial" w:hAnsi="Arial" w:cs="Times New Roman"/>
      </w:rPr>
    </w:lvl>
    <w:lvl w:ilvl="4" w:tplc="9E8A9A4E">
      <w:start w:val="1"/>
      <w:numFmt w:val="bullet"/>
      <w:lvlText w:val="•"/>
      <w:lvlJc w:val="left"/>
      <w:pPr>
        <w:tabs>
          <w:tab w:val="num" w:pos="3600"/>
        </w:tabs>
        <w:ind w:left="3600" w:hanging="360"/>
      </w:pPr>
      <w:rPr>
        <w:rFonts w:hint="default" w:ascii="Arial" w:hAnsi="Arial" w:cs="Times New Roman"/>
      </w:rPr>
    </w:lvl>
    <w:lvl w:ilvl="5" w:tplc="31ACE6B0">
      <w:start w:val="1"/>
      <w:numFmt w:val="bullet"/>
      <w:lvlText w:val="•"/>
      <w:lvlJc w:val="left"/>
      <w:pPr>
        <w:tabs>
          <w:tab w:val="num" w:pos="4320"/>
        </w:tabs>
        <w:ind w:left="4320" w:hanging="360"/>
      </w:pPr>
      <w:rPr>
        <w:rFonts w:hint="default" w:ascii="Arial" w:hAnsi="Arial" w:cs="Times New Roman"/>
      </w:rPr>
    </w:lvl>
    <w:lvl w:ilvl="6" w:tplc="AB685CD0">
      <w:start w:val="1"/>
      <w:numFmt w:val="bullet"/>
      <w:lvlText w:val="•"/>
      <w:lvlJc w:val="left"/>
      <w:pPr>
        <w:tabs>
          <w:tab w:val="num" w:pos="5040"/>
        </w:tabs>
        <w:ind w:left="5040" w:hanging="360"/>
      </w:pPr>
      <w:rPr>
        <w:rFonts w:hint="default" w:ascii="Arial" w:hAnsi="Arial" w:cs="Times New Roman"/>
      </w:rPr>
    </w:lvl>
    <w:lvl w:ilvl="7" w:tplc="FC002C06">
      <w:start w:val="1"/>
      <w:numFmt w:val="bullet"/>
      <w:lvlText w:val="•"/>
      <w:lvlJc w:val="left"/>
      <w:pPr>
        <w:tabs>
          <w:tab w:val="num" w:pos="5760"/>
        </w:tabs>
        <w:ind w:left="5760" w:hanging="360"/>
      </w:pPr>
      <w:rPr>
        <w:rFonts w:hint="default" w:ascii="Arial" w:hAnsi="Arial" w:cs="Times New Roman"/>
      </w:rPr>
    </w:lvl>
    <w:lvl w:ilvl="8" w:tplc="6338C1FE">
      <w:start w:val="1"/>
      <w:numFmt w:val="bullet"/>
      <w:lvlText w:val="•"/>
      <w:lvlJc w:val="left"/>
      <w:pPr>
        <w:tabs>
          <w:tab w:val="num" w:pos="6480"/>
        </w:tabs>
        <w:ind w:left="6480" w:hanging="360"/>
      </w:pPr>
      <w:rPr>
        <w:rFonts w:hint="default" w:ascii="Arial" w:hAnsi="Arial" w:cs="Times New Roman"/>
      </w:rPr>
    </w:lvl>
  </w:abstractNum>
  <w:abstractNum w:abstractNumId="19">
    <w:nsid w:val="643A5861"/>
    <w:multiLevelType w:val="hybridMultilevel"/>
    <w:tmpl w:val="5DFCE9E6"/>
    <w:lvl w:ilvl="0" w:tplc="8E086518">
      <w:start w:val="1"/>
      <w:numFmt w:val="bullet"/>
      <w:pStyle w:val="Bulletforblueiinfo"/>
      <w:lvlText w:val=""/>
      <w:lvlJc w:val="left"/>
      <w:pPr>
        <w:tabs>
          <w:tab w:val="num" w:pos="737"/>
        </w:tabs>
        <w:ind w:left="737" w:hanging="368"/>
      </w:pPr>
      <w:rPr>
        <w:rFonts w:hint="default" w:ascii="Symbol" w:hAnsi="Symbol"/>
      </w:rPr>
    </w:lvl>
    <w:lvl w:ilvl="1" w:tplc="04090003">
      <w:start w:val="1"/>
      <w:numFmt w:val="bullet"/>
      <w:lvlText w:val="o"/>
      <w:lvlJc w:val="left"/>
      <w:pPr>
        <w:tabs>
          <w:tab w:val="num" w:pos="1440"/>
        </w:tabs>
        <w:ind w:left="1440" w:hanging="360"/>
      </w:pPr>
      <w:rPr>
        <w:rFonts w:hint="default" w:ascii="Courier New" w:hAnsi="Courier New" w:cs="Times New Roman"/>
      </w:rPr>
    </w:lvl>
    <w:lvl w:ilvl="2" w:tplc="04090005">
      <w:start w:val="1"/>
      <w:numFmt w:val="bullet"/>
      <w:lvlText w:val=""/>
      <w:lvlJc w:val="left"/>
      <w:pPr>
        <w:tabs>
          <w:tab w:val="num" w:pos="2160"/>
        </w:tabs>
        <w:ind w:left="2160" w:hanging="360"/>
      </w:pPr>
      <w:rPr>
        <w:rFonts w:hint="default" w:ascii="Wingdings" w:hAnsi="Wingdings"/>
      </w:rPr>
    </w:lvl>
    <w:lvl w:ilvl="3" w:tplc="04090001">
      <w:start w:val="1"/>
      <w:numFmt w:val="bullet"/>
      <w:lvlText w:val=""/>
      <w:lvlJc w:val="left"/>
      <w:pPr>
        <w:tabs>
          <w:tab w:val="num" w:pos="2880"/>
        </w:tabs>
        <w:ind w:left="2880" w:hanging="360"/>
      </w:pPr>
      <w:rPr>
        <w:rFonts w:hint="default" w:ascii="Symbol" w:hAnsi="Symbol"/>
      </w:rPr>
    </w:lvl>
    <w:lvl w:ilvl="4" w:tplc="04090003">
      <w:start w:val="1"/>
      <w:numFmt w:val="bullet"/>
      <w:lvlText w:val="o"/>
      <w:lvlJc w:val="left"/>
      <w:pPr>
        <w:tabs>
          <w:tab w:val="num" w:pos="3600"/>
        </w:tabs>
        <w:ind w:left="3600" w:hanging="360"/>
      </w:pPr>
      <w:rPr>
        <w:rFonts w:hint="default" w:ascii="Courier New" w:hAnsi="Courier New" w:cs="Times New Roman"/>
      </w:rPr>
    </w:lvl>
    <w:lvl w:ilvl="5" w:tplc="04090005">
      <w:start w:val="1"/>
      <w:numFmt w:val="bullet"/>
      <w:lvlText w:val=""/>
      <w:lvlJc w:val="left"/>
      <w:pPr>
        <w:tabs>
          <w:tab w:val="num" w:pos="4320"/>
        </w:tabs>
        <w:ind w:left="4320" w:hanging="360"/>
      </w:pPr>
      <w:rPr>
        <w:rFonts w:hint="default" w:ascii="Wingdings" w:hAnsi="Wingdings"/>
      </w:rPr>
    </w:lvl>
    <w:lvl w:ilvl="6" w:tplc="04090001">
      <w:start w:val="1"/>
      <w:numFmt w:val="bullet"/>
      <w:lvlText w:val=""/>
      <w:lvlJc w:val="left"/>
      <w:pPr>
        <w:tabs>
          <w:tab w:val="num" w:pos="5040"/>
        </w:tabs>
        <w:ind w:left="5040" w:hanging="360"/>
      </w:pPr>
      <w:rPr>
        <w:rFonts w:hint="default" w:ascii="Symbol" w:hAnsi="Symbol"/>
      </w:rPr>
    </w:lvl>
    <w:lvl w:ilvl="7" w:tplc="04090003">
      <w:start w:val="1"/>
      <w:numFmt w:val="bullet"/>
      <w:lvlText w:val="o"/>
      <w:lvlJc w:val="left"/>
      <w:pPr>
        <w:tabs>
          <w:tab w:val="num" w:pos="5760"/>
        </w:tabs>
        <w:ind w:left="5760" w:hanging="360"/>
      </w:pPr>
      <w:rPr>
        <w:rFonts w:hint="default" w:ascii="Courier New" w:hAnsi="Courier New" w:cs="Times New Roman"/>
      </w:rPr>
    </w:lvl>
    <w:lvl w:ilvl="8" w:tplc="04090005">
      <w:start w:val="1"/>
      <w:numFmt w:val="bullet"/>
      <w:lvlText w:val=""/>
      <w:lvlJc w:val="left"/>
      <w:pPr>
        <w:tabs>
          <w:tab w:val="num" w:pos="6480"/>
        </w:tabs>
        <w:ind w:left="6480" w:hanging="360"/>
      </w:pPr>
      <w:rPr>
        <w:rFonts w:hint="default" w:ascii="Wingdings" w:hAnsi="Wingdings"/>
      </w:rPr>
    </w:lvl>
  </w:abstractNum>
  <w:abstractNum w:abstractNumId="20">
    <w:nsid w:val="692A3A69"/>
    <w:multiLevelType w:val="hybridMultilevel"/>
    <w:tmpl w:val="05DAD142"/>
    <w:lvl w:ilvl="0" w:tplc="73421F34">
      <w:start w:val="1"/>
      <w:numFmt w:val="bullet"/>
      <w:lvlText w:val="•"/>
      <w:lvlJc w:val="left"/>
      <w:pPr>
        <w:tabs>
          <w:tab w:val="num" w:pos="720"/>
        </w:tabs>
        <w:ind w:left="720" w:hanging="360"/>
      </w:pPr>
      <w:rPr>
        <w:rFonts w:hint="default" w:ascii="Arial" w:hAnsi="Arial" w:cs="Times New Roman"/>
      </w:rPr>
    </w:lvl>
    <w:lvl w:ilvl="1" w:tplc="8320F500">
      <w:start w:val="1"/>
      <w:numFmt w:val="bullet"/>
      <w:lvlText w:val="•"/>
      <w:lvlJc w:val="left"/>
      <w:pPr>
        <w:tabs>
          <w:tab w:val="num" w:pos="1440"/>
        </w:tabs>
        <w:ind w:left="1440" w:hanging="360"/>
      </w:pPr>
      <w:rPr>
        <w:rFonts w:hint="default" w:ascii="Arial" w:hAnsi="Arial" w:cs="Times New Roman"/>
      </w:rPr>
    </w:lvl>
    <w:lvl w:ilvl="2" w:tplc="8544046E">
      <w:start w:val="1"/>
      <w:numFmt w:val="bullet"/>
      <w:lvlText w:val="•"/>
      <w:lvlJc w:val="left"/>
      <w:pPr>
        <w:tabs>
          <w:tab w:val="num" w:pos="2160"/>
        </w:tabs>
        <w:ind w:left="2160" w:hanging="360"/>
      </w:pPr>
      <w:rPr>
        <w:rFonts w:hint="default" w:ascii="Arial" w:hAnsi="Arial" w:cs="Times New Roman"/>
      </w:rPr>
    </w:lvl>
    <w:lvl w:ilvl="3" w:tplc="3D8EF51A">
      <w:start w:val="1"/>
      <w:numFmt w:val="bullet"/>
      <w:lvlText w:val="•"/>
      <w:lvlJc w:val="left"/>
      <w:pPr>
        <w:tabs>
          <w:tab w:val="num" w:pos="2880"/>
        </w:tabs>
        <w:ind w:left="2880" w:hanging="360"/>
      </w:pPr>
      <w:rPr>
        <w:rFonts w:hint="default" w:ascii="Arial" w:hAnsi="Arial" w:cs="Times New Roman"/>
      </w:rPr>
    </w:lvl>
    <w:lvl w:ilvl="4" w:tplc="AEC2BFAC">
      <w:start w:val="1"/>
      <w:numFmt w:val="bullet"/>
      <w:lvlText w:val="•"/>
      <w:lvlJc w:val="left"/>
      <w:pPr>
        <w:tabs>
          <w:tab w:val="num" w:pos="3600"/>
        </w:tabs>
        <w:ind w:left="3600" w:hanging="360"/>
      </w:pPr>
      <w:rPr>
        <w:rFonts w:hint="default" w:ascii="Arial" w:hAnsi="Arial" w:cs="Times New Roman"/>
      </w:rPr>
    </w:lvl>
    <w:lvl w:ilvl="5" w:tplc="DDE2E5A6">
      <w:start w:val="1"/>
      <w:numFmt w:val="bullet"/>
      <w:lvlText w:val="•"/>
      <w:lvlJc w:val="left"/>
      <w:pPr>
        <w:tabs>
          <w:tab w:val="num" w:pos="4320"/>
        </w:tabs>
        <w:ind w:left="4320" w:hanging="360"/>
      </w:pPr>
      <w:rPr>
        <w:rFonts w:hint="default" w:ascii="Arial" w:hAnsi="Arial" w:cs="Times New Roman"/>
      </w:rPr>
    </w:lvl>
    <w:lvl w:ilvl="6" w:tplc="CBFAAEDE">
      <w:start w:val="1"/>
      <w:numFmt w:val="bullet"/>
      <w:lvlText w:val="•"/>
      <w:lvlJc w:val="left"/>
      <w:pPr>
        <w:tabs>
          <w:tab w:val="num" w:pos="5040"/>
        </w:tabs>
        <w:ind w:left="5040" w:hanging="360"/>
      </w:pPr>
      <w:rPr>
        <w:rFonts w:hint="default" w:ascii="Arial" w:hAnsi="Arial" w:cs="Times New Roman"/>
      </w:rPr>
    </w:lvl>
    <w:lvl w:ilvl="7" w:tplc="F90E4540">
      <w:start w:val="1"/>
      <w:numFmt w:val="bullet"/>
      <w:lvlText w:val="•"/>
      <w:lvlJc w:val="left"/>
      <w:pPr>
        <w:tabs>
          <w:tab w:val="num" w:pos="5760"/>
        </w:tabs>
        <w:ind w:left="5760" w:hanging="360"/>
      </w:pPr>
      <w:rPr>
        <w:rFonts w:hint="default" w:ascii="Arial" w:hAnsi="Arial" w:cs="Times New Roman"/>
      </w:rPr>
    </w:lvl>
    <w:lvl w:ilvl="8" w:tplc="2AE6386C">
      <w:start w:val="1"/>
      <w:numFmt w:val="bullet"/>
      <w:lvlText w:val="•"/>
      <w:lvlJc w:val="left"/>
      <w:pPr>
        <w:tabs>
          <w:tab w:val="num" w:pos="6480"/>
        </w:tabs>
        <w:ind w:left="6480" w:hanging="360"/>
      </w:pPr>
      <w:rPr>
        <w:rFonts w:hint="default" w:ascii="Arial" w:hAnsi="Arial" w:cs="Times New Roman"/>
      </w:rPr>
    </w:lvl>
  </w:abstractNum>
  <w:num w:numId="1">
    <w:abstractNumId w:val="16"/>
  </w:num>
  <w:num w:numId="2">
    <w:abstractNumId w:val="10"/>
  </w:num>
  <w:num w:numId="3">
    <w:abstractNumId w:val="15"/>
  </w:num>
  <w:num w:numId="4">
    <w:abstractNumId w:val="12"/>
  </w:num>
  <w:num w:numId="5">
    <w:abstractNumId w:val="8"/>
  </w:num>
  <w:num w:numId="6">
    <w:abstractNumId w:val="6"/>
  </w:num>
  <w:num w:numId="7">
    <w:abstractNumId w:val="0"/>
  </w:num>
  <w:num w:numId="8">
    <w:abstractNumId w:val="17"/>
  </w:num>
  <w:num w:numId="9">
    <w:abstractNumId w:val="2"/>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1"/>
  </w:num>
  <w:num w:numId="14">
    <w:abstractNumId w:val="19"/>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18"/>
  </w:num>
  <w:num w:numId="18">
    <w:abstractNumId w:val="5"/>
  </w:num>
  <w:num w:numId="19">
    <w:abstractNumId w:val="20"/>
  </w:num>
  <w:num w:numId="20">
    <w:abstractNumId w:val="7"/>
  </w:num>
  <w:num w:numId="21">
    <w:abstractNumId w:val="3"/>
  </w:num>
  <w:num w:numId="22">
    <w:abstractNumId w:val="16"/>
    <w:lvlOverride w:ilvl="0">
      <w:startOverride w:val="1"/>
    </w:lvlOverride>
  </w:num>
  <w:num w:numId="23">
    <w:abstractNumId w:val="16"/>
    <w:lvlOverride w:ilvl="0">
      <w:startOverride w:val="2"/>
    </w:lvlOverride>
  </w:num>
  <w:num w:numId="24">
    <w:abstractNumId w:val="16"/>
    <w:lvlOverride w:ilvl="0">
      <w:startOverride w:val="6"/>
    </w:lvlOverride>
  </w:num>
  <w:num w:numId="25">
    <w:abstractNumId w:val="16"/>
    <w:lvlOverride w:ilvl="0">
      <w:startOverride w:val="11"/>
    </w:lvlOverride>
  </w:num>
  <w:num w:numId="26">
    <w:abstractNumId w:val="16"/>
    <w:lvlOverride w:ilvl="0">
      <w:startOverride w:val="13"/>
    </w:lvlOverride>
  </w:num>
  <w:num w:numId="27">
    <w:abstractNumId w:val="16"/>
    <w:lvlOverride w:ilvl="0">
      <w:startOverride w:val="14"/>
    </w:lvlOverride>
  </w:num>
  <w:num w:numId="28">
    <w:abstractNumId w:val="16"/>
    <w:lvlOverride w:ilvl="0">
      <w:startOverride w:val="16"/>
    </w:lvlOverride>
  </w:num>
  <w:num w:numId="29">
    <w:abstractNumId w:val="16"/>
    <w:lvlOverride w:ilvl="0">
      <w:startOverride w:val="17"/>
    </w:lvlOverride>
  </w:num>
  <w:num w:numId="30">
    <w:abstractNumId w:val="16"/>
    <w:lvlOverride w:ilvl="0">
      <w:startOverride w:val="19"/>
    </w:lvlOverride>
  </w:num>
  <w:num w:numId="31">
    <w:abstractNumId w:val="16"/>
    <w:lvlOverride w:ilvl="0">
      <w:startOverride w:val="26"/>
    </w:lvlOverride>
  </w:num>
  <w:num w:numId="32">
    <w:abstractNumId w:val="16"/>
    <w:lvlOverride w:ilvl="0">
      <w:startOverride w:val="27"/>
    </w:lvlOverride>
  </w:num>
  <w:num w:numId="33">
    <w:abstractNumId w:val="16"/>
    <w:lvlOverride w:ilvl="0">
      <w:startOverride w:val="28"/>
    </w:lvlOverride>
  </w:num>
  <w:num w:numId="34">
    <w:abstractNumId w:val="8"/>
    <w:lvlOverride w:ilvl="0">
      <w:startOverride w:val="1"/>
    </w:lvlOverride>
  </w:num>
  <w:num w:numId="35">
    <w:abstractNumId w:val="16"/>
    <w:lvlOverride w:ilvl="0">
      <w:startOverride w:val="29"/>
    </w:lvlOverride>
  </w:num>
  <w:num w:numId="36">
    <w:abstractNumId w:val="16"/>
    <w:lvlOverride w:ilvl="0">
      <w:startOverride w:val="30"/>
    </w:lvlOverride>
  </w:num>
  <w:num w:numId="37">
    <w:abstractNumId w:val="16"/>
    <w:lvlOverride w:ilvl="0">
      <w:startOverride w:val="31"/>
    </w:lvlOverride>
  </w:num>
  <w:num w:numId="38">
    <w:abstractNumId w:val="16"/>
    <w:lvlOverride w:ilvl="0">
      <w:startOverride w:val="32"/>
    </w:lvlOverride>
  </w:num>
  <w:num w:numId="39">
    <w:abstractNumId w:val="16"/>
    <w:lvlOverride w:ilvl="0">
      <w:startOverride w:val="33"/>
    </w:lvlOverride>
  </w:num>
  <w:num w:numId="40">
    <w:abstractNumId w:val="10"/>
    <w:lvlOverride w:ilvl="0">
      <w:startOverride w:val="1"/>
    </w:lvlOverride>
  </w:num>
  <w:num w:numId="41">
    <w:abstractNumId w:val="16"/>
    <w:lvlOverride w:ilvl="0">
      <w:startOverride w:val="35"/>
    </w:lvlOverride>
  </w:num>
  <w:num w:numId="42">
    <w:abstractNumId w:val="16"/>
    <w:lvlOverride w:ilvl="0">
      <w:startOverride w:val="36"/>
    </w:lvlOverride>
  </w:num>
  <w:num w:numId="43">
    <w:abstractNumId w:val="16"/>
    <w:lvlOverride w:ilvl="0">
      <w:startOverride w:val="38"/>
    </w:lvlOverride>
  </w:num>
  <w:num w:numId="44">
    <w:abstractNumId w:val="16"/>
    <w:lvlOverride w:ilvl="0">
      <w:startOverride w:val="40"/>
    </w:lvlOverride>
  </w:num>
  <w:num w:numId="45">
    <w:abstractNumId w:val="8"/>
    <w:lvlOverride w:ilvl="0">
      <w:startOverride w:val="1"/>
    </w:lvlOverride>
  </w:num>
  <w:num w:numId="46">
    <w:abstractNumId w:val="16"/>
    <w:lvlOverride w:ilvl="0">
      <w:startOverride w:val="41"/>
    </w:lvlOverride>
  </w:num>
  <w:num w:numId="47">
    <w:abstractNumId w:val="16"/>
    <w:lvlOverride w:ilvl="0">
      <w:startOverride w:val="42"/>
    </w:lvlOverride>
  </w:num>
  <w:num w:numId="48">
    <w:abstractNumId w:val="16"/>
    <w:lvlOverride w:ilvl="0">
      <w:startOverride w:val="44"/>
    </w:lvlOverride>
  </w:num>
  <w:num w:numId="49">
    <w:abstractNumId w:val="16"/>
    <w:lvlOverride w:ilvl="0">
      <w:startOverride w:val="47"/>
    </w:lvlOverride>
  </w:num>
  <w:num w:numId="50">
    <w:abstractNumId w:val="16"/>
    <w:lvlOverride w:ilvl="0">
      <w:startOverride w:val="48"/>
    </w:lvlOverride>
  </w:num>
  <w:num w:numId="51">
    <w:abstractNumId w:val="16"/>
    <w:lvlOverride w:ilvl="0">
      <w:startOverride w:val="49"/>
    </w:lvlOverride>
  </w:num>
  <w:num w:numId="52">
    <w:abstractNumId w:val="16"/>
    <w:lvlOverride w:ilvl="0">
      <w:startOverride w:val="50"/>
    </w:lvlOverride>
  </w:num>
  <w:num w:numId="53">
    <w:abstractNumId w:val="16"/>
    <w:lvlOverride w:ilvl="0">
      <w:startOverride w:val="51"/>
    </w:lvlOverride>
  </w:num>
  <w:num w:numId="54">
    <w:abstractNumId w:val="16"/>
    <w:lvlOverride w:ilvl="0">
      <w:startOverride w:val="52"/>
    </w:lvlOverride>
  </w:num>
  <w:num w:numId="55">
    <w:abstractNumId w:val="16"/>
    <w:lvlOverride w:ilvl="0">
      <w:startOverride w:val="54"/>
    </w:lvlOverride>
  </w:num>
  <w:num w:numId="56">
    <w:abstractNumId w:val="16"/>
    <w:lvlOverride w:ilvl="0">
      <w:startOverride w:val="55"/>
    </w:lvlOverride>
  </w:num>
  <w:num w:numId="57">
    <w:abstractNumId w:val="16"/>
    <w:lvlOverride w:ilvl="0">
      <w:startOverride w:val="56"/>
    </w:lvlOverride>
  </w:num>
  <w:num w:numId="58">
    <w:abstractNumId w:val="16"/>
    <w:lvlOverride w:ilvl="0">
      <w:startOverride w:val="57"/>
    </w:lvlOverride>
  </w:num>
  <w:num w:numId="59">
    <w:abstractNumId w:val="16"/>
    <w:lvlOverride w:ilvl="0">
      <w:startOverride w:val="59"/>
    </w:lvlOverride>
  </w:num>
  <w:num w:numId="60">
    <w:abstractNumId w:val="16"/>
    <w:lvlOverride w:ilvl="0">
      <w:startOverride w:val="60"/>
    </w:lvlOverride>
  </w:num>
  <w:num w:numId="61">
    <w:abstractNumId w:val="16"/>
    <w:lvlOverride w:ilvl="0">
      <w:startOverride w:val="61"/>
    </w:lvlOverride>
  </w:num>
  <w:num w:numId="62">
    <w:abstractNumId w:val="16"/>
    <w:lvlOverride w:ilvl="0">
      <w:startOverride w:val="62"/>
    </w:lvlOverride>
  </w:num>
  <w:num w:numId="63">
    <w:abstractNumId w:val="10"/>
    <w:lvlOverride w:ilvl="0">
      <w:startOverride w:val="1"/>
    </w:lvlOverride>
  </w:num>
  <w:num w:numId="64">
    <w:abstractNumId w:val="16"/>
    <w:lvlOverride w:ilvl="0">
      <w:startOverride w:val="63"/>
    </w:lvlOverride>
  </w:num>
  <w:num w:numId="65">
    <w:abstractNumId w:val="16"/>
    <w:lvlOverride w:ilvl="0">
      <w:startOverride w:val="65"/>
    </w:lvlOverride>
  </w:num>
  <w:num w:numId="66">
    <w:abstractNumId w:val="16"/>
    <w:lvlOverride w:ilvl="0">
      <w:startOverride w:val="66"/>
    </w:lvlOverride>
  </w:num>
  <w:num w:numId="67">
    <w:abstractNumId w:val="16"/>
    <w:lvlOverride w:ilvl="0">
      <w:startOverride w:val="67"/>
    </w:lvlOverride>
  </w:num>
  <w:num w:numId="68">
    <w:abstractNumId w:val="16"/>
    <w:lvlOverride w:ilvl="0">
      <w:startOverride w:val="70"/>
    </w:lvlOverride>
  </w:num>
  <w:num w:numId="69">
    <w:abstractNumId w:val="16"/>
    <w:lvlOverride w:ilvl="0">
      <w:startOverride w:val="71"/>
    </w:lvlOverride>
  </w:num>
  <w:num w:numId="70">
    <w:abstractNumId w:val="16"/>
    <w:lvlOverride w:ilvl="0">
      <w:startOverride w:val="73"/>
    </w:lvlOverride>
  </w:num>
  <w:num w:numId="71">
    <w:abstractNumId w:val="16"/>
    <w:lvlOverride w:ilvl="0">
      <w:startOverride w:val="74"/>
    </w:lvlOverride>
  </w:num>
  <w:num w:numId="72">
    <w:abstractNumId w:val="16"/>
    <w:lvlOverride w:ilvl="0">
      <w:startOverride w:val="76"/>
    </w:lvlOverride>
  </w:num>
  <w:num w:numId="73">
    <w:abstractNumId w:val="16"/>
    <w:lvlOverride w:ilvl="0">
      <w:startOverride w:val="77"/>
    </w:lvlOverride>
  </w:num>
  <w:num w:numId="74">
    <w:abstractNumId w:val="16"/>
    <w:lvlOverride w:ilvl="0">
      <w:startOverride w:val="79"/>
    </w:lvlOverride>
  </w:num>
  <w:num w:numId="75">
    <w:abstractNumId w:val="8"/>
    <w:lvlOverride w:ilvl="0">
      <w:startOverride w:val="1"/>
    </w:lvlOverride>
  </w:num>
  <w:num w:numId="76">
    <w:abstractNumId w:val="16"/>
    <w:lvlOverride w:ilvl="0">
      <w:startOverride w:val="80"/>
    </w:lvlOverride>
  </w:num>
  <w:num w:numId="77">
    <w:abstractNumId w:val="16"/>
    <w:lvlOverride w:ilvl="0">
      <w:startOverride w:val="81"/>
    </w:lvlOverride>
  </w:num>
  <w:num w:numId="78">
    <w:abstractNumId w:val="16"/>
    <w:lvlOverride w:ilvl="0">
      <w:startOverride w:val="83"/>
    </w:lvlOverride>
  </w:num>
  <w:num w:numId="79">
    <w:abstractNumId w:val="16"/>
    <w:lvlOverride w:ilvl="0">
      <w:startOverride w:val="84"/>
    </w:lvlOverride>
  </w:num>
  <w:num w:numId="80">
    <w:abstractNumId w:val="16"/>
    <w:lvlOverride w:ilvl="0">
      <w:startOverride w:val="85"/>
    </w:lvlOverride>
  </w:num>
  <w:num w:numId="81">
    <w:abstractNumId w:val="16"/>
    <w:lvlOverride w:ilvl="0">
      <w:startOverride w:val="90"/>
    </w:lvlOverride>
  </w:num>
  <w:num w:numId="82">
    <w:abstractNumId w:val="16"/>
    <w:lvlOverride w:ilvl="0">
      <w:startOverride w:val="93"/>
    </w:lvlOverride>
  </w:num>
  <w:num w:numId="83">
    <w:abstractNumId w:val="8"/>
    <w:lvlOverride w:ilvl="0">
      <w:startOverride w:val="1"/>
    </w:lvlOverride>
  </w:num>
  <w:num w:numId="84">
    <w:abstractNumId w:val="16"/>
    <w:lvlOverride w:ilvl="0">
      <w:startOverride w:val="94"/>
    </w:lvlOverride>
  </w:num>
  <w:num w:numId="85">
    <w:abstractNumId w:val="16"/>
    <w:lvlOverride w:ilvl="0">
      <w:startOverride w:val="95"/>
    </w:lvlOverride>
  </w:num>
  <w:num w:numId="86">
    <w:abstractNumId w:val="16"/>
    <w:lvlOverride w:ilvl="0">
      <w:startOverride w:val="96"/>
    </w:lvlOverride>
  </w:num>
  <w:num w:numId="87">
    <w:abstractNumId w:val="16"/>
    <w:lvlOverride w:ilvl="0">
      <w:startOverride w:val="97"/>
    </w:lvlOverride>
  </w:num>
  <w:num w:numId="88">
    <w:abstractNumId w:val="16"/>
    <w:lvlOverride w:ilvl="0">
      <w:startOverride w:val="101"/>
    </w:lvlOverride>
  </w:num>
  <w:num w:numId="89">
    <w:abstractNumId w:val="16"/>
    <w:lvlOverride w:ilvl="0">
      <w:startOverride w:val="103"/>
    </w:lvlOverride>
  </w:num>
  <w:num w:numId="90">
    <w:abstractNumId w:val="16"/>
    <w:lvlOverride w:ilvl="0">
      <w:startOverride w:val="104"/>
    </w:lvlOverride>
  </w:num>
  <w:num w:numId="91">
    <w:abstractNumId w:val="16"/>
    <w:lvlOverride w:ilvl="0">
      <w:startOverride w:val="105"/>
    </w:lvlOverride>
  </w:num>
  <w:num w:numId="92">
    <w:abstractNumId w:val="16"/>
    <w:lvlOverride w:ilvl="0">
      <w:startOverride w:val="106"/>
    </w:lvlOverride>
  </w:num>
  <w:num w:numId="93">
    <w:abstractNumId w:val="16"/>
    <w:lvlOverride w:ilvl="0">
      <w:startOverride w:val="109"/>
    </w:lvlOverride>
  </w:num>
  <w:num w:numId="94">
    <w:abstractNumId w:val="16"/>
    <w:lvlOverride w:ilvl="0">
      <w:startOverride w:val="112"/>
    </w:lvlOverride>
  </w:num>
  <w:num w:numId="95">
    <w:abstractNumId w:val="16"/>
    <w:lvlOverride w:ilvl="0">
      <w:startOverride w:val="115"/>
    </w:lvlOverride>
  </w:num>
  <w:num w:numId="96">
    <w:abstractNumId w:val="16"/>
    <w:lvlOverride w:ilvl="0">
      <w:startOverride w:val="116"/>
    </w:lvlOverride>
  </w:num>
  <w:num w:numId="97">
    <w:abstractNumId w:val="16"/>
    <w:lvlOverride w:ilvl="0">
      <w:startOverride w:val="126"/>
    </w:lvlOverride>
  </w:num>
  <w:num w:numId="98">
    <w:abstractNumId w:val="16"/>
    <w:lvlOverride w:ilvl="0">
      <w:startOverride w:val="128"/>
    </w:lvlOverride>
  </w:num>
  <w:num w:numId="99">
    <w:abstractNumId w:val="16"/>
    <w:lvlOverride w:ilvl="0">
      <w:startOverride w:val="136"/>
    </w:lvlOverride>
  </w:num>
  <w:num w:numId="100">
    <w:abstractNumId w:val="16"/>
    <w:lvlOverride w:ilvl="0">
      <w:startOverride w:val="139"/>
    </w:lvlOverride>
  </w:num>
  <w:num w:numId="101">
    <w:abstractNumId w:val="10"/>
    <w:lvlOverride w:ilvl="0">
      <w:startOverride w:val="1"/>
    </w:lvlOverride>
  </w:num>
  <w:numIdMacAtCleanup w:val="21"/>
</w:numbering>
</file>

<file path=word/settings.xml><?xml version="1.0" encoding="utf-8"?>
<w:setting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zoom w:percent="110"/>
  <w:proofState w:spelling="clean" w:grammar="clean"/>
  <w:stylePaneFormatFilter w:val="1001"/>
  <w:stylePaneSortMethod w:val="0000"/>
  <w:documentProtection w:formatting="true" w:enforcement="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B7B"/>
    <w:rsid w:val="0003597A"/>
    <w:rsid w:val="00042DF8"/>
    <w:rsid w:val="00072148"/>
    <w:rsid w:val="000A5273"/>
    <w:rsid w:val="000A5625"/>
    <w:rsid w:val="000A6DFA"/>
    <w:rsid w:val="000B2FCF"/>
    <w:rsid w:val="000C1A83"/>
    <w:rsid w:val="000D1F26"/>
    <w:rsid w:val="00111EC5"/>
    <w:rsid w:val="00121EC3"/>
    <w:rsid w:val="001338EF"/>
    <w:rsid w:val="00153E6E"/>
    <w:rsid w:val="00162707"/>
    <w:rsid w:val="001751EB"/>
    <w:rsid w:val="001820C8"/>
    <w:rsid w:val="00194D5E"/>
    <w:rsid w:val="00196071"/>
    <w:rsid w:val="001A3504"/>
    <w:rsid w:val="001B5128"/>
    <w:rsid w:val="001B7A55"/>
    <w:rsid w:val="001C3ADC"/>
    <w:rsid w:val="001C6E19"/>
    <w:rsid w:val="001D4762"/>
    <w:rsid w:val="001E75B2"/>
    <w:rsid w:val="00201CA2"/>
    <w:rsid w:val="00217987"/>
    <w:rsid w:val="002316E1"/>
    <w:rsid w:val="00251EE4"/>
    <w:rsid w:val="002541A8"/>
    <w:rsid w:val="00266EE1"/>
    <w:rsid w:val="00277342"/>
    <w:rsid w:val="002813BA"/>
    <w:rsid w:val="00287CB0"/>
    <w:rsid w:val="00292360"/>
    <w:rsid w:val="002A0321"/>
    <w:rsid w:val="002B5896"/>
    <w:rsid w:val="002D6852"/>
    <w:rsid w:val="00326903"/>
    <w:rsid w:val="00370C13"/>
    <w:rsid w:val="00372DFF"/>
    <w:rsid w:val="00375B64"/>
    <w:rsid w:val="00392276"/>
    <w:rsid w:val="003C07B8"/>
    <w:rsid w:val="003C2324"/>
    <w:rsid w:val="003C5ECC"/>
    <w:rsid w:val="003E2F29"/>
    <w:rsid w:val="003E7136"/>
    <w:rsid w:val="003F31CE"/>
    <w:rsid w:val="0041314F"/>
    <w:rsid w:val="00455FA7"/>
    <w:rsid w:val="00474412"/>
    <w:rsid w:val="004913C9"/>
    <w:rsid w:val="004930AF"/>
    <w:rsid w:val="0049645A"/>
    <w:rsid w:val="004967FE"/>
    <w:rsid w:val="004A71FA"/>
    <w:rsid w:val="004C5062"/>
    <w:rsid w:val="004D5416"/>
    <w:rsid w:val="005302CC"/>
    <w:rsid w:val="005332AB"/>
    <w:rsid w:val="00542268"/>
    <w:rsid w:val="00546295"/>
    <w:rsid w:val="00555D49"/>
    <w:rsid w:val="00575582"/>
    <w:rsid w:val="00575FAB"/>
    <w:rsid w:val="005B5E79"/>
    <w:rsid w:val="005D42DF"/>
    <w:rsid w:val="00642328"/>
    <w:rsid w:val="00644A82"/>
    <w:rsid w:val="006709AA"/>
    <w:rsid w:val="00676B35"/>
    <w:rsid w:val="00677778"/>
    <w:rsid w:val="00680374"/>
    <w:rsid w:val="006A32FB"/>
    <w:rsid w:val="006A4211"/>
    <w:rsid w:val="006D3721"/>
    <w:rsid w:val="006E0C28"/>
    <w:rsid w:val="006E7434"/>
    <w:rsid w:val="00711F07"/>
    <w:rsid w:val="00720C07"/>
    <w:rsid w:val="007360E8"/>
    <w:rsid w:val="007403DF"/>
    <w:rsid w:val="00770D05"/>
    <w:rsid w:val="00781479"/>
    <w:rsid w:val="00796C0B"/>
    <w:rsid w:val="007B2534"/>
    <w:rsid w:val="007E28FE"/>
    <w:rsid w:val="007F4A55"/>
    <w:rsid w:val="008116B4"/>
    <w:rsid w:val="0081465C"/>
    <w:rsid w:val="00820AFE"/>
    <w:rsid w:val="00822024"/>
    <w:rsid w:val="00831DA1"/>
    <w:rsid w:val="00837FFD"/>
    <w:rsid w:val="00856777"/>
    <w:rsid w:val="008648A1"/>
    <w:rsid w:val="00873086"/>
    <w:rsid w:val="00882F5B"/>
    <w:rsid w:val="008942E1"/>
    <w:rsid w:val="008A0343"/>
    <w:rsid w:val="008D401E"/>
    <w:rsid w:val="008E0F12"/>
    <w:rsid w:val="008E4DC4"/>
    <w:rsid w:val="008F3D40"/>
    <w:rsid w:val="00904372"/>
    <w:rsid w:val="00931AD2"/>
    <w:rsid w:val="00934F67"/>
    <w:rsid w:val="0094336B"/>
    <w:rsid w:val="009459F3"/>
    <w:rsid w:val="0098476B"/>
    <w:rsid w:val="00996CC0"/>
    <w:rsid w:val="009B29A0"/>
    <w:rsid w:val="009C6388"/>
    <w:rsid w:val="009C744F"/>
    <w:rsid w:val="009F0F22"/>
    <w:rsid w:val="00A125DF"/>
    <w:rsid w:val="00A2002E"/>
    <w:rsid w:val="00A345A3"/>
    <w:rsid w:val="00A50595"/>
    <w:rsid w:val="00A666D2"/>
    <w:rsid w:val="00A742BC"/>
    <w:rsid w:val="00A7789C"/>
    <w:rsid w:val="00AC2B81"/>
    <w:rsid w:val="00AC41BF"/>
    <w:rsid w:val="00AE0713"/>
    <w:rsid w:val="00AE6B34"/>
    <w:rsid w:val="00AF2480"/>
    <w:rsid w:val="00B006AC"/>
    <w:rsid w:val="00B0201F"/>
    <w:rsid w:val="00B078D6"/>
    <w:rsid w:val="00B33ABF"/>
    <w:rsid w:val="00B57BBB"/>
    <w:rsid w:val="00B60310"/>
    <w:rsid w:val="00B73C96"/>
    <w:rsid w:val="00B74D80"/>
    <w:rsid w:val="00B914EB"/>
    <w:rsid w:val="00BC3E3E"/>
    <w:rsid w:val="00BF46E1"/>
    <w:rsid w:val="00C11B7B"/>
    <w:rsid w:val="00C13AF5"/>
    <w:rsid w:val="00C27F1D"/>
    <w:rsid w:val="00C40A7E"/>
    <w:rsid w:val="00C41222"/>
    <w:rsid w:val="00C45B9A"/>
    <w:rsid w:val="00C55929"/>
    <w:rsid w:val="00C60864"/>
    <w:rsid w:val="00C6655F"/>
    <w:rsid w:val="00C72D08"/>
    <w:rsid w:val="00C746C8"/>
    <w:rsid w:val="00C9448F"/>
    <w:rsid w:val="00CC23D0"/>
    <w:rsid w:val="00CD6864"/>
    <w:rsid w:val="00CF78E7"/>
    <w:rsid w:val="00D029A0"/>
    <w:rsid w:val="00D149D0"/>
    <w:rsid w:val="00D32E73"/>
    <w:rsid w:val="00D37BAC"/>
    <w:rsid w:val="00D82789"/>
    <w:rsid w:val="00D93D6E"/>
    <w:rsid w:val="00DA03B8"/>
    <w:rsid w:val="00DA4CFB"/>
    <w:rsid w:val="00DA6160"/>
    <w:rsid w:val="00DD45C9"/>
    <w:rsid w:val="00DE3552"/>
    <w:rsid w:val="00DF54D0"/>
    <w:rsid w:val="00E101FF"/>
    <w:rsid w:val="00E1232E"/>
    <w:rsid w:val="00E20610"/>
    <w:rsid w:val="00E20C5D"/>
    <w:rsid w:val="00E4356F"/>
    <w:rsid w:val="00E447C7"/>
    <w:rsid w:val="00E57842"/>
    <w:rsid w:val="00E605E5"/>
    <w:rsid w:val="00E827DB"/>
    <w:rsid w:val="00EB2D93"/>
    <w:rsid w:val="00ED3424"/>
    <w:rsid w:val="00ED5DE9"/>
    <w:rsid w:val="00EE61A9"/>
    <w:rsid w:val="00EF2FE1"/>
    <w:rsid w:val="00EF40A6"/>
    <w:rsid w:val="00EF4519"/>
    <w:rsid w:val="00F11B42"/>
    <w:rsid w:val="00F155CF"/>
    <w:rsid w:val="00F22B5D"/>
    <w:rsid w:val="00F36D30"/>
    <w:rsid w:val="00F52FDE"/>
    <w:rsid w:val="00F65F85"/>
    <w:rsid w:val="00F82171"/>
    <w:rsid w:val="00F822F4"/>
    <w:rsid w:val="00F82F2E"/>
    <w:rsid w:val="00F858CF"/>
    <w:rsid w:val="00F92C9B"/>
    <w:rsid w:val="00F9716D"/>
    <w:rsid w:val="00FB03B7"/>
    <w:rsid w:val="00FB528A"/>
    <w:rsid w:val="00FE376B"/>
    <w:rsid w:val="00FF0BFE"/>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spidmax="1026" v:ext="edit"/>
    <o:shapelayout v:ext="edit">
      <o:idmap data="1" v:ext="edit"/>
    </o:shapelayout>
  </w:shapeDefaults>
  <w:decimalSymbol w:val="."/>
  <w:listSeparator w:val=","/>
</w:settings>
</file>

<file path=word/styles.xml><?xml version="1.0" encoding="utf-8"?>
<w:styl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docDefaults>
    <w:rPrDefault>
      <w:rPr>
        <w:rFonts w:ascii="Arial" w:hAnsi="Arial" w:eastAsia="Calibri" w:cs="Times New Roman"/>
        <w:sz w:val="24"/>
        <w:szCs w:val="24"/>
        <w:lang w:val="en-AU" w:eastAsia="en-AU" w:bidi="ar-SA"/>
      </w:rPr>
    </w:rPrDefault>
    <w:pPrDefault/>
  </w:docDefaults>
  <w:latentStyles w:defLockedState="true" w:defUIPriority="99" w:defSemiHidden="true" w:defUnhideWhenUsed="true" w:defQFormat="false" w:count="267">
    <w:lsdException w:name="Normal" w:locked="false" w:uiPriority="0" w:semiHidden="false" w:unhideWhenUsed="false"/>
    <w:lsdException w:name="heading 1" w:locked="false" w:uiPriority="0" w:semiHidden="false" w:unhideWhenUsed="false" w:qFormat="true"/>
    <w:lsdException w:name="heading 2" w:locked="false" w:uiPriority="0" w:qFormat="true"/>
    <w:lsdException w:name="heading 3" w:locked="false" w:uiPriority="0" w:qFormat="true"/>
    <w:lsdException w:name="heading 4" w:uiPriority="0" w:qFormat="true"/>
    <w:lsdException w:name="heading 5" w:locked="false" w:uiPriority="0" w:qFormat="true"/>
    <w:lsdException w:name="heading 6" w:uiPriority="0" w:qFormat="true"/>
    <w:lsdException w:name="heading 7" w:qFormat="true"/>
    <w:lsdException w:name="heading 8" w:qFormat="true"/>
    <w:lsdException w:name="heading 9" w:qFormat="true"/>
    <w:lsdException w:name="toc 1" w:uiPriority="39" w:qFormat="true"/>
    <w:lsdException w:name="toc 2" w:uiPriority="39" w:qFormat="true"/>
    <w:lsdException w:name="toc 3" w:uiPriority="39" w:qFormat="true"/>
    <w:lsdException w:name="toc 4" w:uiPriority="39"/>
    <w:lsdException w:name="toc 5" w:uiPriority="39"/>
    <w:lsdException w:name="toc 6" w:uiPriority="39"/>
    <w:lsdException w:name="toc 7" w:uiPriority="39"/>
    <w:lsdException w:name="toc 8" w:uiPriority="39"/>
    <w:lsdException w:name="toc 9" w:uiPriority="39"/>
    <w:lsdException w:name="caption" w:qFormat="true"/>
    <w:lsdException w:name="annotation reference" w:uiPriority="0"/>
    <w:lsdException w:name="Title" w:uiPriority="10" w:unhideWhenUsed="false" w:qFormat="true"/>
    <w:lsdException w:name="Default Paragraph Font" w:locked="false" w:uiPriority="1"/>
    <w:lsdException w:name="Body Text" w:locked="false" w:uiPriority="0"/>
    <w:lsdException w:name="Body Text Indent" w:locked="false"/>
    <w:lsdException w:name="Subtitle" w:uiPriority="11" w:unhideWhenUsed="false" w:qFormat="true"/>
    <w:lsdException w:name="Body Text First Indent" w:locked="false"/>
    <w:lsdException w:name="Body Text First Indent 2" w:locked="false"/>
    <w:lsdException w:name="Body Text 2" w:locked="false"/>
    <w:lsdException w:name="Body Text 3" w:locked="false"/>
    <w:lsdException w:name="FollowedHyperlink" w:uiPriority="0"/>
    <w:lsdException w:name="Strong" w:locked="false" w:uiPriority="22" w:unhideWhenUsed="false" w:qFormat="true"/>
    <w:lsdException w:name="Emphasis" w:uiPriority="20" w:unhideWhenUsed="false" w:qFormat="true"/>
    <w:lsdException w:name="HTML Top of Form" w:locked="false"/>
    <w:lsdException w:name="HTML Bottom of Form" w:locked="false"/>
    <w:lsdException w:name="Normal Table" w:locked="false"/>
    <w:lsdException w:name="No List" w:locked="false"/>
    <w:lsdException w:name="Balloon Text" w:locked="false"/>
    <w:lsdException w:name="Table Grid" w:locked="false" w:uiPriority="59" w:semiHidden="false" w:unhideWhenUsed="false"/>
    <w:lsdException w:name="Placeholder Text" w:locked="false" w:unhideWhenUsed="false"/>
    <w:lsdException w:name="No Spacing" w:uiPriority="1" w:unhideWhenUsed="false" w:qFormat="true"/>
    <w:lsdException w:name="Light Shading" w:uiPriority="60" w:semiHidden="false" w:unhideWhenUsed="false"/>
    <w:lsdException w:name="Light List" w:uiPriority="61" w:semiHidden="false" w:unhideWhenUsed="false"/>
    <w:lsdException w:name="Light Grid" w:uiPriority="62" w:semiHidden="false" w:unhideWhenUsed="false"/>
    <w:lsdException w:name="Medium Shading 1" w:uiPriority="63" w:semiHidden="false" w:unhideWhenUsed="false"/>
    <w:lsdException w:name="Medium Shading 2" w:uiPriority="64" w:semiHidden="false" w:unhideWhenUsed="false"/>
    <w:lsdException w:name="Medium List 1" w:uiPriority="65" w:semiHidden="false" w:unhideWhenUsed="false"/>
    <w:lsdException w:name="Medium List 2" w:uiPriority="66" w:semiHidden="false" w:unhideWhenUsed="false"/>
    <w:lsdException w:name="Medium Grid 1" w:uiPriority="67" w:semiHidden="false" w:unhideWhenUsed="false"/>
    <w:lsdException w:name="Medium Grid 2" w:uiPriority="68" w:semiHidden="false" w:unhideWhenUsed="false"/>
    <w:lsdException w:name="Medium Grid 3" w:uiPriority="69" w:semiHidden="false" w:unhideWhenUsed="false"/>
    <w:lsdException w:name="Dark List" w:uiPriority="70" w:semiHidden="false" w:unhideWhenUsed="false"/>
    <w:lsdException w:name="Colorful Shading" w:uiPriority="71" w:semiHidden="false" w:unhideWhenUsed="false"/>
    <w:lsdException w:name="Colorful List" w:uiPriority="72" w:semiHidden="false" w:unhideWhenUsed="false"/>
    <w:lsdException w:name="Colorful Grid" w:uiPriority="73" w:semiHidden="false" w:unhideWhenUsed="false"/>
    <w:lsdException w:name="Light Shading Accent 1" w:uiPriority="60" w:semiHidden="false" w:unhideWhenUsed="false"/>
    <w:lsdException w:name="Light List Accent 1" w:uiPriority="61" w:semiHidden="false" w:unhideWhenUsed="false"/>
    <w:lsdException w:name="Light Grid Accent 1" w:uiPriority="62" w:semiHidden="false" w:unhideWhenUsed="false"/>
    <w:lsdException w:name="Medium Shading 1 Accent 1" w:uiPriority="63" w:semiHidden="false" w:unhideWhenUsed="false"/>
    <w:lsdException w:name="Medium Shading 2 Accent 1" w:uiPriority="64" w:semiHidden="false" w:unhideWhenUsed="false"/>
    <w:lsdException w:name="Medium List 1 Accent 1" w:uiPriority="65" w:semiHidden="false" w:unhideWhenUsed="false"/>
    <w:lsdException w:name="Revision" w:locked="false" w:unhideWhenUsed="false"/>
    <w:lsdException w:name="List Paragraph" w:uiPriority="34" w:unhideWhenUsed="false" w:qFormat="true"/>
    <w:lsdException w:name="Quote" w:uiPriority="29" w:unhideWhenUsed="false" w:qFormat="true"/>
    <w:lsdException w:name="Intense Quote" w:uiPriority="30" w:unhideWhenUsed="false" w:qFormat="true"/>
    <w:lsdException w:name="Medium List 2 Accent 1" w:uiPriority="66" w:semiHidden="false" w:unhideWhenUsed="false"/>
    <w:lsdException w:name="Medium Grid 1 Accent 1" w:uiPriority="67" w:semiHidden="false" w:unhideWhenUsed="false"/>
    <w:lsdException w:name="Medium Grid 2 Accent 1" w:uiPriority="68" w:semiHidden="false" w:unhideWhenUsed="false"/>
    <w:lsdException w:name="Medium Grid 3 Accent 1" w:uiPriority="69" w:semiHidden="false" w:unhideWhenUsed="false"/>
    <w:lsdException w:name="Dark List Accent 1" w:uiPriority="70" w:semiHidden="false" w:unhideWhenUsed="false"/>
    <w:lsdException w:name="Colorful Shading Accent 1" w:uiPriority="71" w:semiHidden="false" w:unhideWhenUsed="false"/>
    <w:lsdException w:name="Colorful List Accent 1" w:uiPriority="72" w:semiHidden="false" w:unhideWhenUsed="false"/>
    <w:lsdException w:name="Colorful Grid Accent 1" w:uiPriority="73" w:semiHidden="false" w:unhideWhenUsed="false"/>
    <w:lsdException w:name="Light Shading Accent 2" w:uiPriority="60" w:semiHidden="false" w:unhideWhenUsed="false"/>
    <w:lsdException w:name="Light List Accent 2" w:uiPriority="61" w:semiHidden="false" w:unhideWhenUsed="false"/>
    <w:lsdException w:name="Light Grid Accent 2" w:uiPriority="62" w:semiHidden="false" w:unhideWhenUsed="false"/>
    <w:lsdException w:name="Medium Shading 1 Accent 2" w:uiPriority="63" w:semiHidden="false" w:unhideWhenUsed="false"/>
    <w:lsdException w:name="Medium Shading 2 Accent 2" w:uiPriority="64" w:semiHidden="false" w:unhideWhenUsed="false"/>
    <w:lsdException w:name="Medium List 1 Accent 2" w:uiPriority="65" w:semiHidden="false" w:unhideWhenUsed="false"/>
    <w:lsdException w:name="Medium List 2 Accent 2" w:uiPriority="66" w:semiHidden="false" w:unhideWhenUsed="false"/>
    <w:lsdException w:name="Medium Grid 1 Accent 2" w:uiPriority="67" w:semiHidden="false" w:unhideWhenUsed="false"/>
    <w:lsdException w:name="Medium Grid 2 Accent 2" w:uiPriority="68" w:semiHidden="false" w:unhideWhenUsed="false"/>
    <w:lsdException w:name="Medium Grid 3 Accent 2" w:uiPriority="69" w:semiHidden="false" w:unhideWhenUsed="false"/>
    <w:lsdException w:name="Dark List Accent 2" w:uiPriority="70" w:semiHidden="false" w:unhideWhenUsed="false"/>
    <w:lsdException w:name="Colorful Shading Accent 2" w:uiPriority="71" w:semiHidden="false" w:unhideWhenUsed="false"/>
    <w:lsdException w:name="Colorful List Accent 2" w:uiPriority="72" w:semiHidden="false" w:unhideWhenUsed="false"/>
    <w:lsdException w:name="Colorful Grid Accent 2" w:uiPriority="73" w:semiHidden="false" w:unhideWhenUsed="false"/>
    <w:lsdException w:name="Light Shading Accent 3" w:uiPriority="60" w:semiHidden="false" w:unhideWhenUsed="false"/>
    <w:lsdException w:name="Light List Accent 3" w:uiPriority="61" w:semiHidden="false" w:unhideWhenUsed="false"/>
    <w:lsdException w:name="Light Grid Accent 3" w:uiPriority="62" w:semiHidden="false" w:unhideWhenUsed="false"/>
    <w:lsdException w:name="Medium Shading 1 Accent 3" w:uiPriority="63" w:semiHidden="false" w:unhideWhenUsed="false"/>
    <w:lsdException w:name="Medium Shading 2 Accent 3" w:uiPriority="64" w:semiHidden="false" w:unhideWhenUsed="false"/>
    <w:lsdException w:name="Medium List 1 Accent 3" w:uiPriority="65" w:semiHidden="false" w:unhideWhenUsed="false"/>
    <w:lsdException w:name="Medium List 2 Accent 3" w:uiPriority="66" w:semiHidden="false" w:unhideWhenUsed="false"/>
    <w:lsdException w:name="Medium Grid 1 Accent 3" w:uiPriority="67" w:semiHidden="false" w:unhideWhenUsed="false"/>
    <w:lsdException w:name="Medium Grid 2 Accent 3" w:uiPriority="68" w:semiHidden="false" w:unhideWhenUsed="false"/>
    <w:lsdException w:name="Medium Grid 3 Accent 3" w:uiPriority="69" w:semiHidden="false" w:unhideWhenUsed="false"/>
    <w:lsdException w:name="Dark List Accent 3" w:uiPriority="70" w:semiHidden="false" w:unhideWhenUsed="false"/>
    <w:lsdException w:name="Colorful Shading Accent 3" w:uiPriority="71" w:semiHidden="false" w:unhideWhenUsed="false"/>
    <w:lsdException w:name="Colorful List Accent 3" w:uiPriority="72" w:semiHidden="false" w:unhideWhenUsed="false"/>
    <w:lsdException w:name="Colorful Grid Accent 3" w:uiPriority="73" w:semiHidden="false" w:unhideWhenUsed="false"/>
    <w:lsdException w:name="Light Shading Accent 4" w:uiPriority="60" w:semiHidden="false" w:unhideWhenUsed="false"/>
    <w:lsdException w:name="Light List Accent 4" w:uiPriority="61" w:semiHidden="false" w:unhideWhenUsed="false"/>
    <w:lsdException w:name="Light Grid Accent 4" w:uiPriority="62" w:semiHidden="false" w:unhideWhenUsed="false"/>
    <w:lsdException w:name="Medium Shading 1 Accent 4" w:uiPriority="63" w:semiHidden="false" w:unhideWhenUsed="false"/>
    <w:lsdException w:name="Medium Shading 2 Accent 4" w:uiPriority="64" w:semiHidden="false" w:unhideWhenUsed="false"/>
    <w:lsdException w:name="Medium List 1 Accent 4" w:uiPriority="65" w:semiHidden="false" w:unhideWhenUsed="false"/>
    <w:lsdException w:name="Medium List 2 Accent 4" w:uiPriority="66" w:semiHidden="false" w:unhideWhenUsed="false"/>
    <w:lsdException w:name="Medium Grid 1 Accent 4" w:uiPriority="67" w:semiHidden="false" w:unhideWhenUsed="false"/>
    <w:lsdException w:name="Medium Grid 2 Accent 4" w:uiPriority="68" w:semiHidden="false" w:unhideWhenUsed="false"/>
    <w:lsdException w:name="Medium Grid 3 Accent 4" w:uiPriority="69" w:semiHidden="false" w:unhideWhenUsed="false"/>
    <w:lsdException w:name="Dark List Accent 4" w:uiPriority="70" w:semiHidden="false" w:unhideWhenUsed="false"/>
    <w:lsdException w:name="Colorful Shading Accent 4" w:uiPriority="71" w:semiHidden="false" w:unhideWhenUsed="false"/>
    <w:lsdException w:name="Colorful List Accent 4" w:uiPriority="72" w:semiHidden="false" w:unhideWhenUsed="false"/>
    <w:lsdException w:name="Colorful Grid Accent 4" w:uiPriority="73" w:semiHidden="false" w:unhideWhenUsed="false"/>
    <w:lsdException w:name="Light Shading Accent 5" w:uiPriority="60" w:semiHidden="false" w:unhideWhenUsed="false"/>
    <w:lsdException w:name="Light List Accent 5" w:uiPriority="61" w:semiHidden="false" w:unhideWhenUsed="false"/>
    <w:lsdException w:name="Light Grid Accent 5" w:uiPriority="62" w:semiHidden="false" w:unhideWhenUsed="false"/>
    <w:lsdException w:name="Medium Shading 1 Accent 5" w:uiPriority="63" w:semiHidden="false" w:unhideWhenUsed="false"/>
    <w:lsdException w:name="Medium Shading 2 Accent 5" w:uiPriority="64" w:semiHidden="false" w:unhideWhenUsed="false"/>
    <w:lsdException w:name="Medium List 1 Accent 5" w:uiPriority="65" w:semiHidden="false" w:unhideWhenUsed="false"/>
    <w:lsdException w:name="Medium List 2 Accent 5" w:uiPriority="66" w:semiHidden="false" w:unhideWhenUsed="false"/>
    <w:lsdException w:name="Medium Grid 1 Accent 5" w:uiPriority="67" w:semiHidden="false" w:unhideWhenUsed="false"/>
    <w:lsdException w:name="Medium Grid 2 Accent 5" w:uiPriority="68" w:semiHidden="false" w:unhideWhenUsed="false"/>
    <w:lsdException w:name="Medium Grid 3 Accent 5" w:uiPriority="69" w:semiHidden="false" w:unhideWhenUsed="false"/>
    <w:lsdException w:name="Dark List Accent 5" w:uiPriority="70" w:semiHidden="false" w:unhideWhenUsed="false"/>
    <w:lsdException w:name="Colorful Shading Accent 5" w:uiPriority="71" w:semiHidden="false" w:unhideWhenUsed="false"/>
    <w:lsdException w:name="Colorful List Accent 5" w:uiPriority="72" w:semiHidden="false" w:unhideWhenUsed="false"/>
    <w:lsdException w:name="Colorful Grid Accent 5" w:uiPriority="73" w:semiHidden="false" w:unhideWhenUsed="false"/>
    <w:lsdException w:name="Light Shading Accent 6" w:uiPriority="60" w:semiHidden="false" w:unhideWhenUsed="false"/>
    <w:lsdException w:name="Light List Accent 6" w:uiPriority="61" w:semiHidden="false" w:unhideWhenUsed="false"/>
    <w:lsdException w:name="Light Grid Accent 6" w:uiPriority="62" w:semiHidden="false" w:unhideWhenUsed="false"/>
    <w:lsdException w:name="Medium Shading 1 Accent 6" w:uiPriority="63" w:semiHidden="false" w:unhideWhenUsed="false"/>
    <w:lsdException w:name="Medium Shading 2 Accent 6" w:uiPriority="64" w:semiHidden="false" w:unhideWhenUsed="false"/>
    <w:lsdException w:name="Medium List 1 Accent 6" w:uiPriority="65" w:semiHidden="false" w:unhideWhenUsed="false"/>
    <w:lsdException w:name="Medium List 2 Accent 6" w:uiPriority="66" w:semiHidden="false" w:unhideWhenUsed="false"/>
    <w:lsdException w:name="Medium Grid 1 Accent 6" w:uiPriority="67" w:semiHidden="false" w:unhideWhenUsed="false"/>
    <w:lsdException w:name="Medium Grid 2 Accent 6" w:uiPriority="68" w:semiHidden="false" w:unhideWhenUsed="false"/>
    <w:lsdException w:name="Medium Grid 3 Accent 6" w:uiPriority="69" w:semiHidden="false" w:unhideWhenUsed="false"/>
    <w:lsdException w:name="Dark List Accent 6" w:uiPriority="70" w:semiHidden="false" w:unhideWhenUsed="false"/>
    <w:lsdException w:name="Colorful Shading Accent 6" w:uiPriority="71" w:semiHidden="false" w:unhideWhenUsed="false"/>
    <w:lsdException w:name="Colorful List Accent 6" w:uiPriority="72" w:semiHidden="false" w:unhideWhenUsed="false"/>
    <w:lsdException w:name="Colorful Grid Accent 6" w:uiPriority="73" w:semiHidden="false" w:unhideWhenUsed="false"/>
    <w:lsdException w:name="Subtle Emphasis" w:uiPriority="19" w:unhideWhenUsed="false" w:qFormat="true"/>
    <w:lsdException w:name="Intense Emphasis" w:uiPriority="21" w:unhideWhenUsed="false" w:qFormat="true"/>
    <w:lsdException w:name="Subtle Reference" w:uiPriority="31" w:unhideWhenUsed="false" w:qFormat="true"/>
    <w:lsdException w:name="Intense Reference" w:uiPriority="32" w:unhideWhenUsed="false" w:qFormat="true"/>
    <w:lsdException w:name="Book Title" w:uiPriority="33" w:unhideWhenUsed="false" w:qFormat="true"/>
    <w:lsdException w:name="Bibliography" w:uiPriority="37"/>
    <w:lsdException w:name="TOC Heading" w:uiPriority="39" w:qFormat="true"/>
  </w:latentStyles>
  <w:style w:type="paragraph" w:styleId="Normal" w:default="true">
    <w:name w:val="Normal"/>
    <w:semiHidden/>
    <w:rsid w:val="009459F3"/>
    <w:pPr>
      <w:spacing w:after="200" w:line="276" w:lineRule="auto"/>
    </w:pPr>
  </w:style>
  <w:style w:type="paragraph" w:styleId="Heading1">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before="240" w:after="60"/>
      <w:outlineLvl w:val="0"/>
    </w:pPr>
    <w:rPr>
      <w:rFonts w:asciiTheme="majorHAnsi" w:hAnsiTheme="majorHAnsi" w:eastAsiaTheme="majorEastAsia" w:cstheme="majorBidi"/>
      <w:b/>
      <w:bCs/>
      <w:kern w:val="32"/>
      <w:sz w:val="32"/>
      <w:szCs w:val="32"/>
    </w:rPr>
  </w:style>
  <w:style w:type="paragraph" w:styleId="Heading2">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before="240" w:after="60"/>
      <w:outlineLvl w:val="1"/>
    </w:pPr>
    <w:rPr>
      <w:rFonts w:asciiTheme="majorHAnsi" w:hAnsiTheme="majorHAnsi" w:eastAsiaTheme="majorEastAsia" w:cstheme="majorBidi"/>
      <w:b/>
      <w:bCs/>
      <w:i/>
      <w:iCs/>
      <w:sz w:val="28"/>
      <w:szCs w:val="28"/>
    </w:rPr>
  </w:style>
  <w:style w:type="paragraph" w:styleId="Heading3">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before="240" w:after="60"/>
      <w:outlineLvl w:val="2"/>
    </w:pPr>
    <w:rPr>
      <w:rFonts w:asciiTheme="majorHAnsi" w:hAnsiTheme="majorHAnsi" w:eastAsiaTheme="majorEastAsia" w:cstheme="majorBidi"/>
      <w:b/>
      <w:bCs/>
      <w:sz w:val="26"/>
      <w:szCs w:val="26"/>
    </w:rPr>
  </w:style>
  <w:style w:type="paragraph" w:styleId="Heading4">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aliases w:val="Level 3 - i,5,Normal5,Level 3 - (i)"/>
    <w:basedOn w:val="Heading4"/>
    <w:next w:val="Normal"/>
    <w:link w:val="Heading5Char"/>
    <w:semiHidden/>
    <w:unhideWhenUsed/>
    <w:qFormat/>
    <w:rsid w:val="00E1232E"/>
    <w:pPr>
      <w:keepLines w:val="false"/>
      <w:tabs>
        <w:tab w:val="num" w:pos="1008"/>
      </w:tabs>
      <w:spacing w:before="240" w:after="120" w:line="300" w:lineRule="auto"/>
      <w:ind w:left="1008" w:hanging="1008"/>
      <w:outlineLvl w:val="4"/>
    </w:pPr>
    <w:rPr>
      <w:rFonts w:ascii="Arial" w:hAnsi="Arial" w:eastAsia="Times New Roman" w:cs="Arial"/>
      <w:b w:val="false"/>
      <w:i w:val="false"/>
      <w:iCs w:val="false"/>
      <w:color w:val="auto"/>
      <w:szCs w:val="28"/>
      <w:lang w:eastAsia="en-US"/>
    </w:rPr>
  </w:style>
  <w:style w:type="paragraph" w:styleId="Heading6">
    <w:name w:val="heading 6"/>
    <w:aliases w:val="Legal Level 1.,Body Text 5,Normal6"/>
    <w:basedOn w:val="Heading5"/>
    <w:next w:val="Normal"/>
    <w:link w:val="Heading6Char"/>
    <w:semiHidden/>
    <w:unhideWhenUsed/>
    <w:qFormat/>
    <w:locked/>
    <w:rsid w:val="00E1232E"/>
    <w:pPr>
      <w:tabs>
        <w:tab w:val="clear" w:pos="1008"/>
        <w:tab w:val="num" w:pos="1152"/>
      </w:tabs>
      <w:ind w:left="1152" w:hanging="1152"/>
      <w:outlineLvl w:val="5"/>
    </w:pPr>
  </w:style>
  <w:style w:type="paragraph" w:styleId="Heading7">
    <w:name w:val="heading 7"/>
    <w:aliases w:val="Legal Level 1.1.,Body Text 6,Heading 7(unused),Normal7"/>
    <w:basedOn w:val="Heading6"/>
    <w:next w:val="Normal"/>
    <w:link w:val="Heading7Char"/>
    <w:uiPriority w:val="99"/>
    <w:semiHidden/>
    <w:unhideWhenUsed/>
    <w:qFormat/>
    <w:locked/>
    <w:rsid w:val="00E1232E"/>
    <w:pPr>
      <w:tabs>
        <w:tab w:val="clear" w:pos="1152"/>
        <w:tab w:val="num" w:pos="1296"/>
      </w:tabs>
      <w:ind w:left="1296" w:hanging="1296"/>
      <w:outlineLvl w:val="6"/>
    </w:pPr>
  </w:style>
  <w:style w:type="paragraph" w:styleId="Heading8">
    <w:name w:val="heading 8"/>
    <w:aliases w:val="Legal Level 1.1.1.,Body Text 7,Heading 8(unused),Heading 8 (Start Appendices),Normal8"/>
    <w:basedOn w:val="Heading7"/>
    <w:next w:val="Normal"/>
    <w:link w:val="Heading8Char"/>
    <w:uiPriority w:val="99"/>
    <w:semiHidden/>
    <w:unhideWhenUsed/>
    <w:qFormat/>
    <w:locked/>
    <w:rsid w:val="00E1232E"/>
    <w:pPr>
      <w:tabs>
        <w:tab w:val="clear" w:pos="1296"/>
        <w:tab w:val="num" w:pos="1440"/>
      </w:tabs>
      <w:ind w:left="1440" w:hanging="1440"/>
      <w:outlineLvl w:val="7"/>
    </w:pPr>
  </w:style>
  <w:style w:type="paragraph" w:styleId="Heading9">
    <w:name w:val="heading 9"/>
    <w:aliases w:val="Legal Level 1.1.1.1.,Body Text 8,Heading 9(unused),Appendix"/>
    <w:basedOn w:val="Heading8"/>
    <w:next w:val="Normal"/>
    <w:link w:val="Heading9Char"/>
    <w:uiPriority w:val="99"/>
    <w:semiHidden/>
    <w:unhideWhenUsed/>
    <w:qFormat/>
    <w:locked/>
    <w:rsid w:val="00E1232E"/>
    <w:pPr>
      <w:tabs>
        <w:tab w:val="clear" w:pos="1440"/>
        <w:tab w:val="num" w:pos="1584"/>
      </w:tabs>
      <w:ind w:left="1584" w:hanging="1584"/>
      <w:outlineLvl w:val="8"/>
    </w:pPr>
  </w:style>
  <w:style w:type="character" w:styleId="DefaultParagraphFont" w:default="true">
    <w:name w:val="Default Paragraph Font"/>
    <w:uiPriority w:val="1"/>
    <w:semiHidden/>
    <w:unhideWhenUsed/>
  </w:style>
  <w:style w:type="table" w:styleId="TableNormal" w:default="true">
    <w:name w:val="Normal Table"/>
    <w:uiPriority w:val="99"/>
    <w:semiHidden/>
    <w:unhideWhenUsed/>
    <w:tblPr>
      <w:tblInd w:w="0" w:type="dxa"/>
      <w:tblCellMar>
        <w:top w:w="0" w:type="dxa"/>
        <w:left w:w="108" w:type="dxa"/>
        <w:bottom w:w="0" w:type="dxa"/>
        <w:right w:w="108" w:type="dxa"/>
      </w:tblCellMar>
    </w:tblPr>
  </w:style>
  <w:style w:type="numbering" w:styleId="NoList" w:default="true">
    <w:name w:val="No List"/>
    <w:uiPriority w:val="99"/>
    <w:semiHidden/>
    <w:unhideWhenUsed/>
  </w:style>
  <w:style w:type="paragraph" w:styleId="CaselawCoversheet" w:customStyle="true">
    <w:name w:val="Caselaw Coversheet"/>
    <w:basedOn w:val="Normal"/>
    <w:qFormat/>
    <w:rsid w:val="009C6388"/>
    <w:pPr>
      <w:spacing w:after="0" w:line="240" w:lineRule="auto"/>
    </w:pPr>
    <w:rPr>
      <w:rFonts w:cs="Arial"/>
    </w:rPr>
  </w:style>
  <w:style w:type="paragraph" w:styleId="CaselawNormal" w:customStyle="true">
    <w:name w:val="Caselaw Normal"/>
    <w:basedOn w:val="CaselawCoversheet"/>
    <w:uiPriority w:val="6"/>
    <w:qFormat/>
    <w:locked/>
    <w:rsid w:val="007360E8"/>
    <w:pPr>
      <w:spacing w:after="240" w:line="360" w:lineRule="auto"/>
      <w:ind w:left="720"/>
    </w:pPr>
  </w:style>
  <w:style w:type="paragraph" w:styleId="CaselawNumbered10" w:customStyle="true">
    <w:name w:val="Caselaw Numbered 1"/>
    <w:basedOn w:val="CaselawNormal"/>
    <w:uiPriority w:val="5"/>
    <w:qFormat/>
    <w:rsid w:val="007360E8"/>
    <w:pPr>
      <w:numPr>
        <w:numId w:val="1"/>
      </w:numPr>
      <w:ind w:left="720" w:hanging="720"/>
    </w:pPr>
  </w:style>
  <w:style w:type="paragraph" w:styleId="CaselawNumbered1" w:customStyle="true">
    <w:name w:val="Caselaw Numbered (1)"/>
    <w:basedOn w:val="CaselawNumbered10"/>
    <w:qFormat/>
    <w:rsid w:val="000A5273"/>
    <w:pPr>
      <w:numPr>
        <w:numId w:val="2"/>
      </w:numPr>
      <w:spacing w:after="360" w:line="240" w:lineRule="auto"/>
      <w:ind w:left="1440" w:hanging="720"/>
    </w:pPr>
  </w:style>
  <w:style w:type="paragraph" w:styleId="CaselawNumbereda" w:customStyle="true">
    <w:name w:val="Caselaw Numbered (a)"/>
    <w:basedOn w:val="CaselawNumbered1"/>
    <w:qFormat/>
    <w:rsid w:val="006E7434"/>
    <w:pPr>
      <w:numPr>
        <w:numId w:val="3"/>
      </w:numPr>
      <w:ind w:left="2160" w:hanging="720"/>
    </w:pPr>
  </w:style>
  <w:style w:type="paragraph" w:styleId="CaselawNumberedi" w:customStyle="true">
    <w:name w:val="Caselaw Numbered (i)"/>
    <w:basedOn w:val="CaselawNumbereda"/>
    <w:qFormat/>
    <w:rsid w:val="006E7434"/>
    <w:pPr>
      <w:numPr>
        <w:numId w:val="4"/>
      </w:numPr>
      <w:ind w:left="2880" w:hanging="720"/>
    </w:pPr>
  </w:style>
  <w:style w:type="paragraph" w:styleId="CaselawHeading1" w:customStyle="true">
    <w:name w:val="Caselaw Heading 1"/>
    <w:basedOn w:val="CaselawCoversheet"/>
    <w:next w:val="CaselawNumbered10"/>
    <w:uiPriority w:val="1"/>
    <w:qFormat/>
    <w:rsid w:val="00770D05"/>
    <w:pPr>
      <w:spacing w:after="240"/>
      <w:outlineLvl w:val="0"/>
    </w:pPr>
    <w:rPr>
      <w:b/>
      <w:caps/>
      <w:sz w:val="28"/>
    </w:rPr>
  </w:style>
  <w:style w:type="paragraph" w:styleId="CaselawHeading2" w:customStyle="true">
    <w:name w:val="Caselaw Heading 2"/>
    <w:basedOn w:val="CaselawHeading1"/>
    <w:next w:val="CaselawNumbered10"/>
    <w:uiPriority w:val="2"/>
    <w:qFormat/>
    <w:rsid w:val="009459F3"/>
    <w:pPr>
      <w:outlineLvl w:val="1"/>
    </w:pPr>
    <w:rPr>
      <w:caps w:val="false"/>
      <w:sz w:val="24"/>
    </w:rPr>
  </w:style>
  <w:style w:type="paragraph" w:styleId="CaselawHeading3" w:customStyle="true">
    <w:name w:val="Caselaw Heading 3"/>
    <w:basedOn w:val="CaselawHeading1"/>
    <w:next w:val="CaselawNumbered10"/>
    <w:uiPriority w:val="3"/>
    <w:qFormat/>
    <w:rsid w:val="009459F3"/>
    <w:pPr>
      <w:outlineLvl w:val="2"/>
    </w:pPr>
    <w:rPr>
      <w:b w:val="false"/>
      <w:i/>
      <w:caps w:val="false"/>
      <w:sz w:val="24"/>
    </w:rPr>
  </w:style>
  <w:style w:type="paragraph" w:styleId="CaselawQuote" w:customStyle="true">
    <w:name w:val="Caselaw Quote &gt;"/>
    <w:basedOn w:val="CaselawNormal"/>
    <w:qFormat/>
    <w:rsid w:val="00DA03B8"/>
    <w:pPr>
      <w:spacing w:after="360" w:line="240" w:lineRule="auto"/>
    </w:pPr>
    <w:rPr>
      <w:sz w:val="22"/>
    </w:rPr>
  </w:style>
  <w:style w:type="paragraph" w:styleId="CaselawQuote0" w:customStyle="true">
    <w:name w:val="Caselaw Quote &gt;&gt;"/>
    <w:basedOn w:val="CaselawNormal"/>
    <w:qFormat/>
    <w:rsid w:val="000A5273"/>
    <w:pPr>
      <w:spacing w:after="360" w:line="240" w:lineRule="auto"/>
      <w:ind w:left="2160"/>
    </w:pPr>
    <w:rPr>
      <w:sz w:val="22"/>
    </w:rPr>
  </w:style>
  <w:style w:type="paragraph" w:styleId="CaselawQuote1" w:customStyle="true">
    <w:name w:val="Caselaw Quote &gt;&gt;&gt;"/>
    <w:basedOn w:val="CaselawQuote0"/>
    <w:qFormat/>
    <w:rsid w:val="000A5273"/>
    <w:pPr>
      <w:ind w:left="2880"/>
    </w:pPr>
  </w:style>
  <w:style w:type="paragraph" w:styleId="CaselawHeading4" w:customStyle="true">
    <w:name w:val="Caselaw Heading 4"/>
    <w:basedOn w:val="CaselawHeading1"/>
    <w:next w:val="CaselawNumbered10"/>
    <w:uiPriority w:val="4"/>
    <w:qFormat/>
    <w:rsid w:val="009459F3"/>
    <w:pPr>
      <w:ind w:left="720"/>
      <w:outlineLvl w:val="3"/>
    </w:pPr>
    <w:rPr>
      <w:caps w:val="false"/>
      <w:sz w:val="22"/>
    </w:rPr>
  </w:style>
  <w:style w:type="character" w:styleId="Heading1Char" w:customStyle="true">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hAnsiTheme="majorHAnsi" w:eastAsiaTheme="majorEastAsia" w:cstheme="majorBidi"/>
      <w:b/>
      <w:bCs/>
      <w:kern w:val="32"/>
      <w:sz w:val="32"/>
      <w:szCs w:val="32"/>
      <w:lang w:eastAsia="en-US"/>
    </w:rPr>
  </w:style>
  <w:style w:type="character" w:styleId="Heading2Char" w:customStyle="true">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hAnsiTheme="majorHAnsi" w:eastAsiaTheme="majorEastAsia" w:cstheme="majorBidi"/>
      <w:b/>
      <w:bCs/>
      <w:i/>
      <w:iCs/>
      <w:sz w:val="28"/>
      <w:szCs w:val="28"/>
      <w:lang w:eastAsia="en-US"/>
    </w:rPr>
  </w:style>
  <w:style w:type="character" w:styleId="Heading3Char" w:customStyle="true">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hAnsiTheme="majorHAnsi" w:eastAsiaTheme="majorEastAsia" w:cstheme="majorBidi"/>
      <w:b/>
      <w:bCs/>
      <w:sz w:val="26"/>
      <w:szCs w:val="26"/>
      <w:lang w:eastAsia="en-US"/>
    </w:rPr>
  </w:style>
  <w:style w:type="table" w:styleId="TableGrid">
    <w:name w:val="Table Grid"/>
    <w:basedOn w:val="TableNormal"/>
    <w:uiPriority w:val="59"/>
    <w:locked/>
    <w:rsid w:val="002D6852"/>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CaselawBullet" w:customStyle="true">
    <w:name w:val="Caselaw Bullet"/>
    <w:basedOn w:val="CaselawNormal"/>
    <w:uiPriority w:val="1"/>
    <w:qFormat/>
    <w:locked/>
    <w:rsid w:val="00F36D30"/>
    <w:pPr>
      <w:numPr>
        <w:numId w:val="5"/>
      </w:numPr>
      <w:spacing w:after="360" w:line="240" w:lineRule="auto"/>
      <w:ind w:hanging="720"/>
    </w:pPr>
  </w:style>
  <w:style w:type="paragraph" w:styleId="CaselawHeading5" w:customStyle="true">
    <w:name w:val="Caselaw Heading 5"/>
    <w:basedOn w:val="CaselawHeading4"/>
    <w:rsid w:val="009459F3"/>
    <w:rPr>
      <w:b w:val="false"/>
      <w:u w:val="single"/>
    </w:rPr>
  </w:style>
  <w:style w:type="paragraph" w:styleId="BalloonText">
    <w:name w:val="Balloon Text"/>
    <w:basedOn w:val="Normal"/>
    <w:link w:val="BalloonTextChar"/>
    <w:uiPriority w:val="99"/>
    <w:semiHidden/>
    <w:unhideWhenUsed/>
    <w:locked/>
    <w:rsid w:val="000A5625"/>
    <w:pPr>
      <w:spacing w:after="0" w:line="240" w:lineRule="auto"/>
    </w:pPr>
    <w:rPr>
      <w:rFonts w:ascii="Tahoma" w:hAnsi="Tahoma" w:cs="Tahoma"/>
      <w:sz w:val="16"/>
      <w:szCs w:val="16"/>
    </w:rPr>
  </w:style>
  <w:style w:type="character" w:styleId="BalloonTextChar" w:customStyle="true">
    <w:name w:val="Balloon Text Char"/>
    <w:basedOn w:val="DefaultParagraphFont"/>
    <w:link w:val="BalloonText"/>
    <w:uiPriority w:val="99"/>
    <w:semiHidden/>
    <w:rsid w:val="000A5625"/>
    <w:rPr>
      <w:rFonts w:ascii="Tahoma" w:hAnsi="Tahoma" w:cs="Tahoma"/>
      <w:sz w:val="16"/>
      <w:szCs w:val="16"/>
    </w:rPr>
  </w:style>
  <w:style w:type="character" w:styleId="PlaceholderText">
    <w:name w:val="Placeholder Text"/>
    <w:basedOn w:val="DefaultParagraphFont"/>
    <w:uiPriority w:val="99"/>
    <w:semiHidden/>
    <w:locked/>
    <w:rsid w:val="00B914EB"/>
    <w:rPr>
      <w:color w:val="808080"/>
    </w:rPr>
  </w:style>
  <w:style w:type="character" w:styleId="Style1" w:customStyle="true">
    <w:name w:val="Style1"/>
    <w:basedOn w:val="Strong"/>
    <w:uiPriority w:val="1"/>
    <w:locked/>
    <w:rsid w:val="00C13AF5"/>
    <w:rPr>
      <w:rFonts w:ascii="Arial" w:hAnsi="Arial"/>
      <w:b w:val="false"/>
      <w:bCs/>
      <w:sz w:val="24"/>
    </w:rPr>
  </w:style>
  <w:style w:type="character" w:styleId="Strong">
    <w:name w:val="Strong"/>
    <w:basedOn w:val="DefaultParagraphFont"/>
    <w:uiPriority w:val="22"/>
    <w:semiHidden/>
    <w:qFormat/>
    <w:locked/>
    <w:rsid w:val="00C13AF5"/>
    <w:rPr>
      <w:b/>
      <w:bCs/>
    </w:rPr>
  </w:style>
  <w:style w:type="paragraph" w:styleId="DocumentMap">
    <w:name w:val="Document Map"/>
    <w:basedOn w:val="Normal"/>
    <w:link w:val="DocumentMapChar"/>
    <w:uiPriority w:val="99"/>
    <w:semiHidden/>
    <w:unhideWhenUsed/>
    <w:locked/>
    <w:rsid w:val="00C11B7B"/>
    <w:pPr>
      <w:spacing w:after="0" w:line="240" w:lineRule="auto"/>
    </w:pPr>
    <w:rPr>
      <w:rFonts w:ascii="Lucida Grande" w:hAnsi="Lucida Grande"/>
    </w:rPr>
  </w:style>
  <w:style w:type="character" w:styleId="DocumentMapChar" w:customStyle="true">
    <w:name w:val="Document Map Char"/>
    <w:basedOn w:val="DefaultParagraphFont"/>
    <w:link w:val="DocumentMap"/>
    <w:uiPriority w:val="99"/>
    <w:semiHidden/>
    <w:rsid w:val="00C11B7B"/>
    <w:rPr>
      <w:rFonts w:ascii="Lucida Grande" w:hAnsi="Lucida Grande"/>
    </w:rPr>
  </w:style>
  <w:style w:type="paragraph" w:styleId="NormalWeb">
    <w:name w:val="Normal (Web)"/>
    <w:basedOn w:val="Normal"/>
    <w:uiPriority w:val="99"/>
    <w:semiHidden/>
    <w:unhideWhenUsed/>
    <w:locked/>
    <w:rsid w:val="00677778"/>
    <w:pPr>
      <w:spacing w:before="100" w:beforeAutospacing="true" w:after="100" w:afterAutospacing="true" w:line="240" w:lineRule="auto"/>
    </w:pPr>
    <w:rPr>
      <w:rFonts w:ascii="Times New Roman" w:hAnsi="Times New Roman" w:eastAsia="Times New Roman"/>
    </w:rPr>
  </w:style>
  <w:style w:type="paragraph" w:styleId="judgmentpara" w:customStyle="true">
    <w:name w:val="judgment_para"/>
    <w:basedOn w:val="Normal"/>
    <w:rsid w:val="00677778"/>
    <w:pPr>
      <w:spacing w:before="100" w:beforeAutospacing="true" w:after="100" w:afterAutospacing="true" w:line="240" w:lineRule="auto"/>
    </w:pPr>
    <w:rPr>
      <w:rFonts w:ascii="Times New Roman" w:hAnsi="Times New Roman" w:eastAsia="Times New Roman"/>
    </w:rPr>
  </w:style>
  <w:style w:type="character" w:styleId="listnumber" w:customStyle="true">
    <w:name w:val="list_number_"/>
    <w:basedOn w:val="DefaultParagraphFont"/>
    <w:rsid w:val="00677778"/>
  </w:style>
  <w:style w:type="paragraph" w:styleId="judgmentnumbereda" w:customStyle="true">
    <w:name w:val="judgment_numbered_a_"/>
    <w:basedOn w:val="Normal"/>
    <w:rsid w:val="00B74D80"/>
    <w:pPr>
      <w:spacing w:before="100" w:beforeAutospacing="true" w:after="100" w:afterAutospacing="true" w:line="240" w:lineRule="auto"/>
    </w:pPr>
    <w:rPr>
      <w:rFonts w:ascii="Times New Roman" w:hAnsi="Times New Roman" w:eastAsia="Times New Roman"/>
    </w:rPr>
  </w:style>
  <w:style w:type="paragraph" w:styleId="judgmentnumberedi" w:customStyle="true">
    <w:name w:val="judgment_numbered_i_"/>
    <w:basedOn w:val="Normal"/>
    <w:rsid w:val="00B74D80"/>
    <w:pPr>
      <w:spacing w:before="100" w:beforeAutospacing="true" w:after="100" w:afterAutospacing="true" w:line="240" w:lineRule="auto"/>
    </w:pPr>
    <w:rPr>
      <w:rFonts w:ascii="Times New Roman" w:hAnsi="Times New Roman" w:eastAsia="Times New Roman"/>
    </w:rPr>
  </w:style>
  <w:style w:type="character" w:styleId="Heading4Char" w:customStyle="true">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hAnsiTheme="majorHAnsi" w:eastAsiaTheme="majorEastAsia" w:cstheme="majorBidi"/>
      <w:b/>
      <w:bCs/>
      <w:i/>
      <w:iCs/>
      <w:color w:val="4F81BD" w:themeColor="accent1"/>
    </w:rPr>
  </w:style>
  <w:style w:type="character" w:styleId="Heading5Char" w:customStyle="true">
    <w:name w:val="Heading 5 Char"/>
    <w:aliases w:val="Level 3 - i Char,5 Char,Normal5 Char,Level 3 - (i) Char"/>
    <w:basedOn w:val="DefaultParagraphFont"/>
    <w:link w:val="Heading5"/>
    <w:semiHidden/>
    <w:rsid w:val="00E1232E"/>
    <w:rPr>
      <w:rFonts w:eastAsia="Times New Roman" w:cs="Arial"/>
      <w:bCs/>
      <w:szCs w:val="28"/>
      <w:lang w:eastAsia="en-US"/>
    </w:rPr>
  </w:style>
  <w:style w:type="character" w:styleId="Heading6Char" w:customStyle="true">
    <w:name w:val="Heading 6 Char"/>
    <w:aliases w:val="Legal Level 1. Char,Body Text 5 Char,Normal6 Char"/>
    <w:basedOn w:val="DefaultParagraphFont"/>
    <w:link w:val="Heading6"/>
    <w:semiHidden/>
    <w:rsid w:val="00E1232E"/>
    <w:rPr>
      <w:rFonts w:eastAsia="Times New Roman" w:cs="Arial"/>
      <w:bCs/>
      <w:szCs w:val="28"/>
      <w:lang w:eastAsia="en-US"/>
    </w:rPr>
  </w:style>
  <w:style w:type="character" w:styleId="Heading7Char" w:customStyle="true">
    <w:name w:val="Heading 7 Char"/>
    <w:aliases w:val="Legal Level 1.1. Char,Body Text 6 Char,Heading 7(unused) Char,Normal7 Char"/>
    <w:basedOn w:val="DefaultParagraphFont"/>
    <w:link w:val="Heading7"/>
    <w:uiPriority w:val="99"/>
    <w:semiHidden/>
    <w:rsid w:val="00E1232E"/>
    <w:rPr>
      <w:rFonts w:eastAsia="Times New Roman" w:cs="Arial"/>
      <w:bCs/>
      <w:szCs w:val="28"/>
      <w:lang w:eastAsia="en-US"/>
    </w:rPr>
  </w:style>
  <w:style w:type="character" w:styleId="Heading8Char" w:customStyle="true">
    <w:name w:val="Heading 8 Char"/>
    <w:aliases w:val="Legal Level 1.1.1. Char,Body Text 7 Char,Heading 8(unused) Char,Heading 8 (Start Appendices) Char,Normal8 Char"/>
    <w:basedOn w:val="DefaultParagraphFont"/>
    <w:link w:val="Heading8"/>
    <w:uiPriority w:val="99"/>
    <w:semiHidden/>
    <w:rsid w:val="00E1232E"/>
    <w:rPr>
      <w:rFonts w:eastAsia="Times New Roman" w:cs="Arial"/>
      <w:bCs/>
      <w:szCs w:val="28"/>
      <w:lang w:eastAsia="en-US"/>
    </w:rPr>
  </w:style>
  <w:style w:type="character" w:styleId="Heading9Char" w:customStyle="true">
    <w:name w:val="Heading 9 Char"/>
    <w:aliases w:val="Legal Level 1.1.1.1. Char,Body Text 8 Char,Heading 9(unused) Char,Appendix Char"/>
    <w:basedOn w:val="DefaultParagraphFont"/>
    <w:link w:val="Heading9"/>
    <w:uiPriority w:val="99"/>
    <w:semiHidden/>
    <w:rsid w:val="00E1232E"/>
    <w:rPr>
      <w:rFonts w:eastAsia="Times New Roman" w:cs="Arial"/>
      <w:bCs/>
      <w:szCs w:val="28"/>
      <w:lang w:eastAsia="en-US"/>
    </w:rPr>
  </w:style>
  <w:style w:type="character" w:styleId="Hyperlink">
    <w:name w:val="Hyperlink"/>
    <w:basedOn w:val="DefaultParagraphFont"/>
    <w:uiPriority w:val="99"/>
    <w:unhideWhenUsed/>
    <w:locked/>
    <w:rsid w:val="00E1232E"/>
    <w:rPr>
      <w:color w:val="0000FF"/>
      <w:u w:val="single"/>
    </w:rPr>
  </w:style>
  <w:style w:type="character" w:styleId="FollowedHyperlink">
    <w:name w:val="FollowedHyperlink"/>
    <w:basedOn w:val="DefaultParagraphFont"/>
    <w:semiHidden/>
    <w:unhideWhenUsed/>
    <w:locked/>
    <w:rsid w:val="00E1232E"/>
    <w:rPr>
      <w:color w:val="800080"/>
      <w:u w:val="single"/>
    </w:rPr>
  </w:style>
  <w:style w:type="character" w:styleId="Heading1Char1" w:customStyle="true">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hAnsiTheme="majorHAnsi" w:eastAsiaTheme="majorEastAsia" w:cstheme="majorBidi"/>
      <w:b/>
      <w:bCs/>
      <w:color w:val="365F91" w:themeColor="accent1" w:themeShade="BF"/>
      <w:sz w:val="28"/>
      <w:szCs w:val="28"/>
      <w:lang w:eastAsia="en-US"/>
    </w:rPr>
  </w:style>
  <w:style w:type="character" w:styleId="Heading2Char1" w:customStyle="true">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hAnsiTheme="majorHAnsi" w:eastAsiaTheme="majorEastAsia" w:cstheme="majorBidi"/>
      <w:b/>
      <w:bCs/>
      <w:color w:val="4F81BD" w:themeColor="accent1"/>
      <w:sz w:val="26"/>
      <w:szCs w:val="26"/>
      <w:lang w:eastAsia="en-US"/>
    </w:rPr>
  </w:style>
  <w:style w:type="character" w:styleId="Heading3Char1" w:customStyle="true">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hAnsiTheme="majorHAnsi" w:eastAsiaTheme="majorEastAsia" w:cstheme="majorBidi"/>
      <w:b/>
      <w:bCs/>
      <w:color w:val="4F81BD" w:themeColor="accent1"/>
      <w:lang w:eastAsia="en-US"/>
    </w:rPr>
  </w:style>
  <w:style w:type="character" w:styleId="Heading4Char1" w:customStyle="true">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hAnsiTheme="majorHAnsi" w:eastAsiaTheme="majorEastAsia" w:cstheme="majorBidi"/>
      <w:b/>
      <w:bCs/>
      <w:i/>
      <w:iCs/>
      <w:color w:val="4F81BD" w:themeColor="accent1"/>
      <w:lang w:eastAsia="en-US"/>
    </w:rPr>
  </w:style>
  <w:style w:type="character" w:styleId="Heading5Char1" w:customStyle="true">
    <w:name w:val="Heading 5 Char1"/>
    <w:aliases w:val="Level 3 - i Char1,5 Char1,Normal5 Char1,Level 3 - (i) Char1"/>
    <w:basedOn w:val="DefaultParagraphFont"/>
    <w:semiHidden/>
    <w:rsid w:val="00E1232E"/>
    <w:rPr>
      <w:rFonts w:asciiTheme="majorHAnsi" w:hAnsiTheme="majorHAnsi" w:eastAsiaTheme="majorEastAsia" w:cstheme="majorBidi"/>
      <w:color w:val="243F60" w:themeColor="accent1" w:themeShade="7F"/>
      <w:lang w:eastAsia="en-US"/>
    </w:rPr>
  </w:style>
  <w:style w:type="character" w:styleId="Heading6Char1" w:customStyle="true">
    <w:name w:val="Heading 6 Char1"/>
    <w:aliases w:val="Legal Level 1. Char1,Body Text 5 Char1,Normal6 Char1"/>
    <w:basedOn w:val="DefaultParagraphFont"/>
    <w:semiHidden/>
    <w:rsid w:val="00E1232E"/>
    <w:rPr>
      <w:rFonts w:asciiTheme="majorHAnsi" w:hAnsiTheme="majorHAnsi" w:eastAsiaTheme="majorEastAsia" w:cstheme="majorBidi"/>
      <w:i/>
      <w:iCs/>
      <w:color w:val="243F60" w:themeColor="accent1" w:themeShade="7F"/>
      <w:lang w:eastAsia="en-US"/>
    </w:rPr>
  </w:style>
  <w:style w:type="character" w:styleId="Heading7Char1" w:customStyle="true">
    <w:name w:val="Heading 7 Char1"/>
    <w:aliases w:val="Legal Level 1.1. Char1,Body Text 6 Char1,Heading 7(unused) Char1,Normal7 Char1"/>
    <w:basedOn w:val="DefaultParagraphFont"/>
    <w:semiHidden/>
    <w:rsid w:val="00E1232E"/>
    <w:rPr>
      <w:rFonts w:asciiTheme="majorHAnsi" w:hAnsiTheme="majorHAnsi" w:eastAsiaTheme="majorEastAsia" w:cstheme="majorBidi"/>
      <w:i/>
      <w:iCs/>
      <w:color w:val="404040" w:themeColor="text1" w:themeTint="BF"/>
      <w:lang w:eastAsia="en-US"/>
    </w:rPr>
  </w:style>
  <w:style w:type="character" w:styleId="Heading8Char1" w:customStyle="true">
    <w:name w:val="Heading 8 Char1"/>
    <w:aliases w:val="Legal Level 1.1.1. Char1,Body Text 7 Char1,Heading 8(unused) Char1,Heading 8 (Start Appendices) Char1,Normal8 Char1"/>
    <w:basedOn w:val="DefaultParagraphFont"/>
    <w:semiHidden/>
    <w:rsid w:val="00E1232E"/>
    <w:rPr>
      <w:rFonts w:asciiTheme="majorHAnsi" w:hAnsiTheme="majorHAnsi" w:eastAsiaTheme="majorEastAsia" w:cstheme="majorBidi"/>
      <w:color w:val="404040" w:themeColor="text1" w:themeTint="BF"/>
      <w:lang w:eastAsia="en-US"/>
    </w:rPr>
  </w:style>
  <w:style w:type="character" w:styleId="Heading9Char1" w:customStyle="true">
    <w:name w:val="Heading 9 Char1"/>
    <w:aliases w:val="Legal Level 1.1.1.1. Char1,Body Text 8 Char1,Heading 9(unused) Char1,Appendix Char1"/>
    <w:basedOn w:val="DefaultParagraphFont"/>
    <w:semiHidden/>
    <w:rsid w:val="00E1232E"/>
    <w:rPr>
      <w:rFonts w:asciiTheme="majorHAnsi" w:hAnsiTheme="majorHAnsi" w:eastAsiaTheme="majorEastAsia" w:cstheme="majorBidi"/>
      <w:i/>
      <w:iCs/>
      <w:color w:val="404040" w:themeColor="text1" w:themeTint="BF"/>
      <w:lang w:eastAsia="en-US"/>
    </w:rPr>
  </w:style>
  <w:style w:type="paragraph" w:styleId="Index1">
    <w:name w:val="index 1"/>
    <w:basedOn w:val="Normal"/>
    <w:next w:val="Normal"/>
    <w:autoRedefine/>
    <w:uiPriority w:val="99"/>
    <w:unhideWhenUsed/>
    <w:locked/>
    <w:rsid w:val="00E1232E"/>
    <w:pPr>
      <w:keepLines/>
      <w:numPr>
        <w:numId w:val="6"/>
      </w:numPr>
      <w:overflowPunct w:val="false"/>
      <w:autoSpaceDE w:val="false"/>
      <w:autoSpaceDN w:val="false"/>
      <w:adjustRightInd w:val="false"/>
      <w:spacing w:after="0" w:line="240" w:lineRule="auto"/>
      <w:jc w:val="both"/>
    </w:pPr>
    <w:rPr>
      <w:rFonts w:ascii="Times New Roman" w:hAnsi="Times New Roman" w:eastAsia="Times New Roman"/>
      <w:szCs w:val="20"/>
      <w:lang w:eastAsia="en-US"/>
    </w:rPr>
  </w:style>
  <w:style w:type="paragraph" w:styleId="Index2">
    <w:name w:val="index 2"/>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480" w:hanging="240"/>
      <w:jc w:val="both"/>
    </w:pPr>
    <w:rPr>
      <w:rFonts w:ascii="Times New Roman" w:hAnsi="Times New Roman" w:eastAsia="Times New Roman"/>
      <w:szCs w:val="20"/>
      <w:lang w:eastAsia="en-US"/>
    </w:rPr>
  </w:style>
  <w:style w:type="paragraph" w:styleId="Index3">
    <w:name w:val="index 3"/>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720" w:hanging="240"/>
      <w:jc w:val="both"/>
    </w:pPr>
    <w:rPr>
      <w:rFonts w:ascii="Times New Roman" w:hAnsi="Times New Roman" w:eastAsia="Times New Roman"/>
      <w:szCs w:val="20"/>
      <w:lang w:eastAsia="en-US"/>
    </w:rPr>
  </w:style>
  <w:style w:type="paragraph" w:styleId="Index4">
    <w:name w:val="index 4"/>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960" w:hanging="240"/>
      <w:jc w:val="both"/>
    </w:pPr>
    <w:rPr>
      <w:rFonts w:ascii="Times New Roman" w:hAnsi="Times New Roman" w:eastAsia="Times New Roman"/>
      <w:szCs w:val="20"/>
      <w:lang w:eastAsia="en-US"/>
    </w:rPr>
  </w:style>
  <w:style w:type="paragraph" w:styleId="Index5">
    <w:name w:val="index 5"/>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200" w:hanging="240"/>
      <w:jc w:val="both"/>
    </w:pPr>
    <w:rPr>
      <w:rFonts w:ascii="Times New Roman" w:hAnsi="Times New Roman" w:eastAsia="Times New Roman"/>
      <w:szCs w:val="20"/>
      <w:lang w:eastAsia="en-US"/>
    </w:rPr>
  </w:style>
  <w:style w:type="paragraph" w:styleId="Index6">
    <w:name w:val="index 6"/>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440" w:hanging="240"/>
      <w:jc w:val="both"/>
    </w:pPr>
    <w:rPr>
      <w:rFonts w:ascii="Times New Roman" w:hAnsi="Times New Roman" w:eastAsia="Times New Roman"/>
      <w:szCs w:val="20"/>
      <w:lang w:eastAsia="en-US"/>
    </w:rPr>
  </w:style>
  <w:style w:type="paragraph" w:styleId="Index7">
    <w:name w:val="index 7"/>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680" w:hanging="240"/>
      <w:jc w:val="both"/>
    </w:pPr>
    <w:rPr>
      <w:rFonts w:ascii="Times New Roman" w:hAnsi="Times New Roman" w:eastAsia="Times New Roman"/>
      <w:szCs w:val="20"/>
      <w:lang w:eastAsia="en-US"/>
    </w:rPr>
  </w:style>
  <w:style w:type="paragraph" w:styleId="Index8">
    <w:name w:val="index 8"/>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920" w:hanging="240"/>
      <w:jc w:val="both"/>
    </w:pPr>
    <w:rPr>
      <w:rFonts w:ascii="Times New Roman" w:hAnsi="Times New Roman" w:eastAsia="Times New Roman"/>
      <w:szCs w:val="20"/>
      <w:lang w:eastAsia="en-US"/>
    </w:rPr>
  </w:style>
  <w:style w:type="paragraph" w:styleId="Index9">
    <w:name w:val="index 9"/>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2160" w:hanging="240"/>
      <w:jc w:val="both"/>
    </w:pPr>
    <w:rPr>
      <w:rFonts w:ascii="Times New Roman" w:hAnsi="Times New Roman" w:eastAsia="Times New Roman"/>
      <w:szCs w:val="20"/>
      <w:lang w:eastAsia="en-US"/>
    </w:rPr>
  </w:style>
  <w:style w:type="paragraph" w:styleId="TOC1">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type="paragraph" w:styleId="TOC2">
    <w:name w:val="toc 2"/>
    <w:basedOn w:val="TOC1"/>
    <w:next w:val="Normal"/>
    <w:autoRedefine/>
    <w:uiPriority w:val="39"/>
    <w:semiHidden/>
    <w:unhideWhenUsed/>
    <w:qFormat/>
    <w:locked/>
    <w:rsid w:val="00E1232E"/>
    <w:pPr>
      <w:ind w:left="454"/>
    </w:pPr>
    <w:rPr>
      <w:b w:val="false"/>
    </w:rPr>
  </w:style>
  <w:style w:type="paragraph" w:styleId="TOC3">
    <w:name w:val="toc 3"/>
    <w:basedOn w:val="TOC2"/>
    <w:next w:val="Normal"/>
    <w:autoRedefine/>
    <w:uiPriority w:val="39"/>
    <w:semiHidden/>
    <w:unhideWhenUsed/>
    <w:qFormat/>
    <w:locked/>
    <w:rsid w:val="00E1232E"/>
    <w:pPr>
      <w:spacing w:before="120"/>
    </w:pPr>
  </w:style>
  <w:style w:type="paragraph" w:styleId="TOC4">
    <w:name w:val="toc 4"/>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after="0" w:line="240" w:lineRule="auto"/>
      <w:ind w:left="720"/>
      <w:jc w:val="both"/>
    </w:pPr>
    <w:rPr>
      <w:rFonts w:eastAsia="Times New Roman"/>
      <w:sz w:val="20"/>
      <w:szCs w:val="20"/>
      <w:lang w:eastAsia="en-US"/>
    </w:rPr>
  </w:style>
  <w:style w:type="paragraph" w:styleId="TOC5">
    <w:name w:val="toc 5"/>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960"/>
      <w:jc w:val="both"/>
    </w:pPr>
    <w:rPr>
      <w:rFonts w:eastAsia="Times New Roman"/>
      <w:szCs w:val="20"/>
      <w:lang w:eastAsia="en-US"/>
    </w:rPr>
  </w:style>
  <w:style w:type="paragraph" w:styleId="TOC6">
    <w:name w:val="toc 6"/>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200"/>
      <w:jc w:val="both"/>
    </w:pPr>
    <w:rPr>
      <w:rFonts w:ascii="Times New Roman" w:hAnsi="Times New Roman" w:eastAsia="Times New Roman"/>
      <w:szCs w:val="20"/>
      <w:lang w:eastAsia="en-US"/>
    </w:rPr>
  </w:style>
  <w:style w:type="paragraph" w:styleId="TOC7">
    <w:name w:val="toc 7"/>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440"/>
      <w:jc w:val="both"/>
    </w:pPr>
    <w:rPr>
      <w:rFonts w:ascii="Times New Roman" w:hAnsi="Times New Roman" w:eastAsia="Times New Roman"/>
      <w:szCs w:val="20"/>
      <w:lang w:eastAsia="en-US"/>
    </w:rPr>
  </w:style>
  <w:style w:type="paragraph" w:styleId="TOC8">
    <w:name w:val="toc 8"/>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680"/>
      <w:jc w:val="both"/>
    </w:pPr>
    <w:rPr>
      <w:rFonts w:ascii="Times New Roman" w:hAnsi="Times New Roman" w:eastAsia="Times New Roman"/>
      <w:szCs w:val="20"/>
      <w:lang w:eastAsia="en-US"/>
    </w:rPr>
  </w:style>
  <w:style w:type="paragraph" w:styleId="TOC9">
    <w:name w:val="toc 9"/>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920"/>
      <w:jc w:val="both"/>
    </w:pPr>
    <w:rPr>
      <w:rFonts w:ascii="Times New Roman" w:hAnsi="Times New Roman" w:eastAsia="Times New Roman"/>
      <w:szCs w:val="20"/>
      <w:lang w:eastAsia="en-US"/>
    </w:rPr>
  </w:style>
  <w:style w:type="paragraph" w:styleId="FootnoteText">
    <w:name w:val="footnote text"/>
    <w:basedOn w:val="Normal"/>
    <w:link w:val="FootnoteTextChar"/>
    <w:uiPriority w:val="99"/>
    <w:unhideWhenUsed/>
    <w:locked/>
    <w:rsid w:val="00E1232E"/>
    <w:pPr>
      <w:spacing w:after="0" w:line="240" w:lineRule="auto"/>
    </w:pPr>
    <w:rPr>
      <w:rFonts w:asciiTheme="minorHAnsi" w:hAnsiTheme="minorHAnsi" w:eastAsiaTheme="minorEastAsia" w:cstheme="minorBidi"/>
      <w:sz w:val="20"/>
      <w:szCs w:val="20"/>
      <w:lang w:val="en-US" w:eastAsia="ja-JP"/>
    </w:rPr>
  </w:style>
  <w:style w:type="character" w:styleId="FootnoteTextChar" w:customStyle="true">
    <w:name w:val="Footnote Text Char"/>
    <w:basedOn w:val="DefaultParagraphFont"/>
    <w:link w:val="FootnoteText"/>
    <w:uiPriority w:val="99"/>
    <w:rsid w:val="00E1232E"/>
    <w:rPr>
      <w:rFonts w:asciiTheme="minorHAnsi" w:hAnsiTheme="minorHAnsi" w:eastAsiaTheme="minorEastAsia" w:cstheme="minorBidi"/>
      <w:sz w:val="20"/>
      <w:szCs w:val="20"/>
      <w:lang w:val="en-US" w:eastAsia="ja-JP"/>
    </w:rPr>
  </w:style>
  <w:style w:type="paragraph" w:styleId="CommentText">
    <w:name w:val="annotation text"/>
    <w:basedOn w:val="Normal"/>
    <w:link w:val="CommentTextChar"/>
    <w:uiPriority w:val="99"/>
    <w:semiHidden/>
    <w:unhideWhenUsed/>
    <w:locked/>
    <w:rsid w:val="00E1232E"/>
    <w:pPr>
      <w:spacing w:before="240" w:after="120" w:line="300" w:lineRule="auto"/>
    </w:pPr>
    <w:rPr>
      <w:rFonts w:eastAsia="Times New Roman"/>
      <w:sz w:val="20"/>
      <w:szCs w:val="20"/>
      <w:lang w:eastAsia="en-US"/>
    </w:rPr>
  </w:style>
  <w:style w:type="character" w:styleId="CommentTextChar" w:customStyle="true">
    <w:name w:val="Comment Text Char"/>
    <w:basedOn w:val="DefaultParagraphFont"/>
    <w:link w:val="CommentText"/>
    <w:uiPriority w:val="99"/>
    <w:semiHidden/>
    <w:rsid w:val="00E1232E"/>
    <w:rPr>
      <w:rFonts w:eastAsia="Times New Roman"/>
      <w:sz w:val="20"/>
      <w:szCs w:val="20"/>
      <w:lang w:eastAsia="en-US"/>
    </w:rPr>
  </w:style>
  <w:style w:type="paragraph" w:styleId="Header">
    <w:name w:val="header"/>
    <w:basedOn w:val="Normal"/>
    <w:link w:val="Head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HeaderChar" w:customStyle="true">
    <w:name w:val="Header Char"/>
    <w:basedOn w:val="DefaultParagraphFont"/>
    <w:link w:val="Header"/>
    <w:uiPriority w:val="99"/>
    <w:semiHidden/>
    <w:rsid w:val="00E1232E"/>
    <w:rPr>
      <w:rFonts w:eastAsia="Times New Roman"/>
      <w:sz w:val="20"/>
      <w:szCs w:val="20"/>
      <w:lang w:eastAsia="en-US"/>
    </w:rPr>
  </w:style>
  <w:style w:type="paragraph" w:styleId="Footer">
    <w:name w:val="footer"/>
    <w:basedOn w:val="Normal"/>
    <w:link w:val="Foot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FooterChar" w:customStyle="true">
    <w:name w:val="Footer Char"/>
    <w:basedOn w:val="DefaultParagraphFont"/>
    <w:link w:val="Footer"/>
    <w:uiPriority w:val="99"/>
    <w:semiHidden/>
    <w:rsid w:val="00E1232E"/>
    <w:rPr>
      <w:rFonts w:eastAsia="Times New Roman"/>
      <w:sz w:val="20"/>
      <w:szCs w:val="20"/>
      <w:lang w:eastAsia="en-US"/>
    </w:rPr>
  </w:style>
  <w:style w:type="paragraph" w:styleId="IndexHeading">
    <w:name w:val="index heading"/>
    <w:basedOn w:val="Normal"/>
    <w:next w:val="Index1"/>
    <w:uiPriority w:val="99"/>
    <w:unhideWhenUsed/>
    <w:locked/>
    <w:rsid w:val="00E1232E"/>
    <w:pPr>
      <w:keepLines/>
      <w:overflowPunct w:val="false"/>
      <w:autoSpaceDE w:val="false"/>
      <w:autoSpaceDN w:val="false"/>
      <w:adjustRightInd w:val="false"/>
      <w:spacing w:before="240" w:after="0" w:line="240" w:lineRule="auto"/>
      <w:jc w:val="both"/>
    </w:pPr>
    <w:rPr>
      <w:rFonts w:ascii="Times New Roman" w:hAnsi="Times New Roman" w:eastAsia="Times New Roman"/>
      <w:szCs w:val="20"/>
      <w:lang w:eastAsia="en-US"/>
    </w:rPr>
  </w:style>
  <w:style w:type="paragraph" w:styleId="Caption">
    <w:name w:val="caption"/>
    <w:basedOn w:val="Normal"/>
    <w:next w:val="Normal"/>
    <w:uiPriority w:val="99"/>
    <w:semiHidden/>
    <w:unhideWhenUsed/>
    <w:qFormat/>
    <w:locked/>
    <w:rsid w:val="00E1232E"/>
    <w:pPr>
      <w:keepLines/>
      <w:tabs>
        <w:tab w:val="left" w:pos="1134"/>
      </w:tabs>
      <w:overflowPunct w:val="false"/>
      <w:autoSpaceDE w:val="false"/>
      <w:autoSpaceDN w:val="false"/>
      <w:adjustRightInd w:val="false"/>
      <w:spacing w:before="240" w:after="0" w:line="240" w:lineRule="auto"/>
      <w:ind w:left="567"/>
      <w:jc w:val="center"/>
    </w:pPr>
    <w:rPr>
      <w:rFonts w:ascii="Times New Roman" w:hAnsi="Times New Roman" w:eastAsia="Times New Roman"/>
      <w:i/>
      <w:iCs/>
      <w:sz w:val="20"/>
      <w:szCs w:val="20"/>
      <w:lang w:eastAsia="en-US"/>
    </w:rPr>
  </w:style>
  <w:style w:type="paragraph" w:styleId="ListBullet">
    <w:name w:val="List Bullet"/>
    <w:basedOn w:val="Normal"/>
    <w:uiPriority w:val="99"/>
    <w:semiHidden/>
    <w:unhideWhenUsed/>
    <w:locked/>
    <w:rsid w:val="00E1232E"/>
    <w:pPr>
      <w:numPr>
        <w:numId w:val="7"/>
      </w:numPr>
      <w:spacing w:before="60" w:after="60" w:line="300" w:lineRule="auto"/>
    </w:pPr>
    <w:rPr>
      <w:rFonts w:ascii="Arial(W1)" w:hAnsi="Arial(W1)" w:eastAsia="Times New Roman"/>
      <w:sz w:val="20"/>
      <w:szCs w:val="22"/>
      <w:lang w:eastAsia="en-US"/>
    </w:rPr>
  </w:style>
  <w:style w:type="character" w:styleId="BodyTextChar" w:customStyle="true">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type="paragraph" w:styleId="BodyText">
    <w:name w:val="Body Text"/>
    <w:aliases w:val="bt,Heading 3 text,Heading 3 text1,Heading 3 text2,Heading 3 text3,Heading 3 text4"/>
    <w:basedOn w:val="Normal"/>
    <w:link w:val="BodyTextChar"/>
    <w:unhideWhenUsed/>
    <w:rsid w:val="00E1232E"/>
    <w:pPr>
      <w:spacing w:before="240" w:after="120" w:line="300" w:lineRule="auto"/>
    </w:pPr>
    <w:rPr>
      <w:rFonts w:cs="Arial"/>
      <w:lang w:eastAsia="en-US"/>
    </w:rPr>
  </w:style>
  <w:style w:type="character" w:styleId="BodyTextChar1" w:customStyle="true">
    <w:name w:val="Body Text Char1"/>
    <w:aliases w:val="bt Char1,Heading 3 text Char1,Heading 3 text1 Char1,Heading 3 text2 Char1,Heading 3 text3 Char1,Heading 3 text4 Char1"/>
    <w:basedOn w:val="DefaultParagraphFont"/>
    <w:semiHidden/>
    <w:rsid w:val="00E1232E"/>
  </w:style>
  <w:style w:type="paragraph" w:styleId="BodyTextIndent">
    <w:name w:val="Body Text Indent"/>
    <w:basedOn w:val="Normal"/>
    <w:link w:val="BodyTextIndentChar"/>
    <w:uiPriority w:val="99"/>
    <w:semiHidden/>
    <w:unhideWhenUsed/>
    <w:rsid w:val="00E1232E"/>
    <w:pPr>
      <w:spacing w:before="240" w:after="120" w:line="300" w:lineRule="auto"/>
      <w:ind w:left="283"/>
    </w:pPr>
    <w:rPr>
      <w:rFonts w:eastAsia="Times New Roman"/>
      <w:sz w:val="20"/>
      <w:szCs w:val="20"/>
      <w:lang w:eastAsia="en-US"/>
    </w:rPr>
  </w:style>
  <w:style w:type="character" w:styleId="BodyTextIndentChar" w:customStyle="true">
    <w:name w:val="Body Text Indent Char"/>
    <w:basedOn w:val="DefaultParagraphFont"/>
    <w:link w:val="BodyTextIndent"/>
    <w:uiPriority w:val="99"/>
    <w:semiHidden/>
    <w:rsid w:val="00E1232E"/>
    <w:rPr>
      <w:rFonts w:eastAsia="Times New Roman"/>
      <w:sz w:val="20"/>
      <w:szCs w:val="20"/>
      <w:lang w:eastAsia="en-US"/>
    </w:rPr>
  </w:style>
  <w:style w:type="paragraph" w:styleId="BodyText2">
    <w:name w:val="Body Text 2"/>
    <w:basedOn w:val="Normal"/>
    <w:link w:val="BodyText2Char"/>
    <w:uiPriority w:val="99"/>
    <w:semiHidden/>
    <w:unhideWhenUsed/>
    <w:rsid w:val="00E1232E"/>
    <w:pPr>
      <w:spacing w:before="240" w:after="120" w:line="480" w:lineRule="auto"/>
    </w:pPr>
    <w:rPr>
      <w:rFonts w:eastAsia="Times New Roman"/>
      <w:sz w:val="20"/>
      <w:szCs w:val="20"/>
      <w:lang w:eastAsia="en-US"/>
    </w:rPr>
  </w:style>
  <w:style w:type="character" w:styleId="BodyText2Char" w:customStyle="true">
    <w:name w:val="Body Text 2 Char"/>
    <w:basedOn w:val="DefaultParagraphFont"/>
    <w:link w:val="BodyText2"/>
    <w:uiPriority w:val="99"/>
    <w:semiHidden/>
    <w:rsid w:val="00E1232E"/>
    <w:rPr>
      <w:rFonts w:eastAsia="Times New Roman"/>
      <w:sz w:val="20"/>
      <w:szCs w:val="20"/>
      <w:lang w:eastAsia="en-US"/>
    </w:rPr>
  </w:style>
  <w:style w:type="paragraph" w:styleId="BodyText3">
    <w:name w:val="Body Text 3"/>
    <w:basedOn w:val="Normal"/>
    <w:link w:val="BodyText3Char"/>
    <w:uiPriority w:val="99"/>
    <w:semiHidden/>
    <w:unhideWhenUsed/>
    <w:rsid w:val="00E1232E"/>
    <w:pPr>
      <w:spacing w:before="240" w:after="120" w:line="300" w:lineRule="auto"/>
    </w:pPr>
    <w:rPr>
      <w:rFonts w:eastAsia="Times New Roman"/>
      <w:sz w:val="16"/>
      <w:szCs w:val="16"/>
      <w:lang w:eastAsia="en-US"/>
    </w:rPr>
  </w:style>
  <w:style w:type="character" w:styleId="BodyText3Char" w:customStyle="true">
    <w:name w:val="Body Text 3 Char"/>
    <w:basedOn w:val="DefaultParagraphFont"/>
    <w:link w:val="BodyText3"/>
    <w:uiPriority w:val="99"/>
    <w:semiHidden/>
    <w:rsid w:val="00E1232E"/>
    <w:rPr>
      <w:rFonts w:eastAsia="Times New Roman"/>
      <w:sz w:val="16"/>
      <w:szCs w:val="16"/>
      <w:lang w:eastAsia="en-US"/>
    </w:rPr>
  </w:style>
  <w:style w:type="paragraph" w:styleId="BodyTextIndent2">
    <w:name w:val="Body Text Indent 2"/>
    <w:basedOn w:val="Normal"/>
    <w:link w:val="BodyTextIndent2Char"/>
    <w:uiPriority w:val="99"/>
    <w:unhideWhenUsed/>
    <w:locked/>
    <w:rsid w:val="00E1232E"/>
    <w:pPr>
      <w:spacing w:before="240" w:after="120" w:line="480" w:lineRule="auto"/>
      <w:ind w:left="283"/>
    </w:pPr>
    <w:rPr>
      <w:rFonts w:eastAsia="Times New Roman"/>
      <w:sz w:val="20"/>
      <w:szCs w:val="20"/>
      <w:lang w:eastAsia="en-US"/>
    </w:rPr>
  </w:style>
  <w:style w:type="character" w:styleId="BodyTextIndent2Char" w:customStyle="true">
    <w:name w:val="Body Text Indent 2 Char"/>
    <w:basedOn w:val="DefaultParagraphFont"/>
    <w:link w:val="BodyTextIndent2"/>
    <w:uiPriority w:val="99"/>
    <w:rsid w:val="00E1232E"/>
    <w:rPr>
      <w:rFonts w:eastAsia="Times New Roman"/>
      <w:sz w:val="20"/>
      <w:szCs w:val="20"/>
      <w:lang w:eastAsia="en-US"/>
    </w:rPr>
  </w:style>
  <w:style w:type="paragraph" w:styleId="BodyTextIndent3">
    <w:name w:val="Body Text Indent 3"/>
    <w:basedOn w:val="Normal"/>
    <w:link w:val="BodyTextIndent3Char"/>
    <w:uiPriority w:val="99"/>
    <w:semiHidden/>
    <w:unhideWhenUsed/>
    <w:locked/>
    <w:rsid w:val="00E1232E"/>
    <w:pPr>
      <w:spacing w:before="240" w:after="120" w:line="300" w:lineRule="auto"/>
      <w:ind w:left="283"/>
    </w:pPr>
    <w:rPr>
      <w:rFonts w:eastAsia="Times New Roman"/>
      <w:sz w:val="16"/>
      <w:szCs w:val="16"/>
      <w:lang w:eastAsia="en-US"/>
    </w:rPr>
  </w:style>
  <w:style w:type="character" w:styleId="BodyTextIndent3Char" w:customStyle="true">
    <w:name w:val="Body Text Indent 3 Char"/>
    <w:basedOn w:val="DefaultParagraphFont"/>
    <w:link w:val="BodyTextIndent3"/>
    <w:uiPriority w:val="99"/>
    <w:semiHidden/>
    <w:rsid w:val="00E1232E"/>
    <w:rPr>
      <w:rFonts w:eastAsia="Times New Roman"/>
      <w:sz w:val="16"/>
      <w:szCs w:val="16"/>
      <w:lang w:eastAsia="en-US"/>
    </w:rPr>
  </w:style>
  <w:style w:type="paragraph" w:styleId="PlainText">
    <w:name w:val="Plain Text"/>
    <w:basedOn w:val="Normal"/>
    <w:link w:val="PlainTextChar"/>
    <w:uiPriority w:val="99"/>
    <w:semiHidden/>
    <w:unhideWhenUsed/>
    <w:locked/>
    <w:rsid w:val="00E1232E"/>
    <w:pPr>
      <w:spacing w:after="0" w:line="240" w:lineRule="auto"/>
    </w:pPr>
    <w:rPr>
      <w:rFonts w:ascii="Courier New" w:hAnsi="Courier New" w:eastAsia="Times New Roman" w:cs="Courier New"/>
      <w:sz w:val="20"/>
      <w:szCs w:val="20"/>
      <w:lang w:eastAsia="en-US"/>
    </w:rPr>
  </w:style>
  <w:style w:type="character" w:styleId="PlainTextChar" w:customStyle="true">
    <w:name w:val="Plain Text Char"/>
    <w:basedOn w:val="DefaultParagraphFont"/>
    <w:link w:val="PlainText"/>
    <w:uiPriority w:val="99"/>
    <w:semiHidden/>
    <w:rsid w:val="00E1232E"/>
    <w:rPr>
      <w:rFonts w:ascii="Courier New" w:hAnsi="Courier New" w:eastAsia="Times New Roman" w:cs="Courier New"/>
      <w:sz w:val="20"/>
      <w:szCs w:val="20"/>
      <w:lang w:eastAsia="en-US"/>
    </w:rPr>
  </w:style>
  <w:style w:type="paragraph" w:styleId="CommentSubject">
    <w:name w:val="annotation subject"/>
    <w:basedOn w:val="CommentText"/>
    <w:next w:val="CommentText"/>
    <w:link w:val="CommentSubjectChar"/>
    <w:uiPriority w:val="99"/>
    <w:semiHidden/>
    <w:unhideWhenUsed/>
    <w:locked/>
    <w:rsid w:val="00E1232E"/>
    <w:rPr>
      <w:b/>
      <w:bCs/>
    </w:rPr>
  </w:style>
  <w:style w:type="character" w:styleId="CommentSubjectChar" w:customStyle="true">
    <w:name w:val="Comment Subject Char"/>
    <w:basedOn w:val="CommentTextChar"/>
    <w:link w:val="CommentSubject"/>
    <w:uiPriority w:val="99"/>
    <w:semiHidden/>
    <w:rsid w:val="00E1232E"/>
    <w:rPr>
      <w:rFonts w:eastAsia="Times New Roman"/>
      <w:b/>
      <w:bCs/>
      <w:sz w:val="20"/>
      <w:szCs w:val="20"/>
      <w:lang w:eastAsia="en-US"/>
    </w:rPr>
  </w:style>
  <w:style w:type="paragraph" w:styleId="List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type="paragraph" w:styleId="TOCHeading">
    <w:name w:val="TOC Heading"/>
    <w:basedOn w:val="Heading1"/>
    <w:next w:val="Normal"/>
    <w:uiPriority w:val="39"/>
    <w:semiHidden/>
    <w:unhideWhenUsed/>
    <w:qFormat/>
    <w:locked/>
    <w:rsid w:val="00E1232E"/>
    <w:pPr>
      <w:keepLines/>
      <w:spacing w:before="480" w:after="0"/>
      <w:outlineLvl w:val="9"/>
    </w:pPr>
    <w:rPr>
      <w:color w:val="365F91" w:themeColor="accent1" w:themeShade="BF"/>
      <w:kern w:val="0"/>
      <w:sz w:val="28"/>
      <w:szCs w:val="28"/>
      <w:lang w:val="en-US" w:eastAsia="ja-JP"/>
    </w:rPr>
  </w:style>
  <w:style w:type="paragraph" w:styleId="HeaderFooter" w:customStyle="true">
    <w:name w:val="Header/Footer"/>
    <w:basedOn w:val="Normal"/>
    <w:uiPriority w:val="99"/>
    <w:semiHidden/>
    <w:rsid w:val="00E1232E"/>
    <w:pPr>
      <w:spacing w:after="0" w:line="240" w:lineRule="auto"/>
      <w:jc w:val="right"/>
    </w:pPr>
    <w:rPr>
      <w:rFonts w:ascii="Arial (W1)" w:hAnsi="Arial (W1)" w:eastAsia="Times New Roman"/>
      <w:b/>
      <w:sz w:val="16"/>
      <w:szCs w:val="20"/>
      <w:lang w:eastAsia="en-US"/>
    </w:rPr>
  </w:style>
  <w:style w:type="paragraph" w:styleId="ListBulletIndent" w:customStyle="true">
    <w:name w:val="List Bullet Indent"/>
    <w:basedOn w:val="ListBullet"/>
    <w:uiPriority w:val="99"/>
    <w:semiHidden/>
    <w:rsid w:val="00E1232E"/>
    <w:pPr>
      <w:numPr>
        <w:numId w:val="8"/>
      </w:numPr>
    </w:pPr>
  </w:style>
  <w:style w:type="paragraph" w:styleId="TableText" w:customStyle="true">
    <w:name w:val="Table Text"/>
    <w:basedOn w:val="Normal"/>
    <w:uiPriority w:val="99"/>
    <w:semiHidden/>
    <w:rsid w:val="00E1232E"/>
    <w:pPr>
      <w:spacing w:before="60" w:after="60" w:line="300" w:lineRule="auto"/>
    </w:pPr>
    <w:rPr>
      <w:rFonts w:eastAsia="Times New Roman" w:cs="Arial"/>
      <w:sz w:val="20"/>
      <w:szCs w:val="20"/>
      <w:lang w:eastAsia="en-US"/>
    </w:rPr>
  </w:style>
  <w:style w:type="paragraph" w:styleId="Guidance" w:customStyle="true">
    <w:name w:val="Guidance"/>
    <w:basedOn w:val="BodyText"/>
    <w:uiPriority w:val="99"/>
    <w:semiHidden/>
    <w:rsid w:val="00E1232E"/>
    <w:pPr>
      <w:pBdr>
        <w:top w:val="single" w:color="auto" w:sz="4" w:space="6"/>
        <w:left w:val="single" w:color="auto" w:sz="4" w:space="6"/>
        <w:bottom w:val="single" w:color="auto" w:sz="4" w:space="6"/>
        <w:right w:val="single" w:color="auto" w:sz="4" w:space="6"/>
      </w:pBdr>
      <w:spacing w:before="0" w:after="0" w:line="240" w:lineRule="auto"/>
      <w:ind w:left="851"/>
    </w:pPr>
    <w:rPr>
      <w:rFonts w:ascii="Times New Roman" w:hAnsi="Times New Roman"/>
      <w:i/>
    </w:rPr>
  </w:style>
  <w:style w:type="paragraph" w:styleId="Tabletext0" w:customStyle="true">
    <w:name w:val="Table text"/>
    <w:basedOn w:val="Normal"/>
    <w:uiPriority w:val="99"/>
    <w:semiHidden/>
    <w:rsid w:val="00E1232E"/>
    <w:pPr>
      <w:spacing w:before="60" w:after="60" w:line="300" w:lineRule="auto"/>
    </w:pPr>
    <w:rPr>
      <w:rFonts w:eastAsia="Times New Roman" w:cs="Arial"/>
      <w:sz w:val="18"/>
      <w:szCs w:val="20"/>
      <w:lang w:eastAsia="en-US"/>
    </w:rPr>
  </w:style>
  <w:style w:type="paragraph" w:styleId="ListwithBullet" w:customStyle="true">
    <w:name w:val="List with Bullet"/>
    <w:basedOn w:val="Normal"/>
    <w:uiPriority w:val="99"/>
    <w:semiHidden/>
    <w:rsid w:val="00E1232E"/>
    <w:pPr>
      <w:numPr>
        <w:numId w:val="9"/>
      </w:numPr>
      <w:spacing w:after="0" w:line="300" w:lineRule="auto"/>
    </w:pPr>
    <w:rPr>
      <w:rFonts w:eastAsia="Times New Roman"/>
      <w:sz w:val="20"/>
      <w:szCs w:val="20"/>
      <w:lang w:eastAsia="en-US"/>
    </w:rPr>
  </w:style>
  <w:style w:type="paragraph" w:styleId="ListwithBulletinTable" w:customStyle="true">
    <w:name w:val="List with Bullet in Table"/>
    <w:basedOn w:val="ListwithBullet"/>
    <w:uiPriority w:val="99"/>
    <w:semiHidden/>
    <w:qFormat/>
    <w:rsid w:val="00E1232E"/>
    <w:rPr>
      <w:szCs w:val="22"/>
    </w:rPr>
  </w:style>
  <w:style w:type="paragraph" w:styleId="DBRNumbering" w:customStyle="true">
    <w:name w:val="DBR Numbering"/>
    <w:basedOn w:val="TableText"/>
    <w:uiPriority w:val="99"/>
    <w:semiHidden/>
    <w:qFormat/>
    <w:rsid w:val="00E1232E"/>
    <w:pPr>
      <w:numPr>
        <w:numId w:val="10"/>
      </w:numPr>
      <w:spacing w:line="240" w:lineRule="auto"/>
    </w:pPr>
  </w:style>
  <w:style w:type="paragraph" w:styleId="NFRNumbering" w:customStyle="true">
    <w:name w:val="NFR Numbering"/>
    <w:basedOn w:val="DBRNumbering"/>
    <w:uiPriority w:val="99"/>
    <w:semiHidden/>
    <w:qFormat/>
    <w:rsid w:val="00E1232E"/>
    <w:pPr>
      <w:numPr>
        <w:numId w:val="11"/>
      </w:numPr>
    </w:pPr>
    <w:rPr>
      <w:szCs w:val="24"/>
    </w:rPr>
  </w:style>
  <w:style w:type="character" w:styleId="TableHeadingChar" w:customStyle="true">
    <w:name w:val="Table Heading Char"/>
    <w:basedOn w:val="DefaultParagraphFont"/>
    <w:link w:val="TableHeading"/>
    <w:semiHidden/>
    <w:locked/>
    <w:rsid w:val="00E1232E"/>
    <w:rPr>
      <w:rFonts w:ascii="Arial Bold" w:hAnsi="Arial Bold"/>
      <w:b/>
      <w:sz w:val="18"/>
      <w:szCs w:val="22"/>
      <w:lang w:eastAsia="ar-SA"/>
    </w:rPr>
  </w:style>
  <w:style w:type="paragraph" w:styleId="TableHeading" w:customStyle="true">
    <w:name w:val="Table Heading"/>
    <w:basedOn w:val="Normal"/>
    <w:link w:val="TableHeadingChar"/>
    <w:semiHidden/>
    <w:rsid w:val="00E1232E"/>
    <w:pPr>
      <w:keepNext/>
      <w:keepLines/>
      <w:suppressAutoHyphens/>
      <w:spacing w:before="100" w:after="60" w:line="240" w:lineRule="auto"/>
    </w:pPr>
    <w:rPr>
      <w:rFonts w:ascii="Arial Bold" w:hAnsi="Arial Bold"/>
      <w:b/>
      <w:sz w:val="18"/>
      <w:szCs w:val="22"/>
      <w:lang w:eastAsia="ar-SA"/>
    </w:rPr>
  </w:style>
  <w:style w:type="paragraph" w:styleId="TableBullet" w:customStyle="true">
    <w:name w:val="Table Bullet"/>
    <w:basedOn w:val="TableText"/>
    <w:uiPriority w:val="99"/>
    <w:semiHidden/>
    <w:rsid w:val="00E1232E"/>
    <w:pPr>
      <w:numPr>
        <w:numId w:val="12"/>
      </w:numPr>
      <w:spacing w:line="240" w:lineRule="auto"/>
    </w:pPr>
    <w:rPr>
      <w:rFonts w:ascii="Arial (W1)" w:hAnsi="Arial (W1)" w:cs="Times New Roman"/>
      <w:sz w:val="22"/>
    </w:rPr>
  </w:style>
  <w:style w:type="paragraph" w:styleId="Bulletforunderhdr12" w:customStyle="true">
    <w:name w:val="Bullet for under hdr 1 &amp; 2"/>
    <w:basedOn w:val="Normal"/>
    <w:uiPriority w:val="99"/>
    <w:semiHidden/>
    <w:rsid w:val="00E1232E"/>
    <w:pPr>
      <w:numPr>
        <w:numId w:val="13"/>
      </w:numPr>
      <w:spacing w:before="240" w:after="120" w:line="300" w:lineRule="auto"/>
    </w:pPr>
    <w:rPr>
      <w:rFonts w:ascii="Helvetica" w:hAnsi="Helvetica" w:eastAsia="Times New Roman"/>
      <w:sz w:val="20"/>
      <w:szCs w:val="20"/>
      <w:lang w:val="en-GB" w:eastAsia="en-US"/>
    </w:rPr>
  </w:style>
  <w:style w:type="paragraph" w:styleId="Bulletforblueiinfo" w:customStyle="true">
    <w:name w:val="Bullet for blueiinfo"/>
    <w:basedOn w:val="Normal"/>
    <w:uiPriority w:val="99"/>
    <w:semiHidden/>
    <w:rsid w:val="00E1232E"/>
    <w:pPr>
      <w:numPr>
        <w:numId w:val="14"/>
      </w:numPr>
      <w:tabs>
        <w:tab w:val="clear" w:pos="737"/>
        <w:tab w:val="num" w:pos="0"/>
        <w:tab w:val="left" w:pos="1191"/>
      </w:tabs>
      <w:spacing w:before="240" w:after="120" w:line="300" w:lineRule="auto"/>
      <w:ind w:left="1191" w:hanging="454"/>
      <w:jc w:val="both"/>
    </w:pPr>
    <w:rPr>
      <w:rFonts w:eastAsia="Times New Roman"/>
      <w:i/>
      <w:color w:val="0000FF"/>
      <w:sz w:val="20"/>
      <w:szCs w:val="20"/>
      <w:lang w:val="en-GB" w:eastAsia="en-US"/>
    </w:rPr>
  </w:style>
  <w:style w:type="paragraph" w:styleId="TableNormal1" w:customStyle="true">
    <w:name w:val="Table Normal1"/>
    <w:basedOn w:val="Normal"/>
    <w:uiPriority w:val="99"/>
    <w:semiHidden/>
    <w:rsid w:val="00E1232E"/>
    <w:pPr>
      <w:keepNext/>
      <w:keepLines/>
      <w:spacing w:before="60" w:after="60" w:line="240" w:lineRule="auto"/>
    </w:pPr>
    <w:rPr>
      <w:rFonts w:eastAsia="Times New Roman"/>
      <w:sz w:val="18"/>
      <w:szCs w:val="22"/>
      <w:lang w:eastAsia="en-US"/>
    </w:rPr>
  </w:style>
  <w:style w:type="paragraph" w:styleId="TableHeadingCentre" w:customStyle="true">
    <w:name w:val="Table Heading Centre"/>
    <w:basedOn w:val="TableHeading"/>
    <w:uiPriority w:val="99"/>
    <w:semiHidden/>
    <w:rsid w:val="00E1232E"/>
    <w:pPr>
      <w:suppressAutoHyphens w:val="false"/>
      <w:spacing w:before="60"/>
      <w:jc w:val="center"/>
    </w:pPr>
    <w:rPr>
      <w:rFonts w:ascii="Arial (W1)" w:hAnsi="Arial (W1)"/>
      <w:lang w:eastAsia="en-US"/>
    </w:rPr>
  </w:style>
  <w:style w:type="paragraph" w:styleId="heading2text" w:customStyle="true">
    <w:name w:val="heading 2 text"/>
    <w:basedOn w:val="Normal"/>
    <w:uiPriority w:val="99"/>
    <w:semiHidden/>
    <w:rsid w:val="00E1232E"/>
    <w:pPr>
      <w:overflowPunct w:val="false"/>
      <w:autoSpaceDE w:val="false"/>
      <w:autoSpaceDN w:val="false"/>
      <w:adjustRightInd w:val="false"/>
      <w:spacing w:after="0" w:line="240" w:lineRule="auto"/>
      <w:ind w:left="1134"/>
      <w:jc w:val="both"/>
    </w:pPr>
    <w:rPr>
      <w:rFonts w:ascii="Times New Roman" w:hAnsi="Times New Roman" w:eastAsia="Times New Roman"/>
      <w:szCs w:val="20"/>
      <w:lang w:eastAsia="en-US"/>
    </w:rPr>
  </w:style>
  <w:style w:type="paragraph" w:styleId="ReturnAddress" w:customStyle="true">
    <w:name w:val="Return Address"/>
    <w:basedOn w:val="Normal"/>
    <w:uiPriority w:val="99"/>
    <w:semiHidden/>
    <w:rsid w:val="00E1232E"/>
    <w:pPr>
      <w:keepLines/>
      <w:framePr w:w="5040" w:vSpace="187" w:hSpace="187" w:wrap="notBeside" w:hAnchor="margin" w:vAnchor="page" w:y="966"/>
      <w:widowControl w:val="false"/>
      <w:overflowPunct w:val="false"/>
      <w:autoSpaceDE w:val="false"/>
      <w:autoSpaceDN w:val="false"/>
      <w:adjustRightInd w:val="false"/>
      <w:spacing w:after="0" w:line="200" w:lineRule="atLeast"/>
    </w:pPr>
    <w:rPr>
      <w:rFonts w:eastAsia="Times New Roman"/>
      <w:spacing w:val="-2"/>
      <w:sz w:val="16"/>
      <w:szCs w:val="20"/>
      <w:lang w:val="en-US" w:eastAsia="en-US"/>
    </w:rPr>
  </w:style>
  <w:style w:type="paragraph" w:styleId="Heading1Text" w:customStyle="true">
    <w:name w:val="Heading 1 Text"/>
    <w:basedOn w:val="Normal"/>
    <w:uiPriority w:val="99"/>
    <w:semiHidden/>
    <w:rsid w:val="00E1232E"/>
    <w:pPr>
      <w:overflowPunct w:val="false"/>
      <w:autoSpaceDE w:val="false"/>
      <w:autoSpaceDN w:val="false"/>
      <w:adjustRightInd w:val="false"/>
      <w:spacing w:after="0" w:line="240" w:lineRule="auto"/>
      <w:ind w:left="567"/>
      <w:jc w:val="both"/>
    </w:pPr>
    <w:rPr>
      <w:rFonts w:ascii="Times New Roman" w:hAnsi="Times New Roman" w:eastAsia="Times New Roman"/>
      <w:szCs w:val="20"/>
      <w:lang w:eastAsia="en-US"/>
    </w:rPr>
  </w:style>
  <w:style w:type="paragraph" w:styleId="Bullet" w:customStyle="true">
    <w:name w:val="Bullet"/>
    <w:basedOn w:val="Normal"/>
    <w:uiPriority w:val="99"/>
    <w:semiHidden/>
    <w:rsid w:val="00E1232E"/>
    <w:pPr>
      <w:overflowPunct w:val="false"/>
      <w:autoSpaceDE w:val="false"/>
      <w:autoSpaceDN w:val="false"/>
      <w:adjustRightInd w:val="false"/>
      <w:spacing w:before="120" w:after="0" w:line="240" w:lineRule="auto"/>
      <w:ind w:left="1418" w:hanging="567"/>
      <w:jc w:val="both"/>
    </w:pPr>
    <w:rPr>
      <w:rFonts w:ascii="Times New Roman" w:hAnsi="Times New Roman" w:eastAsia="Times New Roman"/>
      <w:szCs w:val="20"/>
      <w:lang w:eastAsia="en-US"/>
    </w:rPr>
  </w:style>
  <w:style w:type="paragraph" w:styleId="Topic" w:customStyle="true">
    <w:name w:val="Topic"/>
    <w:basedOn w:val="Normal"/>
    <w:next w:val="BodyText"/>
    <w:uiPriority w:val="99"/>
    <w:semiHidden/>
    <w:rsid w:val="00E1232E"/>
    <w:pPr>
      <w:spacing w:before="120" w:after="120" w:line="240" w:lineRule="auto"/>
      <w:ind w:left="425"/>
    </w:pPr>
    <w:rPr>
      <w:rFonts w:eastAsia="Times New Roman"/>
      <w:b/>
      <w:smallCaps/>
      <w:szCs w:val="20"/>
      <w:lang w:val="en-US" w:eastAsia="en-US"/>
    </w:rPr>
  </w:style>
  <w:style w:type="paragraph" w:styleId="AppendixHeading1" w:customStyle="true">
    <w:name w:val="Appendix Heading 1"/>
    <w:basedOn w:val="Heading1"/>
    <w:uiPriority w:val="99"/>
    <w:semiHidden/>
    <w:rsid w:val="00E1232E"/>
    <w:pPr>
      <w:keepLines/>
      <w:pageBreakBefore/>
      <w:tabs>
        <w:tab w:val="left" w:pos="510"/>
      </w:tabs>
      <w:overflowPunct w:val="false"/>
      <w:autoSpaceDE w:val="false"/>
      <w:autoSpaceDN w:val="false"/>
      <w:adjustRightInd w:val="false"/>
      <w:spacing w:after="0" w:line="240" w:lineRule="auto"/>
    </w:pPr>
    <w:rPr>
      <w:rFonts w:ascii="Arial" w:hAnsi="Arial" w:eastAsia="Times New Roman" w:cs="Arial"/>
      <w:bCs w:val="false"/>
      <w:kern w:val="0"/>
      <w:sz w:val="36"/>
      <w:szCs w:val="20"/>
      <w:lang w:val="en-US" w:eastAsia="en-US"/>
    </w:rPr>
  </w:style>
  <w:style w:type="paragraph" w:styleId="AppendixHeading2" w:customStyle="true">
    <w:name w:val="Appendix Heading 2"/>
    <w:basedOn w:val="Heading2"/>
    <w:uiPriority w:val="99"/>
    <w:semiHidden/>
    <w:rsid w:val="00E1232E"/>
    <w:pPr>
      <w:keepNext w:val="false"/>
      <w:numPr>
        <w:ilvl w:val="1"/>
        <w:numId w:val="15"/>
      </w:numPr>
      <w:tabs>
        <w:tab w:val="left" w:pos="0"/>
        <w:tab w:val="left" w:pos="567"/>
        <w:tab w:val="left" w:pos="794"/>
        <w:tab w:val="left" w:pos="1350"/>
      </w:tabs>
      <w:overflowPunct w:val="false"/>
      <w:autoSpaceDE w:val="false"/>
      <w:autoSpaceDN w:val="false"/>
      <w:adjustRightInd w:val="false"/>
      <w:spacing w:before="360" w:after="0" w:line="240" w:lineRule="atLeast"/>
    </w:pPr>
    <w:rPr>
      <w:rFonts w:ascii="Arial" w:hAnsi="Arial" w:eastAsia="Times New Roman" w:cs="Arial"/>
      <w:bCs w:val="false"/>
      <w:i w:val="false"/>
      <w:iCs w:val="false"/>
      <w:szCs w:val="20"/>
      <w:lang w:val="en-US" w:eastAsia="en-US"/>
    </w:rPr>
  </w:style>
  <w:style w:type="paragraph" w:styleId="ruler5" w:customStyle="true">
    <w:name w:val="ruler 5"/>
    <w:basedOn w:val="Normal"/>
    <w:uiPriority w:val="99"/>
    <w:semiHidden/>
    <w:rsid w:val="00E1232E"/>
    <w:pPr>
      <w:tabs>
        <w:tab w:val="left" w:pos="882"/>
        <w:tab w:val="left" w:pos="1857"/>
        <w:tab w:val="left" w:pos="2831"/>
        <w:tab w:val="left" w:pos="6589"/>
      </w:tabs>
      <w:spacing w:after="0" w:line="240" w:lineRule="auto"/>
    </w:pPr>
    <w:rPr>
      <w:rFonts w:ascii="Times" w:hAnsi="Times" w:eastAsia="Times New Roman"/>
      <w:noProof/>
      <w:color w:val="000000"/>
      <w:sz w:val="20"/>
      <w:szCs w:val="20"/>
      <w:lang w:eastAsia="en-US"/>
    </w:rPr>
  </w:style>
  <w:style w:type="paragraph" w:styleId="Normal1" w:customStyle="true">
    <w:name w:val="Normal1"/>
    <w:basedOn w:val="Normal"/>
    <w:uiPriority w:val="99"/>
    <w:semiHidden/>
    <w:rsid w:val="00E1232E"/>
    <w:pPr>
      <w:tabs>
        <w:tab w:val="left" w:pos="-1440"/>
        <w:tab w:val="left" w:pos="-720"/>
        <w:tab w:val="left" w:pos="1"/>
        <w:tab w:val="left" w:pos="1080"/>
        <w:tab w:val="left" w:pos="1800"/>
        <w:tab w:val="left" w:pos="252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120" w:after="0" w:line="240" w:lineRule="auto"/>
      <w:jc w:val="both"/>
    </w:pPr>
    <w:rPr>
      <w:rFonts w:ascii="Times New Roman" w:hAnsi="Times New Roman" w:eastAsia="Times New Roman"/>
      <w:b/>
      <w:spacing w:val="-3"/>
      <w:szCs w:val="20"/>
      <w:lang w:val="en-GB" w:eastAsia="en-US"/>
    </w:rPr>
  </w:style>
  <w:style w:type="paragraph" w:styleId="BulletLast" w:customStyle="true">
    <w:name w:val="Bullet Last"/>
    <w:basedOn w:val="Bullet"/>
    <w:next w:val="Normal"/>
    <w:uiPriority w:val="99"/>
    <w:semiHidden/>
    <w:rsid w:val="00E1232E"/>
    <w:pPr>
      <w:tabs>
        <w:tab w:val="num" w:pos="720"/>
      </w:tabs>
      <w:overflowPunct/>
      <w:autoSpaceDE/>
      <w:autoSpaceDN/>
      <w:adjustRightInd/>
      <w:spacing w:before="0" w:after="240"/>
      <w:ind w:left="648" w:hanging="288"/>
    </w:pPr>
    <w:rPr>
      <w:lang w:val="en-GB"/>
    </w:rPr>
  </w:style>
  <w:style w:type="paragraph" w:styleId="DecimalAligned" w:customStyle="true">
    <w:name w:val="Decimal Aligned"/>
    <w:basedOn w:val="Normal"/>
    <w:uiPriority w:val="40"/>
    <w:semiHidden/>
    <w:qFormat/>
    <w:rsid w:val="00E1232E"/>
    <w:pPr>
      <w:tabs>
        <w:tab w:val="decimal" w:pos="360"/>
      </w:tabs>
    </w:pPr>
    <w:rPr>
      <w:rFonts w:asciiTheme="minorHAnsi" w:hAnsiTheme="minorHAnsi" w:eastAsiaTheme="minorHAnsi" w:cstheme="minorBidi"/>
      <w:sz w:val="20"/>
      <w:szCs w:val="22"/>
      <w:lang w:val="en-US" w:eastAsia="ja-JP"/>
    </w:rPr>
  </w:style>
  <w:style w:type="character" w:styleId="CommentReference">
    <w:name w:val="annotation reference"/>
    <w:basedOn w:val="DefaultParagraphFont"/>
    <w:semiHidden/>
    <w:unhideWhenUsed/>
    <w:locked/>
    <w:rsid w:val="00E1232E"/>
    <w:rPr>
      <w:sz w:val="16"/>
      <w:szCs w:val="16"/>
    </w:rPr>
  </w:style>
  <w:style w:type="character" w:styleId="SubtleEmphasis">
    <w:name w:val="Subtle Emphasis"/>
    <w:basedOn w:val="DefaultParagraphFont"/>
    <w:uiPriority w:val="19"/>
    <w:qFormat/>
    <w:locked/>
    <w:rsid w:val="00E1232E"/>
    <w:rPr>
      <w:i/>
      <w:iCs/>
      <w:color w:val="7F7F7F" w:themeColor="text1" w:themeTint="80"/>
    </w:rPr>
  </w:style>
  <w:style w:type="character" w:styleId="xdtextbox1" w:customStyle="true">
    <w:name w:val="xdtextbox1"/>
    <w:basedOn w:val="DefaultParagraphFont"/>
    <w:rsid w:val="00E1232E"/>
    <w:rPr>
      <w:color w:val="auto"/>
      <w:bdr w:val="single" w:color="DCDCDC" w:sz="8" w:space="1" w:frame="true"/>
      <w:shd w:val="clear" w:color="auto" w:fill="FFFFFF"/>
    </w:rPr>
  </w:style>
  <w:style w:type="table" w:styleId="MediumGrid1-Accent3">
    <w:name w:val="Medium Grid 1 Accent 3"/>
    <w:basedOn w:val="TableNormal"/>
    <w:uiPriority w:val="67"/>
    <w:locked/>
    <w:rsid w:val="00E1232E"/>
    <w:rPr>
      <w:rFonts w:ascii="Times New Roman" w:hAnsi="Times New Roman" w:eastAsia="Times New Roman"/>
      <w:sz w:val="20"/>
      <w:szCs w:val="20"/>
    </w:rPr>
    <w:tblPr>
      <w:tblStyleRowBandSize w:val="1"/>
      <w:tblStyleColBandSize w:val="1"/>
      <w:tblInd w:w="0" w:type="dxa"/>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Shading2-Accent5">
    <w:name w:val="Medium Shading 2 Accent 5"/>
    <w:basedOn w:val="TableNormal"/>
    <w:uiPriority w:val="64"/>
    <w:locked/>
    <w:rsid w:val="00E1232E"/>
    <w:rPr>
      <w:rFonts w:asciiTheme="minorHAnsi" w:hAnsiTheme="minorHAnsi" w:eastAsiaTheme="minorEastAsia" w:cstheme="minorBidi"/>
      <w:sz w:val="22"/>
      <w:szCs w:val="22"/>
      <w:lang w:val="en-US" w:eastAsia="ja-JP"/>
    </w:rPr>
    <w:tblPr>
      <w:tblStyleRowBandSize w:val="1"/>
      <w:tblStyleColBandSize w:val="1"/>
      <w:tblInd w:w="0" w:type="dxa"/>
      <w:tblBorders>
        <w:top w:val="single" w:color="auto" w:sz="18" w:space="0"/>
        <w:bottom w:val="single" w:color="auto" w:sz="1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beforeLines="0" w:beforeAutospacing="false" w:after="0" w:afterLines="0" w:afterAutospacing="false" w:line="240" w:lineRule="auto"/>
      </w:pPr>
      <w:rPr>
        <w:color w:val="000000"/>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Accent6">
    <w:name w:val="Medium List 1 Accent 6"/>
    <w:basedOn w:val="TableNormal"/>
    <w:uiPriority w:val="65"/>
    <w:locked/>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ghtList-Accent11" w:customStyle="true">
    <w:name w:val="Light List - Accent 1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4F81BD" w:themeFill="accent1"/>
      </w:tcPr>
    </w:tblStylePr>
    <w:tblStylePr w:type="lastRow">
      <w:pPr>
        <w:spacing w:before="0" w:beforeLines="0" w:beforeAutospacing="false" w:after="0" w:afterLines="0" w:afterAutospacing="false"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ColorfulGrid1" w:customStyle="true">
    <w:name w:val="Colorful Grid1"/>
    <w:basedOn w:val="TableNormal"/>
    <w:uiPriority w:val="73"/>
    <w:rsid w:val="00E1232E"/>
    <w:rPr>
      <w:rFonts w:ascii="Times New Roman" w:hAnsi="Times New Roman" w:eastAsia="Times New Roman"/>
      <w:color w:val="000000" w:themeColor="text1"/>
      <w:sz w:val="20"/>
      <w:szCs w:val="20"/>
    </w:rPr>
    <w:tblPr>
      <w:tblStyleRowBandSize w:val="1"/>
      <w:tblStyleColBandSize w:val="1"/>
      <w:tblInd w:w="0" w:type="dxa"/>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List11" w:customStyle="true">
    <w:name w:val="Medium List 11"/>
    <w:basedOn w:val="TableNormal"/>
    <w:uiPriority w:val="65"/>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ghtList1" w:customStyle="true">
    <w:name w:val="Light List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000000" w:themeFill="text1"/>
      </w:tcPr>
    </w:tblStylePr>
    <w:tblStylePr w:type="lastRow">
      <w:pPr>
        <w:spacing w:before="0" w:beforeLines="0" w:beforeAutospacing="false" w:after="0" w:afterLines="0" w:afterAutospacing="false"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MediumGrid21" w:customStyle="true">
    <w:name w:val="Medium Grid 21"/>
    <w:basedOn w:val="TableNormal"/>
    <w:uiPriority w:val="68"/>
    <w:rsid w:val="00E1232E"/>
    <w:rPr>
      <w:rFonts w:asciiTheme="majorHAnsi" w:hAnsiTheme="majorHAnsi" w:eastAsiaTheme="majorEastAsia" w:cstheme="majorBidi"/>
      <w:color w:val="000000" w:themeColor="text1"/>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false"/>
        <w:bCs w:val="false"/>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character" w:styleId="FootnoteReference">
    <w:name w:val="footnote reference"/>
    <w:basedOn w:val="DefaultParagraphFont"/>
    <w:uiPriority w:val="99"/>
    <w:unhideWhenUsed/>
    <w:locked/>
    <w:rsid w:val="0049645A"/>
    <w:rPr>
      <w:vertAlign w:val="superscript"/>
    </w:rPr>
  </w:style>
  <w:style w:type="paragraph" w:styleId="disclaimer" w:customStyle="true">
    <w:name w:val="disclaimer"/>
    <w:basedOn w:val="Normal"/>
    <w:rsid w:val="00575FAB"/>
    <w:pPr>
      <w:spacing w:before="100" w:beforeAutospacing="true" w:after="100" w:afterAutospacing="true" w:line="240" w:lineRule="auto"/>
    </w:pPr>
    <w:rPr>
      <w:rFonts w:ascii="Times" w:hAnsi="Times"/>
      <w:sz w:val="20"/>
      <w:szCs w:val="20"/>
      <w:lang w:eastAsia="en-US"/>
    </w:rPr>
  </w:style>
  <w:style w:type="character" w:styleId="Emphasis">
    <w:name w:val="Emphasis"/>
    <w:basedOn w:val="DefaultParagraphFont"/>
    <w:uiPriority w:val="20"/>
    <w:qFormat/>
    <w:locked/>
    <w:rsid w:val="00A2002E"/>
    <w:rPr>
      <w:i/>
      <w:iCs/>
    </w:rPr>
  </w:style>
</w:styles>
</file>

<file path=word/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Arial" w:cs="Times New Roman" w:eastAsia="Calibri" w:hAnsi="Arial"/>
        <w:sz w:val="24"/>
        <w:szCs w:val="24"/>
        <w:lang w:bidi="ar-SA" w:eastAsia="en-AU" w:val="en-AU"/>
      </w:rPr>
    </w:rPrDefault>
    <w:pPrDefault/>
  </w:docDefaults>
  <w:latentStyles w:count="267" w:defLockedState="1" w:defQFormat="0" w:defSemiHidden="1" w:defUIPriority="99" w:defUnhideWhenUsed="1">
    <w:lsdException w:locked="0" w:name="Normal" w:semiHidden="0" w:uiPriority="0" w:unhideWhenUsed="0"/>
    <w:lsdException w:locked="0" w:name="heading 1" w:qFormat="1" w:semiHidden="0" w:uiPriority="0" w:unhideWhenUsed="0"/>
    <w:lsdException w:locked="0" w:name="heading 2" w:qFormat="1" w:uiPriority="0"/>
    <w:lsdException w:locked="0" w:name="heading 3" w:qFormat="1" w:uiPriority="0"/>
    <w:lsdException w:name="heading 4" w:qFormat="1" w:uiPriority="0"/>
    <w:lsdException w:locked="0" w:name="heading 5" w:qFormat="1" w:uiPriority="0"/>
    <w:lsdException w:name="heading 6" w:qFormat="1" w:uiPriority="0"/>
    <w:lsdException w:name="heading 7" w:qFormat="1"/>
    <w:lsdException w:name="heading 8" w:qFormat="1"/>
    <w:lsdException w:name="heading 9" w:qFormat="1"/>
    <w:lsdException w:name="toc 1" w:qFormat="1" w:uiPriority="39"/>
    <w:lsdException w:name="toc 2" w:qFormat="1" w:uiPriority="39"/>
    <w:lsdException w:name="toc 3" w:qFormat="1"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annotation reference" w:uiPriority="0"/>
    <w:lsdException w:name="Title" w:qFormat="1" w:uiPriority="10" w:unhideWhenUsed="0"/>
    <w:lsdException w:locked="0" w:name="Default Paragraph Font" w:uiPriority="1"/>
    <w:lsdException w:locked="0" w:name="Body Text" w:uiPriority="0"/>
    <w:lsdException w:locked="0" w:name="Body Text Indent"/>
    <w:lsdException w:name="Subtitle" w:qFormat="1" w:uiPriority="11" w:unhideWhenUsed="0"/>
    <w:lsdException w:locked="0" w:name="Body Text First Indent"/>
    <w:lsdException w:locked="0" w:name="Body Text First Indent 2"/>
    <w:lsdException w:locked="0" w:name="Body Text 2"/>
    <w:lsdException w:locked="0" w:name="Body Text 3"/>
    <w:lsdException w:name="FollowedHyperlink" w:uiPriority="0"/>
    <w:lsdException w:locked="0" w:name="Strong" w:qFormat="1" w:uiPriority="22" w:unhideWhenUsed="0"/>
    <w:lsdException w:name="Emphasis" w:qFormat="1" w:uiPriority="20" w:unhideWhenUsed="0"/>
    <w:lsdException w:locked="0" w:name="HTML Top of Form"/>
    <w:lsdException w:locked="0" w:name="HTML Bottom of Form"/>
    <w:lsdException w:locked="0" w:name="Normal Table"/>
    <w:lsdException w:locked="0" w:name="No List"/>
    <w:lsdException w:locked="0" w:name="Balloon Text"/>
    <w:lsdException w:locked="0" w:name="Table Grid" w:semiHidden="0" w:uiPriority="59" w:unhideWhenUsed="0"/>
    <w:lsdException w:locked="0" w:name="Placeholder Text" w:unhideWhenUsed="0"/>
    <w:lsdException w:name="No Spacing" w:qFormat="1"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locked="0" w:name="Revision" w:unhideWhenUsed="0"/>
    <w:lsdException w:name="List Paragraph" w:qFormat="1" w:uiPriority="34" w:unhideWhenUsed="0"/>
    <w:lsdException w:name="Quote" w:qFormat="1" w:uiPriority="29" w:unhideWhenUsed="0"/>
    <w:lsdException w:name="Intense Quote" w:qFormat="1"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uiPriority="19" w:unhideWhenUsed="0"/>
    <w:lsdException w:name="Intense Emphasis" w:qFormat="1" w:uiPriority="21" w:unhideWhenUsed="0"/>
    <w:lsdException w:name="Subtle Reference" w:qFormat="1" w:uiPriority="31" w:unhideWhenUsed="0"/>
    <w:lsdException w:name="Intense Reference" w:qFormat="1" w:uiPriority="32" w:unhideWhenUsed="0"/>
    <w:lsdException w:name="Book Title" w:qFormat="1" w:uiPriority="33" w:unhideWhenUsed="0"/>
    <w:lsdException w:name="Bibliography" w:uiPriority="37"/>
    <w:lsdException w:name="TOC Heading" w:qFormat="1" w:uiPriority="39"/>
  </w:latentStyles>
  <w:style w:default="1" w:styleId="Normal" w:type="paragraph">
    <w:name w:val="Normal"/>
    <w:semiHidden/>
    <w:rsid w:val="009459F3"/>
    <w:pPr>
      <w:spacing w:after="200" w:line="276" w:lineRule="auto"/>
    </w:pPr>
  </w:style>
  <w:style w:styleId="Heading1" w:type="paragraph">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after="60" w:before="240"/>
      <w:outlineLvl w:val="0"/>
    </w:pPr>
    <w:rPr>
      <w:rFonts w:asciiTheme="majorHAnsi" w:cstheme="majorBidi" w:eastAsiaTheme="majorEastAsia" w:hAnsiTheme="majorHAnsi"/>
      <w:b/>
      <w:bCs/>
      <w:kern w:val="32"/>
      <w:sz w:val="32"/>
      <w:szCs w:val="32"/>
    </w:rPr>
  </w:style>
  <w:style w:styleId="Heading2" w:type="paragraph">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after="60" w:before="240"/>
      <w:outlineLvl w:val="1"/>
    </w:pPr>
    <w:rPr>
      <w:rFonts w:asciiTheme="majorHAnsi" w:cstheme="majorBidi" w:eastAsiaTheme="majorEastAsia" w:hAnsiTheme="majorHAnsi"/>
      <w:b/>
      <w:bCs/>
      <w:i/>
      <w:iCs/>
      <w:sz w:val="28"/>
      <w:szCs w:val="28"/>
    </w:rPr>
  </w:style>
  <w:style w:styleId="Heading3" w:type="paragraph">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after="60" w:before="240"/>
      <w:outlineLvl w:val="2"/>
    </w:pPr>
    <w:rPr>
      <w:rFonts w:asciiTheme="majorHAnsi" w:cstheme="majorBidi" w:eastAsiaTheme="majorEastAsia" w:hAnsiTheme="majorHAnsi"/>
      <w:b/>
      <w:bCs/>
      <w:sz w:val="26"/>
      <w:szCs w:val="26"/>
    </w:rPr>
  </w:style>
  <w:style w:styleId="Heading4" w:type="paragraph">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after="0" w:before="200"/>
      <w:outlineLvl w:val="3"/>
    </w:pPr>
    <w:rPr>
      <w:rFonts w:asciiTheme="majorHAnsi" w:cstheme="majorBidi" w:eastAsiaTheme="majorEastAsia" w:hAnsiTheme="majorHAnsi"/>
      <w:b/>
      <w:bCs/>
      <w:i/>
      <w:iCs/>
      <w:color w:themeColor="accent1" w:val="4F81BD"/>
    </w:rPr>
  </w:style>
  <w:style w:styleId="Heading5" w:type="paragraph">
    <w:name w:val="heading 5"/>
    <w:aliases w:val="Level 3 - i,5,Normal5,Level 3 - (i)"/>
    <w:basedOn w:val="Heading4"/>
    <w:next w:val="Normal"/>
    <w:link w:val="Heading5Char"/>
    <w:semiHidden/>
    <w:unhideWhenUsed/>
    <w:qFormat/>
    <w:rsid w:val="00E1232E"/>
    <w:pPr>
      <w:keepLines w:val="0"/>
      <w:tabs>
        <w:tab w:pos="1008" w:val="num"/>
      </w:tabs>
      <w:spacing w:after="120" w:before="240" w:line="300" w:lineRule="auto"/>
      <w:ind w:hanging="1008" w:left="1008"/>
      <w:outlineLvl w:val="4"/>
    </w:pPr>
    <w:rPr>
      <w:rFonts w:ascii="Arial" w:cs="Arial" w:eastAsia="Times New Roman" w:hAnsi="Arial"/>
      <w:b w:val="0"/>
      <w:i w:val="0"/>
      <w:iCs w:val="0"/>
      <w:color w:val="auto"/>
      <w:szCs w:val="28"/>
      <w:lang w:eastAsia="en-US"/>
    </w:rPr>
  </w:style>
  <w:style w:styleId="Heading6" w:type="paragraph">
    <w:name w:val="heading 6"/>
    <w:aliases w:val="Legal Level 1.,Body Text 5,Normal6"/>
    <w:basedOn w:val="Heading5"/>
    <w:next w:val="Normal"/>
    <w:link w:val="Heading6Char"/>
    <w:semiHidden/>
    <w:unhideWhenUsed/>
    <w:qFormat/>
    <w:locked/>
    <w:rsid w:val="00E1232E"/>
    <w:pPr>
      <w:tabs>
        <w:tab w:pos="1008" w:val="clear"/>
        <w:tab w:pos="1152" w:val="num"/>
      </w:tabs>
      <w:ind w:hanging="1152" w:left="1152"/>
      <w:outlineLvl w:val="5"/>
    </w:pPr>
  </w:style>
  <w:style w:styleId="Heading7" w:type="paragraph">
    <w:name w:val="heading 7"/>
    <w:aliases w:val="Legal Level 1.1.,Body Text 6,Heading 7(unused),Normal7"/>
    <w:basedOn w:val="Heading6"/>
    <w:next w:val="Normal"/>
    <w:link w:val="Heading7Char"/>
    <w:uiPriority w:val="99"/>
    <w:semiHidden/>
    <w:unhideWhenUsed/>
    <w:qFormat/>
    <w:locked/>
    <w:rsid w:val="00E1232E"/>
    <w:pPr>
      <w:tabs>
        <w:tab w:pos="1152" w:val="clear"/>
        <w:tab w:pos="1296" w:val="num"/>
      </w:tabs>
      <w:ind w:hanging="1296" w:left="1296"/>
      <w:outlineLvl w:val="6"/>
    </w:pPr>
  </w:style>
  <w:style w:styleId="Heading8" w:type="paragraph">
    <w:name w:val="heading 8"/>
    <w:aliases w:val="Legal Level 1.1.1.,Body Text 7,Heading 8(unused),Heading 8 (Start Appendices),Normal8"/>
    <w:basedOn w:val="Heading7"/>
    <w:next w:val="Normal"/>
    <w:link w:val="Heading8Char"/>
    <w:uiPriority w:val="99"/>
    <w:semiHidden/>
    <w:unhideWhenUsed/>
    <w:qFormat/>
    <w:locked/>
    <w:rsid w:val="00E1232E"/>
    <w:pPr>
      <w:tabs>
        <w:tab w:pos="1296" w:val="clear"/>
        <w:tab w:pos="1440" w:val="num"/>
      </w:tabs>
      <w:ind w:hanging="1440" w:left="1440"/>
      <w:outlineLvl w:val="7"/>
    </w:pPr>
  </w:style>
  <w:style w:styleId="Heading9" w:type="paragraph">
    <w:name w:val="heading 9"/>
    <w:aliases w:val="Legal Level 1.1.1.1.,Body Text 8,Heading 9(unused),Appendix"/>
    <w:basedOn w:val="Heading8"/>
    <w:next w:val="Normal"/>
    <w:link w:val="Heading9Char"/>
    <w:uiPriority w:val="99"/>
    <w:semiHidden/>
    <w:unhideWhenUsed/>
    <w:qFormat/>
    <w:locked/>
    <w:rsid w:val="00E1232E"/>
    <w:pPr>
      <w:tabs>
        <w:tab w:pos="1440" w:val="clear"/>
        <w:tab w:pos="1584" w:val="num"/>
      </w:tabs>
      <w:ind w:hanging="1584" w:left="1584"/>
      <w:outlineLvl w:val="8"/>
    </w:p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CaselawCoversheet" w:type="paragraph">
    <w:name w:val="Caselaw Coversheet"/>
    <w:basedOn w:val="Normal"/>
    <w:qFormat/>
    <w:rsid w:val="009C6388"/>
    <w:pPr>
      <w:spacing w:after="0" w:line="240" w:lineRule="auto"/>
    </w:pPr>
    <w:rPr>
      <w:rFonts w:cs="Arial"/>
    </w:rPr>
  </w:style>
  <w:style w:customStyle="1" w:styleId="CaselawNormal" w:type="paragraph">
    <w:name w:val="Caselaw Normal"/>
    <w:basedOn w:val="CaselawCoversheet"/>
    <w:uiPriority w:val="6"/>
    <w:qFormat/>
    <w:locked/>
    <w:rsid w:val="007360E8"/>
    <w:pPr>
      <w:spacing w:after="240" w:line="360" w:lineRule="auto"/>
      <w:ind w:left="720"/>
    </w:pPr>
  </w:style>
  <w:style w:customStyle="1" w:styleId="CaselawNumbered10" w:type="paragraph">
    <w:name w:val="Caselaw Numbered 1"/>
    <w:basedOn w:val="CaselawNormal"/>
    <w:uiPriority w:val="5"/>
    <w:qFormat/>
    <w:rsid w:val="007360E8"/>
    <w:pPr>
      <w:numPr>
        <w:numId w:val="1"/>
      </w:numPr>
      <w:ind w:hanging="720" w:left="720"/>
    </w:pPr>
  </w:style>
  <w:style w:customStyle="1" w:styleId="CaselawNumbered1" w:type="paragraph">
    <w:name w:val="Caselaw Numbered (1)"/>
    <w:basedOn w:val="CaselawNumbered10"/>
    <w:qFormat/>
    <w:rsid w:val="000A5273"/>
    <w:pPr>
      <w:numPr>
        <w:numId w:val="2"/>
      </w:numPr>
      <w:spacing w:after="360" w:line="240" w:lineRule="auto"/>
      <w:ind w:hanging="720" w:left="1440"/>
    </w:pPr>
  </w:style>
  <w:style w:customStyle="1" w:styleId="CaselawNumbereda" w:type="paragraph">
    <w:name w:val="Caselaw Numbered (a)"/>
    <w:basedOn w:val="CaselawNumbered1"/>
    <w:qFormat/>
    <w:rsid w:val="006E7434"/>
    <w:pPr>
      <w:numPr>
        <w:numId w:val="3"/>
      </w:numPr>
      <w:ind w:hanging="720" w:left="2160"/>
    </w:pPr>
  </w:style>
  <w:style w:customStyle="1" w:styleId="CaselawNumberedi" w:type="paragraph">
    <w:name w:val="Caselaw Numbered (i)"/>
    <w:basedOn w:val="CaselawNumbereda"/>
    <w:qFormat/>
    <w:rsid w:val="006E7434"/>
    <w:pPr>
      <w:numPr>
        <w:numId w:val="4"/>
      </w:numPr>
      <w:ind w:hanging="720" w:left="2880"/>
    </w:pPr>
  </w:style>
  <w:style w:customStyle="1" w:styleId="CaselawHeading1" w:type="paragraph">
    <w:name w:val="Caselaw Heading 1"/>
    <w:basedOn w:val="CaselawCoversheet"/>
    <w:next w:val="CaselawNumbered10"/>
    <w:uiPriority w:val="1"/>
    <w:qFormat/>
    <w:rsid w:val="00770D05"/>
    <w:pPr>
      <w:spacing w:after="240"/>
      <w:outlineLvl w:val="0"/>
    </w:pPr>
    <w:rPr>
      <w:b/>
      <w:caps/>
      <w:sz w:val="28"/>
    </w:rPr>
  </w:style>
  <w:style w:customStyle="1" w:styleId="CaselawHeading2" w:type="paragraph">
    <w:name w:val="Caselaw Heading 2"/>
    <w:basedOn w:val="CaselawHeading1"/>
    <w:next w:val="CaselawNumbered10"/>
    <w:uiPriority w:val="2"/>
    <w:qFormat/>
    <w:rsid w:val="009459F3"/>
    <w:pPr>
      <w:outlineLvl w:val="1"/>
    </w:pPr>
    <w:rPr>
      <w:caps w:val="0"/>
      <w:sz w:val="24"/>
    </w:rPr>
  </w:style>
  <w:style w:customStyle="1" w:styleId="CaselawHeading3" w:type="paragraph">
    <w:name w:val="Caselaw Heading 3"/>
    <w:basedOn w:val="CaselawHeading1"/>
    <w:next w:val="CaselawNumbered10"/>
    <w:uiPriority w:val="3"/>
    <w:qFormat/>
    <w:rsid w:val="009459F3"/>
    <w:pPr>
      <w:outlineLvl w:val="2"/>
    </w:pPr>
    <w:rPr>
      <w:b w:val="0"/>
      <w:i/>
      <w:caps w:val="0"/>
      <w:sz w:val="24"/>
    </w:rPr>
  </w:style>
  <w:style w:customStyle="1" w:styleId="CaselawQuote" w:type="paragraph">
    <w:name w:val="Caselaw Quote &gt;"/>
    <w:basedOn w:val="CaselawNormal"/>
    <w:qFormat/>
    <w:rsid w:val="00DA03B8"/>
    <w:pPr>
      <w:spacing w:after="360" w:line="240" w:lineRule="auto"/>
    </w:pPr>
    <w:rPr>
      <w:sz w:val="22"/>
    </w:rPr>
  </w:style>
  <w:style w:customStyle="1" w:styleId="CaselawQuote0" w:type="paragraph">
    <w:name w:val="Caselaw Quote &gt;&gt;"/>
    <w:basedOn w:val="CaselawNormal"/>
    <w:qFormat/>
    <w:rsid w:val="000A5273"/>
    <w:pPr>
      <w:spacing w:after="360" w:line="240" w:lineRule="auto"/>
      <w:ind w:left="2160"/>
    </w:pPr>
    <w:rPr>
      <w:sz w:val="22"/>
    </w:rPr>
  </w:style>
  <w:style w:customStyle="1" w:styleId="CaselawQuote1" w:type="paragraph">
    <w:name w:val="Caselaw Quote &gt;&gt;&gt;"/>
    <w:basedOn w:val="CaselawQuote0"/>
    <w:qFormat/>
    <w:rsid w:val="000A5273"/>
    <w:pPr>
      <w:ind w:left="2880"/>
    </w:pPr>
  </w:style>
  <w:style w:customStyle="1" w:styleId="CaselawHeading4" w:type="paragraph">
    <w:name w:val="Caselaw Heading 4"/>
    <w:basedOn w:val="CaselawHeading1"/>
    <w:next w:val="CaselawNumbered10"/>
    <w:uiPriority w:val="4"/>
    <w:qFormat/>
    <w:rsid w:val="009459F3"/>
    <w:pPr>
      <w:ind w:left="720"/>
      <w:outlineLvl w:val="3"/>
    </w:pPr>
    <w:rPr>
      <w:caps w:val="0"/>
      <w:sz w:val="22"/>
    </w:rPr>
  </w:style>
  <w:style w:customStyle="1" w:styleId="Heading1Char" w:type="character">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cstheme="majorBidi" w:eastAsiaTheme="majorEastAsia" w:hAnsiTheme="majorHAnsi"/>
      <w:b/>
      <w:bCs/>
      <w:kern w:val="32"/>
      <w:sz w:val="32"/>
      <w:szCs w:val="32"/>
      <w:lang w:eastAsia="en-US"/>
    </w:rPr>
  </w:style>
  <w:style w:customStyle="1" w:styleId="Heading2Char" w:type="character">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cstheme="majorBidi" w:eastAsiaTheme="majorEastAsia" w:hAnsiTheme="majorHAnsi"/>
      <w:b/>
      <w:bCs/>
      <w:i/>
      <w:iCs/>
      <w:sz w:val="28"/>
      <w:szCs w:val="28"/>
      <w:lang w:eastAsia="en-US"/>
    </w:rPr>
  </w:style>
  <w:style w:customStyle="1" w:styleId="Heading3Char" w:type="character">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cstheme="majorBidi" w:eastAsiaTheme="majorEastAsia" w:hAnsiTheme="majorHAnsi"/>
      <w:b/>
      <w:bCs/>
      <w:sz w:val="26"/>
      <w:szCs w:val="26"/>
      <w:lang w:eastAsia="en-US"/>
    </w:rPr>
  </w:style>
  <w:style w:styleId="TableGrid" w:type="table">
    <w:name w:val="Table Grid"/>
    <w:basedOn w:val="TableNormal"/>
    <w:uiPriority w:val="59"/>
    <w:locked/>
    <w:rsid w:val="002D6852"/>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customStyle="1" w:styleId="CaselawBullet" w:type="paragraph">
    <w:name w:val="Caselaw Bullet"/>
    <w:basedOn w:val="CaselawNormal"/>
    <w:uiPriority w:val="1"/>
    <w:qFormat/>
    <w:locked/>
    <w:rsid w:val="00F36D30"/>
    <w:pPr>
      <w:numPr>
        <w:numId w:val="5"/>
      </w:numPr>
      <w:spacing w:after="360" w:line="240" w:lineRule="auto"/>
      <w:ind w:hanging="720"/>
    </w:pPr>
  </w:style>
  <w:style w:customStyle="1" w:styleId="CaselawHeading5" w:type="paragraph">
    <w:name w:val="Caselaw Heading 5"/>
    <w:basedOn w:val="CaselawHeading4"/>
    <w:rsid w:val="009459F3"/>
    <w:rPr>
      <w:b w:val="0"/>
      <w:u w:val="single"/>
    </w:rPr>
  </w:style>
  <w:style w:styleId="BalloonText" w:type="paragraph">
    <w:name w:val="Balloon Text"/>
    <w:basedOn w:val="Normal"/>
    <w:link w:val="BalloonTextChar"/>
    <w:uiPriority w:val="99"/>
    <w:semiHidden/>
    <w:unhideWhenUsed/>
    <w:locked/>
    <w:rsid w:val="000A5625"/>
    <w:pPr>
      <w:spacing w:after="0" w:line="240" w:lineRule="auto"/>
    </w:pPr>
    <w:rPr>
      <w:rFonts w:ascii="Tahoma" w:cs="Tahoma" w:hAnsi="Tahoma"/>
      <w:sz w:val="16"/>
      <w:szCs w:val="16"/>
    </w:rPr>
  </w:style>
  <w:style w:customStyle="1" w:styleId="BalloonTextChar" w:type="character">
    <w:name w:val="Balloon Text Char"/>
    <w:basedOn w:val="DefaultParagraphFont"/>
    <w:link w:val="BalloonText"/>
    <w:uiPriority w:val="99"/>
    <w:semiHidden/>
    <w:rsid w:val="000A5625"/>
    <w:rPr>
      <w:rFonts w:ascii="Tahoma" w:cs="Tahoma" w:hAnsi="Tahoma"/>
      <w:sz w:val="16"/>
      <w:szCs w:val="16"/>
    </w:rPr>
  </w:style>
  <w:style w:styleId="PlaceholderText" w:type="character">
    <w:name w:val="Placeholder Text"/>
    <w:basedOn w:val="DefaultParagraphFont"/>
    <w:uiPriority w:val="99"/>
    <w:semiHidden/>
    <w:locked/>
    <w:rsid w:val="00B914EB"/>
    <w:rPr>
      <w:color w:val="808080"/>
    </w:rPr>
  </w:style>
  <w:style w:customStyle="1" w:styleId="Style1" w:type="character">
    <w:name w:val="Style1"/>
    <w:basedOn w:val="Strong"/>
    <w:uiPriority w:val="1"/>
    <w:locked/>
    <w:rsid w:val="00C13AF5"/>
    <w:rPr>
      <w:rFonts w:ascii="Arial" w:hAnsi="Arial"/>
      <w:b w:val="0"/>
      <w:bCs/>
      <w:sz w:val="24"/>
    </w:rPr>
  </w:style>
  <w:style w:styleId="Strong" w:type="character">
    <w:name w:val="Strong"/>
    <w:basedOn w:val="DefaultParagraphFont"/>
    <w:uiPriority w:val="22"/>
    <w:semiHidden/>
    <w:qFormat/>
    <w:locked/>
    <w:rsid w:val="00C13AF5"/>
    <w:rPr>
      <w:b/>
      <w:bCs/>
    </w:rPr>
  </w:style>
  <w:style w:styleId="DocumentMap" w:type="paragraph">
    <w:name w:val="Document Map"/>
    <w:basedOn w:val="Normal"/>
    <w:link w:val="DocumentMapChar"/>
    <w:uiPriority w:val="99"/>
    <w:semiHidden/>
    <w:unhideWhenUsed/>
    <w:locked/>
    <w:rsid w:val="00C11B7B"/>
    <w:pPr>
      <w:spacing w:after="0" w:line="240" w:lineRule="auto"/>
    </w:pPr>
    <w:rPr>
      <w:rFonts w:ascii="Lucida Grande" w:hAnsi="Lucida Grande"/>
    </w:rPr>
  </w:style>
  <w:style w:customStyle="1" w:styleId="DocumentMapChar" w:type="character">
    <w:name w:val="Document Map Char"/>
    <w:basedOn w:val="DefaultParagraphFont"/>
    <w:link w:val="DocumentMap"/>
    <w:uiPriority w:val="99"/>
    <w:semiHidden/>
    <w:rsid w:val="00C11B7B"/>
    <w:rPr>
      <w:rFonts w:ascii="Lucida Grande" w:hAnsi="Lucida Grande"/>
    </w:rPr>
  </w:style>
  <w:style w:styleId="NormalWeb" w:type="paragraph">
    <w:name w:val="Normal (Web)"/>
    <w:basedOn w:val="Normal"/>
    <w:uiPriority w:val="99"/>
    <w:semiHidden/>
    <w:unhideWhenUsed/>
    <w:locked/>
    <w:rsid w:val="00677778"/>
    <w:pPr>
      <w:spacing w:after="100" w:afterAutospacing="1" w:before="100" w:beforeAutospacing="1" w:line="240" w:lineRule="auto"/>
    </w:pPr>
    <w:rPr>
      <w:rFonts w:ascii="Times New Roman" w:eastAsia="Times New Roman" w:hAnsi="Times New Roman"/>
    </w:rPr>
  </w:style>
  <w:style w:customStyle="1" w:styleId="judgmentpara" w:type="paragraph">
    <w:name w:val="judgment_para"/>
    <w:basedOn w:val="Normal"/>
    <w:rsid w:val="00677778"/>
    <w:pPr>
      <w:spacing w:after="100" w:afterAutospacing="1" w:before="100" w:beforeAutospacing="1" w:line="240" w:lineRule="auto"/>
    </w:pPr>
    <w:rPr>
      <w:rFonts w:ascii="Times New Roman" w:eastAsia="Times New Roman" w:hAnsi="Times New Roman"/>
    </w:rPr>
  </w:style>
  <w:style w:customStyle="1" w:styleId="listnumber" w:type="character">
    <w:name w:val="list_number_"/>
    <w:basedOn w:val="DefaultParagraphFont"/>
    <w:rsid w:val="00677778"/>
  </w:style>
  <w:style w:customStyle="1" w:styleId="judgmentnumbereda" w:type="paragraph">
    <w:name w:val="judgment_numbered_a_"/>
    <w:basedOn w:val="Normal"/>
    <w:rsid w:val="00B74D80"/>
    <w:pPr>
      <w:spacing w:after="100" w:afterAutospacing="1" w:before="100" w:beforeAutospacing="1" w:line="240" w:lineRule="auto"/>
    </w:pPr>
    <w:rPr>
      <w:rFonts w:ascii="Times New Roman" w:eastAsia="Times New Roman" w:hAnsi="Times New Roman"/>
    </w:rPr>
  </w:style>
  <w:style w:customStyle="1" w:styleId="judgmentnumberedi" w:type="paragraph">
    <w:name w:val="judgment_numbered_i_"/>
    <w:basedOn w:val="Normal"/>
    <w:rsid w:val="00B74D80"/>
    <w:pPr>
      <w:spacing w:after="100" w:afterAutospacing="1" w:before="100" w:beforeAutospacing="1" w:line="240" w:lineRule="auto"/>
    </w:pPr>
    <w:rPr>
      <w:rFonts w:ascii="Times New Roman" w:eastAsia="Times New Roman" w:hAnsi="Times New Roman"/>
    </w:rPr>
  </w:style>
  <w:style w:customStyle="1" w:styleId="Heading4Char" w:type="character">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cstheme="majorBidi" w:eastAsiaTheme="majorEastAsia" w:hAnsiTheme="majorHAnsi"/>
      <w:b/>
      <w:bCs/>
      <w:i/>
      <w:iCs/>
      <w:color w:themeColor="accent1" w:val="4F81BD"/>
    </w:rPr>
  </w:style>
  <w:style w:customStyle="1" w:styleId="Heading5Char" w:type="character">
    <w:name w:val="Heading 5 Char"/>
    <w:aliases w:val="Level 3 - i Char,5 Char,Normal5 Char,Level 3 - (i) Char"/>
    <w:basedOn w:val="DefaultParagraphFont"/>
    <w:link w:val="Heading5"/>
    <w:semiHidden/>
    <w:rsid w:val="00E1232E"/>
    <w:rPr>
      <w:rFonts w:cs="Arial" w:eastAsia="Times New Roman"/>
      <w:bCs/>
      <w:szCs w:val="28"/>
      <w:lang w:eastAsia="en-US"/>
    </w:rPr>
  </w:style>
  <w:style w:customStyle="1" w:styleId="Heading6Char" w:type="character">
    <w:name w:val="Heading 6 Char"/>
    <w:aliases w:val="Legal Level 1. Char,Body Text 5 Char,Normal6 Char"/>
    <w:basedOn w:val="DefaultParagraphFont"/>
    <w:link w:val="Heading6"/>
    <w:semiHidden/>
    <w:rsid w:val="00E1232E"/>
    <w:rPr>
      <w:rFonts w:cs="Arial" w:eastAsia="Times New Roman"/>
      <w:bCs/>
      <w:szCs w:val="28"/>
      <w:lang w:eastAsia="en-US"/>
    </w:rPr>
  </w:style>
  <w:style w:customStyle="1" w:styleId="Heading7Char" w:type="character">
    <w:name w:val="Heading 7 Char"/>
    <w:aliases w:val="Legal Level 1.1. Char,Body Text 6 Char,Heading 7(unused) Char,Normal7 Char"/>
    <w:basedOn w:val="DefaultParagraphFont"/>
    <w:link w:val="Heading7"/>
    <w:uiPriority w:val="99"/>
    <w:semiHidden/>
    <w:rsid w:val="00E1232E"/>
    <w:rPr>
      <w:rFonts w:cs="Arial" w:eastAsia="Times New Roman"/>
      <w:bCs/>
      <w:szCs w:val="28"/>
      <w:lang w:eastAsia="en-US"/>
    </w:rPr>
  </w:style>
  <w:style w:customStyle="1" w:styleId="Heading8Char" w:type="character">
    <w:name w:val="Heading 8 Char"/>
    <w:aliases w:val="Legal Level 1.1.1. Char,Body Text 7 Char,Heading 8(unused) Char,Heading 8 (Start Appendices) Char,Normal8 Char"/>
    <w:basedOn w:val="DefaultParagraphFont"/>
    <w:link w:val="Heading8"/>
    <w:uiPriority w:val="99"/>
    <w:semiHidden/>
    <w:rsid w:val="00E1232E"/>
    <w:rPr>
      <w:rFonts w:cs="Arial" w:eastAsia="Times New Roman"/>
      <w:bCs/>
      <w:szCs w:val="28"/>
      <w:lang w:eastAsia="en-US"/>
    </w:rPr>
  </w:style>
  <w:style w:customStyle="1" w:styleId="Heading9Char" w:type="character">
    <w:name w:val="Heading 9 Char"/>
    <w:aliases w:val="Legal Level 1.1.1.1. Char,Body Text 8 Char,Heading 9(unused) Char,Appendix Char"/>
    <w:basedOn w:val="DefaultParagraphFont"/>
    <w:link w:val="Heading9"/>
    <w:uiPriority w:val="99"/>
    <w:semiHidden/>
    <w:rsid w:val="00E1232E"/>
    <w:rPr>
      <w:rFonts w:cs="Arial" w:eastAsia="Times New Roman"/>
      <w:bCs/>
      <w:szCs w:val="28"/>
      <w:lang w:eastAsia="en-US"/>
    </w:rPr>
  </w:style>
  <w:style w:styleId="Hyperlink" w:type="character">
    <w:name w:val="Hyperlink"/>
    <w:basedOn w:val="DefaultParagraphFont"/>
    <w:uiPriority w:val="99"/>
    <w:unhideWhenUsed/>
    <w:locked/>
    <w:rsid w:val="00E1232E"/>
    <w:rPr>
      <w:color w:val="0000FF"/>
      <w:u w:val="single"/>
    </w:rPr>
  </w:style>
  <w:style w:styleId="FollowedHyperlink" w:type="character">
    <w:name w:val="FollowedHyperlink"/>
    <w:basedOn w:val="DefaultParagraphFont"/>
    <w:semiHidden/>
    <w:unhideWhenUsed/>
    <w:locked/>
    <w:rsid w:val="00E1232E"/>
    <w:rPr>
      <w:color w:val="800080"/>
      <w:u w:val="single"/>
    </w:rPr>
  </w:style>
  <w:style w:customStyle="1" w:styleId="Heading1Char1" w:type="character">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cstheme="majorBidi" w:eastAsiaTheme="majorEastAsia" w:hAnsiTheme="majorHAnsi"/>
      <w:b/>
      <w:bCs/>
      <w:color w:themeColor="accent1" w:themeShade="BF" w:val="365F91"/>
      <w:sz w:val="28"/>
      <w:szCs w:val="28"/>
      <w:lang w:eastAsia="en-US"/>
    </w:rPr>
  </w:style>
  <w:style w:customStyle="1" w:styleId="Heading2Char1" w:type="character">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cstheme="majorBidi" w:eastAsiaTheme="majorEastAsia" w:hAnsiTheme="majorHAnsi"/>
      <w:b/>
      <w:bCs/>
      <w:color w:themeColor="accent1" w:val="4F81BD"/>
      <w:sz w:val="26"/>
      <w:szCs w:val="26"/>
      <w:lang w:eastAsia="en-US"/>
    </w:rPr>
  </w:style>
  <w:style w:customStyle="1" w:styleId="Heading3Char1" w:type="character">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cstheme="majorBidi" w:eastAsiaTheme="majorEastAsia" w:hAnsiTheme="majorHAnsi"/>
      <w:b/>
      <w:bCs/>
      <w:color w:themeColor="accent1" w:val="4F81BD"/>
      <w:lang w:eastAsia="en-US"/>
    </w:rPr>
  </w:style>
  <w:style w:customStyle="1" w:styleId="Heading4Char1" w:type="character">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cstheme="majorBidi" w:eastAsiaTheme="majorEastAsia" w:hAnsiTheme="majorHAnsi"/>
      <w:b/>
      <w:bCs/>
      <w:i/>
      <w:iCs/>
      <w:color w:themeColor="accent1" w:val="4F81BD"/>
      <w:lang w:eastAsia="en-US"/>
    </w:rPr>
  </w:style>
  <w:style w:customStyle="1" w:styleId="Heading5Char1" w:type="character">
    <w:name w:val="Heading 5 Char1"/>
    <w:aliases w:val="Level 3 - i Char1,5 Char1,Normal5 Char1,Level 3 - (i) Char1"/>
    <w:basedOn w:val="DefaultParagraphFont"/>
    <w:semiHidden/>
    <w:rsid w:val="00E1232E"/>
    <w:rPr>
      <w:rFonts w:asciiTheme="majorHAnsi" w:cstheme="majorBidi" w:eastAsiaTheme="majorEastAsia" w:hAnsiTheme="majorHAnsi"/>
      <w:color w:themeColor="accent1" w:themeShade="7F" w:val="243F60"/>
      <w:lang w:eastAsia="en-US"/>
    </w:rPr>
  </w:style>
  <w:style w:customStyle="1" w:styleId="Heading6Char1" w:type="character">
    <w:name w:val="Heading 6 Char1"/>
    <w:aliases w:val="Legal Level 1. Char1,Body Text 5 Char1,Normal6 Char1"/>
    <w:basedOn w:val="DefaultParagraphFont"/>
    <w:semiHidden/>
    <w:rsid w:val="00E1232E"/>
    <w:rPr>
      <w:rFonts w:asciiTheme="majorHAnsi" w:cstheme="majorBidi" w:eastAsiaTheme="majorEastAsia" w:hAnsiTheme="majorHAnsi"/>
      <w:i/>
      <w:iCs/>
      <w:color w:themeColor="accent1" w:themeShade="7F" w:val="243F60"/>
      <w:lang w:eastAsia="en-US"/>
    </w:rPr>
  </w:style>
  <w:style w:customStyle="1" w:styleId="Heading7Char1" w:type="character">
    <w:name w:val="Heading 7 Char1"/>
    <w:aliases w:val="Legal Level 1.1. Char1,Body Text 6 Char1,Heading 7(unused) Char1,Normal7 Char1"/>
    <w:basedOn w:val="DefaultParagraphFont"/>
    <w:semiHidden/>
    <w:rsid w:val="00E1232E"/>
    <w:rPr>
      <w:rFonts w:asciiTheme="majorHAnsi" w:cstheme="majorBidi" w:eastAsiaTheme="majorEastAsia" w:hAnsiTheme="majorHAnsi"/>
      <w:i/>
      <w:iCs/>
      <w:color w:themeColor="text1" w:themeTint="BF" w:val="404040"/>
      <w:lang w:eastAsia="en-US"/>
    </w:rPr>
  </w:style>
  <w:style w:customStyle="1" w:styleId="Heading8Char1" w:type="character">
    <w:name w:val="Heading 8 Char1"/>
    <w:aliases w:val="Legal Level 1.1.1. Char1,Body Text 7 Char1,Heading 8(unused) Char1,Heading 8 (Start Appendices) Char1,Normal8 Char1"/>
    <w:basedOn w:val="DefaultParagraphFont"/>
    <w:semiHidden/>
    <w:rsid w:val="00E1232E"/>
    <w:rPr>
      <w:rFonts w:asciiTheme="majorHAnsi" w:cstheme="majorBidi" w:eastAsiaTheme="majorEastAsia" w:hAnsiTheme="majorHAnsi"/>
      <w:color w:themeColor="text1" w:themeTint="BF" w:val="404040"/>
      <w:lang w:eastAsia="en-US"/>
    </w:rPr>
  </w:style>
  <w:style w:customStyle="1" w:styleId="Heading9Char1" w:type="character">
    <w:name w:val="Heading 9 Char1"/>
    <w:aliases w:val="Legal Level 1.1.1.1. Char1,Body Text 8 Char1,Heading 9(unused) Char1,Appendix Char1"/>
    <w:basedOn w:val="DefaultParagraphFont"/>
    <w:semiHidden/>
    <w:rsid w:val="00E1232E"/>
    <w:rPr>
      <w:rFonts w:asciiTheme="majorHAnsi" w:cstheme="majorBidi" w:eastAsiaTheme="majorEastAsia" w:hAnsiTheme="majorHAnsi"/>
      <w:i/>
      <w:iCs/>
      <w:color w:themeColor="text1" w:themeTint="BF" w:val="404040"/>
      <w:lang w:eastAsia="en-US"/>
    </w:rPr>
  </w:style>
  <w:style w:styleId="Index1" w:type="paragraph">
    <w:name w:val="index 1"/>
    <w:basedOn w:val="Normal"/>
    <w:next w:val="Normal"/>
    <w:autoRedefine/>
    <w:uiPriority w:val="99"/>
    <w:unhideWhenUsed/>
    <w:locked/>
    <w:rsid w:val="00E1232E"/>
    <w:pPr>
      <w:keepLines/>
      <w:numPr>
        <w:numId w:val="6"/>
      </w:numPr>
      <w:overflowPunct w:val="0"/>
      <w:autoSpaceDE w:val="0"/>
      <w:autoSpaceDN w:val="0"/>
      <w:adjustRightInd w:val="0"/>
      <w:spacing w:after="0" w:line="240" w:lineRule="auto"/>
      <w:jc w:val="both"/>
    </w:pPr>
    <w:rPr>
      <w:rFonts w:ascii="Times New Roman" w:eastAsia="Times New Roman" w:hAnsi="Times New Roman"/>
      <w:szCs w:val="20"/>
      <w:lang w:eastAsia="en-US"/>
    </w:rPr>
  </w:style>
  <w:style w:styleId="Index2" w:type="paragraph">
    <w:name w:val="index 2"/>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480"/>
      <w:jc w:val="both"/>
    </w:pPr>
    <w:rPr>
      <w:rFonts w:ascii="Times New Roman" w:eastAsia="Times New Roman" w:hAnsi="Times New Roman"/>
      <w:szCs w:val="20"/>
      <w:lang w:eastAsia="en-US"/>
    </w:rPr>
  </w:style>
  <w:style w:styleId="Index3" w:type="paragraph">
    <w:name w:val="index 3"/>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720"/>
      <w:jc w:val="both"/>
    </w:pPr>
    <w:rPr>
      <w:rFonts w:ascii="Times New Roman" w:eastAsia="Times New Roman" w:hAnsi="Times New Roman"/>
      <w:szCs w:val="20"/>
      <w:lang w:eastAsia="en-US"/>
    </w:rPr>
  </w:style>
  <w:style w:styleId="Index4" w:type="paragraph">
    <w:name w:val="index 4"/>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960"/>
      <w:jc w:val="both"/>
    </w:pPr>
    <w:rPr>
      <w:rFonts w:ascii="Times New Roman" w:eastAsia="Times New Roman" w:hAnsi="Times New Roman"/>
      <w:szCs w:val="20"/>
      <w:lang w:eastAsia="en-US"/>
    </w:rPr>
  </w:style>
  <w:style w:styleId="Index5" w:type="paragraph">
    <w:name w:val="index 5"/>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200"/>
      <w:jc w:val="both"/>
    </w:pPr>
    <w:rPr>
      <w:rFonts w:ascii="Times New Roman" w:eastAsia="Times New Roman" w:hAnsi="Times New Roman"/>
      <w:szCs w:val="20"/>
      <w:lang w:eastAsia="en-US"/>
    </w:rPr>
  </w:style>
  <w:style w:styleId="Index6" w:type="paragraph">
    <w:name w:val="index 6"/>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440"/>
      <w:jc w:val="both"/>
    </w:pPr>
    <w:rPr>
      <w:rFonts w:ascii="Times New Roman" w:eastAsia="Times New Roman" w:hAnsi="Times New Roman"/>
      <w:szCs w:val="20"/>
      <w:lang w:eastAsia="en-US"/>
    </w:rPr>
  </w:style>
  <w:style w:styleId="Index7" w:type="paragraph">
    <w:name w:val="index 7"/>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680"/>
      <w:jc w:val="both"/>
    </w:pPr>
    <w:rPr>
      <w:rFonts w:ascii="Times New Roman" w:eastAsia="Times New Roman" w:hAnsi="Times New Roman"/>
      <w:szCs w:val="20"/>
      <w:lang w:eastAsia="en-US"/>
    </w:rPr>
  </w:style>
  <w:style w:styleId="Index8" w:type="paragraph">
    <w:name w:val="index 8"/>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920"/>
      <w:jc w:val="both"/>
    </w:pPr>
    <w:rPr>
      <w:rFonts w:ascii="Times New Roman" w:eastAsia="Times New Roman" w:hAnsi="Times New Roman"/>
      <w:szCs w:val="20"/>
      <w:lang w:eastAsia="en-US"/>
    </w:rPr>
  </w:style>
  <w:style w:styleId="Index9" w:type="paragraph">
    <w:name w:val="index 9"/>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2160"/>
      <w:jc w:val="both"/>
    </w:pPr>
    <w:rPr>
      <w:rFonts w:ascii="Times New Roman" w:eastAsia="Times New Roman" w:hAnsi="Times New Roman"/>
      <w:szCs w:val="20"/>
      <w:lang w:eastAsia="en-US"/>
    </w:rPr>
  </w:style>
  <w:style w:styleId="TOC1" w:type="paragraph">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styleId="TOC2" w:type="paragraph">
    <w:name w:val="toc 2"/>
    <w:basedOn w:val="TOC1"/>
    <w:next w:val="Normal"/>
    <w:autoRedefine/>
    <w:uiPriority w:val="39"/>
    <w:semiHidden/>
    <w:unhideWhenUsed/>
    <w:qFormat/>
    <w:locked/>
    <w:rsid w:val="00E1232E"/>
    <w:pPr>
      <w:ind w:left="454"/>
    </w:pPr>
    <w:rPr>
      <w:b w:val="0"/>
    </w:rPr>
  </w:style>
  <w:style w:styleId="TOC3" w:type="paragraph">
    <w:name w:val="toc 3"/>
    <w:basedOn w:val="TOC2"/>
    <w:next w:val="Normal"/>
    <w:autoRedefine/>
    <w:uiPriority w:val="39"/>
    <w:semiHidden/>
    <w:unhideWhenUsed/>
    <w:qFormat/>
    <w:locked/>
    <w:rsid w:val="00E1232E"/>
    <w:pPr>
      <w:spacing w:before="120"/>
    </w:pPr>
  </w:style>
  <w:style w:styleId="TOC4" w:type="paragraph">
    <w:name w:val="toc 4"/>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line="240" w:lineRule="auto"/>
      <w:ind w:left="720"/>
      <w:jc w:val="both"/>
    </w:pPr>
    <w:rPr>
      <w:rFonts w:eastAsia="Times New Roman"/>
      <w:sz w:val="20"/>
      <w:szCs w:val="20"/>
      <w:lang w:eastAsia="en-US"/>
    </w:rPr>
  </w:style>
  <w:style w:styleId="TOC5" w:type="paragraph">
    <w:name w:val="toc 5"/>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960"/>
      <w:jc w:val="both"/>
    </w:pPr>
    <w:rPr>
      <w:rFonts w:eastAsia="Times New Roman"/>
      <w:szCs w:val="20"/>
      <w:lang w:eastAsia="en-US"/>
    </w:rPr>
  </w:style>
  <w:style w:styleId="TOC6" w:type="paragraph">
    <w:name w:val="toc 6"/>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200"/>
      <w:jc w:val="both"/>
    </w:pPr>
    <w:rPr>
      <w:rFonts w:ascii="Times New Roman" w:eastAsia="Times New Roman" w:hAnsi="Times New Roman"/>
      <w:szCs w:val="20"/>
      <w:lang w:eastAsia="en-US"/>
    </w:rPr>
  </w:style>
  <w:style w:styleId="TOC7" w:type="paragraph">
    <w:name w:val="toc 7"/>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440"/>
      <w:jc w:val="both"/>
    </w:pPr>
    <w:rPr>
      <w:rFonts w:ascii="Times New Roman" w:eastAsia="Times New Roman" w:hAnsi="Times New Roman"/>
      <w:szCs w:val="20"/>
      <w:lang w:eastAsia="en-US"/>
    </w:rPr>
  </w:style>
  <w:style w:styleId="TOC8" w:type="paragraph">
    <w:name w:val="toc 8"/>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680"/>
      <w:jc w:val="both"/>
    </w:pPr>
    <w:rPr>
      <w:rFonts w:ascii="Times New Roman" w:eastAsia="Times New Roman" w:hAnsi="Times New Roman"/>
      <w:szCs w:val="20"/>
      <w:lang w:eastAsia="en-US"/>
    </w:rPr>
  </w:style>
  <w:style w:styleId="TOC9" w:type="paragraph">
    <w:name w:val="toc 9"/>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920"/>
      <w:jc w:val="both"/>
    </w:pPr>
    <w:rPr>
      <w:rFonts w:ascii="Times New Roman" w:eastAsia="Times New Roman" w:hAnsi="Times New Roman"/>
      <w:szCs w:val="20"/>
      <w:lang w:eastAsia="en-US"/>
    </w:rPr>
  </w:style>
  <w:style w:styleId="FootnoteText" w:type="paragraph">
    <w:name w:val="footnote text"/>
    <w:basedOn w:val="Normal"/>
    <w:link w:val="FootnoteTextChar"/>
    <w:uiPriority w:val="99"/>
    <w:unhideWhenUsed/>
    <w:locked/>
    <w:rsid w:val="00E1232E"/>
    <w:pPr>
      <w:spacing w:after="0" w:line="240" w:lineRule="auto"/>
    </w:pPr>
    <w:rPr>
      <w:rFonts w:asciiTheme="minorHAnsi" w:cstheme="minorBidi" w:eastAsiaTheme="minorEastAsia" w:hAnsiTheme="minorHAnsi"/>
      <w:sz w:val="20"/>
      <w:szCs w:val="20"/>
      <w:lang w:eastAsia="ja-JP" w:val="en-US"/>
    </w:rPr>
  </w:style>
  <w:style w:customStyle="1" w:styleId="FootnoteTextChar" w:type="character">
    <w:name w:val="Footnote Text Char"/>
    <w:basedOn w:val="DefaultParagraphFont"/>
    <w:link w:val="FootnoteText"/>
    <w:uiPriority w:val="99"/>
    <w:rsid w:val="00E1232E"/>
    <w:rPr>
      <w:rFonts w:asciiTheme="minorHAnsi" w:cstheme="minorBidi" w:eastAsiaTheme="minorEastAsia" w:hAnsiTheme="minorHAnsi"/>
      <w:sz w:val="20"/>
      <w:szCs w:val="20"/>
      <w:lang w:eastAsia="ja-JP" w:val="en-US"/>
    </w:rPr>
  </w:style>
  <w:style w:styleId="CommentText" w:type="paragraph">
    <w:name w:val="annotation text"/>
    <w:basedOn w:val="Normal"/>
    <w:link w:val="CommentTextChar"/>
    <w:uiPriority w:val="99"/>
    <w:semiHidden/>
    <w:unhideWhenUsed/>
    <w:locked/>
    <w:rsid w:val="00E1232E"/>
    <w:pPr>
      <w:spacing w:after="120" w:before="240" w:line="300" w:lineRule="auto"/>
    </w:pPr>
    <w:rPr>
      <w:rFonts w:eastAsia="Times New Roman"/>
      <w:sz w:val="20"/>
      <w:szCs w:val="20"/>
      <w:lang w:eastAsia="en-US"/>
    </w:rPr>
  </w:style>
  <w:style w:customStyle="1" w:styleId="CommentTextChar" w:type="character">
    <w:name w:val="Comment Text Char"/>
    <w:basedOn w:val="DefaultParagraphFont"/>
    <w:link w:val="CommentText"/>
    <w:uiPriority w:val="99"/>
    <w:semiHidden/>
    <w:rsid w:val="00E1232E"/>
    <w:rPr>
      <w:rFonts w:eastAsia="Times New Roman"/>
      <w:sz w:val="20"/>
      <w:szCs w:val="20"/>
      <w:lang w:eastAsia="en-US"/>
    </w:rPr>
  </w:style>
  <w:style w:styleId="Header" w:type="paragraph">
    <w:name w:val="header"/>
    <w:basedOn w:val="Normal"/>
    <w:link w:val="Head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HeaderChar" w:type="character">
    <w:name w:val="Header Char"/>
    <w:basedOn w:val="DefaultParagraphFont"/>
    <w:link w:val="Header"/>
    <w:uiPriority w:val="99"/>
    <w:semiHidden/>
    <w:rsid w:val="00E1232E"/>
    <w:rPr>
      <w:rFonts w:eastAsia="Times New Roman"/>
      <w:sz w:val="20"/>
      <w:szCs w:val="20"/>
      <w:lang w:eastAsia="en-US"/>
    </w:rPr>
  </w:style>
  <w:style w:styleId="Footer" w:type="paragraph">
    <w:name w:val="footer"/>
    <w:basedOn w:val="Normal"/>
    <w:link w:val="Foot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FooterChar" w:type="character">
    <w:name w:val="Footer Char"/>
    <w:basedOn w:val="DefaultParagraphFont"/>
    <w:link w:val="Footer"/>
    <w:uiPriority w:val="99"/>
    <w:semiHidden/>
    <w:rsid w:val="00E1232E"/>
    <w:rPr>
      <w:rFonts w:eastAsia="Times New Roman"/>
      <w:sz w:val="20"/>
      <w:szCs w:val="20"/>
      <w:lang w:eastAsia="en-US"/>
    </w:rPr>
  </w:style>
  <w:style w:styleId="IndexHeading" w:type="paragraph">
    <w:name w:val="index heading"/>
    <w:basedOn w:val="Normal"/>
    <w:next w:val="Index1"/>
    <w:uiPriority w:val="99"/>
    <w:unhideWhenUsed/>
    <w:locked/>
    <w:rsid w:val="00E1232E"/>
    <w:pPr>
      <w:keepLines/>
      <w:overflowPunct w:val="0"/>
      <w:autoSpaceDE w:val="0"/>
      <w:autoSpaceDN w:val="0"/>
      <w:adjustRightInd w:val="0"/>
      <w:spacing w:after="0" w:before="240" w:line="240" w:lineRule="auto"/>
      <w:jc w:val="both"/>
    </w:pPr>
    <w:rPr>
      <w:rFonts w:ascii="Times New Roman" w:eastAsia="Times New Roman" w:hAnsi="Times New Roman"/>
      <w:szCs w:val="20"/>
      <w:lang w:eastAsia="en-US"/>
    </w:rPr>
  </w:style>
  <w:style w:styleId="Caption" w:type="paragraph">
    <w:name w:val="caption"/>
    <w:basedOn w:val="Normal"/>
    <w:next w:val="Normal"/>
    <w:uiPriority w:val="99"/>
    <w:semiHidden/>
    <w:unhideWhenUsed/>
    <w:qFormat/>
    <w:locked/>
    <w:rsid w:val="00E1232E"/>
    <w:pPr>
      <w:keepLines/>
      <w:tabs>
        <w:tab w:pos="1134" w:val="left"/>
      </w:tabs>
      <w:overflowPunct w:val="0"/>
      <w:autoSpaceDE w:val="0"/>
      <w:autoSpaceDN w:val="0"/>
      <w:adjustRightInd w:val="0"/>
      <w:spacing w:after="0" w:before="240" w:line="240" w:lineRule="auto"/>
      <w:ind w:left="567"/>
      <w:jc w:val="center"/>
    </w:pPr>
    <w:rPr>
      <w:rFonts w:ascii="Times New Roman" w:eastAsia="Times New Roman" w:hAnsi="Times New Roman"/>
      <w:i/>
      <w:iCs/>
      <w:sz w:val="20"/>
      <w:szCs w:val="20"/>
      <w:lang w:eastAsia="en-US"/>
    </w:rPr>
  </w:style>
  <w:style w:styleId="ListBullet" w:type="paragraph">
    <w:name w:val="List Bullet"/>
    <w:basedOn w:val="Normal"/>
    <w:uiPriority w:val="99"/>
    <w:semiHidden/>
    <w:unhideWhenUsed/>
    <w:locked/>
    <w:rsid w:val="00E1232E"/>
    <w:pPr>
      <w:numPr>
        <w:numId w:val="7"/>
      </w:numPr>
      <w:spacing w:after="60" w:before="60" w:line="300" w:lineRule="auto"/>
    </w:pPr>
    <w:rPr>
      <w:rFonts w:ascii="Arial(W1)" w:eastAsia="Times New Roman" w:hAnsi="Arial(W1)"/>
      <w:sz w:val="20"/>
      <w:szCs w:val="22"/>
      <w:lang w:eastAsia="en-US"/>
    </w:rPr>
  </w:style>
  <w:style w:customStyle="1" w:styleId="BodyTextChar" w:type="character">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styleId="BodyText" w:type="paragraph">
    <w:name w:val="Body Text"/>
    <w:aliases w:val="bt,Heading 3 text,Heading 3 text1,Heading 3 text2,Heading 3 text3,Heading 3 text4"/>
    <w:basedOn w:val="Normal"/>
    <w:link w:val="BodyTextChar"/>
    <w:unhideWhenUsed/>
    <w:rsid w:val="00E1232E"/>
    <w:pPr>
      <w:spacing w:after="120" w:before="240" w:line="300" w:lineRule="auto"/>
    </w:pPr>
    <w:rPr>
      <w:rFonts w:cs="Arial"/>
      <w:lang w:eastAsia="en-US"/>
    </w:rPr>
  </w:style>
  <w:style w:customStyle="1" w:styleId="BodyTextChar1" w:type="character">
    <w:name w:val="Body Text Char1"/>
    <w:aliases w:val="bt Char1,Heading 3 text Char1,Heading 3 text1 Char1,Heading 3 text2 Char1,Heading 3 text3 Char1,Heading 3 text4 Char1"/>
    <w:basedOn w:val="DefaultParagraphFont"/>
    <w:semiHidden/>
    <w:rsid w:val="00E1232E"/>
  </w:style>
  <w:style w:styleId="BodyTextIndent" w:type="paragraph">
    <w:name w:val="Body Text Indent"/>
    <w:basedOn w:val="Normal"/>
    <w:link w:val="BodyTextIndentChar"/>
    <w:uiPriority w:val="99"/>
    <w:semiHidden/>
    <w:unhideWhenUsed/>
    <w:rsid w:val="00E1232E"/>
    <w:pPr>
      <w:spacing w:after="120" w:before="240" w:line="300" w:lineRule="auto"/>
      <w:ind w:left="283"/>
    </w:pPr>
    <w:rPr>
      <w:rFonts w:eastAsia="Times New Roman"/>
      <w:sz w:val="20"/>
      <w:szCs w:val="20"/>
      <w:lang w:eastAsia="en-US"/>
    </w:rPr>
  </w:style>
  <w:style w:customStyle="1" w:styleId="BodyTextIndentChar" w:type="character">
    <w:name w:val="Body Text Indent Char"/>
    <w:basedOn w:val="DefaultParagraphFont"/>
    <w:link w:val="BodyTextIndent"/>
    <w:uiPriority w:val="99"/>
    <w:semiHidden/>
    <w:rsid w:val="00E1232E"/>
    <w:rPr>
      <w:rFonts w:eastAsia="Times New Roman"/>
      <w:sz w:val="20"/>
      <w:szCs w:val="20"/>
      <w:lang w:eastAsia="en-US"/>
    </w:rPr>
  </w:style>
  <w:style w:styleId="BodyText2" w:type="paragraph">
    <w:name w:val="Body Text 2"/>
    <w:basedOn w:val="Normal"/>
    <w:link w:val="BodyText2Char"/>
    <w:uiPriority w:val="99"/>
    <w:semiHidden/>
    <w:unhideWhenUsed/>
    <w:rsid w:val="00E1232E"/>
    <w:pPr>
      <w:spacing w:after="120" w:before="240" w:line="480" w:lineRule="auto"/>
    </w:pPr>
    <w:rPr>
      <w:rFonts w:eastAsia="Times New Roman"/>
      <w:sz w:val="20"/>
      <w:szCs w:val="20"/>
      <w:lang w:eastAsia="en-US"/>
    </w:rPr>
  </w:style>
  <w:style w:customStyle="1" w:styleId="BodyText2Char" w:type="character">
    <w:name w:val="Body Text 2 Char"/>
    <w:basedOn w:val="DefaultParagraphFont"/>
    <w:link w:val="BodyText2"/>
    <w:uiPriority w:val="99"/>
    <w:semiHidden/>
    <w:rsid w:val="00E1232E"/>
    <w:rPr>
      <w:rFonts w:eastAsia="Times New Roman"/>
      <w:sz w:val="20"/>
      <w:szCs w:val="20"/>
      <w:lang w:eastAsia="en-US"/>
    </w:rPr>
  </w:style>
  <w:style w:styleId="BodyText3" w:type="paragraph">
    <w:name w:val="Body Text 3"/>
    <w:basedOn w:val="Normal"/>
    <w:link w:val="BodyText3Char"/>
    <w:uiPriority w:val="99"/>
    <w:semiHidden/>
    <w:unhideWhenUsed/>
    <w:rsid w:val="00E1232E"/>
    <w:pPr>
      <w:spacing w:after="120" w:before="240" w:line="300" w:lineRule="auto"/>
    </w:pPr>
    <w:rPr>
      <w:rFonts w:eastAsia="Times New Roman"/>
      <w:sz w:val="16"/>
      <w:szCs w:val="16"/>
      <w:lang w:eastAsia="en-US"/>
    </w:rPr>
  </w:style>
  <w:style w:customStyle="1" w:styleId="BodyText3Char" w:type="character">
    <w:name w:val="Body Text 3 Char"/>
    <w:basedOn w:val="DefaultParagraphFont"/>
    <w:link w:val="BodyText3"/>
    <w:uiPriority w:val="99"/>
    <w:semiHidden/>
    <w:rsid w:val="00E1232E"/>
    <w:rPr>
      <w:rFonts w:eastAsia="Times New Roman"/>
      <w:sz w:val="16"/>
      <w:szCs w:val="16"/>
      <w:lang w:eastAsia="en-US"/>
    </w:rPr>
  </w:style>
  <w:style w:styleId="BodyTextIndent2" w:type="paragraph">
    <w:name w:val="Body Text Indent 2"/>
    <w:basedOn w:val="Normal"/>
    <w:link w:val="BodyTextIndent2Char"/>
    <w:uiPriority w:val="99"/>
    <w:unhideWhenUsed/>
    <w:locked/>
    <w:rsid w:val="00E1232E"/>
    <w:pPr>
      <w:spacing w:after="120" w:before="240" w:line="480" w:lineRule="auto"/>
      <w:ind w:left="283"/>
    </w:pPr>
    <w:rPr>
      <w:rFonts w:eastAsia="Times New Roman"/>
      <w:sz w:val="20"/>
      <w:szCs w:val="20"/>
      <w:lang w:eastAsia="en-US"/>
    </w:rPr>
  </w:style>
  <w:style w:customStyle="1" w:styleId="BodyTextIndent2Char" w:type="character">
    <w:name w:val="Body Text Indent 2 Char"/>
    <w:basedOn w:val="DefaultParagraphFont"/>
    <w:link w:val="BodyTextIndent2"/>
    <w:uiPriority w:val="99"/>
    <w:rsid w:val="00E1232E"/>
    <w:rPr>
      <w:rFonts w:eastAsia="Times New Roman"/>
      <w:sz w:val="20"/>
      <w:szCs w:val="20"/>
      <w:lang w:eastAsia="en-US"/>
    </w:rPr>
  </w:style>
  <w:style w:styleId="BodyTextIndent3" w:type="paragraph">
    <w:name w:val="Body Text Indent 3"/>
    <w:basedOn w:val="Normal"/>
    <w:link w:val="BodyTextIndent3Char"/>
    <w:uiPriority w:val="99"/>
    <w:semiHidden/>
    <w:unhideWhenUsed/>
    <w:locked/>
    <w:rsid w:val="00E1232E"/>
    <w:pPr>
      <w:spacing w:after="120" w:before="240" w:line="300" w:lineRule="auto"/>
      <w:ind w:left="283"/>
    </w:pPr>
    <w:rPr>
      <w:rFonts w:eastAsia="Times New Roman"/>
      <w:sz w:val="16"/>
      <w:szCs w:val="16"/>
      <w:lang w:eastAsia="en-US"/>
    </w:rPr>
  </w:style>
  <w:style w:customStyle="1" w:styleId="BodyTextIndent3Char" w:type="character">
    <w:name w:val="Body Text Indent 3 Char"/>
    <w:basedOn w:val="DefaultParagraphFont"/>
    <w:link w:val="BodyTextIndent3"/>
    <w:uiPriority w:val="99"/>
    <w:semiHidden/>
    <w:rsid w:val="00E1232E"/>
    <w:rPr>
      <w:rFonts w:eastAsia="Times New Roman"/>
      <w:sz w:val="16"/>
      <w:szCs w:val="16"/>
      <w:lang w:eastAsia="en-US"/>
    </w:rPr>
  </w:style>
  <w:style w:styleId="PlainText" w:type="paragraph">
    <w:name w:val="Plain Text"/>
    <w:basedOn w:val="Normal"/>
    <w:link w:val="PlainTextChar"/>
    <w:uiPriority w:val="99"/>
    <w:semiHidden/>
    <w:unhideWhenUsed/>
    <w:locked/>
    <w:rsid w:val="00E1232E"/>
    <w:pPr>
      <w:spacing w:after="0" w:line="240" w:lineRule="auto"/>
    </w:pPr>
    <w:rPr>
      <w:rFonts w:ascii="Courier New" w:cs="Courier New" w:eastAsia="Times New Roman" w:hAnsi="Courier New"/>
      <w:sz w:val="20"/>
      <w:szCs w:val="20"/>
      <w:lang w:eastAsia="en-US"/>
    </w:rPr>
  </w:style>
  <w:style w:customStyle="1" w:styleId="PlainTextChar" w:type="character">
    <w:name w:val="Plain Text Char"/>
    <w:basedOn w:val="DefaultParagraphFont"/>
    <w:link w:val="PlainText"/>
    <w:uiPriority w:val="99"/>
    <w:semiHidden/>
    <w:rsid w:val="00E1232E"/>
    <w:rPr>
      <w:rFonts w:ascii="Courier New" w:cs="Courier New" w:eastAsia="Times New Roman" w:hAnsi="Courier New"/>
      <w:sz w:val="20"/>
      <w:szCs w:val="20"/>
      <w:lang w:eastAsia="en-US"/>
    </w:rPr>
  </w:style>
  <w:style w:styleId="CommentSubject" w:type="paragraph">
    <w:name w:val="annotation subject"/>
    <w:basedOn w:val="CommentText"/>
    <w:next w:val="CommentText"/>
    <w:link w:val="CommentSubjectChar"/>
    <w:uiPriority w:val="99"/>
    <w:semiHidden/>
    <w:unhideWhenUsed/>
    <w:locked/>
    <w:rsid w:val="00E1232E"/>
    <w:rPr>
      <w:b/>
      <w:bCs/>
    </w:rPr>
  </w:style>
  <w:style w:customStyle="1" w:styleId="CommentSubjectChar" w:type="character">
    <w:name w:val="Comment Subject Char"/>
    <w:basedOn w:val="CommentTextChar"/>
    <w:link w:val="CommentSubject"/>
    <w:uiPriority w:val="99"/>
    <w:semiHidden/>
    <w:rsid w:val="00E1232E"/>
    <w:rPr>
      <w:rFonts w:eastAsia="Times New Roman"/>
      <w:b/>
      <w:bCs/>
      <w:sz w:val="20"/>
      <w:szCs w:val="20"/>
      <w:lang w:eastAsia="en-US"/>
    </w:rPr>
  </w:style>
  <w:style w:styleId="ListParagraph" w:type="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styleId="TOCHeading" w:type="paragraph">
    <w:name w:val="TOC Heading"/>
    <w:basedOn w:val="Heading1"/>
    <w:next w:val="Normal"/>
    <w:uiPriority w:val="39"/>
    <w:semiHidden/>
    <w:unhideWhenUsed/>
    <w:qFormat/>
    <w:locked/>
    <w:rsid w:val="00E1232E"/>
    <w:pPr>
      <w:keepLines/>
      <w:spacing w:after="0" w:before="480"/>
      <w:outlineLvl w:val="9"/>
    </w:pPr>
    <w:rPr>
      <w:color w:themeColor="accent1" w:themeShade="BF" w:val="365F91"/>
      <w:kern w:val="0"/>
      <w:sz w:val="28"/>
      <w:szCs w:val="28"/>
      <w:lang w:eastAsia="ja-JP" w:val="en-US"/>
    </w:rPr>
  </w:style>
  <w:style w:customStyle="1" w:styleId="HeaderFooter" w:type="paragraph">
    <w:name w:val="Header/Footer"/>
    <w:basedOn w:val="Normal"/>
    <w:uiPriority w:val="99"/>
    <w:semiHidden/>
    <w:rsid w:val="00E1232E"/>
    <w:pPr>
      <w:spacing w:after="0" w:line="240" w:lineRule="auto"/>
      <w:jc w:val="right"/>
    </w:pPr>
    <w:rPr>
      <w:rFonts w:ascii="Arial (W1)" w:eastAsia="Times New Roman" w:hAnsi="Arial (W1)"/>
      <w:b/>
      <w:sz w:val="16"/>
      <w:szCs w:val="20"/>
      <w:lang w:eastAsia="en-US"/>
    </w:rPr>
  </w:style>
  <w:style w:customStyle="1" w:styleId="ListBulletIndent" w:type="paragraph">
    <w:name w:val="List Bullet Indent"/>
    <w:basedOn w:val="ListBullet"/>
    <w:uiPriority w:val="99"/>
    <w:semiHidden/>
    <w:rsid w:val="00E1232E"/>
    <w:pPr>
      <w:numPr>
        <w:numId w:val="8"/>
      </w:numPr>
    </w:pPr>
  </w:style>
  <w:style w:customStyle="1" w:styleId="TableText" w:type="paragraph">
    <w:name w:val="Table Text"/>
    <w:basedOn w:val="Normal"/>
    <w:uiPriority w:val="99"/>
    <w:semiHidden/>
    <w:rsid w:val="00E1232E"/>
    <w:pPr>
      <w:spacing w:after="60" w:before="60" w:line="300" w:lineRule="auto"/>
    </w:pPr>
    <w:rPr>
      <w:rFonts w:cs="Arial" w:eastAsia="Times New Roman"/>
      <w:sz w:val="20"/>
      <w:szCs w:val="20"/>
      <w:lang w:eastAsia="en-US"/>
    </w:rPr>
  </w:style>
  <w:style w:customStyle="1" w:styleId="Guidance" w:type="paragraph">
    <w:name w:val="Guidance"/>
    <w:basedOn w:val="BodyText"/>
    <w:uiPriority w:val="99"/>
    <w:semiHidden/>
    <w:rsid w:val="00E1232E"/>
    <w:pPr>
      <w:pBdr>
        <w:top w:color="auto" w:space="6" w:sz="4" w:val="single"/>
        <w:left w:color="auto" w:space="6" w:sz="4" w:val="single"/>
        <w:bottom w:color="auto" w:space="6" w:sz="4" w:val="single"/>
        <w:right w:color="auto" w:space="6" w:sz="4" w:val="single"/>
      </w:pBdr>
      <w:spacing w:after="0" w:before="0" w:line="240" w:lineRule="auto"/>
      <w:ind w:left="851"/>
    </w:pPr>
    <w:rPr>
      <w:rFonts w:ascii="Times New Roman" w:hAnsi="Times New Roman"/>
      <w:i/>
    </w:rPr>
  </w:style>
  <w:style w:customStyle="1" w:styleId="Tabletext0" w:type="paragraph">
    <w:name w:val="Table text"/>
    <w:basedOn w:val="Normal"/>
    <w:uiPriority w:val="99"/>
    <w:semiHidden/>
    <w:rsid w:val="00E1232E"/>
    <w:pPr>
      <w:spacing w:after="60" w:before="60" w:line="300" w:lineRule="auto"/>
    </w:pPr>
    <w:rPr>
      <w:rFonts w:cs="Arial" w:eastAsia="Times New Roman"/>
      <w:sz w:val="18"/>
      <w:szCs w:val="20"/>
      <w:lang w:eastAsia="en-US"/>
    </w:rPr>
  </w:style>
  <w:style w:customStyle="1" w:styleId="ListwithBullet" w:type="paragraph">
    <w:name w:val="List with Bullet"/>
    <w:basedOn w:val="Normal"/>
    <w:uiPriority w:val="99"/>
    <w:semiHidden/>
    <w:rsid w:val="00E1232E"/>
    <w:pPr>
      <w:numPr>
        <w:numId w:val="9"/>
      </w:numPr>
      <w:spacing w:after="0" w:line="300" w:lineRule="auto"/>
    </w:pPr>
    <w:rPr>
      <w:rFonts w:eastAsia="Times New Roman"/>
      <w:sz w:val="20"/>
      <w:szCs w:val="20"/>
      <w:lang w:eastAsia="en-US"/>
    </w:rPr>
  </w:style>
  <w:style w:customStyle="1" w:styleId="ListwithBulletinTable" w:type="paragraph">
    <w:name w:val="List with Bullet in Table"/>
    <w:basedOn w:val="ListwithBullet"/>
    <w:uiPriority w:val="99"/>
    <w:semiHidden/>
    <w:qFormat/>
    <w:rsid w:val="00E1232E"/>
    <w:rPr>
      <w:szCs w:val="22"/>
    </w:rPr>
  </w:style>
  <w:style w:customStyle="1" w:styleId="DBRNumbering" w:type="paragraph">
    <w:name w:val="DBR Numbering"/>
    <w:basedOn w:val="TableText"/>
    <w:uiPriority w:val="99"/>
    <w:semiHidden/>
    <w:qFormat/>
    <w:rsid w:val="00E1232E"/>
    <w:pPr>
      <w:numPr>
        <w:numId w:val="10"/>
      </w:numPr>
      <w:spacing w:line="240" w:lineRule="auto"/>
    </w:pPr>
  </w:style>
  <w:style w:customStyle="1" w:styleId="NFRNumbering" w:type="paragraph">
    <w:name w:val="NFR Numbering"/>
    <w:basedOn w:val="DBRNumbering"/>
    <w:uiPriority w:val="99"/>
    <w:semiHidden/>
    <w:qFormat/>
    <w:rsid w:val="00E1232E"/>
    <w:pPr>
      <w:numPr>
        <w:numId w:val="11"/>
      </w:numPr>
    </w:pPr>
    <w:rPr>
      <w:szCs w:val="24"/>
    </w:rPr>
  </w:style>
  <w:style w:customStyle="1" w:styleId="TableHeadingChar" w:type="character">
    <w:name w:val="Table Heading Char"/>
    <w:basedOn w:val="DefaultParagraphFont"/>
    <w:link w:val="TableHeading"/>
    <w:semiHidden/>
    <w:locked/>
    <w:rsid w:val="00E1232E"/>
    <w:rPr>
      <w:rFonts w:ascii="Arial Bold" w:hAnsi="Arial Bold"/>
      <w:b/>
      <w:sz w:val="18"/>
      <w:szCs w:val="22"/>
      <w:lang w:eastAsia="ar-SA"/>
    </w:rPr>
  </w:style>
  <w:style w:customStyle="1" w:styleId="TableHeading" w:type="paragraph">
    <w:name w:val="Table Heading"/>
    <w:basedOn w:val="Normal"/>
    <w:link w:val="TableHeadingChar"/>
    <w:semiHidden/>
    <w:rsid w:val="00E1232E"/>
    <w:pPr>
      <w:keepNext/>
      <w:keepLines/>
      <w:suppressAutoHyphens/>
      <w:spacing w:after="60" w:before="100" w:line="240" w:lineRule="auto"/>
    </w:pPr>
    <w:rPr>
      <w:rFonts w:ascii="Arial Bold" w:hAnsi="Arial Bold"/>
      <w:b/>
      <w:sz w:val="18"/>
      <w:szCs w:val="22"/>
      <w:lang w:eastAsia="ar-SA"/>
    </w:rPr>
  </w:style>
  <w:style w:customStyle="1" w:styleId="TableBullet" w:type="paragraph">
    <w:name w:val="Table Bullet"/>
    <w:basedOn w:val="TableText"/>
    <w:uiPriority w:val="99"/>
    <w:semiHidden/>
    <w:rsid w:val="00E1232E"/>
    <w:pPr>
      <w:numPr>
        <w:numId w:val="12"/>
      </w:numPr>
      <w:spacing w:line="240" w:lineRule="auto"/>
    </w:pPr>
    <w:rPr>
      <w:rFonts w:ascii="Arial (W1)" w:cs="Times New Roman" w:hAnsi="Arial (W1)"/>
      <w:sz w:val="22"/>
    </w:rPr>
  </w:style>
  <w:style w:customStyle="1" w:styleId="Bulletforunderhdr12" w:type="paragraph">
    <w:name w:val="Bullet for under hdr 1 &amp; 2"/>
    <w:basedOn w:val="Normal"/>
    <w:uiPriority w:val="99"/>
    <w:semiHidden/>
    <w:rsid w:val="00E1232E"/>
    <w:pPr>
      <w:numPr>
        <w:numId w:val="13"/>
      </w:numPr>
      <w:spacing w:after="120" w:before="240" w:line="300" w:lineRule="auto"/>
    </w:pPr>
    <w:rPr>
      <w:rFonts w:ascii="Helvetica" w:eastAsia="Times New Roman" w:hAnsi="Helvetica"/>
      <w:sz w:val="20"/>
      <w:szCs w:val="20"/>
      <w:lang w:eastAsia="en-US" w:val="en-GB"/>
    </w:rPr>
  </w:style>
  <w:style w:customStyle="1" w:styleId="Bulletforblueiinfo" w:type="paragraph">
    <w:name w:val="Bullet for blueiinfo"/>
    <w:basedOn w:val="Normal"/>
    <w:uiPriority w:val="99"/>
    <w:semiHidden/>
    <w:rsid w:val="00E1232E"/>
    <w:pPr>
      <w:numPr>
        <w:numId w:val="14"/>
      </w:numPr>
      <w:tabs>
        <w:tab w:pos="737" w:val="clear"/>
        <w:tab w:pos="0" w:val="num"/>
        <w:tab w:pos="1191" w:val="left"/>
      </w:tabs>
      <w:spacing w:after="120" w:before="240" w:line="300" w:lineRule="auto"/>
      <w:ind w:hanging="454" w:left="1191"/>
      <w:jc w:val="both"/>
    </w:pPr>
    <w:rPr>
      <w:rFonts w:eastAsia="Times New Roman"/>
      <w:i/>
      <w:color w:val="0000FF"/>
      <w:sz w:val="20"/>
      <w:szCs w:val="20"/>
      <w:lang w:eastAsia="en-US" w:val="en-GB"/>
    </w:rPr>
  </w:style>
  <w:style w:customStyle="1" w:styleId="TableNormal1" w:type="paragraph">
    <w:name w:val="Table Normal1"/>
    <w:basedOn w:val="Normal"/>
    <w:uiPriority w:val="99"/>
    <w:semiHidden/>
    <w:rsid w:val="00E1232E"/>
    <w:pPr>
      <w:keepNext/>
      <w:keepLines/>
      <w:spacing w:after="60" w:before="60" w:line="240" w:lineRule="auto"/>
    </w:pPr>
    <w:rPr>
      <w:rFonts w:eastAsia="Times New Roman"/>
      <w:sz w:val="18"/>
      <w:szCs w:val="22"/>
      <w:lang w:eastAsia="en-US"/>
    </w:rPr>
  </w:style>
  <w:style w:customStyle="1" w:styleId="TableHeadingCentre" w:type="paragraph">
    <w:name w:val="Table Heading Centre"/>
    <w:basedOn w:val="TableHeading"/>
    <w:uiPriority w:val="99"/>
    <w:semiHidden/>
    <w:rsid w:val="00E1232E"/>
    <w:pPr>
      <w:suppressAutoHyphens w:val="0"/>
      <w:spacing w:before="60"/>
      <w:jc w:val="center"/>
    </w:pPr>
    <w:rPr>
      <w:rFonts w:ascii="Arial (W1)" w:hAnsi="Arial (W1)"/>
      <w:lang w:eastAsia="en-US"/>
    </w:rPr>
  </w:style>
  <w:style w:customStyle="1" w:styleId="heading2text" w:type="paragraph">
    <w:name w:val="heading 2 text"/>
    <w:basedOn w:val="Normal"/>
    <w:uiPriority w:val="99"/>
    <w:semiHidden/>
    <w:rsid w:val="00E1232E"/>
    <w:pPr>
      <w:overflowPunct w:val="0"/>
      <w:autoSpaceDE w:val="0"/>
      <w:autoSpaceDN w:val="0"/>
      <w:adjustRightInd w:val="0"/>
      <w:spacing w:after="0" w:line="240" w:lineRule="auto"/>
      <w:ind w:left="1134"/>
      <w:jc w:val="both"/>
    </w:pPr>
    <w:rPr>
      <w:rFonts w:ascii="Times New Roman" w:eastAsia="Times New Roman" w:hAnsi="Times New Roman"/>
      <w:szCs w:val="20"/>
      <w:lang w:eastAsia="en-US"/>
    </w:rPr>
  </w:style>
  <w:style w:customStyle="1" w:styleId="ReturnAddress" w:type="paragraph">
    <w:name w:val="Return Address"/>
    <w:basedOn w:val="Normal"/>
    <w:uiPriority w:val="99"/>
    <w:semiHidden/>
    <w:rsid w:val="00E1232E"/>
    <w:pPr>
      <w:keepLines/>
      <w:framePr w:hAnchor="margin" w:hSpace="187" w:vAnchor="page" w:vSpace="187" w:w="5040" w:wrap="notBeside" w:y="966"/>
      <w:widowControl w:val="0"/>
      <w:overflowPunct w:val="0"/>
      <w:autoSpaceDE w:val="0"/>
      <w:autoSpaceDN w:val="0"/>
      <w:adjustRightInd w:val="0"/>
      <w:spacing w:after="0" w:line="200" w:lineRule="atLeast"/>
    </w:pPr>
    <w:rPr>
      <w:rFonts w:eastAsia="Times New Roman"/>
      <w:spacing w:val="-2"/>
      <w:sz w:val="16"/>
      <w:szCs w:val="20"/>
      <w:lang w:eastAsia="en-US" w:val="en-US"/>
    </w:rPr>
  </w:style>
  <w:style w:customStyle="1" w:styleId="Heading1Text" w:type="paragraph">
    <w:name w:val="Heading 1 Text"/>
    <w:basedOn w:val="Normal"/>
    <w:uiPriority w:val="99"/>
    <w:semiHidden/>
    <w:rsid w:val="00E1232E"/>
    <w:pPr>
      <w:overflowPunct w:val="0"/>
      <w:autoSpaceDE w:val="0"/>
      <w:autoSpaceDN w:val="0"/>
      <w:adjustRightInd w:val="0"/>
      <w:spacing w:after="0" w:line="240" w:lineRule="auto"/>
      <w:ind w:left="567"/>
      <w:jc w:val="both"/>
    </w:pPr>
    <w:rPr>
      <w:rFonts w:ascii="Times New Roman" w:eastAsia="Times New Roman" w:hAnsi="Times New Roman"/>
      <w:szCs w:val="20"/>
      <w:lang w:eastAsia="en-US"/>
    </w:rPr>
  </w:style>
  <w:style w:customStyle="1" w:styleId="Bullet" w:type="paragraph">
    <w:name w:val="Bullet"/>
    <w:basedOn w:val="Normal"/>
    <w:uiPriority w:val="99"/>
    <w:semiHidden/>
    <w:rsid w:val="00E1232E"/>
    <w:pPr>
      <w:overflowPunct w:val="0"/>
      <w:autoSpaceDE w:val="0"/>
      <w:autoSpaceDN w:val="0"/>
      <w:adjustRightInd w:val="0"/>
      <w:spacing w:after="0" w:before="120" w:line="240" w:lineRule="auto"/>
      <w:ind w:hanging="567" w:left="1418"/>
      <w:jc w:val="both"/>
    </w:pPr>
    <w:rPr>
      <w:rFonts w:ascii="Times New Roman" w:eastAsia="Times New Roman" w:hAnsi="Times New Roman"/>
      <w:szCs w:val="20"/>
      <w:lang w:eastAsia="en-US"/>
    </w:rPr>
  </w:style>
  <w:style w:customStyle="1" w:styleId="Topic" w:type="paragraph">
    <w:name w:val="Topic"/>
    <w:basedOn w:val="Normal"/>
    <w:next w:val="BodyText"/>
    <w:uiPriority w:val="99"/>
    <w:semiHidden/>
    <w:rsid w:val="00E1232E"/>
    <w:pPr>
      <w:spacing w:after="120" w:before="120" w:line="240" w:lineRule="auto"/>
      <w:ind w:left="425"/>
    </w:pPr>
    <w:rPr>
      <w:rFonts w:eastAsia="Times New Roman"/>
      <w:b/>
      <w:smallCaps/>
      <w:szCs w:val="20"/>
      <w:lang w:eastAsia="en-US" w:val="en-US"/>
    </w:rPr>
  </w:style>
  <w:style w:customStyle="1" w:styleId="AppendixHeading1" w:type="paragraph">
    <w:name w:val="Appendix Heading 1"/>
    <w:basedOn w:val="Heading1"/>
    <w:uiPriority w:val="99"/>
    <w:semiHidden/>
    <w:rsid w:val="00E1232E"/>
    <w:pPr>
      <w:keepLines/>
      <w:pageBreakBefore/>
      <w:tabs>
        <w:tab w:pos="510" w:val="left"/>
      </w:tabs>
      <w:overflowPunct w:val="0"/>
      <w:autoSpaceDE w:val="0"/>
      <w:autoSpaceDN w:val="0"/>
      <w:adjustRightInd w:val="0"/>
      <w:spacing w:after="0" w:line="240" w:lineRule="auto"/>
    </w:pPr>
    <w:rPr>
      <w:rFonts w:ascii="Arial" w:cs="Arial" w:eastAsia="Times New Roman" w:hAnsi="Arial"/>
      <w:bCs w:val="0"/>
      <w:kern w:val="0"/>
      <w:sz w:val="36"/>
      <w:szCs w:val="20"/>
      <w:lang w:eastAsia="en-US" w:val="en-US"/>
    </w:rPr>
  </w:style>
  <w:style w:customStyle="1" w:styleId="AppendixHeading2" w:type="paragraph">
    <w:name w:val="Appendix Heading 2"/>
    <w:basedOn w:val="Heading2"/>
    <w:uiPriority w:val="99"/>
    <w:semiHidden/>
    <w:rsid w:val="00E1232E"/>
    <w:pPr>
      <w:keepNext w:val="0"/>
      <w:numPr>
        <w:ilvl w:val="1"/>
        <w:numId w:val="15"/>
      </w:numPr>
      <w:tabs>
        <w:tab w:pos="0" w:val="left"/>
        <w:tab w:pos="567" w:val="left"/>
        <w:tab w:pos="794" w:val="left"/>
        <w:tab w:pos="1350" w:val="left"/>
      </w:tabs>
      <w:overflowPunct w:val="0"/>
      <w:autoSpaceDE w:val="0"/>
      <w:autoSpaceDN w:val="0"/>
      <w:adjustRightInd w:val="0"/>
      <w:spacing w:after="0" w:before="360" w:line="240" w:lineRule="atLeast"/>
    </w:pPr>
    <w:rPr>
      <w:rFonts w:ascii="Arial" w:cs="Arial" w:eastAsia="Times New Roman" w:hAnsi="Arial"/>
      <w:bCs w:val="0"/>
      <w:i w:val="0"/>
      <w:iCs w:val="0"/>
      <w:szCs w:val="20"/>
      <w:lang w:eastAsia="en-US" w:val="en-US"/>
    </w:rPr>
  </w:style>
  <w:style w:customStyle="1" w:styleId="ruler5" w:type="paragraph">
    <w:name w:val="ruler 5"/>
    <w:basedOn w:val="Normal"/>
    <w:uiPriority w:val="99"/>
    <w:semiHidden/>
    <w:rsid w:val="00E1232E"/>
    <w:pPr>
      <w:tabs>
        <w:tab w:pos="882" w:val="left"/>
        <w:tab w:pos="1857" w:val="left"/>
        <w:tab w:pos="2831" w:val="left"/>
        <w:tab w:pos="6589" w:val="left"/>
      </w:tabs>
      <w:spacing w:after="0" w:line="240" w:lineRule="auto"/>
    </w:pPr>
    <w:rPr>
      <w:rFonts w:ascii="Times" w:eastAsia="Times New Roman" w:hAnsi="Times"/>
      <w:noProof/>
      <w:color w:val="000000"/>
      <w:sz w:val="20"/>
      <w:szCs w:val="20"/>
      <w:lang w:eastAsia="en-US"/>
    </w:rPr>
  </w:style>
  <w:style w:customStyle="1" w:styleId="Normal1" w:type="paragraph">
    <w:name w:val="Normal1"/>
    <w:basedOn w:val="Normal"/>
    <w:uiPriority w:val="99"/>
    <w:semiHidden/>
    <w:rsid w:val="00E1232E"/>
    <w:pPr>
      <w:tabs>
        <w:tab w:pos="-1440" w:val="left"/>
        <w:tab w:pos="-720" w:val="left"/>
        <w:tab w:pos="1" w:val="left"/>
        <w:tab w:pos="1080" w:val="left"/>
        <w:tab w:pos="1800" w:val="left"/>
        <w:tab w:pos="2520" w:val="left"/>
        <w:tab w:pos="10080" w:val="left"/>
        <w:tab w:pos="10800" w:val="left"/>
        <w:tab w:pos="11520" w:val="left"/>
        <w:tab w:pos="12240" w:val="left"/>
        <w:tab w:pos="12960" w:val="left"/>
        <w:tab w:pos="13680" w:val="left"/>
        <w:tab w:pos="14400" w:val="left"/>
        <w:tab w:pos="15120" w:val="left"/>
        <w:tab w:pos="15840" w:val="left"/>
        <w:tab w:pos="16560" w:val="left"/>
        <w:tab w:pos="17280" w:val="left"/>
        <w:tab w:pos="18000" w:val="left"/>
        <w:tab w:pos="18720" w:val="left"/>
      </w:tabs>
      <w:suppressAutoHyphens/>
      <w:spacing w:after="0" w:before="120" w:line="240" w:lineRule="auto"/>
      <w:jc w:val="both"/>
    </w:pPr>
    <w:rPr>
      <w:rFonts w:ascii="Times New Roman" w:eastAsia="Times New Roman" w:hAnsi="Times New Roman"/>
      <w:b/>
      <w:spacing w:val="-3"/>
      <w:szCs w:val="20"/>
      <w:lang w:eastAsia="en-US" w:val="en-GB"/>
    </w:rPr>
  </w:style>
  <w:style w:customStyle="1" w:styleId="BulletLast" w:type="paragraph">
    <w:name w:val="Bullet Last"/>
    <w:basedOn w:val="Bullet"/>
    <w:next w:val="Normal"/>
    <w:uiPriority w:val="99"/>
    <w:semiHidden/>
    <w:rsid w:val="00E1232E"/>
    <w:pPr>
      <w:tabs>
        <w:tab w:pos="720" w:val="num"/>
      </w:tabs>
      <w:overflowPunct/>
      <w:autoSpaceDE/>
      <w:autoSpaceDN/>
      <w:adjustRightInd/>
      <w:spacing w:after="240" w:before="0"/>
      <w:ind w:hanging="288" w:left="648"/>
    </w:pPr>
    <w:rPr>
      <w:lang w:val="en-GB"/>
    </w:rPr>
  </w:style>
  <w:style w:customStyle="1" w:styleId="DecimalAligned" w:type="paragraph">
    <w:name w:val="Decimal Aligned"/>
    <w:basedOn w:val="Normal"/>
    <w:uiPriority w:val="40"/>
    <w:semiHidden/>
    <w:qFormat/>
    <w:rsid w:val="00E1232E"/>
    <w:pPr>
      <w:tabs>
        <w:tab w:pos="360" w:val="decimal"/>
      </w:tabs>
    </w:pPr>
    <w:rPr>
      <w:rFonts w:asciiTheme="minorHAnsi" w:cstheme="minorBidi" w:eastAsiaTheme="minorHAnsi" w:hAnsiTheme="minorHAnsi"/>
      <w:sz w:val="20"/>
      <w:szCs w:val="22"/>
      <w:lang w:eastAsia="ja-JP" w:val="en-US"/>
    </w:rPr>
  </w:style>
  <w:style w:styleId="CommentReference" w:type="character">
    <w:name w:val="annotation reference"/>
    <w:basedOn w:val="DefaultParagraphFont"/>
    <w:semiHidden/>
    <w:unhideWhenUsed/>
    <w:locked/>
    <w:rsid w:val="00E1232E"/>
    <w:rPr>
      <w:sz w:val="16"/>
      <w:szCs w:val="16"/>
    </w:rPr>
  </w:style>
  <w:style w:styleId="SubtleEmphasis" w:type="character">
    <w:name w:val="Subtle Emphasis"/>
    <w:basedOn w:val="DefaultParagraphFont"/>
    <w:uiPriority w:val="19"/>
    <w:qFormat/>
    <w:locked/>
    <w:rsid w:val="00E1232E"/>
    <w:rPr>
      <w:i/>
      <w:iCs/>
      <w:color w:themeColor="text1" w:themeTint="80" w:val="7F7F7F"/>
    </w:rPr>
  </w:style>
  <w:style w:customStyle="1" w:styleId="xdtextbox1" w:type="character">
    <w:name w:val="xdtextbox1"/>
    <w:basedOn w:val="DefaultParagraphFont"/>
    <w:rsid w:val="00E1232E"/>
    <w:rPr>
      <w:color w:val="auto"/>
      <w:bdr w:color="DCDCDC" w:frame="1" w:space="1" w:sz="8" w:val="single"/>
      <w:shd w:color="auto" w:fill="FFFFFF" w:val="clear"/>
    </w:rPr>
  </w:style>
  <w:style w:styleId="MediumGrid1-Accent3" w:type="table">
    <w:name w:val="Medium Grid 1 Accent 3"/>
    <w:basedOn w:val="TableNormal"/>
    <w:uiPriority w:val="67"/>
    <w:locked/>
    <w:rsid w:val="00E1232E"/>
    <w:rPr>
      <w:rFonts w:ascii="Times New Roman" w:eastAsia="Times New Roman" w:hAnsi="Times New Roman"/>
      <w:sz w:val="20"/>
      <w:szCs w:val="20"/>
    </w:rPr>
    <w:tblPr>
      <w:tblStyleRowBandSize w:val="1"/>
      <w:tblStyleColBandSize w:val="1"/>
      <w:tblInd w:type="dxa" w:w="0"/>
      <w:tblBorders>
        <w:top w:color="B3CC82" w:space="0" w:sz="8" w:themeColor="accent3" w:themeTint="BF" w:val="single"/>
        <w:left w:color="B3CC82" w:space="0" w:sz="8" w:themeColor="accent3" w:themeTint="BF" w:val="single"/>
        <w:bottom w:color="B3CC82" w:space="0" w:sz="8" w:themeColor="accent3" w:themeTint="BF" w:val="single"/>
        <w:right w:color="B3CC82" w:space="0" w:sz="8" w:themeColor="accent3" w:themeTint="BF" w:val="single"/>
        <w:insideH w:color="B3CC82" w:space="0" w:sz="8" w:themeColor="accent3" w:themeTint="BF" w:val="single"/>
        <w:insideV w:color="B3CC82" w:space="0" w:sz="8" w:themeColor="accent3" w:themeTint="BF" w:val="single"/>
      </w:tblBorders>
      <w:tblCellMar>
        <w:top w:type="dxa" w:w="0"/>
        <w:left w:type="dxa" w:w="108"/>
        <w:bottom w:type="dxa" w:w="0"/>
        <w:right w:type="dxa" w:w="108"/>
      </w:tblCellMar>
    </w:tblPr>
    <w:tcPr>
      <w:shd w:color="auto" w:fill="E6EED5" w:themeFill="accent3" w:themeFillTint="3F" w:val="clear"/>
    </w:tcPr>
    <w:tblStylePr w:type="firstRow">
      <w:rPr>
        <w:b/>
        <w:bCs/>
      </w:rPr>
    </w:tblStylePr>
    <w:tblStylePr w:type="lastRow">
      <w:rPr>
        <w:b/>
        <w:bCs/>
      </w:rPr>
      <w:tblPr/>
      <w:tcPr>
        <w:tcBorders>
          <w:top w:color="B3CC82" w:space="0" w:sz="18" w:themeColor="accent3" w:themeTint="BF" w:val="single"/>
        </w:tcBorders>
      </w:tcPr>
    </w:tblStylePr>
    <w:tblStylePr w:type="firstCol">
      <w:rPr>
        <w:b/>
        <w:bCs/>
      </w:rPr>
    </w:tblStylePr>
    <w:tblStylePr w:type="lastCol">
      <w:rPr>
        <w:b/>
        <w:bCs/>
      </w:rPr>
    </w:tblStylePr>
    <w:tblStylePr w:type="band1Vert">
      <w:tblPr/>
      <w:tcPr>
        <w:shd w:color="auto" w:fill="CDDDAC" w:themeFill="accent3" w:themeFillTint="7F" w:val="clear"/>
      </w:tcPr>
    </w:tblStylePr>
    <w:tblStylePr w:type="band1Horz">
      <w:tblPr/>
      <w:tcPr>
        <w:shd w:color="auto" w:fill="CDDDAC" w:themeFill="accent3" w:themeFillTint="7F" w:val="clear"/>
      </w:tcPr>
    </w:tblStylePr>
  </w:style>
  <w:style w:styleId="MediumShading2-Accent5" w:type="table">
    <w:name w:val="Medium Shading 2 Accent 5"/>
    <w:basedOn w:val="TableNormal"/>
    <w:uiPriority w:val="64"/>
    <w:locked/>
    <w:rsid w:val="00E1232E"/>
    <w:rPr>
      <w:rFonts w:asciiTheme="minorHAnsi" w:cstheme="minorBidi" w:eastAsiaTheme="minorEastAsia" w:hAnsiTheme="minorHAnsi"/>
      <w:sz w:val="22"/>
      <w:szCs w:val="22"/>
      <w:lang w:eastAsia="ja-JP" w:val="en-US"/>
    </w:rPr>
    <w:tblPr>
      <w:tblStyleRowBandSize w:val="1"/>
      <w:tblStyleColBandSize w:val="1"/>
      <w:tblInd w:type="dxa" w:w="0"/>
      <w:tblBorders>
        <w:top w:color="auto" w:space="0" w:sz="18" w:val="single"/>
        <w:bottom w:color="auto" w:space="0" w:sz="18"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tcBorders>
          <w:top w:color="auto" w:space="0" w:sz="18" w:val="single"/>
          <w:left w:val="nil"/>
          <w:bottom w:color="auto" w:space="0" w:sz="18" w:val="single"/>
          <w:right w:val="nil"/>
          <w:insideH w:val="nil"/>
          <w:insideV w:val="nil"/>
        </w:tcBorders>
        <w:shd w:color="auto" w:fill="4BACC6" w:themeFill="accent5" w:val="clear"/>
      </w:tcPr>
    </w:tblStylePr>
    <w:tblStylePr w:type="lastRow">
      <w:pPr>
        <w:spacing w:after="0" w:afterAutospacing="0" w:afterLines="0" w:before="0" w:beforeAutospacing="0" w:beforeLines="0" w:line="240" w:lineRule="auto"/>
      </w:pPr>
      <w:rPr>
        <w:color w:val="000000"/>
      </w:rPr>
      <w:tblPr/>
      <w:tcPr>
        <w:tcBorders>
          <w:top w:color="auto" w:space="0" w:sz="6" w:val="double"/>
          <w:left w:val="nil"/>
          <w:bottom w:color="auto" w:space="0" w:sz="18" w:val="single"/>
          <w:right w:val="nil"/>
          <w:insideH w:val="nil"/>
          <w:insideV w:val="nil"/>
        </w:tcBorders>
        <w:shd w:color="auto" w:fill="FFFFFF" w:themeFill="background1" w:val="clear"/>
      </w:tcPr>
    </w:tblStylePr>
    <w:tblStylePr w:type="firstCol">
      <w:rPr>
        <w:b/>
        <w:bCs/>
        <w:color w:themeColor="background1" w:val="FFFFFF"/>
      </w:rPr>
      <w:tblPr/>
      <w:tcPr>
        <w:tcBorders>
          <w:top w:val="nil"/>
          <w:left w:val="nil"/>
          <w:bottom w:color="auto" w:space="0" w:sz="18" w:val="single"/>
          <w:right w:val="nil"/>
          <w:insideH w:val="nil"/>
          <w:insideV w:val="nil"/>
        </w:tcBorders>
        <w:shd w:color="auto" w:fill="4BACC6" w:themeFill="accent5" w:val="clear"/>
      </w:tcPr>
    </w:tblStylePr>
    <w:tblStylePr w:type="lastCol">
      <w:rPr>
        <w:b/>
        <w:bCs/>
        <w:color w:themeColor="background1" w:val="FFFFFF"/>
      </w:rPr>
      <w:tblPr/>
      <w:tcPr>
        <w:tcBorders>
          <w:left w:val="nil"/>
          <w:right w:val="nil"/>
          <w:insideH w:val="nil"/>
          <w:insideV w:val="nil"/>
        </w:tcBorders>
        <w:shd w:color="auto" w:fill="4BACC6" w:themeFill="accent5" w:val="clear"/>
      </w:tcPr>
    </w:tblStylePr>
    <w:tblStylePr w:type="band1Vert">
      <w:tblPr/>
      <w:tcPr>
        <w:tcBorders>
          <w:left w:val="nil"/>
          <w:right w:val="nil"/>
          <w:insideH w:val="nil"/>
          <w:insideV w:val="nil"/>
        </w:tcBorders>
        <w:shd w:color="auto" w:fill="D8D8D8" w:themeFill="background1" w:themeFillShade="D8" w:val="clear"/>
      </w:tcPr>
    </w:tblStylePr>
    <w:tblStylePr w:type="band1Horz">
      <w:tblPr/>
      <w:tcPr>
        <w:shd w:color="auto" w:fill="D8D8D8" w:themeFill="background1" w:themeFillShade="D8" w:val="clear"/>
      </w:tcPr>
    </w:tblStylePr>
    <w:tblStylePr w:type="neCell">
      <w:tblPr/>
      <w:tcPr>
        <w:tcBorders>
          <w:top w:color="auto" w:space="0" w:sz="18" w:val="single"/>
          <w:left w:val="nil"/>
          <w:bottom w:color="auto" w:space="0" w:sz="18" w:val="single"/>
          <w:right w:val="nil"/>
          <w:insideH w:val="nil"/>
          <w:insideV w:val="nil"/>
        </w:tcBorders>
      </w:tcPr>
    </w:tblStylePr>
    <w:tblStylePr w:type="nwCell">
      <w:rPr>
        <w:color w:themeColor="background1" w:val="FFFFFF"/>
      </w:rPr>
      <w:tblPr/>
      <w:tcPr>
        <w:tcBorders>
          <w:top w:color="auto" w:space="0" w:sz="18" w:val="single"/>
          <w:left w:val="nil"/>
          <w:bottom w:color="auto" w:space="0" w:sz="18" w:val="single"/>
          <w:right w:val="nil"/>
          <w:insideH w:val="nil"/>
          <w:insideV w:val="nil"/>
        </w:tcBorders>
      </w:tcPr>
    </w:tblStylePr>
  </w:style>
  <w:style w:styleId="MediumList1-Accent6" w:type="table">
    <w:name w:val="Medium List 1 Accent 6"/>
    <w:basedOn w:val="TableNormal"/>
    <w:uiPriority w:val="65"/>
    <w:locked/>
    <w:rsid w:val="00E1232E"/>
    <w:rPr>
      <w:rFonts w:ascii="Times New Roman" w:eastAsia="Times New Roman" w:hAnsi="Times New Roman"/>
      <w:color w:themeColor="text1" w:val="000000"/>
      <w:sz w:val="20"/>
      <w:szCs w:val="20"/>
    </w:rPr>
    <w:tblPr>
      <w:tblStyleRowBandSize w:val="1"/>
      <w:tblStyleColBandSize w:val="1"/>
      <w:tblInd w:type="dxa" w:w="0"/>
      <w:tblBorders>
        <w:top w:color="F79646" w:space="0" w:sz="8" w:themeColor="accent6" w:val="single"/>
        <w:bottom w:color="F79646" w:space="0" w:sz="8" w:themeColor="accent6"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F79646" w:space="0" w:sz="8" w:themeColor="accent6" w:val="single"/>
        </w:tcBorders>
      </w:tcPr>
    </w:tblStylePr>
    <w:tblStylePr w:type="lastRow">
      <w:rPr>
        <w:b/>
        <w:bCs/>
        <w:color w:themeColor="text2" w:val="1F497D"/>
      </w:rPr>
      <w:tblPr/>
      <w:tcPr>
        <w:tcBorders>
          <w:top w:color="F79646" w:space="0" w:sz="8" w:themeColor="accent6" w:val="single"/>
          <w:bottom w:color="F79646" w:space="0" w:sz="8" w:themeColor="accent6" w:val="single"/>
        </w:tcBorders>
      </w:tcPr>
    </w:tblStylePr>
    <w:tblStylePr w:type="firstCol">
      <w:rPr>
        <w:b/>
        <w:bCs/>
      </w:rPr>
    </w:tblStylePr>
    <w:tblStylePr w:type="lastCol">
      <w:rPr>
        <w:b/>
        <w:bCs/>
      </w:rPr>
      <w:tblPr/>
      <w:tcPr>
        <w:tcBorders>
          <w:top w:color="F79646" w:space="0" w:sz="8" w:themeColor="accent6" w:val="single"/>
          <w:bottom w:color="F79646" w:space="0" w:sz="8" w:themeColor="accent6" w:val="single"/>
        </w:tcBorders>
      </w:tcPr>
    </w:tblStylePr>
    <w:tblStylePr w:type="band1Vert">
      <w:tblPr/>
      <w:tcPr>
        <w:shd w:color="auto" w:fill="FDE4D0" w:themeFill="accent6" w:themeFillTint="3F" w:val="clear"/>
      </w:tcPr>
    </w:tblStylePr>
    <w:tblStylePr w:type="band1Horz">
      <w:tblPr/>
      <w:tcPr>
        <w:shd w:color="auto" w:fill="FDE4D0" w:themeFill="accent6" w:themeFillTint="3F" w:val="clear"/>
      </w:tcPr>
    </w:tblStylePr>
  </w:style>
  <w:style w:customStyle="1" w:styleId="LightList-Accent11" w:type="table">
    <w:name w:val="Light List - Accent 1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4F81BD" w:space="0" w:sz="8" w:themeColor="accent1" w:val="single"/>
        <w:left w:color="4F81BD" w:space="0" w:sz="8" w:themeColor="accent1" w:val="single"/>
        <w:bottom w:color="4F81BD" w:space="0" w:sz="8" w:themeColor="accent1" w:val="single"/>
        <w:right w:color="4F81BD" w:space="0" w:sz="8" w:themeColor="accen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4F81BD" w:themeFill="accent1" w:val="clear"/>
      </w:tcPr>
    </w:tblStylePr>
    <w:tblStylePr w:type="lastRow">
      <w:pPr>
        <w:spacing w:after="0" w:afterAutospacing="0" w:afterLines="0" w:before="0" w:beforeAutospacing="0" w:beforeLines="0" w:line="240" w:lineRule="auto"/>
      </w:pPr>
      <w:rPr>
        <w:b/>
        <w:bCs/>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tcBorders>
      </w:tcPr>
    </w:tblStylePr>
    <w:tblStylePr w:type="firstCol">
      <w:rPr>
        <w:b/>
        <w:bCs/>
      </w:rPr>
    </w:tblStylePr>
    <w:tblStylePr w:type="lastCol">
      <w:rPr>
        <w:b/>
        <w:bCs/>
      </w:r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style>
  <w:style w:customStyle="1" w:styleId="ColorfulGrid1" w:type="table">
    <w:name w:val="Colorful Grid1"/>
    <w:basedOn w:val="TableNormal"/>
    <w:uiPriority w:val="73"/>
    <w:rsid w:val="00E1232E"/>
    <w:rPr>
      <w:rFonts w:ascii="Times New Roman" w:eastAsia="Times New Roman" w:hAnsi="Times New Roman"/>
      <w:color w:themeColor="text1" w:val="000000"/>
      <w:sz w:val="20"/>
      <w:szCs w:val="20"/>
    </w:rPr>
    <w:tblPr>
      <w:tblStyleRowBandSize w:val="1"/>
      <w:tblStyleColBandSize w:val="1"/>
      <w:tblInd w:type="dxa" w:w="0"/>
      <w:tblBorders>
        <w:insideH w:color="FFFFFF" w:space="0" w:sz="4" w:themeColor="background1" w:val="single"/>
      </w:tblBorders>
      <w:tblCellMar>
        <w:top w:type="dxa" w:w="0"/>
        <w:left w:type="dxa" w:w="108"/>
        <w:bottom w:type="dxa" w:w="0"/>
        <w:right w:type="dxa" w:w="108"/>
      </w:tblCellMar>
    </w:tblPr>
    <w:tcPr>
      <w:shd w:color="auto" w:fill="CCCCCC" w:themeFill="text1" w:themeFillTint="33" w:val="clear"/>
    </w:tcPr>
    <w:tblStylePr w:type="firstRow">
      <w:rPr>
        <w:b/>
        <w:bCs/>
      </w:rPr>
      <w:tblPr/>
      <w:tcPr>
        <w:shd w:color="auto" w:fill="999999" w:themeFill="text1" w:themeFillTint="66" w:val="clear"/>
      </w:tcPr>
    </w:tblStylePr>
    <w:tblStylePr w:type="lastRow">
      <w:rPr>
        <w:b/>
        <w:bCs/>
        <w:color w:themeColor="text1" w:val="000000"/>
      </w:rPr>
      <w:tblPr/>
      <w:tcPr>
        <w:shd w:color="auto" w:fill="999999" w:themeFill="text1" w:themeFillTint="66" w:val="clear"/>
      </w:tcPr>
    </w:tblStylePr>
    <w:tblStylePr w:type="firstCol">
      <w:rPr>
        <w:color w:themeColor="background1" w:val="FFFFFF"/>
      </w:rPr>
      <w:tblPr/>
      <w:tcPr>
        <w:shd w:color="auto" w:fill="000000" w:themeFill="text1" w:themeFillShade="BF" w:val="clear"/>
      </w:tcPr>
    </w:tblStylePr>
    <w:tblStylePr w:type="lastCol">
      <w:rPr>
        <w:color w:themeColor="background1" w:val="FFFFFF"/>
      </w:rPr>
      <w:tblPr/>
      <w:tcPr>
        <w:shd w:color="auto" w:fill="000000" w:themeFill="text1" w:themeFillShade="BF" w:val="clear"/>
      </w:tcPr>
    </w:tblStylePr>
    <w:tblStylePr w:type="band1Vert">
      <w:tblPr/>
      <w:tcPr>
        <w:shd w:color="auto" w:fill="808080" w:themeFill="text1" w:themeFillTint="7F" w:val="clear"/>
      </w:tcPr>
    </w:tblStylePr>
    <w:tblStylePr w:type="band1Horz">
      <w:tblPr/>
      <w:tcPr>
        <w:shd w:color="auto" w:fill="808080" w:themeFill="text1" w:themeFillTint="7F" w:val="clear"/>
      </w:tcPr>
    </w:tblStylePr>
  </w:style>
  <w:style w:customStyle="1" w:styleId="MediumList11" w:type="table">
    <w:name w:val="Medium List 11"/>
    <w:basedOn w:val="TableNormal"/>
    <w:uiPriority w:val="65"/>
    <w:rsid w:val="00E1232E"/>
    <w:rPr>
      <w:rFonts w:ascii="Times New Roman" w:eastAsia="Times New Roman" w:hAnsi="Times New Roman"/>
      <w:color w:themeColor="text1" w:val="000000"/>
      <w:sz w:val="20"/>
      <w:szCs w:val="20"/>
    </w:rPr>
    <w:tblPr>
      <w:tblStyleRowBandSize w:val="1"/>
      <w:tblStyleColBandSize w:val="1"/>
      <w:tblInd w:type="dxa" w:w="0"/>
      <w:tblBorders>
        <w:top w:color="000000" w:space="0" w:sz="8" w:themeColor="text1" w:val="single"/>
        <w:bottom w:color="000000" w:space="0" w:sz="8" w:themeColor="text1"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000000" w:space="0" w:sz="8" w:themeColor="text1" w:val="single"/>
        </w:tcBorders>
      </w:tcPr>
    </w:tblStylePr>
    <w:tblStylePr w:type="lastRow">
      <w:rPr>
        <w:b/>
        <w:bCs/>
        <w:color w:themeColor="text2" w:val="1F497D"/>
      </w:rPr>
      <w:tblPr/>
      <w:tcPr>
        <w:tcBorders>
          <w:top w:color="000000" w:space="0" w:sz="8" w:themeColor="text1" w:val="single"/>
          <w:bottom w:color="000000" w:space="0" w:sz="8" w:themeColor="text1" w:val="single"/>
        </w:tcBorders>
      </w:tcPr>
    </w:tblStylePr>
    <w:tblStylePr w:type="firstCol">
      <w:rPr>
        <w:b/>
        <w:bCs/>
      </w:rPr>
    </w:tblStylePr>
    <w:tblStylePr w:type="lastCol">
      <w:rPr>
        <w:b/>
        <w:bCs/>
      </w:rPr>
      <w:tblPr/>
      <w:tcPr>
        <w:tcBorders>
          <w:top w:color="000000" w:space="0" w:sz="8" w:themeColor="text1" w:val="single"/>
          <w:bottom w:color="000000" w:space="0" w:sz="8" w:themeColor="text1" w:val="single"/>
        </w:tcBorders>
      </w:tcPr>
    </w:tblStylePr>
    <w:tblStylePr w:type="band1Vert">
      <w:tblPr/>
      <w:tcPr>
        <w:shd w:color="auto" w:fill="C0C0C0" w:themeFill="text1" w:themeFillTint="3F" w:val="clear"/>
      </w:tcPr>
    </w:tblStylePr>
    <w:tblStylePr w:type="band1Horz">
      <w:tblPr/>
      <w:tcPr>
        <w:shd w:color="auto" w:fill="C0C0C0" w:themeFill="text1" w:themeFillTint="3F" w:val="clear"/>
      </w:tcPr>
    </w:tblStylePr>
  </w:style>
  <w:style w:customStyle="1" w:styleId="LightList1" w:type="table">
    <w:name w:val="Light List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000000" w:themeFill="text1" w:val="clear"/>
      </w:tcPr>
    </w:tblStylePr>
    <w:tblStylePr w:type="lastRow">
      <w:pPr>
        <w:spacing w:after="0" w:afterAutospacing="0" w:afterLines="0" w:before="0" w:beforeAutospacing="0" w:beforeLines="0" w:line="240" w:lineRule="auto"/>
      </w:pPr>
      <w:rPr>
        <w:b/>
        <w:bCs/>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bCs/>
      </w:rPr>
    </w:tblStylePr>
    <w:tblStylePr w:type="lastCol">
      <w:rPr>
        <w:b/>
        <w:bCs/>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customStyle="1" w:styleId="MediumGrid21" w:type="table">
    <w:name w:val="Medium Grid 21"/>
    <w:basedOn w:val="TableNormal"/>
    <w:uiPriority w:val="68"/>
    <w:rsid w:val="00E1232E"/>
    <w:rPr>
      <w:rFonts w:asciiTheme="majorHAnsi" w:cstheme="majorBidi" w:eastAsiaTheme="majorEastAsia" w:hAnsiTheme="majorHAnsi"/>
      <w:color w:themeColor="text1" w:val="000000"/>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CellMar>
        <w:top w:type="dxa" w:w="0"/>
        <w:left w:type="dxa" w:w="108"/>
        <w:bottom w:type="dxa" w:w="0"/>
        <w:right w:type="dxa" w:w="108"/>
      </w:tblCellMar>
    </w:tblPr>
    <w:tcPr>
      <w:shd w:color="auto" w:fill="C0C0C0" w:themeFill="text1" w:themeFillTint="3F" w:val="clear"/>
    </w:tcPr>
    <w:tblStylePr w:type="firstRow">
      <w:rPr>
        <w:b/>
        <w:bCs/>
        <w:color w:themeColor="text1" w:val="000000"/>
      </w:rPr>
      <w:tblPr/>
      <w:tcPr>
        <w:shd w:color="auto" w:fill="E6E6E6" w:themeFill="text1" w:themeFillTint="19" w:val="clear"/>
      </w:tcPr>
    </w:tblStylePr>
    <w:tblStylePr w:type="lastRow">
      <w:rPr>
        <w:b/>
        <w:bCs/>
        <w:color w:themeColor="text1" w:val="000000"/>
      </w:rPr>
      <w:tblPr/>
      <w:tcPr>
        <w:tcBorders>
          <w:top w:color="000000" w:space="0" w:sz="12" w:themeColor="text1" w:val="single"/>
          <w:left w:val="nil"/>
          <w:bottom w:val="nil"/>
          <w:right w:val="nil"/>
          <w:insideH w:val="nil"/>
          <w:insideV w:val="nil"/>
        </w:tcBorders>
        <w:shd w:color="auto" w:fill="FFFFFF" w:themeFill="background1" w:val="clear"/>
      </w:tcPr>
    </w:tblStylePr>
    <w:tblStylePr w:type="firstCol">
      <w:rPr>
        <w:b/>
        <w:bCs/>
        <w:color w:themeColor="text1" w:val="000000"/>
      </w:rPr>
      <w:tblPr/>
      <w:tcPr>
        <w:tcBorders>
          <w:top w:val="nil"/>
          <w:left w:val="nil"/>
          <w:bottom w:val="nil"/>
          <w:right w:val="nil"/>
          <w:insideH w:val="nil"/>
          <w:insideV w:val="nil"/>
        </w:tcBorders>
        <w:shd w:color="auto" w:fill="FFFFFF" w:themeFill="background1" w:val="clear"/>
      </w:tcPr>
    </w:tblStylePr>
    <w:tblStylePr w:type="lastCol">
      <w:rPr>
        <w:b w:val="0"/>
        <w:bCs w:val="0"/>
        <w:color w:themeColor="text1" w:val="000000"/>
      </w:rPr>
      <w:tblPr/>
      <w:tcPr>
        <w:tcBorders>
          <w:top w:val="nil"/>
          <w:left w:val="nil"/>
          <w:bottom w:val="nil"/>
          <w:right w:val="nil"/>
          <w:insideH w:val="nil"/>
          <w:insideV w:val="nil"/>
        </w:tcBorders>
        <w:shd w:color="auto" w:fill="CCCCCC" w:themeFill="text1" w:themeFillTint="33" w:val="clear"/>
      </w:tcPr>
    </w:tblStylePr>
    <w:tblStylePr w:type="band1Vert">
      <w:tblPr/>
      <w:tcPr>
        <w:shd w:color="auto" w:fill="808080" w:themeFill="text1" w:themeFillTint="7F" w:val="clear"/>
      </w:tcPr>
    </w:tblStylePr>
    <w:tblStylePr w:type="band1Horz">
      <w:tblPr/>
      <w:tcPr>
        <w:tcBorders>
          <w:insideH w:color="000000" w:space="0" w:sz="6" w:themeColor="text1" w:val="single"/>
          <w:insideV w:color="000000" w:space="0" w:sz="6" w:themeColor="text1" w:val="single"/>
        </w:tcBorders>
        <w:shd w:color="auto" w:fill="808080" w:themeFill="text1" w:themeFillTint="7F" w:val="clear"/>
      </w:tcPr>
    </w:tblStylePr>
    <w:tblStylePr w:type="nwCell">
      <w:tblPr/>
      <w:tcPr>
        <w:shd w:color="auto" w:fill="FFFFFF" w:themeFill="background1" w:val="clear"/>
      </w:tcPr>
    </w:tblStylePr>
  </w:style>
  <w:style w:styleId="FootnoteReference" w:type="character">
    <w:name w:val="footnote reference"/>
    <w:basedOn w:val="DefaultParagraphFont"/>
    <w:uiPriority w:val="99"/>
    <w:unhideWhenUsed/>
    <w:locked/>
    <w:rsid w:val="0049645A"/>
    <w:rPr>
      <w:vertAlign w:val="superscript"/>
    </w:rPr>
  </w:style>
  <w:style w:customStyle="1" w:styleId="disclaimer" w:type="paragraph">
    <w:name w:val="disclaimer"/>
    <w:basedOn w:val="Normal"/>
    <w:rsid w:val="00575FAB"/>
    <w:pPr>
      <w:spacing w:after="100" w:afterAutospacing="1" w:before="100" w:beforeAutospacing="1" w:line="240" w:lineRule="auto"/>
    </w:pPr>
    <w:rPr>
      <w:rFonts w:ascii="Times" w:hAnsi="Times"/>
      <w:sz w:val="20"/>
      <w:szCs w:val="20"/>
      <w:lang w:eastAsia="en-US"/>
    </w:rPr>
  </w:style>
  <w:style w:styleId="Emphasis" w:type="character">
    <w:name w:val="Emphasis"/>
    <w:basedOn w:val="DefaultParagraphFont"/>
    <w:uiPriority w:val="20"/>
    <w:qFormat/>
    <w:locked/>
    <w:rsid w:val="00A2002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584556">
      <w:bodyDiv w:val="1"/>
      <w:marLeft w:val="0"/>
      <w:marRight w:val="0"/>
      <w:marTop w:val="0"/>
      <w:marBottom w:val="0"/>
      <w:divBdr>
        <w:top w:val="none" w:sz="0" w:space="0" w:color="auto"/>
        <w:left w:val="none" w:sz="0" w:space="0" w:color="auto"/>
        <w:bottom w:val="none" w:sz="0" w:space="0" w:color="auto"/>
        <w:right w:val="none" w:sz="0" w:space="0" w:color="auto"/>
      </w:divBdr>
      <w:divsChild>
        <w:div w:id="1323466538">
          <w:blockQuote w:val="1"/>
          <w:marLeft w:val="720"/>
          <w:marRight w:val="720"/>
          <w:marTop w:val="100"/>
          <w:marBottom w:val="100"/>
          <w:divBdr>
            <w:top w:val="none" w:sz="0" w:space="0" w:color="auto"/>
            <w:left w:val="none" w:sz="0" w:space="0" w:color="auto"/>
            <w:bottom w:val="none" w:sz="0" w:space="0" w:color="auto"/>
            <w:right w:val="none" w:sz="0" w:space="0" w:color="auto"/>
          </w:divBdr>
        </w:div>
        <w:div w:id="5407532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560568">
          <w:blockQuote w:val="1"/>
          <w:marLeft w:val="720"/>
          <w:marRight w:val="720"/>
          <w:marTop w:val="100"/>
          <w:marBottom w:val="100"/>
          <w:divBdr>
            <w:top w:val="none" w:sz="0" w:space="0" w:color="auto"/>
            <w:left w:val="none" w:sz="0" w:space="0" w:color="auto"/>
            <w:bottom w:val="none" w:sz="0" w:space="0" w:color="auto"/>
            <w:right w:val="none" w:sz="0" w:space="0" w:color="auto"/>
          </w:divBdr>
        </w:div>
        <w:div w:id="1162282195">
          <w:blockQuote w:val="1"/>
          <w:marLeft w:val="720"/>
          <w:marRight w:val="720"/>
          <w:marTop w:val="100"/>
          <w:marBottom w:val="100"/>
          <w:divBdr>
            <w:top w:val="none" w:sz="0" w:space="0" w:color="auto"/>
            <w:left w:val="none" w:sz="0" w:space="0" w:color="auto"/>
            <w:bottom w:val="none" w:sz="0" w:space="0" w:color="auto"/>
            <w:right w:val="none" w:sz="0" w:space="0" w:color="auto"/>
          </w:divBdr>
        </w:div>
        <w:div w:id="485322580">
          <w:blockQuote w:val="1"/>
          <w:marLeft w:val="720"/>
          <w:marRight w:val="720"/>
          <w:marTop w:val="100"/>
          <w:marBottom w:val="100"/>
          <w:divBdr>
            <w:top w:val="none" w:sz="0" w:space="0" w:color="auto"/>
            <w:left w:val="none" w:sz="0" w:space="0" w:color="auto"/>
            <w:bottom w:val="none" w:sz="0" w:space="0" w:color="auto"/>
            <w:right w:val="none" w:sz="0" w:space="0" w:color="auto"/>
          </w:divBdr>
        </w:div>
        <w:div w:id="83036598">
          <w:blockQuote w:val="1"/>
          <w:marLeft w:val="720"/>
          <w:marRight w:val="720"/>
          <w:marTop w:val="100"/>
          <w:marBottom w:val="100"/>
          <w:divBdr>
            <w:top w:val="none" w:sz="0" w:space="0" w:color="auto"/>
            <w:left w:val="none" w:sz="0" w:space="0" w:color="auto"/>
            <w:bottom w:val="none" w:sz="0" w:space="0" w:color="auto"/>
            <w:right w:val="none" w:sz="0" w:space="0" w:color="auto"/>
          </w:divBdr>
        </w:div>
        <w:div w:id="224531235">
          <w:blockQuote w:val="1"/>
          <w:marLeft w:val="720"/>
          <w:marRight w:val="720"/>
          <w:marTop w:val="100"/>
          <w:marBottom w:val="100"/>
          <w:divBdr>
            <w:top w:val="none" w:sz="0" w:space="0" w:color="auto"/>
            <w:left w:val="none" w:sz="0" w:space="0" w:color="auto"/>
            <w:bottom w:val="none" w:sz="0" w:space="0" w:color="auto"/>
            <w:right w:val="none" w:sz="0" w:space="0" w:color="auto"/>
          </w:divBdr>
        </w:div>
        <w:div w:id="752896876">
          <w:blockQuote w:val="1"/>
          <w:marLeft w:val="720"/>
          <w:marRight w:val="720"/>
          <w:marTop w:val="100"/>
          <w:marBottom w:val="100"/>
          <w:divBdr>
            <w:top w:val="none" w:sz="0" w:space="0" w:color="auto"/>
            <w:left w:val="none" w:sz="0" w:space="0" w:color="auto"/>
            <w:bottom w:val="none" w:sz="0" w:space="0" w:color="auto"/>
            <w:right w:val="none" w:sz="0" w:space="0" w:color="auto"/>
          </w:divBdr>
        </w:div>
        <w:div w:id="2098214261">
          <w:blockQuote w:val="1"/>
          <w:marLeft w:val="720"/>
          <w:marRight w:val="720"/>
          <w:marTop w:val="100"/>
          <w:marBottom w:val="100"/>
          <w:divBdr>
            <w:top w:val="none" w:sz="0" w:space="0" w:color="auto"/>
            <w:left w:val="none" w:sz="0" w:space="0" w:color="auto"/>
            <w:bottom w:val="none" w:sz="0" w:space="0" w:color="auto"/>
            <w:right w:val="none" w:sz="0" w:space="0" w:color="auto"/>
          </w:divBdr>
        </w:div>
        <w:div w:id="1349941460">
          <w:blockQuote w:val="1"/>
          <w:marLeft w:val="720"/>
          <w:marRight w:val="720"/>
          <w:marTop w:val="100"/>
          <w:marBottom w:val="100"/>
          <w:divBdr>
            <w:top w:val="none" w:sz="0" w:space="0" w:color="auto"/>
            <w:left w:val="none" w:sz="0" w:space="0" w:color="auto"/>
            <w:bottom w:val="none" w:sz="0" w:space="0" w:color="auto"/>
            <w:right w:val="none" w:sz="0" w:space="0" w:color="auto"/>
          </w:divBdr>
        </w:div>
        <w:div w:id="2009213380">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443962">
          <w:blockQuote w:val="1"/>
          <w:marLeft w:val="720"/>
          <w:marRight w:val="720"/>
          <w:marTop w:val="100"/>
          <w:marBottom w:val="100"/>
          <w:divBdr>
            <w:top w:val="none" w:sz="0" w:space="0" w:color="auto"/>
            <w:left w:val="none" w:sz="0" w:space="0" w:color="auto"/>
            <w:bottom w:val="none" w:sz="0" w:space="0" w:color="auto"/>
            <w:right w:val="none" w:sz="0" w:space="0" w:color="auto"/>
          </w:divBdr>
        </w:div>
        <w:div w:id="1383139316">
          <w:blockQuote w:val="1"/>
          <w:marLeft w:val="720"/>
          <w:marRight w:val="720"/>
          <w:marTop w:val="100"/>
          <w:marBottom w:val="100"/>
          <w:divBdr>
            <w:top w:val="none" w:sz="0" w:space="0" w:color="auto"/>
            <w:left w:val="none" w:sz="0" w:space="0" w:color="auto"/>
            <w:bottom w:val="none" w:sz="0" w:space="0" w:color="auto"/>
            <w:right w:val="none" w:sz="0" w:space="0" w:color="auto"/>
          </w:divBdr>
        </w:div>
        <w:div w:id="9430749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75424791">
          <w:blockQuote w:val="1"/>
          <w:marLeft w:val="720"/>
          <w:marRight w:val="720"/>
          <w:marTop w:val="100"/>
          <w:marBottom w:val="100"/>
          <w:divBdr>
            <w:top w:val="none" w:sz="0" w:space="0" w:color="auto"/>
            <w:left w:val="none" w:sz="0" w:space="0" w:color="auto"/>
            <w:bottom w:val="none" w:sz="0" w:space="0" w:color="auto"/>
            <w:right w:val="none" w:sz="0" w:space="0" w:color="auto"/>
          </w:divBdr>
        </w:div>
        <w:div w:id="153381271">
          <w:blockQuote w:val="1"/>
          <w:marLeft w:val="720"/>
          <w:marRight w:val="720"/>
          <w:marTop w:val="100"/>
          <w:marBottom w:val="100"/>
          <w:divBdr>
            <w:top w:val="none" w:sz="0" w:space="0" w:color="auto"/>
            <w:left w:val="none" w:sz="0" w:space="0" w:color="auto"/>
            <w:bottom w:val="none" w:sz="0" w:space="0" w:color="auto"/>
            <w:right w:val="none" w:sz="0" w:space="0" w:color="auto"/>
          </w:divBdr>
        </w:div>
        <w:div w:id="1557006020">
          <w:blockQuote w:val="1"/>
          <w:marLeft w:val="720"/>
          <w:marRight w:val="720"/>
          <w:marTop w:val="100"/>
          <w:marBottom w:val="100"/>
          <w:divBdr>
            <w:top w:val="none" w:sz="0" w:space="0" w:color="auto"/>
            <w:left w:val="none" w:sz="0" w:space="0" w:color="auto"/>
            <w:bottom w:val="none" w:sz="0" w:space="0" w:color="auto"/>
            <w:right w:val="none" w:sz="0" w:space="0" w:color="auto"/>
          </w:divBdr>
        </w:div>
        <w:div w:id="388117017">
          <w:blockQuote w:val="1"/>
          <w:marLeft w:val="720"/>
          <w:marRight w:val="720"/>
          <w:marTop w:val="100"/>
          <w:marBottom w:val="100"/>
          <w:divBdr>
            <w:top w:val="none" w:sz="0" w:space="0" w:color="auto"/>
            <w:left w:val="none" w:sz="0" w:space="0" w:color="auto"/>
            <w:bottom w:val="none" w:sz="0" w:space="0" w:color="auto"/>
            <w:right w:val="none" w:sz="0" w:space="0" w:color="auto"/>
          </w:divBdr>
        </w:div>
        <w:div w:id="17436407">
          <w:blockQuote w:val="1"/>
          <w:marLeft w:val="720"/>
          <w:marRight w:val="720"/>
          <w:marTop w:val="100"/>
          <w:marBottom w:val="100"/>
          <w:divBdr>
            <w:top w:val="none" w:sz="0" w:space="0" w:color="auto"/>
            <w:left w:val="none" w:sz="0" w:space="0" w:color="auto"/>
            <w:bottom w:val="none" w:sz="0" w:space="0" w:color="auto"/>
            <w:right w:val="none" w:sz="0" w:space="0" w:color="auto"/>
          </w:divBdr>
        </w:div>
        <w:div w:id="356974689">
          <w:blockQuote w:val="1"/>
          <w:marLeft w:val="720"/>
          <w:marRight w:val="720"/>
          <w:marTop w:val="100"/>
          <w:marBottom w:val="100"/>
          <w:divBdr>
            <w:top w:val="none" w:sz="0" w:space="0" w:color="auto"/>
            <w:left w:val="none" w:sz="0" w:space="0" w:color="auto"/>
            <w:bottom w:val="none" w:sz="0" w:space="0" w:color="auto"/>
            <w:right w:val="none" w:sz="0" w:space="0" w:color="auto"/>
          </w:divBdr>
        </w:div>
        <w:div w:id="429400356">
          <w:blockQuote w:val="1"/>
          <w:marLeft w:val="720"/>
          <w:marRight w:val="720"/>
          <w:marTop w:val="100"/>
          <w:marBottom w:val="100"/>
          <w:divBdr>
            <w:top w:val="none" w:sz="0" w:space="0" w:color="auto"/>
            <w:left w:val="none" w:sz="0" w:space="0" w:color="auto"/>
            <w:bottom w:val="none" w:sz="0" w:space="0" w:color="auto"/>
            <w:right w:val="none" w:sz="0" w:space="0" w:color="auto"/>
          </w:divBdr>
        </w:div>
        <w:div w:id="1900897446">
          <w:blockQuote w:val="1"/>
          <w:marLeft w:val="720"/>
          <w:marRight w:val="720"/>
          <w:marTop w:val="100"/>
          <w:marBottom w:val="100"/>
          <w:divBdr>
            <w:top w:val="none" w:sz="0" w:space="0" w:color="auto"/>
            <w:left w:val="none" w:sz="0" w:space="0" w:color="auto"/>
            <w:bottom w:val="none" w:sz="0" w:space="0" w:color="auto"/>
            <w:right w:val="none" w:sz="0" w:space="0" w:color="auto"/>
          </w:divBdr>
        </w:div>
        <w:div w:id="1567951967">
          <w:blockQuote w:val="1"/>
          <w:marLeft w:val="720"/>
          <w:marRight w:val="720"/>
          <w:marTop w:val="100"/>
          <w:marBottom w:val="100"/>
          <w:divBdr>
            <w:top w:val="none" w:sz="0" w:space="0" w:color="auto"/>
            <w:left w:val="none" w:sz="0" w:space="0" w:color="auto"/>
            <w:bottom w:val="none" w:sz="0" w:space="0" w:color="auto"/>
            <w:right w:val="none" w:sz="0" w:space="0" w:color="auto"/>
          </w:divBdr>
        </w:div>
        <w:div w:id="600145073">
          <w:blockQuote w:val="1"/>
          <w:marLeft w:val="720"/>
          <w:marRight w:val="720"/>
          <w:marTop w:val="100"/>
          <w:marBottom w:val="100"/>
          <w:divBdr>
            <w:top w:val="none" w:sz="0" w:space="0" w:color="auto"/>
            <w:left w:val="none" w:sz="0" w:space="0" w:color="auto"/>
            <w:bottom w:val="none" w:sz="0" w:space="0" w:color="auto"/>
            <w:right w:val="none" w:sz="0" w:space="0" w:color="auto"/>
          </w:divBdr>
        </w:div>
        <w:div w:id="853493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175072868">
          <w:blockQuote w:val="1"/>
          <w:marLeft w:val="720"/>
          <w:marRight w:val="720"/>
          <w:marTop w:val="100"/>
          <w:marBottom w:val="100"/>
          <w:divBdr>
            <w:top w:val="none" w:sz="0" w:space="0" w:color="auto"/>
            <w:left w:val="none" w:sz="0" w:space="0" w:color="auto"/>
            <w:bottom w:val="none" w:sz="0" w:space="0" w:color="auto"/>
            <w:right w:val="none" w:sz="0" w:space="0" w:color="auto"/>
          </w:divBdr>
        </w:div>
        <w:div w:id="2085103040">
          <w:blockQuote w:val="1"/>
          <w:marLeft w:val="720"/>
          <w:marRight w:val="720"/>
          <w:marTop w:val="100"/>
          <w:marBottom w:val="100"/>
          <w:divBdr>
            <w:top w:val="none" w:sz="0" w:space="0" w:color="auto"/>
            <w:left w:val="none" w:sz="0" w:space="0" w:color="auto"/>
            <w:bottom w:val="none" w:sz="0" w:space="0" w:color="auto"/>
            <w:right w:val="none" w:sz="0" w:space="0" w:color="auto"/>
          </w:divBdr>
        </w:div>
        <w:div w:id="100335996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8461026">
          <w:blockQuote w:val="1"/>
          <w:marLeft w:val="720"/>
          <w:marRight w:val="720"/>
          <w:marTop w:val="100"/>
          <w:marBottom w:val="100"/>
          <w:divBdr>
            <w:top w:val="none" w:sz="0" w:space="0" w:color="auto"/>
            <w:left w:val="none" w:sz="0" w:space="0" w:color="auto"/>
            <w:bottom w:val="none" w:sz="0" w:space="0" w:color="auto"/>
            <w:right w:val="none" w:sz="0" w:space="0" w:color="auto"/>
          </w:divBdr>
        </w:div>
        <w:div w:id="1358652970">
          <w:blockQuote w:val="1"/>
          <w:marLeft w:val="720"/>
          <w:marRight w:val="720"/>
          <w:marTop w:val="100"/>
          <w:marBottom w:val="100"/>
          <w:divBdr>
            <w:top w:val="none" w:sz="0" w:space="0" w:color="auto"/>
            <w:left w:val="none" w:sz="0" w:space="0" w:color="auto"/>
            <w:bottom w:val="none" w:sz="0" w:space="0" w:color="auto"/>
            <w:right w:val="none" w:sz="0" w:space="0" w:color="auto"/>
          </w:divBdr>
        </w:div>
        <w:div w:id="292255334">
          <w:blockQuote w:val="1"/>
          <w:marLeft w:val="720"/>
          <w:marRight w:val="720"/>
          <w:marTop w:val="100"/>
          <w:marBottom w:val="100"/>
          <w:divBdr>
            <w:top w:val="none" w:sz="0" w:space="0" w:color="auto"/>
            <w:left w:val="none" w:sz="0" w:space="0" w:color="auto"/>
            <w:bottom w:val="none" w:sz="0" w:space="0" w:color="auto"/>
            <w:right w:val="none" w:sz="0" w:space="0" w:color="auto"/>
          </w:divBdr>
        </w:div>
        <w:div w:id="1549608476">
          <w:blockQuote w:val="1"/>
          <w:marLeft w:val="720"/>
          <w:marRight w:val="720"/>
          <w:marTop w:val="100"/>
          <w:marBottom w:val="100"/>
          <w:divBdr>
            <w:top w:val="none" w:sz="0" w:space="0" w:color="auto"/>
            <w:left w:val="none" w:sz="0" w:space="0" w:color="auto"/>
            <w:bottom w:val="none" w:sz="0" w:space="0" w:color="auto"/>
            <w:right w:val="none" w:sz="0" w:space="0" w:color="auto"/>
          </w:divBdr>
        </w:div>
        <w:div w:id="438070274">
          <w:blockQuote w:val="1"/>
          <w:marLeft w:val="720"/>
          <w:marRight w:val="720"/>
          <w:marTop w:val="100"/>
          <w:marBottom w:val="100"/>
          <w:divBdr>
            <w:top w:val="none" w:sz="0" w:space="0" w:color="auto"/>
            <w:left w:val="none" w:sz="0" w:space="0" w:color="auto"/>
            <w:bottom w:val="none" w:sz="0" w:space="0" w:color="auto"/>
            <w:right w:val="none" w:sz="0" w:space="0" w:color="auto"/>
          </w:divBdr>
        </w:div>
        <w:div w:id="1006638718">
          <w:blockQuote w:val="1"/>
          <w:marLeft w:val="720"/>
          <w:marRight w:val="720"/>
          <w:marTop w:val="100"/>
          <w:marBottom w:val="100"/>
          <w:divBdr>
            <w:top w:val="none" w:sz="0" w:space="0" w:color="auto"/>
            <w:left w:val="none" w:sz="0" w:space="0" w:color="auto"/>
            <w:bottom w:val="none" w:sz="0" w:space="0" w:color="auto"/>
            <w:right w:val="none" w:sz="0" w:space="0" w:color="auto"/>
          </w:divBdr>
        </w:div>
        <w:div w:id="1710837715">
          <w:blockQuote w:val="1"/>
          <w:marLeft w:val="720"/>
          <w:marRight w:val="720"/>
          <w:marTop w:val="100"/>
          <w:marBottom w:val="100"/>
          <w:divBdr>
            <w:top w:val="none" w:sz="0" w:space="0" w:color="auto"/>
            <w:left w:val="none" w:sz="0" w:space="0" w:color="auto"/>
            <w:bottom w:val="none" w:sz="0" w:space="0" w:color="auto"/>
            <w:right w:val="none" w:sz="0" w:space="0" w:color="auto"/>
          </w:divBdr>
        </w:div>
        <w:div w:id="2011638762">
          <w:blockQuote w:val="1"/>
          <w:marLeft w:val="720"/>
          <w:marRight w:val="720"/>
          <w:marTop w:val="100"/>
          <w:marBottom w:val="100"/>
          <w:divBdr>
            <w:top w:val="none" w:sz="0" w:space="0" w:color="auto"/>
            <w:left w:val="none" w:sz="0" w:space="0" w:color="auto"/>
            <w:bottom w:val="none" w:sz="0" w:space="0" w:color="auto"/>
            <w:right w:val="none" w:sz="0" w:space="0" w:color="auto"/>
          </w:divBdr>
        </w:div>
        <w:div w:id="1286428448">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171320">
          <w:blockQuote w:val="1"/>
          <w:marLeft w:val="720"/>
          <w:marRight w:val="720"/>
          <w:marTop w:val="100"/>
          <w:marBottom w:val="100"/>
          <w:divBdr>
            <w:top w:val="none" w:sz="0" w:space="0" w:color="auto"/>
            <w:left w:val="none" w:sz="0" w:space="0" w:color="auto"/>
            <w:bottom w:val="none" w:sz="0" w:space="0" w:color="auto"/>
            <w:right w:val="none" w:sz="0" w:space="0" w:color="auto"/>
          </w:divBdr>
        </w:div>
        <w:div w:id="662319618">
          <w:blockQuote w:val="1"/>
          <w:marLeft w:val="720"/>
          <w:marRight w:val="720"/>
          <w:marTop w:val="100"/>
          <w:marBottom w:val="100"/>
          <w:divBdr>
            <w:top w:val="none" w:sz="0" w:space="0" w:color="auto"/>
            <w:left w:val="none" w:sz="0" w:space="0" w:color="auto"/>
            <w:bottom w:val="none" w:sz="0" w:space="0" w:color="auto"/>
            <w:right w:val="none" w:sz="0" w:space="0" w:color="auto"/>
          </w:divBdr>
        </w:div>
        <w:div w:id="302121957">
          <w:blockQuote w:val="1"/>
          <w:marLeft w:val="720"/>
          <w:marRight w:val="720"/>
          <w:marTop w:val="100"/>
          <w:marBottom w:val="100"/>
          <w:divBdr>
            <w:top w:val="none" w:sz="0" w:space="0" w:color="auto"/>
            <w:left w:val="none" w:sz="0" w:space="0" w:color="auto"/>
            <w:bottom w:val="none" w:sz="0" w:space="0" w:color="auto"/>
            <w:right w:val="none" w:sz="0" w:space="0" w:color="auto"/>
          </w:divBdr>
        </w:div>
        <w:div w:id="1696038598">
          <w:blockQuote w:val="1"/>
          <w:marLeft w:val="720"/>
          <w:marRight w:val="720"/>
          <w:marTop w:val="100"/>
          <w:marBottom w:val="100"/>
          <w:divBdr>
            <w:top w:val="none" w:sz="0" w:space="0" w:color="auto"/>
            <w:left w:val="none" w:sz="0" w:space="0" w:color="auto"/>
            <w:bottom w:val="none" w:sz="0" w:space="0" w:color="auto"/>
            <w:right w:val="none" w:sz="0" w:space="0" w:color="auto"/>
          </w:divBdr>
        </w:div>
        <w:div w:id="651955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802305639">
          <w:blockQuote w:val="1"/>
          <w:marLeft w:val="720"/>
          <w:marRight w:val="720"/>
          <w:marTop w:val="100"/>
          <w:marBottom w:val="100"/>
          <w:divBdr>
            <w:top w:val="none" w:sz="0" w:space="0" w:color="auto"/>
            <w:left w:val="none" w:sz="0" w:space="0" w:color="auto"/>
            <w:bottom w:val="none" w:sz="0" w:space="0" w:color="auto"/>
            <w:right w:val="none" w:sz="0" w:space="0" w:color="auto"/>
          </w:divBdr>
        </w:div>
        <w:div w:id="2073961201">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144602">
          <w:blockQuote w:val="1"/>
          <w:marLeft w:val="720"/>
          <w:marRight w:val="720"/>
          <w:marTop w:val="100"/>
          <w:marBottom w:val="100"/>
          <w:divBdr>
            <w:top w:val="none" w:sz="0" w:space="0" w:color="auto"/>
            <w:left w:val="none" w:sz="0" w:space="0" w:color="auto"/>
            <w:bottom w:val="none" w:sz="0" w:space="0" w:color="auto"/>
            <w:right w:val="none" w:sz="0" w:space="0" w:color="auto"/>
          </w:divBdr>
        </w:div>
        <w:div w:id="1485465261">
          <w:blockQuote w:val="1"/>
          <w:marLeft w:val="720"/>
          <w:marRight w:val="720"/>
          <w:marTop w:val="100"/>
          <w:marBottom w:val="100"/>
          <w:divBdr>
            <w:top w:val="none" w:sz="0" w:space="0" w:color="auto"/>
            <w:left w:val="none" w:sz="0" w:space="0" w:color="auto"/>
            <w:bottom w:val="none" w:sz="0" w:space="0" w:color="auto"/>
            <w:right w:val="none" w:sz="0" w:space="0" w:color="auto"/>
          </w:divBdr>
        </w:div>
        <w:div w:id="520242838">
          <w:blockQuote w:val="1"/>
          <w:marLeft w:val="720"/>
          <w:marRight w:val="720"/>
          <w:marTop w:val="100"/>
          <w:marBottom w:val="100"/>
          <w:divBdr>
            <w:top w:val="none" w:sz="0" w:space="0" w:color="auto"/>
            <w:left w:val="none" w:sz="0" w:space="0" w:color="auto"/>
            <w:bottom w:val="none" w:sz="0" w:space="0" w:color="auto"/>
            <w:right w:val="none" w:sz="0" w:space="0" w:color="auto"/>
          </w:divBdr>
        </w:div>
        <w:div w:id="117798893">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292922">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948248">
          <w:blockQuote w:val="1"/>
          <w:marLeft w:val="720"/>
          <w:marRight w:val="720"/>
          <w:marTop w:val="100"/>
          <w:marBottom w:val="100"/>
          <w:divBdr>
            <w:top w:val="none" w:sz="0" w:space="0" w:color="auto"/>
            <w:left w:val="none" w:sz="0" w:space="0" w:color="auto"/>
            <w:bottom w:val="none" w:sz="0" w:space="0" w:color="auto"/>
            <w:right w:val="none" w:sz="0" w:space="0" w:color="auto"/>
          </w:divBdr>
        </w:div>
        <w:div w:id="1429501468">
          <w:blockQuote w:val="1"/>
          <w:marLeft w:val="720"/>
          <w:marRight w:val="720"/>
          <w:marTop w:val="100"/>
          <w:marBottom w:val="100"/>
          <w:divBdr>
            <w:top w:val="none" w:sz="0" w:space="0" w:color="auto"/>
            <w:left w:val="none" w:sz="0" w:space="0" w:color="auto"/>
            <w:bottom w:val="none" w:sz="0" w:space="0" w:color="auto"/>
            <w:right w:val="none" w:sz="0" w:space="0" w:color="auto"/>
          </w:divBdr>
        </w:div>
        <w:div w:id="1016810012">
          <w:blockQuote w:val="1"/>
          <w:marLeft w:val="720"/>
          <w:marRight w:val="720"/>
          <w:marTop w:val="100"/>
          <w:marBottom w:val="100"/>
          <w:divBdr>
            <w:top w:val="none" w:sz="0" w:space="0" w:color="auto"/>
            <w:left w:val="none" w:sz="0" w:space="0" w:color="auto"/>
            <w:bottom w:val="none" w:sz="0" w:space="0" w:color="auto"/>
            <w:right w:val="none" w:sz="0" w:space="0" w:color="auto"/>
          </w:divBdr>
        </w:div>
        <w:div w:id="696153713">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2589">
          <w:blockQuote w:val="1"/>
          <w:marLeft w:val="720"/>
          <w:marRight w:val="720"/>
          <w:marTop w:val="100"/>
          <w:marBottom w:val="100"/>
          <w:divBdr>
            <w:top w:val="none" w:sz="0" w:space="0" w:color="auto"/>
            <w:left w:val="none" w:sz="0" w:space="0" w:color="auto"/>
            <w:bottom w:val="none" w:sz="0" w:space="0" w:color="auto"/>
            <w:right w:val="none" w:sz="0" w:space="0" w:color="auto"/>
          </w:divBdr>
        </w:div>
        <w:div w:id="953444125">
          <w:blockQuote w:val="1"/>
          <w:marLeft w:val="720"/>
          <w:marRight w:val="720"/>
          <w:marTop w:val="100"/>
          <w:marBottom w:val="100"/>
          <w:divBdr>
            <w:top w:val="none" w:sz="0" w:space="0" w:color="auto"/>
            <w:left w:val="none" w:sz="0" w:space="0" w:color="auto"/>
            <w:bottom w:val="none" w:sz="0" w:space="0" w:color="auto"/>
            <w:right w:val="none" w:sz="0" w:space="0" w:color="auto"/>
          </w:divBdr>
        </w:div>
        <w:div w:id="2043506410">
          <w:blockQuote w:val="1"/>
          <w:marLeft w:val="720"/>
          <w:marRight w:val="720"/>
          <w:marTop w:val="100"/>
          <w:marBottom w:val="100"/>
          <w:divBdr>
            <w:top w:val="none" w:sz="0" w:space="0" w:color="auto"/>
            <w:left w:val="none" w:sz="0" w:space="0" w:color="auto"/>
            <w:bottom w:val="none" w:sz="0" w:space="0" w:color="auto"/>
            <w:right w:val="none" w:sz="0" w:space="0" w:color="auto"/>
          </w:divBdr>
        </w:div>
        <w:div w:id="572202687">
          <w:blockQuote w:val="1"/>
          <w:marLeft w:val="720"/>
          <w:marRight w:val="720"/>
          <w:marTop w:val="100"/>
          <w:marBottom w:val="100"/>
          <w:divBdr>
            <w:top w:val="none" w:sz="0" w:space="0" w:color="auto"/>
            <w:left w:val="none" w:sz="0" w:space="0" w:color="auto"/>
            <w:bottom w:val="none" w:sz="0" w:space="0" w:color="auto"/>
            <w:right w:val="none" w:sz="0" w:space="0" w:color="auto"/>
          </w:divBdr>
        </w:div>
        <w:div w:id="97990185">
          <w:blockQuote w:val="1"/>
          <w:marLeft w:val="720"/>
          <w:marRight w:val="720"/>
          <w:marTop w:val="100"/>
          <w:marBottom w:val="100"/>
          <w:divBdr>
            <w:top w:val="none" w:sz="0" w:space="0" w:color="auto"/>
            <w:left w:val="none" w:sz="0" w:space="0" w:color="auto"/>
            <w:bottom w:val="none" w:sz="0" w:space="0" w:color="auto"/>
            <w:right w:val="none" w:sz="0" w:space="0" w:color="auto"/>
          </w:divBdr>
        </w:div>
        <w:div w:id="1563178732">
          <w:blockQuote w:val="1"/>
          <w:marLeft w:val="720"/>
          <w:marRight w:val="720"/>
          <w:marTop w:val="100"/>
          <w:marBottom w:val="100"/>
          <w:divBdr>
            <w:top w:val="none" w:sz="0" w:space="0" w:color="auto"/>
            <w:left w:val="none" w:sz="0" w:space="0" w:color="auto"/>
            <w:bottom w:val="none" w:sz="0" w:space="0" w:color="auto"/>
            <w:right w:val="none" w:sz="0" w:space="0" w:color="auto"/>
          </w:divBdr>
        </w:div>
        <w:div w:id="598216345">
          <w:blockQuote w:val="1"/>
          <w:marLeft w:val="720"/>
          <w:marRight w:val="720"/>
          <w:marTop w:val="100"/>
          <w:marBottom w:val="100"/>
          <w:divBdr>
            <w:top w:val="none" w:sz="0" w:space="0" w:color="auto"/>
            <w:left w:val="none" w:sz="0" w:space="0" w:color="auto"/>
            <w:bottom w:val="none" w:sz="0" w:space="0" w:color="auto"/>
            <w:right w:val="none" w:sz="0" w:space="0" w:color="auto"/>
          </w:divBdr>
        </w:div>
        <w:div w:id="2104842094">
          <w:blockQuote w:val="1"/>
          <w:marLeft w:val="720"/>
          <w:marRight w:val="720"/>
          <w:marTop w:val="100"/>
          <w:marBottom w:val="100"/>
          <w:divBdr>
            <w:top w:val="none" w:sz="0" w:space="0" w:color="auto"/>
            <w:left w:val="none" w:sz="0" w:space="0" w:color="auto"/>
            <w:bottom w:val="none" w:sz="0" w:space="0" w:color="auto"/>
            <w:right w:val="none" w:sz="0" w:space="0" w:color="auto"/>
          </w:divBdr>
        </w:div>
        <w:div w:id="998264309">
          <w:blockQuote w:val="1"/>
          <w:marLeft w:val="720"/>
          <w:marRight w:val="720"/>
          <w:marTop w:val="100"/>
          <w:marBottom w:val="100"/>
          <w:divBdr>
            <w:top w:val="none" w:sz="0" w:space="0" w:color="auto"/>
            <w:left w:val="none" w:sz="0" w:space="0" w:color="auto"/>
            <w:bottom w:val="none" w:sz="0" w:space="0" w:color="auto"/>
            <w:right w:val="none" w:sz="0" w:space="0" w:color="auto"/>
          </w:divBdr>
        </w:div>
        <w:div w:id="1231647615">
          <w:blockQuote w:val="1"/>
          <w:marLeft w:val="720"/>
          <w:marRight w:val="720"/>
          <w:marTop w:val="100"/>
          <w:marBottom w:val="100"/>
          <w:divBdr>
            <w:top w:val="none" w:sz="0" w:space="0" w:color="auto"/>
            <w:left w:val="none" w:sz="0" w:space="0" w:color="auto"/>
            <w:bottom w:val="none" w:sz="0" w:space="0" w:color="auto"/>
            <w:right w:val="none" w:sz="0" w:space="0" w:color="auto"/>
          </w:divBdr>
        </w:div>
        <w:div w:id="899810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37610901">
          <w:blockQuote w:val="1"/>
          <w:marLeft w:val="720"/>
          <w:marRight w:val="720"/>
          <w:marTop w:val="100"/>
          <w:marBottom w:val="100"/>
          <w:divBdr>
            <w:top w:val="none" w:sz="0" w:space="0" w:color="auto"/>
            <w:left w:val="none" w:sz="0" w:space="0" w:color="auto"/>
            <w:bottom w:val="none" w:sz="0" w:space="0" w:color="auto"/>
            <w:right w:val="none" w:sz="0" w:space="0" w:color="auto"/>
          </w:divBdr>
        </w:div>
        <w:div w:id="857934319">
          <w:blockQuote w:val="1"/>
          <w:marLeft w:val="720"/>
          <w:marRight w:val="720"/>
          <w:marTop w:val="100"/>
          <w:marBottom w:val="100"/>
          <w:divBdr>
            <w:top w:val="none" w:sz="0" w:space="0" w:color="auto"/>
            <w:left w:val="none" w:sz="0" w:space="0" w:color="auto"/>
            <w:bottom w:val="none" w:sz="0" w:space="0" w:color="auto"/>
            <w:right w:val="none" w:sz="0" w:space="0" w:color="auto"/>
          </w:divBdr>
        </w:div>
        <w:div w:id="820268236">
          <w:blockQuote w:val="1"/>
          <w:marLeft w:val="720"/>
          <w:marRight w:val="720"/>
          <w:marTop w:val="100"/>
          <w:marBottom w:val="100"/>
          <w:divBdr>
            <w:top w:val="none" w:sz="0" w:space="0" w:color="auto"/>
            <w:left w:val="none" w:sz="0" w:space="0" w:color="auto"/>
            <w:bottom w:val="none" w:sz="0" w:space="0" w:color="auto"/>
            <w:right w:val="none" w:sz="0" w:space="0" w:color="auto"/>
          </w:divBdr>
        </w:div>
        <w:div w:id="1583102518">
          <w:blockQuote w:val="1"/>
          <w:marLeft w:val="720"/>
          <w:marRight w:val="720"/>
          <w:marTop w:val="100"/>
          <w:marBottom w:val="100"/>
          <w:divBdr>
            <w:top w:val="none" w:sz="0" w:space="0" w:color="auto"/>
            <w:left w:val="none" w:sz="0" w:space="0" w:color="auto"/>
            <w:bottom w:val="none" w:sz="0" w:space="0" w:color="auto"/>
            <w:right w:val="none" w:sz="0" w:space="0" w:color="auto"/>
          </w:divBdr>
        </w:div>
        <w:div w:id="1225096632">
          <w:blockQuote w:val="1"/>
          <w:marLeft w:val="720"/>
          <w:marRight w:val="720"/>
          <w:marTop w:val="100"/>
          <w:marBottom w:val="100"/>
          <w:divBdr>
            <w:top w:val="none" w:sz="0" w:space="0" w:color="auto"/>
            <w:left w:val="none" w:sz="0" w:space="0" w:color="auto"/>
            <w:bottom w:val="none" w:sz="0" w:space="0" w:color="auto"/>
            <w:right w:val="none" w:sz="0" w:space="0" w:color="auto"/>
          </w:divBdr>
        </w:div>
        <w:div w:id="954285832">
          <w:blockQuote w:val="1"/>
          <w:marLeft w:val="720"/>
          <w:marRight w:val="720"/>
          <w:marTop w:val="100"/>
          <w:marBottom w:val="100"/>
          <w:divBdr>
            <w:top w:val="none" w:sz="0" w:space="0" w:color="auto"/>
            <w:left w:val="none" w:sz="0" w:space="0" w:color="auto"/>
            <w:bottom w:val="none" w:sz="0" w:space="0" w:color="auto"/>
            <w:right w:val="none" w:sz="0" w:space="0" w:color="auto"/>
          </w:divBdr>
        </w:div>
        <w:div w:id="608009353">
          <w:blockQuote w:val="1"/>
          <w:marLeft w:val="720"/>
          <w:marRight w:val="720"/>
          <w:marTop w:val="100"/>
          <w:marBottom w:val="100"/>
          <w:divBdr>
            <w:top w:val="none" w:sz="0" w:space="0" w:color="auto"/>
            <w:left w:val="none" w:sz="0" w:space="0" w:color="auto"/>
            <w:bottom w:val="none" w:sz="0" w:space="0" w:color="auto"/>
            <w:right w:val="none" w:sz="0" w:space="0" w:color="auto"/>
          </w:divBdr>
        </w:div>
        <w:div w:id="9266907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29018459">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3315">
          <w:blockQuote w:val="1"/>
          <w:marLeft w:val="720"/>
          <w:marRight w:val="720"/>
          <w:marTop w:val="100"/>
          <w:marBottom w:val="100"/>
          <w:divBdr>
            <w:top w:val="none" w:sz="0" w:space="0" w:color="auto"/>
            <w:left w:val="none" w:sz="0" w:space="0" w:color="auto"/>
            <w:bottom w:val="none" w:sz="0" w:space="0" w:color="auto"/>
            <w:right w:val="none" w:sz="0" w:space="0" w:color="auto"/>
          </w:divBdr>
        </w:div>
        <w:div w:id="43062346">
          <w:blockQuote w:val="1"/>
          <w:marLeft w:val="720"/>
          <w:marRight w:val="720"/>
          <w:marTop w:val="100"/>
          <w:marBottom w:val="100"/>
          <w:divBdr>
            <w:top w:val="none" w:sz="0" w:space="0" w:color="auto"/>
            <w:left w:val="none" w:sz="0" w:space="0" w:color="auto"/>
            <w:bottom w:val="none" w:sz="0" w:space="0" w:color="auto"/>
            <w:right w:val="none" w:sz="0" w:space="0" w:color="auto"/>
          </w:divBdr>
        </w:div>
        <w:div w:id="1693188887">
          <w:blockQuote w:val="1"/>
          <w:marLeft w:val="720"/>
          <w:marRight w:val="720"/>
          <w:marTop w:val="100"/>
          <w:marBottom w:val="100"/>
          <w:divBdr>
            <w:top w:val="none" w:sz="0" w:space="0" w:color="auto"/>
            <w:left w:val="none" w:sz="0" w:space="0" w:color="auto"/>
            <w:bottom w:val="none" w:sz="0" w:space="0" w:color="auto"/>
            <w:right w:val="none" w:sz="0" w:space="0" w:color="auto"/>
          </w:divBdr>
        </w:div>
        <w:div w:id="349573984">
          <w:blockQuote w:val="1"/>
          <w:marLeft w:val="720"/>
          <w:marRight w:val="720"/>
          <w:marTop w:val="100"/>
          <w:marBottom w:val="100"/>
          <w:divBdr>
            <w:top w:val="none" w:sz="0" w:space="0" w:color="auto"/>
            <w:left w:val="none" w:sz="0" w:space="0" w:color="auto"/>
            <w:bottom w:val="none" w:sz="0" w:space="0" w:color="auto"/>
            <w:right w:val="none" w:sz="0" w:space="0" w:color="auto"/>
          </w:divBdr>
        </w:div>
        <w:div w:id="1290622179">
          <w:blockQuote w:val="1"/>
          <w:marLeft w:val="720"/>
          <w:marRight w:val="720"/>
          <w:marTop w:val="100"/>
          <w:marBottom w:val="100"/>
          <w:divBdr>
            <w:top w:val="none" w:sz="0" w:space="0" w:color="auto"/>
            <w:left w:val="none" w:sz="0" w:space="0" w:color="auto"/>
            <w:bottom w:val="none" w:sz="0" w:space="0" w:color="auto"/>
            <w:right w:val="none" w:sz="0" w:space="0" w:color="auto"/>
          </w:divBdr>
        </w:div>
        <w:div w:id="49618709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5109282">
          <w:blockQuote w:val="1"/>
          <w:marLeft w:val="720"/>
          <w:marRight w:val="720"/>
          <w:marTop w:val="100"/>
          <w:marBottom w:val="100"/>
          <w:divBdr>
            <w:top w:val="none" w:sz="0" w:space="0" w:color="auto"/>
            <w:left w:val="none" w:sz="0" w:space="0" w:color="auto"/>
            <w:bottom w:val="none" w:sz="0" w:space="0" w:color="auto"/>
            <w:right w:val="none" w:sz="0" w:space="0" w:color="auto"/>
          </w:divBdr>
        </w:div>
        <w:div w:id="575171879">
          <w:blockQuote w:val="1"/>
          <w:marLeft w:val="720"/>
          <w:marRight w:val="720"/>
          <w:marTop w:val="100"/>
          <w:marBottom w:val="100"/>
          <w:divBdr>
            <w:top w:val="none" w:sz="0" w:space="0" w:color="auto"/>
            <w:left w:val="none" w:sz="0" w:space="0" w:color="auto"/>
            <w:bottom w:val="none" w:sz="0" w:space="0" w:color="auto"/>
            <w:right w:val="none" w:sz="0" w:space="0" w:color="auto"/>
          </w:divBdr>
        </w:div>
        <w:div w:id="552233416">
          <w:blockQuote w:val="1"/>
          <w:marLeft w:val="720"/>
          <w:marRight w:val="720"/>
          <w:marTop w:val="100"/>
          <w:marBottom w:val="100"/>
          <w:divBdr>
            <w:top w:val="none" w:sz="0" w:space="0" w:color="auto"/>
            <w:left w:val="none" w:sz="0" w:space="0" w:color="auto"/>
            <w:bottom w:val="none" w:sz="0" w:space="0" w:color="auto"/>
            <w:right w:val="none" w:sz="0" w:space="0" w:color="auto"/>
          </w:divBdr>
        </w:div>
        <w:div w:id="84031493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7926422">
          <w:blockQuote w:val="1"/>
          <w:marLeft w:val="720"/>
          <w:marRight w:val="720"/>
          <w:marTop w:val="100"/>
          <w:marBottom w:val="100"/>
          <w:divBdr>
            <w:top w:val="none" w:sz="0" w:space="0" w:color="auto"/>
            <w:left w:val="none" w:sz="0" w:space="0" w:color="auto"/>
            <w:bottom w:val="none" w:sz="0" w:space="0" w:color="auto"/>
            <w:right w:val="none" w:sz="0" w:space="0" w:color="auto"/>
          </w:divBdr>
        </w:div>
        <w:div w:id="16680482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57184412">
      <w:bodyDiv w:val="1"/>
      <w:marLeft w:val="0"/>
      <w:marRight w:val="0"/>
      <w:marTop w:val="0"/>
      <w:marBottom w:val="0"/>
      <w:divBdr>
        <w:top w:val="none" w:sz="0" w:space="0" w:color="auto"/>
        <w:left w:val="none" w:sz="0" w:space="0" w:color="auto"/>
        <w:bottom w:val="none" w:sz="0" w:space="0" w:color="auto"/>
        <w:right w:val="none" w:sz="0" w:space="0" w:color="auto"/>
      </w:divBdr>
    </w:div>
    <w:div w:id="1916814110">
      <w:bodyDiv w:val="1"/>
      <w:marLeft w:val="0"/>
      <w:marRight w:val="0"/>
      <w:marTop w:val="0"/>
      <w:marBottom w:val="0"/>
      <w:divBdr>
        <w:top w:val="none" w:sz="0" w:space="0" w:color="auto"/>
        <w:left w:val="none" w:sz="0" w:space="0" w:color="auto"/>
        <w:bottom w:val="none" w:sz="0" w:space="0" w:color="auto"/>
        <w:right w:val="none" w:sz="0" w:space="0" w:color="auto"/>
      </w:divBdr>
    </w:div>
    <w:div w:id="2138641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Relationships xmlns="http://schemas.openxmlformats.org/package/2006/relationships"><Relationship Target="endnotes.xml" Type="http://schemas.openxmlformats.org/officeDocument/2006/relationships/endnotes" Id="rId8"/><Relationship Target="styles.xml" Type="http://schemas.openxmlformats.org/officeDocument/2006/relationships/styles" Id="rId3"/><Relationship Target="footnotes.xml" Type="http://schemas.openxmlformats.org/officeDocument/2006/relationships/footnotes" Id="rId7"/><Relationship Target="theme/theme1.xml" Type="http://schemas.openxmlformats.org/officeDocument/2006/relationships/theme" Id="rId12"/><Relationship Target="numbering.xml" Type="http://schemas.openxmlformats.org/officeDocument/2006/relationships/numbering" Id="rId2"/><Relationship Target="../customXml/item1.xml" Type="http://schemas.openxmlformats.org/officeDocument/2006/relationships/customXml" Id="rId1"/><Relationship Target="webSettings.xml" Type="http://schemas.openxmlformats.org/officeDocument/2006/relationships/webSettings" Id="rId6"/><Relationship Target="glossary/document.xml" Type="http://schemas.openxmlformats.org/officeDocument/2006/relationships/glossaryDocument" Id="rId11"/><Relationship Target="settings.xml" Type="http://schemas.openxmlformats.org/officeDocument/2006/relationships/settings" Id="rId5"/><Relationship Target="fontTable.xml" Type="http://schemas.openxmlformats.org/officeDocument/2006/relationships/fontTable" Id="rId10"/><Relationship Target="stylesWithEffects.xml" Type="http://schemas.microsoft.com/office/2007/relationships/stylesWithEffects" Id="rId4"/><Relationship Target="media/image1.gif" Type="http://schemas.openxmlformats.org/officeDocument/2006/relationships/image" Id="rId9"/><Relationship Target="media/document_image_rId13.jpeg" Type="http://schemas.openxmlformats.org/officeDocument/2006/relationships/image" Id="rId13"/><Relationship Target="media/document_image_rId14.jpeg" Type="http://schemas.openxmlformats.org/officeDocument/2006/relationships/image" Id="rId14"/><Relationship Target="media/document_image_rId15.jpeg" Type="http://schemas.openxmlformats.org/officeDocument/2006/relationships/image" Id="rId15"/><Relationship TargetMode="External" Target="#_Ref185221170" Type="http://schemas.openxmlformats.org/officeDocument/2006/relationships/hyperlink" Id="rId16"/><Relationship TargetMode="External" Target="#_Ref185221170" Type="http://schemas.openxmlformats.org/officeDocument/2006/relationships/hyperlink" Id="rId17"/><Relationship TargetMode="External" Target="#_Ref184993355" Type="http://schemas.openxmlformats.org/officeDocument/2006/relationships/hyperlink" Id="rId18"/><Relationship TargetMode="External" Target="#_Ref184993355" Type="http://schemas.openxmlformats.org/officeDocument/2006/relationships/hyperlink" Id="rId19"/><Relationship TargetMode="External" Target="#_Ref184993359" Type="http://schemas.openxmlformats.org/officeDocument/2006/relationships/hyperlink" Id="rId20"/><Relationship TargetMode="External" Target="#_Ref184993359" Type="http://schemas.openxmlformats.org/officeDocument/2006/relationships/hyperlink" Id="rId21"/><Relationship TargetMode="External" Target="#_Ref184993974" Type="http://schemas.openxmlformats.org/officeDocument/2006/relationships/hyperlink" Id="rId22"/><Relationship TargetMode="External" Target="#_Ref184993974" Type="http://schemas.openxmlformats.org/officeDocument/2006/relationships/hyperlink" Id="rId23"/><Relationship TargetMode="External" Target="#_Ref184997641" Type="http://schemas.openxmlformats.org/officeDocument/2006/relationships/hyperlink" Id="rId24"/><Relationship TargetMode="External" Target="#_Ref184997641" Type="http://schemas.openxmlformats.org/officeDocument/2006/relationships/hyperlink" Id="rId25"/><Relationship TargetMode="External" Target="#_Ref185313569" Type="http://schemas.openxmlformats.org/officeDocument/2006/relationships/hyperlink" Id="rId26"/><Relationship TargetMode="External" Target="#_Ref185313569" Type="http://schemas.openxmlformats.org/officeDocument/2006/relationships/hyperlink" Id="rId27"/><Relationship TargetMode="External" Target="#_Ref185313569" Type="http://schemas.openxmlformats.org/officeDocument/2006/relationships/hyperlink" Id="rId28"/><Relationship TargetMode="External" Target="#_Ref185313569" Type="http://schemas.openxmlformats.org/officeDocument/2006/relationships/hyperlink" Id="rId29"/><Relationship TargetMode="External" Target="#_Ref185263920" Type="http://schemas.openxmlformats.org/officeDocument/2006/relationships/hyperlink" Id="rId30"/><Relationship TargetMode="External" Target="#_Ref185263920" Type="http://schemas.openxmlformats.org/officeDocument/2006/relationships/hyperlink" Id="rId31"/><Relationship TargetMode="External" Target="#_Ref185263928" Type="http://schemas.openxmlformats.org/officeDocument/2006/relationships/hyperlink" Id="rId32"/><Relationship TargetMode="External" Target="#_Ref185263928" Type="http://schemas.openxmlformats.org/officeDocument/2006/relationships/hyperlink" Id="rId33"/><Relationship TargetMode="External" Target="#_Ref185263920" Type="http://schemas.openxmlformats.org/officeDocument/2006/relationships/hyperlink" Id="rId34"/><Relationship TargetMode="External" Target="#_Ref185263920" Type="http://schemas.openxmlformats.org/officeDocument/2006/relationships/hyperlink" Id="rId35"/><Relationship TargetMode="External" Target="#_Ref185263920" Type="http://schemas.openxmlformats.org/officeDocument/2006/relationships/hyperlink" Id="rId36"/><Relationship TargetMode="External" Target="#_Ref185263920" Type="http://schemas.openxmlformats.org/officeDocument/2006/relationships/hyperlink" Id="rId37"/><Relationship TargetMode="External" Target="#_Ref185342283" Type="http://schemas.openxmlformats.org/officeDocument/2006/relationships/hyperlink" Id="rId38"/><Relationship TargetMode="External" Target="#_Ref185342283" Type="http://schemas.openxmlformats.org/officeDocument/2006/relationships/hyperlink" Id="rId39"/><Relationship TargetMode="External" Target="#_Ref185313569" Type="http://schemas.openxmlformats.org/officeDocument/2006/relationships/hyperlink" Id="rId40"/><Relationship TargetMode="External" Target="#_Ref185313569" Type="http://schemas.openxmlformats.org/officeDocument/2006/relationships/hyperlink" Id="rId41"/><Relationship TargetMode="External" Target="#_Ref185313569" Type="http://schemas.openxmlformats.org/officeDocument/2006/relationships/hyperlink" Id="rId42"/><Relationship TargetMode="External" Target="#_Ref185313569" Type="http://schemas.openxmlformats.org/officeDocument/2006/relationships/hyperlink" Id="rId43"/><Relationship TargetMode="External" Target="#_Ref185042397" Type="http://schemas.openxmlformats.org/officeDocument/2006/relationships/hyperlink" Id="rId44"/><Relationship TargetMode="External" Target="#_Ref185042397" Type="http://schemas.openxmlformats.org/officeDocument/2006/relationships/hyperlink" Id="rId45"/><Relationship TargetMode="External" Target="#_Ref185042420" Type="http://schemas.openxmlformats.org/officeDocument/2006/relationships/hyperlink" Id="rId46"/><Relationship TargetMode="External" Target="#_Ref185042420" Type="http://schemas.openxmlformats.org/officeDocument/2006/relationships/hyperlink" Id="rId47"/><Relationship TargetMode="External" Target="#_Ref185045374" Type="http://schemas.openxmlformats.org/officeDocument/2006/relationships/hyperlink" Id="rId48"/><Relationship TargetMode="External" Target="#_Ref185045374" Type="http://schemas.openxmlformats.org/officeDocument/2006/relationships/hyperlink" Id="rId49"/></Relationships>
</file>

<file path=word/glossary/_rels/document.xml.rels><?xml version="1.0" encoding="UTF-8" standalone="yes"?><Relationships xmlns="http://schemas.openxmlformats.org/package/2006/relationships"><Relationship Target="settings.xml" Type="http://schemas.openxmlformats.org/officeDocument/2006/relationships/settings" Id="rId3"/><Relationship Target="stylesWithEffects.xml" Type="http://schemas.microsoft.com/office/2007/relationships/stylesWithEffects" Id="rId2"/><Relationship Target="styles.xml" Type="http://schemas.openxmlformats.org/officeDocument/2006/relationships/styles" Id="rId1"/><Relationship Target="fontTable.xml" Type="http://schemas.openxmlformats.org/officeDocument/2006/relationships/fontTable" Id="rId5"/><Relationship Target="webSettings.xml" Type="http://schemas.openxmlformats.org/officeDocument/2006/relationships/webSettings" Id="rId4"/></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287E3D7A5999C449F68774214E87459"/>
        <w:category>
          <w:name w:val="General"/>
          <w:gallery w:val="placeholder"/>
        </w:category>
        <w:types>
          <w:type w:val="bbPlcHdr"/>
        </w:types>
        <w:behaviors>
          <w:behavior w:val="content"/>
        </w:behaviors>
        <w:guid w:val="{0537D08B-F94C-044D-835A-2BC092447721}"/>
      </w:docPartPr>
      <w:docPartBody>
        <w:p w:rsidR="007F094C" w:rsidRDefault="007F094C">
          <w:pPr>
            <w:pStyle w:val="2287E3D7A5999C449F68774214E87459"/>
          </w:pPr>
          <w:r w:rsidRPr="007D6BF3">
            <w:rPr>
              <w:rStyle w:val="PlaceholderText"/>
            </w:rPr>
            <w:t>Click here to enter text.</w:t>
          </w:r>
        </w:p>
      </w:docPartBody>
    </w:docPart>
    <w:docPart>
      <w:docPartPr>
        <w:name w:val="23714A54DE1C5349A32215100E23C70C"/>
        <w:category>
          <w:name w:val="General"/>
          <w:gallery w:val="placeholder"/>
        </w:category>
        <w:types>
          <w:type w:val="bbPlcHdr"/>
        </w:types>
        <w:behaviors>
          <w:behavior w:val="content"/>
        </w:behaviors>
        <w:guid w:val="{E29D3CFA-BB34-C948-A790-3C397D74A74D}"/>
      </w:docPartPr>
      <w:docPartBody>
        <w:p w:rsidR="007F094C" w:rsidRDefault="00CC11D7">
          <w:pPr>
            <w:pStyle w:val="23714A54DE1C5349A32215100E23C70C"/>
          </w:pPr>
          <w:r w:rsidRPr="00B078D6">
            <w:t xml:space="preserve"> </w:t>
          </w:r>
        </w:p>
      </w:docPartBody>
    </w:docPart>
    <w:docPart>
      <w:docPartPr>
        <w:name w:val="CEA0958D29B321449DAA1A3408663E44"/>
        <w:category>
          <w:name w:val="General"/>
          <w:gallery w:val="placeholder"/>
        </w:category>
        <w:types>
          <w:type w:val="bbPlcHdr"/>
        </w:types>
        <w:behaviors>
          <w:behavior w:val="content"/>
        </w:behaviors>
        <w:guid w:val="{036767BC-DC7D-5C41-8639-44AB00F097D0}"/>
      </w:docPartPr>
      <w:docPartBody>
        <w:p w:rsidR="007F094C" w:rsidRDefault="00CC11D7">
          <w:pPr>
            <w:pStyle w:val="CEA0958D29B321449DAA1A3408663E44"/>
          </w:pPr>
          <w:r>
            <w:t xml:space="preserve"> </w:t>
          </w:r>
        </w:p>
      </w:docPartBody>
    </w:docPart>
    <w:docPart>
      <w:docPartPr>
        <w:name w:val="9CA603291F38E74C952F4F0686E7F43F"/>
        <w:category>
          <w:name w:val="General"/>
          <w:gallery w:val="placeholder"/>
        </w:category>
        <w:types>
          <w:type w:val="bbPlcHdr"/>
        </w:types>
        <w:behaviors>
          <w:behavior w:val="content"/>
        </w:behaviors>
        <w:guid w:val="{1B21091D-1056-0A40-8911-B11446567541}"/>
      </w:docPartPr>
      <w:docPartBody>
        <w:p w:rsidR="007F094C" w:rsidRDefault="00CC11D7">
          <w:pPr>
            <w:pStyle w:val="9CA603291F38E74C952F4F0686E7F43F"/>
          </w:pPr>
          <w:r w:rsidRPr="00B078D6">
            <w:t xml:space="preserve"> </w:t>
          </w:r>
        </w:p>
      </w:docPartBody>
    </w:docPart>
    <w:docPart>
      <w:docPartPr>
        <w:name w:val="6457288971B39E4CA9B911AD82732253"/>
        <w:category>
          <w:name w:val="General"/>
          <w:gallery w:val="placeholder"/>
        </w:category>
        <w:types>
          <w:type w:val="bbPlcHdr"/>
        </w:types>
        <w:behaviors>
          <w:behavior w:val="content"/>
        </w:behaviors>
        <w:guid w:val="{C03967DB-C583-6243-9BBB-914394D42E0D}"/>
      </w:docPartPr>
      <w:docPartBody>
        <w:p w:rsidR="007F094C" w:rsidRDefault="00CC11D7">
          <w:pPr>
            <w:pStyle w:val="6457288971B39E4CA9B911AD82732253"/>
          </w:pPr>
          <w:r w:rsidRPr="00B078D6">
            <w:t xml:space="preserve"> </w:t>
          </w:r>
        </w:p>
      </w:docPartBody>
    </w:docPart>
    <w:docPart>
      <w:docPartPr>
        <w:name w:val="49E1DA3C6A1E71459A736F86010B5AED"/>
        <w:category>
          <w:name w:val="General"/>
          <w:gallery w:val="placeholder"/>
        </w:category>
        <w:types>
          <w:type w:val="bbPlcHdr"/>
        </w:types>
        <w:behaviors>
          <w:behavior w:val="content"/>
        </w:behaviors>
        <w:guid w:val="{D3EB71CC-499A-254B-88E7-CFA1CC78C65F}"/>
      </w:docPartPr>
      <w:docPartBody>
        <w:p w:rsidR="007F094C" w:rsidRDefault="00CC11D7">
          <w:pPr>
            <w:pStyle w:val="49E1DA3C6A1E71459A736F86010B5AED"/>
          </w:pPr>
          <w:r w:rsidRPr="00B078D6">
            <w:t xml:space="preserve"> </w:t>
          </w:r>
        </w:p>
      </w:docPartBody>
    </w:docPart>
    <w:docPart>
      <w:docPartPr>
        <w:name w:val="5D455C8DB3370C429E683BD45AAD2263"/>
        <w:category>
          <w:name w:val="General"/>
          <w:gallery w:val="placeholder"/>
        </w:category>
        <w:types>
          <w:type w:val="bbPlcHdr"/>
        </w:types>
        <w:behaviors>
          <w:behavior w:val="content"/>
        </w:behaviors>
        <w:guid w:val="{1B0155DF-46F7-CB47-BBFC-843A778954FB}"/>
      </w:docPartPr>
      <w:docPartBody>
        <w:p w:rsidR="007F094C" w:rsidRDefault="00CC11D7">
          <w:pPr>
            <w:pStyle w:val="5D455C8DB3370C429E683BD45AAD2263"/>
          </w:pPr>
          <w:r>
            <w:t xml:space="preserve"> </w:t>
          </w:r>
        </w:p>
      </w:docPartBody>
    </w:docPart>
    <w:docPart>
      <w:docPartPr>
        <w:name w:val="8E1FCF9D9BCC7544965FEDDA8E4336E8"/>
        <w:category>
          <w:name w:val="General"/>
          <w:gallery w:val="placeholder"/>
        </w:category>
        <w:types>
          <w:type w:val="bbPlcHdr"/>
        </w:types>
        <w:behaviors>
          <w:behavior w:val="content"/>
        </w:behaviors>
        <w:guid w:val="{E0E948F2-5A4A-C845-B5B7-0280CF55CDFB}"/>
      </w:docPartPr>
      <w:docPartBody>
        <w:p w:rsidR="007F094C" w:rsidRDefault="00CC11D7">
          <w:pPr>
            <w:pStyle w:val="8E1FCF9D9BCC7544965FEDDA8E4336E8"/>
          </w:pPr>
          <w:r>
            <w:t xml:space="preserve"> </w:t>
          </w:r>
        </w:p>
      </w:docPartBody>
    </w:docPart>
    <w:docPart>
      <w:docPartPr>
        <w:name w:val="BB94B27A1B38FB49AA2427CB2341BFF9"/>
        <w:category>
          <w:name w:val="General"/>
          <w:gallery w:val="placeholder"/>
        </w:category>
        <w:types>
          <w:type w:val="bbPlcHdr"/>
        </w:types>
        <w:behaviors>
          <w:behavior w:val="content"/>
        </w:behaviors>
        <w:guid w:val="{F3C10B63-67C7-CB49-A633-14B42706E0D9}"/>
      </w:docPartPr>
      <w:docPartBody>
        <w:p w:rsidR="007F094C" w:rsidRDefault="00CC11D7">
          <w:pPr>
            <w:pStyle w:val="BB94B27A1B38FB49AA2427CB2341BFF9"/>
          </w:pPr>
          <w:r>
            <w:t xml:space="preserve"> </w:t>
          </w:r>
        </w:p>
      </w:docPartBody>
    </w:docPart>
    <w:docPart>
      <w:docPartPr>
        <w:name w:val="9628263C21A0F347B1037F8B6E2E16E6"/>
        <w:category>
          <w:name w:val="General"/>
          <w:gallery w:val="placeholder"/>
        </w:category>
        <w:types>
          <w:type w:val="bbPlcHdr"/>
        </w:types>
        <w:behaviors>
          <w:behavior w:val="content"/>
        </w:behaviors>
        <w:guid w:val="{92E82AAD-5512-8D45-AE98-4CC62B3E9470}"/>
      </w:docPartPr>
      <w:docPartBody>
        <w:p w:rsidR="007F094C" w:rsidRDefault="00CC11D7">
          <w:pPr>
            <w:pStyle w:val="9628263C21A0F347B1037F8B6E2E16E6"/>
          </w:pPr>
          <w:r>
            <w:t xml:space="preserve"> </w:t>
          </w:r>
        </w:p>
      </w:docPartBody>
    </w:docPart>
    <w:docPart>
      <w:docPartPr>
        <w:name w:val="5A00766E1BC20A46B675FA54E3371F87"/>
        <w:category>
          <w:name w:val="General"/>
          <w:gallery w:val="placeholder"/>
        </w:category>
        <w:types>
          <w:type w:val="bbPlcHdr"/>
        </w:types>
        <w:behaviors>
          <w:behavior w:val="content"/>
        </w:behaviors>
        <w:guid w:val="{6C6BB8E0-C4BF-B441-879B-A1E0E9E70456}"/>
      </w:docPartPr>
      <w:docPartBody>
        <w:p w:rsidR="007F094C" w:rsidRDefault="00CC11D7">
          <w:pPr>
            <w:pStyle w:val="5A00766E1BC20A46B675FA54E3371F87"/>
          </w:pPr>
          <w:r w:rsidRPr="00B078D6">
            <w:t xml:space="preserve"> </w:t>
          </w:r>
        </w:p>
      </w:docPartBody>
    </w:docPart>
    <w:docPart>
      <w:docPartPr>
        <w:name w:val="A23E6993E6A8F64D83520CA63B49071B"/>
        <w:category>
          <w:name w:val="General"/>
          <w:gallery w:val="placeholder"/>
        </w:category>
        <w:types>
          <w:type w:val="bbPlcHdr"/>
        </w:types>
        <w:behaviors>
          <w:behavior w:val="content"/>
        </w:behaviors>
        <w:guid w:val="{8D486C68-67A9-ED40-990D-ABF9DFAFEB43}"/>
      </w:docPartPr>
      <w:docPartBody>
        <w:p w:rsidR="007F094C" w:rsidRDefault="00CC11D7">
          <w:pPr>
            <w:pStyle w:val="A23E6993E6A8F64D83520CA63B49071B"/>
          </w:pPr>
          <w:r>
            <w:t xml:space="preserve"> </w:t>
          </w:r>
        </w:p>
      </w:docPartBody>
    </w:docPart>
    <w:docPart>
      <w:docPartPr>
        <w:name w:val="060452A863326F40B8E9CC07DB6917FD"/>
        <w:category>
          <w:name w:val="General"/>
          <w:gallery w:val="placeholder"/>
        </w:category>
        <w:types>
          <w:type w:val="bbPlcHdr"/>
        </w:types>
        <w:behaviors>
          <w:behavior w:val="content"/>
        </w:behaviors>
        <w:guid w:val="{F6206FBE-4217-7544-895C-D388963981AC}"/>
      </w:docPartPr>
      <w:docPartBody>
        <w:p w:rsidR="007F094C" w:rsidRDefault="00CC11D7">
          <w:pPr>
            <w:pStyle w:val="060452A863326F40B8E9CC07DB6917FD"/>
          </w:pPr>
          <w:r>
            <w:t xml:space="preserve"> </w:t>
          </w:r>
        </w:p>
      </w:docPartBody>
    </w:docPart>
    <w:docPart>
      <w:docPartPr>
        <w:name w:val="6628CDE8242ABE4A8E58F2768A081E0C"/>
        <w:category>
          <w:name w:val="General"/>
          <w:gallery w:val="placeholder"/>
        </w:category>
        <w:types>
          <w:type w:val="bbPlcHdr"/>
        </w:types>
        <w:behaviors>
          <w:behavior w:val="content"/>
        </w:behaviors>
        <w:guid w:val="{1FE18A0F-DB3B-FD4A-A40D-520FD74D3C25}"/>
      </w:docPartPr>
      <w:docPartBody>
        <w:p w:rsidR="007F094C" w:rsidRDefault="00CC11D7">
          <w:pPr>
            <w:pStyle w:val="6628CDE8242ABE4A8E58F2768A081E0C"/>
          </w:pPr>
          <w:r w:rsidRPr="00B078D6">
            <w:t xml:space="preserve"> </w:t>
          </w:r>
        </w:p>
      </w:docPartBody>
    </w:docPart>
    <w:docPart>
      <w:docPartPr>
        <w:name w:val="B3EE222B3A0F7C449BC3F6E77D0B866B"/>
        <w:category>
          <w:name w:val="General"/>
          <w:gallery w:val="placeholder"/>
        </w:category>
        <w:types>
          <w:type w:val="bbPlcHdr"/>
        </w:types>
        <w:behaviors>
          <w:behavior w:val="content"/>
        </w:behaviors>
        <w:guid w:val="{DEAAB4C5-9614-2A45-AF4E-33C616ADCC96}"/>
      </w:docPartPr>
      <w:docPartBody>
        <w:p w:rsidR="007F094C" w:rsidRDefault="00CC11D7">
          <w:pPr>
            <w:pStyle w:val="B3EE222B3A0F7C449BC3F6E77D0B866B"/>
          </w:pPr>
          <w:r>
            <w:t xml:space="preserve"> </w:t>
          </w:r>
        </w:p>
      </w:docPartBody>
    </w:docPart>
    <w:docPart>
      <w:docPartPr>
        <w:name w:val="1A38A171EF11A54DB21B83C7D4CB0CBA"/>
        <w:category>
          <w:name w:val="General"/>
          <w:gallery w:val="placeholder"/>
        </w:category>
        <w:types>
          <w:type w:val="bbPlcHdr"/>
        </w:types>
        <w:behaviors>
          <w:behavior w:val="content"/>
        </w:behaviors>
        <w:guid w:val="{59702FA5-1039-BC44-B78A-B01E172DC7B0}"/>
      </w:docPartPr>
      <w:docPartBody>
        <w:p w:rsidR="007F094C" w:rsidRDefault="00CC11D7">
          <w:pPr>
            <w:pStyle w:val="1A38A171EF11A54DB21B83C7D4CB0CBA"/>
          </w:pPr>
          <w:r>
            <w:t xml:space="preserve"> </w:t>
          </w:r>
        </w:p>
      </w:docPartBody>
    </w:docPart>
    <w:docPart>
      <w:docPartPr>
        <w:name w:val="C38290365A6BEE4A83D8CA3C9A53E9A8"/>
        <w:category>
          <w:name w:val="General"/>
          <w:gallery w:val="placeholder"/>
        </w:category>
        <w:types>
          <w:type w:val="bbPlcHdr"/>
        </w:types>
        <w:behaviors>
          <w:behavior w:val="content"/>
        </w:behaviors>
        <w:guid w:val="{3C535162-8843-2740-B4C8-12ABBD23F239}"/>
      </w:docPartPr>
      <w:docPartBody>
        <w:p w:rsidR="007F094C" w:rsidRDefault="00CC11D7">
          <w:pPr>
            <w:pStyle w:val="C38290365A6BEE4A83D8CA3C9A53E9A8"/>
          </w:pPr>
          <w:r>
            <w:t xml:space="preserve"> </w:t>
          </w:r>
        </w:p>
      </w:docPartBody>
    </w:docPart>
    <w:docPart>
      <w:docPartPr>
        <w:name w:val="A7B47E2D68429748B46F94DAB4579B86"/>
        <w:category>
          <w:name w:val="General"/>
          <w:gallery w:val="placeholder"/>
        </w:category>
        <w:types>
          <w:type w:val="bbPlcHdr"/>
        </w:types>
        <w:behaviors>
          <w:behavior w:val="content"/>
        </w:behaviors>
        <w:guid w:val="{4C59AF83-1241-3E48-884F-52147C7AC1DC}"/>
      </w:docPartPr>
      <w:docPartBody>
        <w:p w:rsidR="007F094C" w:rsidRDefault="00CC11D7">
          <w:pPr>
            <w:pStyle w:val="A7B47E2D68429748B46F94DAB4579B86"/>
          </w:pPr>
          <w:r>
            <w:t xml:space="preserve"> </w:t>
          </w:r>
        </w:p>
      </w:docPartBody>
    </w:docPart>
    <w:docPart>
      <w:docPartPr>
        <w:name w:val="E8B7626A71E1B64AB957DAADD4528E61"/>
        <w:category>
          <w:name w:val="General"/>
          <w:gallery w:val="placeholder"/>
        </w:category>
        <w:types>
          <w:type w:val="bbPlcHdr"/>
        </w:types>
        <w:behaviors>
          <w:behavior w:val="content"/>
        </w:behaviors>
        <w:guid w:val="{F6FF1757-727B-5F46-B297-7C222A873B84}"/>
      </w:docPartPr>
      <w:docPartBody>
        <w:p w:rsidR="007F094C" w:rsidRDefault="00CC11D7">
          <w:pPr>
            <w:pStyle w:val="E8B7626A71E1B64AB957DAADD4528E61"/>
          </w:pPr>
          <w:r>
            <w:t xml:space="preserve"> </w:t>
          </w:r>
        </w:p>
      </w:docPartBody>
    </w:docPart>
    <w:docPart>
      <w:docPartPr>
        <w:name w:val="217D38CADD01B94283F7C310F9E5BE50"/>
        <w:category>
          <w:name w:val="General"/>
          <w:gallery w:val="placeholder"/>
        </w:category>
        <w:types>
          <w:type w:val="bbPlcHdr"/>
        </w:types>
        <w:behaviors>
          <w:behavior w:val="content"/>
        </w:behaviors>
        <w:guid w:val="{1B3EF63B-9AE2-EF4F-9034-60D6F8919FC9}"/>
      </w:docPartPr>
      <w:docPartBody>
        <w:p w:rsidR="007F094C" w:rsidRDefault="00CC11D7">
          <w:pPr>
            <w:pStyle w:val="217D38CADD01B94283F7C310F9E5BE50"/>
          </w:pPr>
          <w:r>
            <w:t xml:space="preserve"> </w:t>
          </w:r>
        </w:p>
      </w:docPartBody>
    </w:docPart>
    <w:docPart>
      <w:docPartPr>
        <w:name w:val="2FBB1D739F997A4C9851874ABC8B0AC1"/>
        <w:category>
          <w:name w:val="General"/>
          <w:gallery w:val="placeholder"/>
        </w:category>
        <w:types>
          <w:type w:val="bbPlcHdr"/>
        </w:types>
        <w:behaviors>
          <w:behavior w:val="content"/>
        </w:behaviors>
        <w:guid w:val="{C758149D-25F4-9348-8BE5-D48EC9AC86CA}"/>
      </w:docPartPr>
      <w:docPartBody>
        <w:p w:rsidR="007F094C" w:rsidRDefault="00CC11D7">
          <w:pPr>
            <w:pStyle w:val="2FBB1D739F997A4C9851874ABC8B0AC1"/>
          </w:pPr>
          <w:r>
            <w:t xml:space="preserve"> </w:t>
          </w:r>
        </w:p>
      </w:docPartBody>
    </w:docPart>
    <w:docPart>
      <w:docPartPr>
        <w:name w:val="F09835F13B8F9844838CACDD8B96763F"/>
        <w:category>
          <w:name w:val="General"/>
          <w:gallery w:val="placeholder"/>
        </w:category>
        <w:types>
          <w:type w:val="bbPlcHdr"/>
        </w:types>
        <w:behaviors>
          <w:behavior w:val="content"/>
        </w:behaviors>
        <w:guid w:val="{4D3115AC-1E93-1146-AE15-23519131424C}"/>
      </w:docPartPr>
      <w:docPartBody>
        <w:p w:rsidR="007F094C" w:rsidRDefault="00CC11D7">
          <w:pPr>
            <w:pStyle w:val="F09835F13B8F9844838CACDD8B96763F"/>
          </w:pPr>
          <w:r w:rsidRPr="00F822F4">
            <w:t xml:space="preserve"> </w:t>
          </w:r>
        </w:p>
      </w:docPartBody>
    </w:docPart>
    <w:docPart>
      <w:docPartPr>
        <w:name w:val="4D4B4D2BC735494E88685FCB1B11F7E2"/>
        <w:category>
          <w:name w:val="General"/>
          <w:gallery w:val="placeholder"/>
        </w:category>
        <w:types>
          <w:type w:val="bbPlcHdr"/>
        </w:types>
        <w:behaviors>
          <w:behavior w:val="content"/>
        </w:behaviors>
        <w:guid w:val="{EB8C9ADF-3140-4244-8D17-9EA5E5BDBBB6}"/>
      </w:docPartPr>
      <w:docPartBody>
        <w:p w:rsidR="007F094C" w:rsidRDefault="00CC11D7">
          <w:pPr>
            <w:pStyle w:val="4D4B4D2BC735494E88685FCB1B11F7E2"/>
          </w:pPr>
          <w:r>
            <w:t xml:space="preserve"> </w:t>
          </w:r>
        </w:p>
      </w:docPartBody>
    </w:docPart>
    <w:docPart>
      <w:docPartPr>
        <w:name w:val="001534073BC94C468D9A6C5C3502283B"/>
        <w:category>
          <w:name w:val="General"/>
          <w:gallery w:val="placeholder"/>
        </w:category>
        <w:types>
          <w:type w:val="bbPlcHdr"/>
        </w:types>
        <w:behaviors>
          <w:behavior w:val="content"/>
        </w:behaviors>
        <w:guid w:val="{8B93A6E6-188E-4556-A8FE-9082511EB03C}"/>
      </w:docPartPr>
      <w:docPartBody>
        <w:p w:rsidR="00CC11D7" w:rsidRDefault="00CC11D7" w:rsidP="00757FAD">
          <w:pPr>
            <w:pStyle w:val="001534073BC94C468D9A6C5C3502283B"/>
          </w:pPr>
          <w:r w:rsidRPr="00B078D6">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094C"/>
    <w:rsid w:val="00160E2F"/>
    <w:rsid w:val="00377260"/>
    <w:rsid w:val="003D17F5"/>
    <w:rsid w:val="003E00C7"/>
    <w:rsid w:val="006E4039"/>
    <w:rsid w:val="00757FAD"/>
    <w:rsid w:val="007F094C"/>
    <w:rsid w:val="00834DB5"/>
    <w:rsid w:val="00972566"/>
    <w:rsid w:val="00A032F9"/>
    <w:rsid w:val="00A8140D"/>
    <w:rsid w:val="00B5169D"/>
    <w:rsid w:val="00B62839"/>
    <w:rsid w:val="00CC11D7"/>
    <w:rsid w:val="00CF7259"/>
    <w:rsid w:val="00DF4988"/>
    <w:rsid w:val="00EA5C35"/>
    <w:rsid w:val="00ED273B"/>
    <w:rsid w:val="00F67B6D"/>
    <w:rsid w:val="00FE4881"/>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C11D7"/>
    <w:rPr>
      <w:color w:val="808080"/>
    </w:rPr>
  </w:style>
  <w:style w:type="paragraph" w:customStyle="1" w:styleId="2287E3D7A5999C449F68774214E87459">
    <w:name w:val="2287E3D7A5999C449F68774214E87459"/>
  </w:style>
  <w:style w:type="paragraph" w:customStyle="1" w:styleId="23714A54DE1C5349A32215100E23C70C">
    <w:name w:val="23714A54DE1C5349A32215100E23C70C"/>
  </w:style>
  <w:style w:type="paragraph" w:customStyle="1" w:styleId="CEA0958D29B321449DAA1A3408663E44">
    <w:name w:val="CEA0958D29B321449DAA1A3408663E44"/>
  </w:style>
  <w:style w:type="paragraph" w:customStyle="1" w:styleId="9CA603291F38E74C952F4F0686E7F43F">
    <w:name w:val="9CA603291F38E74C952F4F0686E7F43F"/>
  </w:style>
  <w:style w:type="paragraph" w:customStyle="1" w:styleId="6457288971B39E4CA9B911AD82732253">
    <w:name w:val="6457288971B39E4CA9B911AD82732253"/>
  </w:style>
  <w:style w:type="paragraph" w:customStyle="1" w:styleId="49E1DA3C6A1E71459A736F86010B5AED">
    <w:name w:val="49E1DA3C6A1E71459A736F86010B5AED"/>
  </w:style>
  <w:style w:type="paragraph" w:customStyle="1" w:styleId="5D455C8DB3370C429E683BD45AAD2263">
    <w:name w:val="5D455C8DB3370C429E683BD45AAD2263"/>
  </w:style>
  <w:style w:type="paragraph" w:customStyle="1" w:styleId="8E1FCF9D9BCC7544965FEDDA8E4336E8">
    <w:name w:val="8E1FCF9D9BCC7544965FEDDA8E4336E8"/>
  </w:style>
  <w:style w:type="paragraph" w:customStyle="1" w:styleId="BB94B27A1B38FB49AA2427CB2341BFF9">
    <w:name w:val="BB94B27A1B38FB49AA2427CB2341BFF9"/>
  </w:style>
  <w:style w:type="paragraph" w:customStyle="1" w:styleId="9628263C21A0F347B1037F8B6E2E16E6">
    <w:name w:val="9628263C21A0F347B1037F8B6E2E16E6"/>
  </w:style>
  <w:style w:type="paragraph" w:customStyle="1" w:styleId="5A00766E1BC20A46B675FA54E3371F87">
    <w:name w:val="5A00766E1BC20A46B675FA54E3371F87"/>
  </w:style>
  <w:style w:type="paragraph" w:customStyle="1" w:styleId="A23E6993E6A8F64D83520CA63B49071B">
    <w:name w:val="A23E6993E6A8F64D83520CA63B49071B"/>
  </w:style>
  <w:style w:type="paragraph" w:customStyle="1" w:styleId="060452A863326F40B8E9CC07DB6917FD">
    <w:name w:val="060452A863326F40B8E9CC07DB6917FD"/>
  </w:style>
  <w:style w:type="paragraph" w:customStyle="1" w:styleId="6628CDE8242ABE4A8E58F2768A081E0C">
    <w:name w:val="6628CDE8242ABE4A8E58F2768A081E0C"/>
  </w:style>
  <w:style w:type="paragraph" w:customStyle="1" w:styleId="B3EE222B3A0F7C449BC3F6E77D0B866B">
    <w:name w:val="B3EE222B3A0F7C449BC3F6E77D0B866B"/>
  </w:style>
  <w:style w:type="paragraph" w:customStyle="1" w:styleId="1A38A171EF11A54DB21B83C7D4CB0CBA">
    <w:name w:val="1A38A171EF11A54DB21B83C7D4CB0CBA"/>
  </w:style>
  <w:style w:type="paragraph" w:customStyle="1" w:styleId="C38290365A6BEE4A83D8CA3C9A53E9A8">
    <w:name w:val="C38290365A6BEE4A83D8CA3C9A53E9A8"/>
  </w:style>
  <w:style w:type="paragraph" w:customStyle="1" w:styleId="A7B47E2D68429748B46F94DAB4579B86">
    <w:name w:val="A7B47E2D68429748B46F94DAB4579B86"/>
  </w:style>
  <w:style w:type="paragraph" w:customStyle="1" w:styleId="E8B7626A71E1B64AB957DAADD4528E61">
    <w:name w:val="E8B7626A71E1B64AB957DAADD4528E61"/>
  </w:style>
  <w:style w:type="paragraph" w:customStyle="1" w:styleId="217D38CADD01B94283F7C310F9E5BE50">
    <w:name w:val="217D38CADD01B94283F7C310F9E5BE50"/>
  </w:style>
  <w:style w:type="paragraph" w:customStyle="1" w:styleId="2FBB1D739F997A4C9851874ABC8B0AC1">
    <w:name w:val="2FBB1D739F997A4C9851874ABC8B0AC1"/>
  </w:style>
  <w:style w:type="paragraph" w:customStyle="1" w:styleId="F09835F13B8F9844838CACDD8B96763F">
    <w:name w:val="F09835F13B8F9844838CACDD8B96763F"/>
  </w:style>
  <w:style w:type="paragraph" w:customStyle="1" w:styleId="4D4B4D2BC735494E88685FCB1B11F7E2">
    <w:name w:val="4D4B4D2BC735494E88685FCB1B11F7E2"/>
  </w:style>
  <w:style w:type="paragraph" w:customStyle="1" w:styleId="6DD604F3D83441E0ACFB8E524F030D05">
    <w:name w:val="6DD604F3D83441E0ACFB8E524F030D05"/>
    <w:rsid w:val="00CF7259"/>
    <w:pPr>
      <w:spacing w:after="200" w:line="276" w:lineRule="auto"/>
    </w:pPr>
    <w:rPr>
      <w:sz w:val="22"/>
      <w:szCs w:val="22"/>
      <w:lang w:eastAsia="en-AU"/>
    </w:rPr>
  </w:style>
  <w:style w:type="paragraph" w:customStyle="1" w:styleId="001534073BC94C468D9A6C5C3502283B">
    <w:name w:val="001534073BC94C468D9A6C5C3502283B"/>
    <w:rsid w:val="00757FAD"/>
    <w:pPr>
      <w:spacing w:after="200" w:line="276" w:lineRule="auto"/>
    </w:pPr>
    <w:rPr>
      <w:sz w:val="22"/>
      <w:szCs w:val="22"/>
      <w:lang w:eastAsia="en-AU"/>
    </w:rPr>
  </w:style>
</w:styles>
</file>

<file path=word/glossary/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Theme="minorHAnsi" w:cstheme="minorBidi" w:eastAsiaTheme="minorEastAsia" w:hAnsiTheme="minorHAnsi"/>
        <w:sz w:val="24"/>
        <w:szCs w:val="24"/>
        <w:lang w:bidi="ar-SA" w:eastAsia="ja-JP" w:val="en-AU"/>
      </w:rPr>
    </w:rPrDefault>
    <w:pPrDefault/>
  </w:docDefaults>
  <w:latentStyles w:count="267"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styleId="PlaceholderText" w:type="character">
    <w:name w:val="Placeholder Text"/>
    <w:basedOn w:val="DefaultParagraphFont"/>
    <w:uiPriority w:val="99"/>
    <w:semiHidden/>
    <w:rsid w:val="00CC11D7"/>
    <w:rPr>
      <w:color w:val="808080"/>
    </w:rPr>
  </w:style>
  <w:style w:customStyle="1" w:styleId="2287E3D7A5999C449F68774214E87459" w:type="paragraph">
    <w:name w:val="2287E3D7A5999C449F68774214E87459"/>
  </w:style>
  <w:style w:customStyle="1" w:styleId="23714A54DE1C5349A32215100E23C70C" w:type="paragraph">
    <w:name w:val="23714A54DE1C5349A32215100E23C70C"/>
  </w:style>
  <w:style w:customStyle="1" w:styleId="CEA0958D29B321449DAA1A3408663E44" w:type="paragraph">
    <w:name w:val="CEA0958D29B321449DAA1A3408663E44"/>
  </w:style>
  <w:style w:customStyle="1" w:styleId="9CA603291F38E74C952F4F0686E7F43F" w:type="paragraph">
    <w:name w:val="9CA603291F38E74C952F4F0686E7F43F"/>
  </w:style>
  <w:style w:customStyle="1" w:styleId="6457288971B39E4CA9B911AD82732253" w:type="paragraph">
    <w:name w:val="6457288971B39E4CA9B911AD82732253"/>
  </w:style>
  <w:style w:customStyle="1" w:styleId="49E1DA3C6A1E71459A736F86010B5AED" w:type="paragraph">
    <w:name w:val="49E1DA3C6A1E71459A736F86010B5AED"/>
  </w:style>
  <w:style w:customStyle="1" w:styleId="5D455C8DB3370C429E683BD45AAD2263" w:type="paragraph">
    <w:name w:val="5D455C8DB3370C429E683BD45AAD2263"/>
  </w:style>
  <w:style w:customStyle="1" w:styleId="8E1FCF9D9BCC7544965FEDDA8E4336E8" w:type="paragraph">
    <w:name w:val="8E1FCF9D9BCC7544965FEDDA8E4336E8"/>
  </w:style>
  <w:style w:customStyle="1" w:styleId="BB94B27A1B38FB49AA2427CB2341BFF9" w:type="paragraph">
    <w:name w:val="BB94B27A1B38FB49AA2427CB2341BFF9"/>
  </w:style>
  <w:style w:customStyle="1" w:styleId="9628263C21A0F347B1037F8B6E2E16E6" w:type="paragraph">
    <w:name w:val="9628263C21A0F347B1037F8B6E2E16E6"/>
  </w:style>
  <w:style w:customStyle="1" w:styleId="5A00766E1BC20A46B675FA54E3371F87" w:type="paragraph">
    <w:name w:val="5A00766E1BC20A46B675FA54E3371F87"/>
  </w:style>
  <w:style w:customStyle="1" w:styleId="A23E6993E6A8F64D83520CA63B49071B" w:type="paragraph">
    <w:name w:val="A23E6993E6A8F64D83520CA63B49071B"/>
  </w:style>
  <w:style w:customStyle="1" w:styleId="060452A863326F40B8E9CC07DB6917FD" w:type="paragraph">
    <w:name w:val="060452A863326F40B8E9CC07DB6917FD"/>
  </w:style>
  <w:style w:customStyle="1" w:styleId="6628CDE8242ABE4A8E58F2768A081E0C" w:type="paragraph">
    <w:name w:val="6628CDE8242ABE4A8E58F2768A081E0C"/>
  </w:style>
  <w:style w:customStyle="1" w:styleId="B3EE222B3A0F7C449BC3F6E77D0B866B" w:type="paragraph">
    <w:name w:val="B3EE222B3A0F7C449BC3F6E77D0B866B"/>
  </w:style>
  <w:style w:customStyle="1" w:styleId="1A38A171EF11A54DB21B83C7D4CB0CBA" w:type="paragraph">
    <w:name w:val="1A38A171EF11A54DB21B83C7D4CB0CBA"/>
  </w:style>
  <w:style w:customStyle="1" w:styleId="C38290365A6BEE4A83D8CA3C9A53E9A8" w:type="paragraph">
    <w:name w:val="C38290365A6BEE4A83D8CA3C9A53E9A8"/>
  </w:style>
  <w:style w:customStyle="1" w:styleId="A7B47E2D68429748B46F94DAB4579B86" w:type="paragraph">
    <w:name w:val="A7B47E2D68429748B46F94DAB4579B86"/>
  </w:style>
  <w:style w:customStyle="1" w:styleId="E8B7626A71E1B64AB957DAADD4528E61" w:type="paragraph">
    <w:name w:val="E8B7626A71E1B64AB957DAADD4528E61"/>
  </w:style>
  <w:style w:customStyle="1" w:styleId="217D38CADD01B94283F7C310F9E5BE50" w:type="paragraph">
    <w:name w:val="217D38CADD01B94283F7C310F9E5BE50"/>
  </w:style>
  <w:style w:customStyle="1" w:styleId="2FBB1D739F997A4C9851874ABC8B0AC1" w:type="paragraph">
    <w:name w:val="2FBB1D739F997A4C9851874ABC8B0AC1"/>
  </w:style>
  <w:style w:customStyle="1" w:styleId="F09835F13B8F9844838CACDD8B96763F" w:type="paragraph">
    <w:name w:val="F09835F13B8F9844838CACDD8B96763F"/>
  </w:style>
  <w:style w:customStyle="1" w:styleId="4D4B4D2BC735494E88685FCB1B11F7E2" w:type="paragraph">
    <w:name w:val="4D4B4D2BC735494E88685FCB1B11F7E2"/>
  </w:style>
  <w:style w:customStyle="1" w:styleId="6DD604F3D83441E0ACFB8E524F030D05" w:type="paragraph">
    <w:name w:val="6DD604F3D83441E0ACFB8E524F030D05"/>
    <w:rsid w:val="00CF7259"/>
    <w:pPr>
      <w:spacing w:after="200" w:line="276" w:lineRule="auto"/>
    </w:pPr>
    <w:rPr>
      <w:sz w:val="22"/>
      <w:szCs w:val="22"/>
      <w:lang w:eastAsia="en-AU"/>
    </w:rPr>
  </w:style>
  <w:style w:customStyle="1" w:styleId="001534073BC94C468D9A6C5C3502283B" w:type="paragraph">
    <w:name w:val="001534073BC94C468D9A6C5C3502283B"/>
    <w:rsid w:val="00757FAD"/>
    <w:pPr>
      <w:spacing w:after="200" w:line="276" w:lineRule="auto"/>
    </w:pPr>
    <w:rPr>
      <w:sz w:val="22"/>
      <w:szCs w:val="22"/>
      <w:lang w:eastAsia="en-AU"/>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Target="itemProps1.xml" Type="http://schemas.openxmlformats.org/officeDocument/2006/relationships/customXmlProps" Id="rId1"/></Relationships>
</file>

<file path=customXml/item1.xml><?xml version="1.0" encoding="utf-8"?>
<b:Sourc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XSL" StyleName="APA"/>
</file>

<file path=customXml/itemProps1.xml><?xml version="1.0" encoding="utf-8"?>
<ds:datastoreItem xmlns:ds="http://schemas.openxmlformats.org/officeDocument/2006/customXml" ds:itemID="{EBD6D699-177F-43CA-B73F-02C38C2B7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1</Pages>
  <Words>234</Words>
  <Characters>1338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Department of Attorney General &amp; Justice</Company>
  <LinksUpToDate>false</LinksUpToDate>
  <CharactersWithSpaces>1569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Xabi Errotabehere</dc:creator>
  <cp:lastModifiedBy>Thomas Bui</cp:lastModifiedBy>
  <cp:revision>29</cp:revision>
  <cp:lastPrinted>2014-09-01T05:35:00Z</cp:lastPrinted>
  <dcterms:created xsi:type="dcterms:W3CDTF">2014-10-03T02:54:00Z</dcterms:created>
  <dcterms:modified xsi:type="dcterms:W3CDTF">2015-02-25T06:52:00Z</dcterms:modified>
</cp:coreProperties>
</file>