
<file path=[Content_Types].xml><?xml version="1.0" encoding="utf-8"?>
<Types xmlns="http://schemas.openxmlformats.org/package/2006/content-types">
  <Default Extension="gif" ContentType="image/gif"/>
  <Default Extension="jpeg" ContentType="image/jpeg"/>
  <Default Extension="rels" ContentType="application/vnd.openxmlformats-package.relationships+xml"/>
  <Default Extension="xml" ContentType="application/xml"/>
  <Override ContentType="application/vnd.openxmlformats-officedocument.customXmlProperties+xml" PartName="/customXml/itemProps1.xml"/>
  <Override ContentType="application/vnd.openxmlformats-officedocument.extended-properties+xml" PartName="/docProps/app.xml"/>
  <Override ContentType="application/vnd.openxmlformats-package.core-properties+xml" PartName="/docProps/core.xml"/>
  <Override ContentType="application/vnd.openxmlformats-officedocument.wordprocessingml.document.main+xml" PartName="/word/document.xml"/>
  <Override ContentType="application/vnd.openxmlformats-officedocument.wordprocessingml.endnotes+xml" PartName="/word/endnotes.xml"/>
  <Override ContentType="application/vnd.openxmlformats-officedocument.wordprocessingml.fontTable+xml" PartName="/word/fontTable.xml"/>
  <Override ContentType="application/vnd.openxmlformats-officedocument.wordprocessingml.footnotes+xml" PartName="/word/footnotes.xml"/>
  <Override ContentType="application/vnd.openxmlformats-officedocument.wordprocessingml.document.glossary+xml" PartName="/word/glossary/document.xml"/>
  <Override ContentType="application/vnd.openxmlformats-officedocument.wordprocessingml.fontTable+xml" PartName="/word/glossary/fontTable.xml"/>
  <Override ContentType="application/vnd.openxmlformats-officedocument.wordprocessingml.settings+xml" PartName="/word/glossary/settings.xml"/>
  <Override ContentType="application/vnd.openxmlformats-officedocument.wordprocessingml.styles+xml" PartName="/word/glossary/styles.xml"/>
  <Override ContentType="application/vnd.ms-word.stylesWithEffects+xml" PartName="/word/glossary/stylesWithEffects.xml"/>
  <Override ContentType="application/vnd.openxmlformats-officedocument.wordprocessingml.webSettings+xml" PartName="/word/glossary/webSettings.xml"/>
  <Override ContentType="application/vnd.openxmlformats-officedocument.wordprocessingml.numbering+xml" PartName="/word/numbering.xml"/>
  <Override ContentType="application/vnd.openxmlformats-officedocument.wordprocessingml.settings+xml" PartName="/word/settings.xml"/>
  <Override ContentType="application/vnd.openxmlformats-officedocument.wordprocessingml.styles+xml" PartName="/word/styles.xml"/>
  <Override ContentType="application/vnd.ms-word.stylesWithEffects+xml" PartName="/word/stylesWithEffects.xml"/>
  <Override ContentType="application/vnd.openxmlformats-officedocument.theme+xml" PartName="/word/theme/theme1.xml"/>
  <Override ContentType="application/vnd.openxmlformats-officedocument.wordprocessingml.webSettings+xml" PartName="/word/webSettings.xml"/>
</Types>
</file>

<file path=_rels/.rels><?xml version="1.0" encoding="UTF-8" standalone="yes"?><Relationships xmlns="http://schemas.openxmlformats.org/package/2006/relationships"><Relationship Target="docProps/app.xml" Type="http://schemas.openxmlformats.org/officeDocument/2006/relationships/extended-properties" Id="rId3"/><Relationship Target="docProps/core.xml" Type="http://schemas.openxmlformats.org/package/2006/relationships/metadata/core-properties" Id="rId2"/><Relationship Target="word/document.xml" Type="http://schemas.openxmlformats.org/officeDocument/2006/relationships/officeDocument" Id="rId1"/></Relationships>
</file>

<file path=word/document.xml><?xml version="1.0" encoding="utf-8"?>
<w:document xmlns:w="http://schemas.openxmlformats.org/wordprocessingml/2006/main" xmlns:m="http://schemas.openxmlformats.org/officeDocument/2006/math" xmlns:w14="http://schemas.microsoft.com/office/word/2010/wordml" xmlns:r="http://schemas.openxmlformats.org/officeDocument/2006/relationships" xmlns:wp="http://schemas.openxmlformats.org/drawingml/2006/wordprocessingDrawing" xmlns:a="http://schemas.openxmlformats.org/drawingml/2006/main" xmlns:wp14="http://schemas.microsoft.com/office/word/2010/wordprocessingDrawing" xmlns:w15="http://schemas.microsoft.com/office/word/2012/wordml" xmlns:mc="http://schemas.openxmlformats.org/markup-compatibility/2006" xmlns:a14="http://schemas.microsoft.com/office/drawing/2010/main" xmlns:sl="http://schemas.openxmlformats.org/schemaLibrary/2006/main" xmlns:wne="http://schemas.microsoft.com/office/word/2006/wordml" xmlns:c="http://schemas.openxmlformats.org/drawingml/2006/chart" xmlns:cdr="http://schemas.openxmlformats.org/drawingml/2006/chartDrawing" xmlns:c14="http://schemas.microsoft.com/office/drawing/2007/8/2/chart" xmlns:dgm="http://schemas.openxmlformats.org/drawingml/2006/diagram" xmlns:pic="http://schemas.openxmlformats.org/drawingml/2006/picture" xmlns:xdr="http://schemas.openxmlformats.org/drawingml/2006/spreadsheetDrawing" xmlns:dsp="http://schemas.microsoft.com/office/drawing/2008/diagram" xmlns:o="urn:schemas-microsoft-com:office:office" xmlns:v="urn:schemas-microsoft-com:vml" xmlns:xvml="urn:schemas-microsoft-com:office:excel" xmlns:w10="urn:schemas-microsoft-com:office:word" xmlns:pvml="urn:schemas-microsoft-com:office:powerpoint" xmlns:cppr="http://schemas.microsoft.com/office/2006/coverPageProps" xmlns:odx="http://opendope.org/xpaths" xmlns:odc="http://opendope.org/conditions" xmlns:odq="http://opendope.org/questions" xmlns:oda="http://opendope.org/answers" xmlns:odi="http://opendope.org/components" xmlns:odgm="http://opendope.org/SmartArt/DataHierarchy" xmlns:b="http://schemas.openxmlformats.org/officeDocument/2006/bibliography" xmlns:msink="http://schemas.microsoft.com/ink/2010/main" xmlns:cdr14="http://schemas.microsoft.com/office/drawing/2010/chartDrawing" xmlns:c15="http://schemas.microsoft.com/office/drawing/2012/chart" xmlns:cs="http://schemas.microsoft.com/office/drawing/2012/chartStyle" xmlns:ns38="http://www.w3.org/1998/Math/MathML" xmlns:ns39="http://www.w3.org/2003/InkML" xmlns:a13cmd="http://schemas.microsoft.com/office/drawing/2013/main/command" xmlns:cx="http://schemas.microsoft.com/office/drawing/2014/chartex" xmlns:c16="http://schemas.microsoft.com/office/drawing/2014/chart" xmlns:dgm1611="http://schemas.microsoft.com/office/drawing/2016/11/diagram" xmlns:c173="http://schemas.microsoft.com/office/drawing/2017/03/chart" xmlns:am3d="http://schemas.microsoft.com/office/drawing/2017/model3d" xmlns:an18="http://schemas.microsoft.com/office/drawing/2018/animation" xmlns:anam3d="http://schemas.microsoft.com/office/drawing/2018/animation/model3d" xmlns:iact="http://schemas.microsoft.com/office/powerpoint/2014/inkAction" xmlns:thm15="http://schemas.microsoft.com/office/thememl/2012/main" xmlns:wps="http://schemas.microsoft.com/office/word/2010/wordprocessingShape" xmlns:wpc="http://schemas.microsoft.com/office/word/2010/wordprocessingCanvas" xmlns:wpg="http://schemas.microsoft.com/office/word/2010/wordprocessingGroup" xmlns:w16se="http://schemas.microsoft.com/office/word/2015/wordml/symex" xmlns:w16cid="http://schemas.microsoft.com/office/word/2016/wordml/cid" xmlns:wetp="http://schemas.microsoft.com/office/webextensions/taskpanes/2010/11" xmlns:we="http://schemas.microsoft.com/office/webextensions/webextension/2010/11" xmlns:comp="http://schemas.openxmlformats.org/drawingml/2006/compatibility" xmlns:lc="http://schemas.openxmlformats.org/drawingml/2006/lockedCanvas" xmlns:dgm14="http://schemas.microsoft.com/office/drawing/2010/diagram" xmlns:a15="http://schemas.microsoft.com/office/drawing/2012/main" xmlns:pic14="http://schemas.microsoft.com/office/drawing/2010/picture" xmlns:c16ac="http://schemas.microsoft.com/office/drawing/2014/chart/ac" xmlns:a16="http://schemas.microsoft.com/office/drawing/2014/main" xmlns:a1611="http://schemas.microsoft.com/office/drawing/2016/11/main" xmlns:dgm1612="http://schemas.microsoft.com/office/drawing/2016/12/diagram" xmlns:a16svg="http://schemas.microsoft.com/office/drawing/2016/SVG/main" xmlns:adec="http://schemas.microsoft.com/office/drawing/2017/decorative" xmlns:a18hc="http://schemas.microsoft.com/office/drawing/2018/hyperlinkcolor" xmlns:wp15="http://schemas.microsoft.com/office/word/2012/wordprocessingDrawing" mc:Ignorable="w14 wp14">
  <w:body>
    <!-- Modified by docx4j 8.1.6 (Apache licensed) using REFERENCE JAXB in Red Hat, Inc. Java 1.8.0_372 on Linux -->
    <w:tbl>
      <w:tblPr>
        <w:tblW w:w="0" w:type="auto"/>
        <w:tblLayout w:type="fixed"/>
        <w:tblLook w:firstRow="1" w:lastRow="0" w:firstColumn="1" w:lastColumn="0" w:noHBand="0" w:noVBand="1" w:val="04A0"/>
        <w:tblCaption w:val="titletable"/>
      </w:tblPr>
      <w:tblGrid>
        <w:gridCol w:w="2977"/>
        <w:gridCol w:w="5245"/>
      </w:tblGrid>
      <w:tr w:rsidR="002D6852" w:rsidTr="00EF4519">
        <w:tc>
          <w:tcPr>
            <w:tcW w:w="2977" w:type="dxa"/>
          </w:tcPr>
          <w:p w:rsidRPr="00EF4519" w:rsidR="002D6852" w:rsidP="00EF4519" w:rsidRDefault="006A4211">
            <w:r w:rsidRPr="00EF4519">
              <w:rPr>
                <w:noProof/>
              </w:rPr>
              <w:drawing>
                <wp:inline distT="0" distB="0" distL="0" distR="0">
                  <wp:extent cx="1171575" cy="809625"/>
                  <wp:effectExtent l="0" t="0" r="9525" b="9525"/>
                  <wp:docPr id="1" name="Picture 1" descr="State Crest_85pixels_height"/>
                  <wp:cNvGraphicFramePr>
                    <a:graphicFrameLocks noChangeAspect="true"/>
                  </wp:cNvGraphicFramePr>
                  <a:graphic>
                    <a:graphicData uri="http://schemas.openxmlformats.org/drawingml/2006/picture">
                      <pic:pic>
                        <pic:nvPicPr>
                          <pic:cNvPr id="0" name="Picture 1" descr="State Crest_85pixels_height"/>
                          <pic:cNvPicPr>
                            <a:picLocks noChangeAspect="true" noChangeArrowheads="true"/>
                          </pic:cNvPicPr>
                        </pic:nvPicPr>
                        <pic:blipFill>
                          <a:blip r:embed="rId9">
                            <a:extLst>
                              <a:ext uri="{28A0092B-C50C-407E-A947-70E740481C1C}">
                                <a14:useLocalDpi val="false"/>
                              </a:ext>
                            </a:extLst>
                          </a:blip>
                          <a:srcRect/>
                          <a:stretch>
                            <a:fillRect/>
                          </a:stretch>
                        </pic:blipFill>
                        <pic:spPr bwMode="auto">
                          <a:xfrm>
                            <a:off x="0" y="0"/>
                            <a:ext cx="1171575" cy="809625"/>
                          </a:xfrm>
                          <a:prstGeom prst="rect">
                            <a:avLst/>
                          </a:prstGeom>
                          <a:noFill/>
                          <a:ln>
                            <a:noFill/>
                          </a:ln>
                        </pic:spPr>
                      </pic:pic>
                    </a:graphicData>
                  </a:graphic>
                </wp:inline>
              </w:drawing>
            </w:r>
          </w:p>
        </w:tc>
        <w:tc>
          <w:tcPr>
            <w:tcW w:w="5245" w:type="dxa"/>
          </w:tcPr>
          <w:p w:rsidRPr="005B5E79" w:rsidR="00C27F1D" w:rsidP="005B5E79" w:rsidRDefault="0081465C">
            <w:r>
              <w:br/>
            </w:r>
            <w:sdt>
              <w:sdtPr>
                <w:alias w:val="Court Title"/>
                <w:tag w:val="courtName"/>
                <w:id w:val="-597174554"/>
                <w:placeholder>
                  <w:docPart w:val="2287E3D7A5999C449F68774214E87459"/>
                </w:placeholder>
                <w:text/>
              </w:sdtPr>
              <w:sdtEndPr/>
              <w:sdtContent>
                <w:r w:rsidR="001B7A55">
                  <w:t>Court of Appeal</w:t>
                </w:r>
                <w:r>
                  <w:br/>
                </w:r>
                <w:r>
                  <w:t xml:space="preserve">Supreme Court</w:t>
                </w:r>
              </w:sdtContent>
            </w:sdt>
          </w:p>
          <w:p w:rsidRPr="00EF4519" w:rsidR="002D6852" w:rsidP="00EF4519" w:rsidRDefault="00C27F1D">
            <w:r w:rsidRPr="00EF4519">
              <w:t>New South Wales</w:t>
            </w:r>
          </w:p>
        </w:tc>
      </w:tr>
    </w:tbl>
    <w:p w:rsidR="00C27F1D" w:rsidP="003C5ECC" w:rsidRDefault="00C27F1D">
      <w:pPr>
        <w:pBdr>
          <w:bottom w:val="single" w:color="auto" w:sz="6" w:space="1"/>
        </w:pBdr>
      </w:pPr>
    </w:p>
    <w:p w:rsidRPr="003C5ECC" w:rsidR="005B5E79" w:rsidP="003C5ECC" w:rsidRDefault="005B5E79"/>
    <w:tbl>
      <w:tblPr>
        <w:tblW w:w="5000" w:type="pct"/>
        <w:tblLook w:firstRow="1" w:lastRow="0" w:firstColumn="1" w:lastColumn="0" w:noHBand="0" w:noVBand="1" w:val="04A0"/>
        <w:tblCaption w:val="coversheet"/>
      </w:tblPr>
      <w:tblGrid>
        <w:gridCol w:w="3085"/>
        <w:gridCol w:w="6157"/>
      </w:tblGrid>
      <w:tr w:rsidR="00856777" w:rsidTr="00AC2B81">
        <w:trPr>
          <w:trHeight w:val="412"/>
        </w:trPr>
        <w:tc>
          <w:tcPr>
            <w:tcW w:w="1669" w:type="pct"/>
          </w:tcPr>
          <w:p w:rsidRPr="00EF4519" w:rsidR="00856777" w:rsidP="00E827DB" w:rsidRDefault="00856777">
            <w:r>
              <w:t>C</w:t>
            </w:r>
            <w:r w:rsidRPr="00EF4519">
              <w:t xml:space="preserve">ase Name: </w:t>
            </w:r>
          </w:p>
        </w:tc>
        <w:tc>
          <w:tcPr>
            <w:tcW w:w="3331" w:type="pct"/>
          </w:tcPr>
          <w:p w:rsidR="00856777" w:rsidP="001B7A55" w:rsidRDefault="00882F5B">
            <w:sdt>
              <w:sdtPr>
                <w:alias w:val="Case Name"/>
                <w:tag w:val="title"/>
                <w:id w:val="-1112213263"/>
                <w:placeholder>
                  <w:docPart w:val="23714A54DE1C5349A32215100E23C70C"/>
                </w:placeholder>
                <w:showingPlcHdr/>
                <w:text w:multiLine="true"/>
              </w:sdtPr>
              <w:sdtEndPr/>
              <w:sdtContent>
                <w:r>
                  <w:t xml:space="preserve">Cameron v Woollahra Municipal Council</w:t>
                </w:r>
              </w:sdtContent>
            </w:sdt>
          </w:p>
        </w:tc>
      </w:tr>
      <w:tr w:rsidR="00E827DB" w:rsidTr="00AC2B81">
        <w:trPr>
          <w:trHeight w:val="320"/>
        </w:trPr>
        <w:tc>
          <w:tcPr>
            <w:tcW w:w="1669" w:type="pct"/>
          </w:tcPr>
          <w:p w:rsidRPr="00EF4519" w:rsidR="00E827DB" w:rsidP="00E827DB" w:rsidRDefault="00E827DB">
            <w:r>
              <w:t>Medium Neutral Citation:</w:t>
            </w:r>
            <w:r w:rsidRPr="00EF4519">
              <w:t xml:space="preserve"> </w:t>
            </w:r>
          </w:p>
        </w:tc>
        <w:tc>
          <w:tcPr>
            <w:tcW w:w="3331" w:type="pct"/>
          </w:tcPr>
          <w:p w:rsidR="00E827DB" w:rsidP="00D37BAC" w:rsidRDefault="00882F5B">
            <w:sdt>
              <w:sdtPr>
                <w:alias w:val="Medium Neutral Citation"/>
                <w:tag w:val="mnc"/>
                <w:id w:val="-1833444343"/>
                <w:placeholder>
                  <w:docPart w:val="CEA0958D29B321449DAA1A3408663E44"/>
                </w:placeholder>
                <w:showingPlcHdr/>
                <w:text w:multiLine="true"/>
              </w:sdtPr>
              <w:sdtEndPr/>
              <w:sdtContent>
                <w:r>
                  <w:t xml:space="preserve">[2024] NSWCA 216</w:t>
                </w:r>
              </w:sdtContent>
            </w:sdt>
          </w:p>
        </w:tc>
      </w:tr>
      <w:tr w:rsidR="00E827DB" w:rsidTr="00AC2B81">
        <w:trPr>
          <w:trHeight w:val="370"/>
        </w:trPr>
        <w:tc>
          <w:tcPr>
            <w:tcW w:w="1669" w:type="pct"/>
          </w:tcPr>
          <w:p w:rsidRPr="00EF4519" w:rsidR="00E827DB" w:rsidP="00E827DB" w:rsidRDefault="00E827DB">
            <w:r>
              <w:t>Hearing Date</w:t>
            </w:r>
            <w:r w:rsidRPr="00EF4519">
              <w:t xml:space="preserve">(s): </w:t>
            </w:r>
          </w:p>
        </w:tc>
        <w:tc>
          <w:tcPr>
            <w:tcW w:w="3331" w:type="pct"/>
          </w:tcPr>
          <w:p w:rsidR="00E827DB" w:rsidP="004967FE" w:rsidRDefault="00882F5B">
            <w:sdt>
              <w:sdtPr>
                <w:alias w:val="Hearing Date(s)"/>
                <w:tag w:val="hearingDates"/>
                <w:id w:val="855157727"/>
                <w:placeholder>
                  <w:docPart w:val="9CA603291F38E74C952F4F0686E7F43F"/>
                </w:placeholder>
                <w:showingPlcHdr/>
                <w:text w:multiLine="true"/>
              </w:sdtPr>
              <w:sdtEndPr/>
              <w:sdtContent>
                <w:r>
                  <w:t xml:space="preserve">3 July 2024</w:t>
                </w:r>
              </w:sdtContent>
            </w:sdt>
          </w:p>
        </w:tc>
      </w:tr>
      <w:tr w:rsidR="00B006AC" w:rsidTr="00AC2B81">
        <w:trPr>
          <w:trHeight w:val="370"/>
        </w:trPr>
        <w:tc>
          <w:tcPr>
            <w:tcW w:w="1669" w:type="pct"/>
          </w:tcPr>
          <w:p w:rsidR="00B006AC" w:rsidP="00E827DB" w:rsidRDefault="00B006AC">
            <w:r>
              <w:t>Date of Orders:</w:t>
            </w:r>
          </w:p>
        </w:tc>
        <w:tc>
          <w:tcPr>
            <w:tcW w:w="3331" w:type="pct"/>
          </w:tcPr>
          <w:p w:rsidR="00B006AC" w:rsidP="004967FE" w:rsidRDefault="00882F5B">
            <w:sdt>
              <w:sdtPr>
                <w:alias w:val="Date of Orders"/>
                <w:tag w:val="orderDate"/>
                <w:id w:val="-56163930"/>
                <w:placeholder>
                  <w:docPart w:val="001534073BC94C468D9A6C5C3502283B"/>
                </w:placeholder>
                <w:showingPlcHdr/>
                <w:date w:fullDate="2014-09-10T00:00:00Z">
                  <w:dateFormat w:val="d MMMM yyyy"/>
                  <w:lid w:val="en-AU"/>
                  <w:storeMappedDataAs w:val="dateTime"/>
                  <w:calendar w:val="gregorian"/>
                </w:date>
              </w:sdtPr>
              <w:sdtEndPr/>
              <w:sdtContent>
                <w:r>
                  <w:t xml:space="preserve">3 September 2024</w:t>
                </w:r>
              </w:sdtContent>
            </w:sdt>
          </w:p>
        </w:tc>
      </w:tr>
      <w:tr w:rsidR="00251EE4" w:rsidTr="00AC2B81">
        <w:trPr>
          <w:trHeight w:val="329"/>
        </w:trPr>
        <w:tc>
          <w:tcPr>
            <w:tcW w:w="1669" w:type="pct"/>
          </w:tcPr>
          <w:p w:rsidRPr="00EF4519" w:rsidR="00251EE4" w:rsidP="00E827DB" w:rsidRDefault="00251EE4">
            <w:r>
              <w:t>Decision Date:</w:t>
            </w:r>
            <w:r w:rsidRPr="00EF4519" w:rsidR="00B914EB">
              <w:t xml:space="preserve"> </w:t>
            </w:r>
          </w:p>
        </w:tc>
        <w:tc>
          <w:tcPr>
            <w:tcW w:w="3331" w:type="pct"/>
          </w:tcPr>
          <w:p w:rsidR="00251EE4" w:rsidP="001B7A55" w:rsidRDefault="00882F5B">
            <w:sdt>
              <w:sdtPr>
                <w:alias w:val="Decision Date"/>
                <w:tag w:val="decisionDate"/>
                <w:id w:val="-2113426060"/>
                <w:placeholder>
                  <w:docPart w:val="49E1DA3C6A1E71459A736F86010B5AED"/>
                </w:placeholder>
                <w:showingPlcHdr/>
                <w:date w:fullDate="2014-07-10T00:00:00Z">
                  <w:dateFormat w:val="d MMMM yyyy"/>
                  <w:lid w:val="en-AU"/>
                  <w:storeMappedDataAs w:val="dateTime"/>
                  <w:calendar w:val="gregorian"/>
                </w:date>
              </w:sdtPr>
              <w:sdtEndPr/>
              <w:sdtContent>
                <w:r>
                  <w:t xml:space="preserve">3 September 2024</w:t>
                </w:r>
              </w:sdtContent>
            </w:sdt>
          </w:p>
        </w:tc>
      </w:tr>
      <w:tr w:rsidR="00251EE4" w:rsidTr="00AC2B81">
        <w:trPr>
          <w:trHeight w:val="273"/>
        </w:trPr>
        <w:tc>
          <w:tcPr>
            <w:tcW w:w="1669" w:type="pct"/>
          </w:tcPr>
          <w:p w:rsidRPr="00EF4519" w:rsidR="00251EE4" w:rsidP="00E827DB" w:rsidRDefault="00251EE4">
            <w:r>
              <w:t>Before:</w:t>
            </w:r>
            <w:r w:rsidRPr="00EF4519" w:rsidR="00B914EB">
              <w:t xml:space="preserve"> </w:t>
            </w:r>
          </w:p>
        </w:tc>
        <w:sdt>
          <w:sdtPr>
            <w:alias w:val="Before"/>
            <w:tag w:val="before"/>
            <w:id w:val="-437217807"/>
            <w:placeholder>
              <w:docPart w:val="8E1FCF9D9BCC7544965FEDDA8E4336E8"/>
            </w:placeholder>
            <w:showingPlcHdr/>
            <w:text w:multiLine="true"/>
          </w:sdtPr>
          <w:sdtEndPr/>
          <w:sdtContent>
            <w:tc>
              <w:tcPr>
                <w:tcW w:w="3331" w:type="pct"/>
              </w:tcPr>
              <w:p w:rsidR="00251EE4" w:rsidP="001B7A55" w:rsidRDefault="001B7A55">
                <w:r>
                  <w:t xml:space="preserve">Payne JA at [1];</w:t>
                </w:r>
                <w:r>
                  <w:br/>
                </w:r>
                <w:r>
                  <w:t xml:space="preserve">White JA at [183];</w:t>
                </w:r>
                <w:r>
                  <w:br/>
                </w:r>
                <w:r>
                  <w:t xml:space="preserve">Price AJA at [184].</w:t>
                </w:r>
              </w:p>
            </w:tc>
          </w:sdtContent>
        </w:sdt>
      </w:tr>
      <w:tr w:rsidR="00251EE4" w:rsidTr="00AC2B81">
        <w:trPr>
          <w:trHeight w:val="465"/>
        </w:trPr>
        <w:tc>
          <w:tcPr>
            <w:tcW w:w="1669" w:type="pct"/>
          </w:tcPr>
          <w:p w:rsidRPr="00EF4519" w:rsidR="00251EE4" w:rsidP="00E827DB" w:rsidRDefault="00251EE4">
            <w:r>
              <w:t>Decision:</w:t>
            </w:r>
            <w:r w:rsidRPr="00EF4519" w:rsidR="00B914EB">
              <w:t xml:space="preserve"> </w:t>
            </w:r>
          </w:p>
        </w:tc>
        <w:tc>
          <w:tcPr>
            <w:tcW w:w="3331" w:type="pct"/>
          </w:tcPr>
          <w:p w:rsidR="00251EE4" w:rsidP="001B7A55" w:rsidRDefault="00882F5B">
            <w:sdt>
              <w:sdtPr>
                <w:rPr>
                  <w:rFonts w:cs="Arial"/>
                </w:rPr>
                <w:alias w:val="Decision"/>
                <w:tag w:val="decision"/>
                <w:id w:val="-1050373838"/>
                <w:placeholder>
                  <w:docPart w:val="BB94B27A1B38FB49AA2427CB2341BFF9"/>
                </w:placeholder>
                <w:showingPlcHdr/>
                <w:text w:multiLine="true"/>
              </w:sdtPr>
              <w:sdtEndPr/>
              <w:sdtContent>
                <w:r>
                  <w:t xml:space="preserve">(1)   Appeal dismissed.</w:t>
                </w:r>
                <w:r>
                  <w:br/>
                </w:r>
                <w:r>
                  <w:t xml:space="preserve">(2)   Appellants to pay the first respondent’s costs of the appeal.</w:t>
                </w:r>
              </w:sdtContent>
            </w:sdt>
          </w:p>
        </w:tc>
      </w:tr>
      <w:tr w:rsidR="00251EE4" w:rsidTr="00AC2B81">
        <w:trPr>
          <w:trHeight w:val="373"/>
        </w:trPr>
        <w:tc>
          <w:tcPr>
            <w:tcW w:w="1669" w:type="pct"/>
          </w:tcPr>
          <w:p w:rsidRPr="00EF4519" w:rsidR="00251EE4" w:rsidP="00E827DB" w:rsidRDefault="00251EE4">
            <w:r>
              <w:t>Catchwords:</w:t>
            </w:r>
            <w:r w:rsidRPr="00EF4519" w:rsidR="00B914EB">
              <w:t xml:space="preserve"> </w:t>
            </w:r>
          </w:p>
        </w:tc>
        <w:tc>
          <w:tcPr>
            <w:tcW w:w="3331" w:type="pct"/>
          </w:tcPr>
          <w:p w:rsidR="00251EE4" w:rsidP="001B7A55" w:rsidRDefault="00882F5B">
            <w:sdt>
              <w:sdtPr>
                <w:alias w:val="Catchwords"/>
                <w:tag w:val="catchwords"/>
                <w:id w:val="-2097856291"/>
                <w:placeholder>
                  <w:docPart w:val="9628263C21A0F347B1037F8B6E2E16E6"/>
                </w:placeholder>
                <w:showingPlcHdr/>
                <w:text w:multiLine="true"/>
              </w:sdtPr>
              <w:sdtEndPr/>
              <w:sdtContent>
                <w:r>
                  <w:t xml:space="preserve">CIVIL PROCEDURE — Time — Extension of time to commence judicial review proceedings</w:t>
                </w:r>
                <w:r>
                  <w:br/>
                </w:r>
                <w:r>
                  <w:t xml:space="preserve"> </w:t>
                </w:r>
                <w:r>
                  <w:br/>
                </w:r>
                <w:r>
                  <w:t xml:space="preserve">ADMINISTRATIVE LAW — Whether reviewable decision — Jurisdictional error — where decision to issue a construction certificate legally unreasonable </w:t>
                </w:r>
                <w:r>
                  <w:br/>
                </w:r>
                <w:r>
                  <w:t xml:space="preserve"> </w:t>
                </w:r>
                <w:r>
                  <w:br/>
                </w:r>
                <w:r>
                  <w:t xml:space="preserve">ENVIRONMENT AND PLANNING — Consent — Conditions — Construction certificate — plans and specifications or standards of building work or subdivision work specified in the certificate are not consistent with the development consent – effect of decision in Burwood Council v Ralan Burwood Pty Ltd (No 3) [2014] NSWCA 404 in circumstances where jurisdictional error has been established</w:t>
                </w:r>
              </w:sdtContent>
            </w:sdt>
          </w:p>
        </w:tc>
      </w:tr>
      <w:tr w:rsidR="00251EE4" w:rsidTr="00AC2B81">
        <w:trPr>
          <w:trHeight w:val="281"/>
        </w:trPr>
        <w:tc>
          <w:tcPr>
            <w:tcW w:w="1669" w:type="pct"/>
          </w:tcPr>
          <w:p w:rsidRPr="00EF4519" w:rsidR="00251EE4" w:rsidP="00E827DB" w:rsidRDefault="00251EE4">
            <w:r>
              <w:t>Legislation Cited:</w:t>
            </w:r>
            <w:r w:rsidRPr="00EF4519" w:rsidR="00B914EB">
              <w:t xml:space="preserve"> </w:t>
            </w:r>
          </w:p>
        </w:tc>
        <w:tc>
          <w:tcPr>
            <w:tcW w:w="3331" w:type="pct"/>
          </w:tcPr>
          <w:p w:rsidR="00251EE4" w:rsidP="001B7A55" w:rsidRDefault="00882F5B">
            <w:sdt>
              <w:sdtPr>
                <w:alias w:val="Legislation Cited"/>
                <w:tag w:val="legislationCited"/>
                <w:id w:val="-2034725931"/>
                <w:placeholder>
                  <w:docPart w:val="5A00766E1BC20A46B675FA54E3371F87"/>
                </w:placeholder>
                <w:showingPlcHdr/>
                <w:text w:multiLine="true"/>
              </w:sdtPr>
              <w:sdtEndPr/>
              <w:sdtContent>
                <w:r>
                  <w:t xml:space="preserve">Building and Construction Industry Security of Payment Act 1999 (NSW) s 32A</w:t>
                </w:r>
                <w:r>
                  <w:br/>
                </w:r>
                <w:r>
                  <w:t xml:space="preserve">Environmental Planning and Assessment Act 1979 (NSW) ss 6.1, 6.2, 6.3, 6.4, 6.5, 6.7, 6.8, 4.16, 4.17, 4.28, 4.31, 4.55, 4.59, 6.32, 6.33, 9.44, 9.45, 9.46</w:t>
                </w:r>
                <w:r>
                  <w:br/>
                </w:r>
                <w:r>
                  <w:t xml:space="preserve">Environmental Planning and Assessment (Development Certification and Fire Safety) Regulation 2021 (NSW) cll 7, 8, 12, 13, 16, 17, 19</w:t>
                </w:r>
                <w:r>
                  <w:br/>
                </w:r>
                <w:r>
                  <w:t xml:space="preserve">Environmental Planning and Assessment Regulation 2000 (NSW) cl 145</w:t>
                </w:r>
                <w:r>
                  <w:br/>
                </w:r>
                <w:r>
                  <w:t xml:space="preserve">Land and Environment Court Act 1979 (NSW) ss 20, 58</w:t>
                </w:r>
                <w:r>
                  <w:br/>
                </w:r>
                <w:r>
                  <w:t xml:space="preserve">Supreme Court Act 1970 (NSW) ss 69, 71</w:t>
                </w:r>
                <w:r>
                  <w:br/>
                </w:r>
                <w:r>
                  <w:t xml:space="preserve"> </w:t>
                </w:r>
                <w:r>
                  <w:br/>
                </w:r>
                <w:r>
                  <w:t xml:space="preserve">Uniform Civil Procedure Rules 2005 (NSW) r 59.10</w:t>
                </w:r>
              </w:sdtContent>
            </w:sdt>
          </w:p>
        </w:tc>
      </w:tr>
      <w:tr w:rsidR="00251EE4" w:rsidTr="00AC2B81">
        <w:trPr>
          <w:trHeight w:val="331"/>
        </w:trPr>
        <w:tc>
          <w:tcPr>
            <w:tcW w:w="1669" w:type="pct"/>
          </w:tcPr>
          <w:p w:rsidRPr="00EF4519" w:rsidR="00251EE4" w:rsidP="00E827DB" w:rsidRDefault="00251EE4">
            <w:r>
              <w:t>Cases Cited:</w:t>
            </w:r>
            <w:r w:rsidRPr="00EF4519" w:rsidR="00B914EB">
              <w:t xml:space="preserve"> </w:t>
            </w:r>
          </w:p>
        </w:tc>
        <w:tc>
          <w:tcPr>
            <w:tcW w:w="3331" w:type="pct"/>
          </w:tcPr>
          <w:p w:rsidR="00251EE4" w:rsidP="001B7A55" w:rsidRDefault="00882F5B">
            <w:sdt>
              <w:sdtPr>
                <w:alias w:val="Cases Cited"/>
                <w:tag w:val="casesCited"/>
                <w:id w:val="-230469519"/>
                <w:placeholder>
                  <w:docPart w:val="A23E6993E6A8F64D83520CA63B49071B"/>
                </w:placeholder>
                <w:showingPlcHdr/>
                <w:text w:multiLine="true"/>
              </w:sdtPr>
              <w:sdtEndPr/>
              <w:sdtContent>
                <w:r>
                  <w:t xml:space="preserve">Al Maha Pty Ltd v Huajun Investments Pty Ltd [2018] NSWCA 245</w:t>
                </w:r>
                <w:r>
                  <w:br/>
                </w:r>
                <w:r>
                  <w:t xml:space="preserve">Attorney-General for the States of New South Wales v Quin (1990) 170 CLR 1; [1990] HCA 21</w:t>
                </w:r>
                <w:r>
                  <w:br/>
                </w:r>
                <w:r>
                  <w:t xml:space="preserve">Avon Downs Pty Ltd v Federal Commissioner of Taxation (1949) 78 CLR 353</w:t>
                </w:r>
                <w:r>
                  <w:br/>
                </w:r>
                <w:r>
                  <w:t xml:space="preserve">Bankstown City Council v Ramahi [2015] NSWLEC 74</w:t>
                </w:r>
                <w:r>
                  <w:br/>
                </w:r>
                <w:r>
                  <w:t xml:space="preserve">Bankstown City Council v Ramahi (No 2) [2016] NSWLEC 34</w:t>
                </w:r>
                <w:r>
                  <w:br/>
                </w:r>
                <w:r>
                  <w:t xml:space="preserve">Baxter v New South Wales Clickers’ Association (1909) 10 CLR 114</w:t>
                </w:r>
                <w:r>
                  <w:br/>
                </w:r>
                <w:r>
                  <w:t xml:space="preserve">Bunderra Holdings Pty Ltd v Pasminco Cockle Creek Smelter Pty Ltd (subject to Deed of Company Arrangement) (2017) 96 NSWLR 434; [2017] NSWCA 263</w:t>
                </w:r>
                <w:r>
                  <w:br/>
                </w:r>
                <w:r>
                  <w:t xml:space="preserve">Burwood Council v Ralan Burwood Pty Ltd (No 3) [2014] NSWCA 404</w:t>
                </w:r>
                <w:r>
                  <w:br/>
                </w:r>
                <w:r>
                  <w:t xml:space="preserve">Ceerose Pty Ltd v A-Civil Aust Pty Ltd (2023) 112 NSWLR 225; [2023] NSWCA 215</w:t>
                </w:r>
                <w:r>
                  <w:br/>
                </w:r>
                <w:r>
                  <w:t xml:space="preserve">Central Coast Council v 40 Gindurra Road Somersby Pty Ltd (No 2) [2019] NSWLEC 171</w:t>
                </w:r>
                <w:r>
                  <w:br/>
                </w:r>
                <w:r>
                  <w:t xml:space="preserve">Clancy v Director of Public Prosecutions [2018] NSWCA 102</w:t>
                </w:r>
                <w:r>
                  <w:br/>
                </w:r>
                <w:r>
                  <w:t xml:space="preserve">Commissioner of Taxation v Futuris Corporation Limited (2008) 237 CLR 146; [2008] HCA 32</w:t>
                </w:r>
                <w:r>
                  <w:br/>
                </w:r>
                <w:r>
                  <w:t xml:space="preserve">Community Housing Limited v Clarence Valley Council (2015) 90 NSWLR 292; [2015] NSWCA 327</w:t>
                </w:r>
                <w:r>
                  <w:br/>
                </w:r>
                <w:r>
                  <w:t xml:space="preserve">Corowa v Geographe Point Pty Ltd &amp; Anor [2007] NSWLEC 121</w:t>
                </w:r>
                <w:r>
                  <w:br/>
                </w:r>
                <w:r>
                  <w:t xml:space="preserve">Corporation of the City of Enfield v Development Assessment Commission (2000) 199 CLR 135; [2000] HCA 5</w:t>
                </w:r>
                <w:r>
                  <w:br/>
                </w:r>
                <w:r>
                  <w:t xml:space="preserve">Hossain v Minister for Immigration and Border Protection (2018) 264 CLR 123; [2018] HCA 34</w:t>
                </w:r>
                <w:r>
                  <w:br/>
                </w:r>
                <w:r>
                  <w:t xml:space="preserve">House v The King (1936) 55 CLR 499</w:t>
                </w:r>
                <w:r>
                  <w:br/>
                </w:r>
                <w:r>
                  <w:t xml:space="preserve">Jadwan Pty Ltd v Secretary, Department of Health and Aged Care (2003) 145 FCR 1; [2003] FCAFC 288</w:t>
                </w:r>
                <w:r>
                  <w:br/>
                </w:r>
                <w:r>
                  <w:t xml:space="preserve">Kirk v Industrial Court of New South Wales (2010) 239 CLR 531; [2010] HCA 1</w:t>
                </w:r>
                <w:r>
                  <w:br/>
                </w:r>
                <w:r>
                  <w:t xml:space="preserve">Kruger v The Commonwealth (1997) 190 CLR 1; [1997] HCA 27</w:t>
                </w:r>
                <w:r>
                  <w:br/>
                </w:r>
                <w:r>
                  <w:t xml:space="preserve">Lesnewski v Mosman Municipal Council [2005] NSWCA 99</w:t>
                </w:r>
                <w:r>
                  <w:br/>
                </w:r>
                <w:r>
                  <w:t xml:space="preserve">Masi-Haini v Minister for Home Affairs (2023) 298 FCR 277; [2023] FCAFC 126</w:t>
                </w:r>
                <w:r>
                  <w:br/>
                </w:r>
                <w:r>
                  <w:t xml:space="preserve">Minister for Immigration and Citizenship v Li (2013) 249 CLR 332; [2013] HCA 18</w:t>
                </w:r>
                <w:r>
                  <w:br/>
                </w:r>
                <w:r>
                  <w:t xml:space="preserve">Minister for Immigration and Citizenship v SZIAI (2009) 83 ALJR 1123; [2009] HCA 39</w:t>
                </w:r>
                <w:r>
                  <w:br/>
                </w:r>
                <w:r>
                  <w:t xml:space="preserve">Minister for Immigration and Citizenship v SZMDS (2010) 240 CLR 611; [2010] HCA 16</w:t>
                </w:r>
                <w:r>
                  <w:br/>
                </w:r>
                <w:r>
                  <w:t xml:space="preserve">Minister for Immigration and Multicultural Affairs v Bhardwaj (2002) 209 CLR 597; [2002] HCA 11</w:t>
                </w:r>
                <w:r>
                  <w:br/>
                </w:r>
                <w:r>
                  <w:t xml:space="preserve">Minister for Immigration and Multicultural Affairs v Eshetu (1999) 197 CLR 611; [1999] HCA 21</w:t>
                </w:r>
                <w:r>
                  <w:br/>
                </w:r>
                <w:r>
                  <w:t xml:space="preserve">Minister for Immigration, Citizenship, Migrant Services and Multicultural Affairs v Moorcroft (2021) 273 CLR 21; [2021] HCA 19</w:t>
                </w:r>
                <w:r>
                  <w:br/>
                </w:r>
                <w:r>
                  <w:t xml:space="preserve">Moorebank Recyclers Pty Ltd v Tanlane Pty Ltd [2018] NSWCA 304</w:t>
                </w:r>
                <w:r>
                  <w:br/>
                </w:r>
                <w:r>
                  <w:t xml:space="preserve">MZAPC v Minister for Immigration and Border Protection (2021) 273 CLR 506; [2021] HCA 17</w:t>
                </w:r>
                <w:r>
                  <w:br/>
                </w:r>
                <w:r>
                  <w:t xml:space="preserve">New South Wales v Kable (2013) 252 CLR 118; [2013] HCA 26</w:t>
                </w:r>
                <w:r>
                  <w:br/>
                </w:r>
                <w:r>
                  <w:t xml:space="preserve">Oakey Coal Action Alliance Inc v New Acland Coal Pty Ltd (2021) 272 CLR 33; [2021] HCA 2</w:t>
                </w:r>
                <w:r>
                  <w:br/>
                </w:r>
                <w:r>
                  <w:t xml:space="preserve">Probuild Constructions (Aust) Pty Ltd v Shade Systems Pty Ltd (2018) 264 CLR 1; [2018] HCA 4</w:t>
                </w:r>
                <w:r>
                  <w:br/>
                </w:r>
                <w:r>
                  <w:t xml:space="preserve">Project Blue Sky Inc v Australian Broadcasting Authority (1998) 194 CLR 355; [1998] HCA 28</w:t>
                </w:r>
                <w:r>
                  <w:br/>
                </w:r>
                <w:r>
                  <w:t xml:space="preserve">Sader v Elgammal [2022] NSWLEC 107</w:t>
                </w:r>
                <w:r>
                  <w:br/>
                </w:r>
                <w:r>
                  <w:t xml:space="preserve">Settlers Estate Pty Ltd v Penrith City Council [2021] NSWCA 13</w:t>
                </w:r>
                <w:r>
                  <w:br/>
                </w:r>
                <w:r>
                  <w:t xml:space="preserve">Smith v Wyong Shire Council [2003] NSWCA 322</w:t>
                </w:r>
                <w:r>
                  <w:br/>
                </w:r>
                <w:r>
                  <w:t xml:space="preserve">The Hills Shire Council v Drenovac [2022] NSWLEC 139</w:t>
                </w:r>
                <w:r>
                  <w:br/>
                </w:r>
                <w:r>
                  <w:t xml:space="preserve">Tomko v Palasty (No 2) (2007) 71 NSWLR 61; [2007] NSWCA 369</w:t>
                </w:r>
                <w:r>
                  <w:br/>
                </w:r>
                <w:r>
                  <w:t xml:space="preserve">Toth v Director of Public Prosecutions (NSW) [2014] NSWCA 133</w:t>
                </w:r>
                <w:r>
                  <w:br/>
                </w:r>
                <w:r>
                  <w:t xml:space="preserve">Trives v Hornsby Shire Council (2015) 89 NSWLR 268; [2015] NSWCA 158</w:t>
                </w:r>
              </w:sdtContent>
            </w:sdt>
          </w:p>
        </w:tc>
      </w:tr>
      <w:tr w:rsidR="00251EE4" w:rsidTr="00AC2B81">
        <w:trPr>
          <w:trHeight w:val="381"/>
        </w:trPr>
        <w:tc>
          <w:tcPr>
            <w:tcW w:w="1669" w:type="pct"/>
          </w:tcPr>
          <w:p w:rsidRPr="00EF4519" w:rsidR="00251EE4" w:rsidP="00E827DB" w:rsidRDefault="00251EE4">
            <w:r>
              <w:t>Texts Cited:</w:t>
            </w:r>
            <w:r w:rsidRPr="00EF4519" w:rsidR="00B914EB">
              <w:t xml:space="preserve"> </w:t>
            </w:r>
          </w:p>
        </w:tc>
        <w:tc>
          <w:tcPr>
            <w:tcW w:w="3331" w:type="pct"/>
          </w:tcPr>
          <w:p w:rsidR="00251EE4" w:rsidP="00856777" w:rsidRDefault="00882F5B">
            <w:sdt>
              <w:sdtPr>
                <w:alias w:val="Texts Cited"/>
                <w:tag w:val="textsCited"/>
                <w:id w:val="-368456736"/>
                <w:placeholder>
                  <w:docPart w:val="060452A863326F40B8E9CC07DB6917FD"/>
                </w:placeholder>
                <w:showingPlcHdr/>
                <w:text w:multiLine="true"/>
              </w:sdtPr>
              <w:sdtEndPr/>
              <w:sdtContent>
                <w:r>
                  <w:t xml:space="preserve">J Kirk SC, ‘The Concept of Jurisdictional Error’ in Key Issues in Judicial Review (Neil Williams SC ed, Federation Press, 2014)</w:t>
                </w:r>
                <w:r>
                  <w:br/>
                </w:r>
                <w:r>
                  <w:t xml:space="preserve">M Aronson, M Groves and G Weeks, Judicial Review of Administrative Action and Government Liability (Thomson Reuters, 6th ed, 2017)</w:t>
                </w:r>
              </w:sdtContent>
            </w:sdt>
          </w:p>
        </w:tc>
      </w:tr>
      <w:tr w:rsidR="00251EE4" w:rsidTr="00AC2B81">
        <w:trPr>
          <w:trHeight w:val="430"/>
        </w:trPr>
        <w:tc>
          <w:tcPr>
            <w:tcW w:w="1669" w:type="pct"/>
          </w:tcPr>
          <w:p w:rsidRPr="00EF4519" w:rsidR="00251EE4" w:rsidP="00E827DB" w:rsidRDefault="00251EE4">
            <w:r>
              <w:t>Category:</w:t>
            </w:r>
            <w:r w:rsidRPr="00EF4519" w:rsidR="00B914EB">
              <w:t xml:space="preserve"> </w:t>
            </w:r>
          </w:p>
        </w:tc>
        <w:sdt>
          <w:sdtPr>
            <w:alias w:val="Category"/>
            <w:tag w:val="category"/>
            <w:id w:val="1018119699"/>
            <w:placeholder>
              <w:docPart w:val="6628CDE8242ABE4A8E58F2768A081E0C"/>
            </w:placeholder>
            <w:showingPlcHdr/>
            <w:text w:multiLine="true"/>
          </w:sdtPr>
          <w:sdtEndPr/>
          <w:sdtContent>
            <w:tc>
              <w:tcPr>
                <w:tcW w:w="3331" w:type="pct"/>
              </w:tcPr>
              <w:p w:rsidR="00251EE4" w:rsidP="001B7A55" w:rsidRDefault="001B7A55">
                <w:r>
                  <w:t xml:space="preserve">Principal judgment</w:t>
                </w:r>
              </w:p>
            </w:tc>
          </w:sdtContent>
        </w:sdt>
      </w:tr>
      <w:tr w:rsidR="00831DA1" w:rsidTr="00AC2B81">
        <w:trPr>
          <w:trHeight w:val="480"/>
        </w:trPr>
        <w:tc>
          <w:tcPr>
            <w:tcW w:w="1669" w:type="pct"/>
          </w:tcPr>
          <w:p w:rsidRPr="00EF4519" w:rsidR="00831DA1" w:rsidP="00E827DB" w:rsidRDefault="00831DA1">
            <w:r>
              <w:t>Parties:</w:t>
            </w:r>
            <w:r w:rsidRPr="00EF4519" w:rsidR="00B914EB">
              <w:t xml:space="preserve"> </w:t>
            </w:r>
          </w:p>
        </w:tc>
        <w:tc>
          <w:tcPr>
            <w:tcW w:w="3331" w:type="pct"/>
          </w:tcPr>
          <w:p w:rsidR="00831DA1" w:rsidP="001B7A55" w:rsidRDefault="00882F5B">
            <w:sdt>
              <w:sdtPr>
                <w:alias w:val="Parties"/>
                <w:tag w:val="parties"/>
                <w:id w:val="-806626852"/>
                <w:placeholder>
                  <w:docPart w:val="B3EE222B3A0F7C449BC3F6E77D0B866B"/>
                </w:placeholder>
                <w:showingPlcHdr/>
                <w:text w:multiLine="true"/>
              </w:sdtPr>
              <w:sdtEndPr/>
              <w:sdtContent>
                <w:r>
                  <w:t xml:space="preserve">Andrew Cameron (first appellant)</w:t>
                </w:r>
                <w:r>
                  <w:br/>
                </w:r>
                <w:r>
                  <w:t xml:space="preserve">Vanessa Green (second appellant)</w:t>
                </w:r>
                <w:r>
                  <w:br/>
                </w:r>
                <w:r>
                  <w:t xml:space="preserve">Woollahra Municipal Council (first respondent)</w:t>
                </w:r>
                <w:r>
                  <w:br/>
                </w:r>
                <w:r>
                  <w:t xml:space="preserve">Paul Aramini (second respondent)</w:t>
                </w:r>
              </w:sdtContent>
            </w:sdt>
          </w:p>
        </w:tc>
      </w:tr>
      <w:tr w:rsidR="00251EE4" w:rsidTr="00AC2B81">
        <w:trPr>
          <w:trHeight w:val="247"/>
        </w:trPr>
        <w:tc>
          <w:tcPr>
            <w:tcW w:w="1669" w:type="pct"/>
          </w:tcPr>
          <w:p w:rsidRPr="00EF4519" w:rsidR="00251EE4" w:rsidP="00E827DB" w:rsidRDefault="00251EE4">
            <w:r>
              <w:t>Representation:</w:t>
            </w:r>
            <w:r w:rsidRPr="00EF4519" w:rsidR="00B914EB">
              <w:t xml:space="preserve"> </w:t>
            </w:r>
          </w:p>
        </w:tc>
        <w:tc>
          <w:tcPr>
            <w:tcW w:w="3331" w:type="pct"/>
          </w:tcPr>
          <w:p w:rsidR="00251EE4" w:rsidP="001B7A55" w:rsidRDefault="00882F5B">
            <w:sdt>
              <w:sdtPr>
                <w:alias w:val="Represenation"/>
                <w:tag w:val="representation"/>
                <w:id w:val="-1683732415"/>
                <w:placeholder>
                  <w:docPart w:val="1A38A171EF11A54DB21B83C7D4CB0CBA"/>
                </w:placeholder>
                <w:showingPlcHdr/>
                <w:text w:multiLine="true"/>
              </w:sdtPr>
              <w:sdtEndPr/>
              <w:sdtContent>
                <w:r>
                  <w:t xml:space="preserve">Counsel:</w:t>
                </w:r>
                <w:r>
                  <w:br/>
                </w:r>
                <w:r>
                  <w:t xml:space="preserve"/>
                </w:r>
                <w:r>
                  <w:br/>
                </w:r>
                <w:r>
                  <w:t xml:space="preserve">I Hemmings SC / J Farrell (appellants)</w:t>
                </w:r>
                <w:r>
                  <w:br/>
                </w:r>
                <w:r>
                  <w:t xml:space="preserve">J Lazarus SC / M Harker (first respondent)</w:t>
                </w:r>
                <w:r>
                  <w:br/>
                </w:r>
                <w:r>
                  <w:t xml:space="preserve"/>
                </w:r>
                <w:r>
                  <w:br/>
                </w:r>
                <w:r>
                  <w:t xml:space="preserve">Solicitors:</w:t>
                </w:r>
                <w:r>
                  <w:br/>
                </w:r>
                <w:r>
                  <w:t xml:space="preserve"/>
                </w:r>
                <w:r>
                  <w:br/>
                </w:r>
                <w:r>
                  <w:t xml:space="preserve">Mills Oakley (appellants)</w:t>
                </w:r>
                <w:r>
                  <w:br/>
                </w:r>
                <w:r>
                  <w:t xml:space="preserve">Rosemary Bullmore (first respondent)</w:t>
                </w:r>
                <w:r>
                  <w:br/>
                </w:r>
                <w:r>
                  <w:t xml:space="preserve">HBA Legal (second respondent)</w:t>
                </w:r>
              </w:sdtContent>
            </w:sdt>
          </w:p>
        </w:tc>
      </w:tr>
      <w:tr w:rsidR="00251EE4" w:rsidTr="00AC2B81">
        <w:trPr>
          <w:trHeight w:val="297"/>
        </w:trPr>
        <w:tc>
          <w:tcPr>
            <w:tcW w:w="1669" w:type="pct"/>
          </w:tcPr>
          <w:p w:rsidRPr="00EF4519" w:rsidR="00251EE4" w:rsidP="00E827DB" w:rsidRDefault="00ED3424">
            <w:r>
              <w:t>File Num</w:t>
            </w:r>
            <w:r w:rsidRPr="00EF4519" w:rsidR="00162707">
              <w:t>ber</w:t>
            </w:r>
            <w:r w:rsidRPr="00EF4519" w:rsidR="00201CA2">
              <w:t>(s)</w:t>
            </w:r>
            <w:r w:rsidRPr="00EF4519">
              <w:t>:</w:t>
            </w:r>
            <w:r w:rsidRPr="00EF4519" w:rsidR="00B914EB">
              <w:t xml:space="preserve"> </w:t>
            </w:r>
          </w:p>
        </w:tc>
        <w:tc>
          <w:tcPr>
            <w:tcW w:w="3331" w:type="pct"/>
          </w:tcPr>
          <w:p w:rsidR="00251EE4" w:rsidP="001B7A55" w:rsidRDefault="00882F5B">
            <w:sdt>
              <w:sdtPr>
                <w:alias w:val="File Numbers"/>
                <w:tag w:val="fileNumbers"/>
                <w:id w:val="161209586"/>
                <w:placeholder>
                  <w:docPart w:val="C38290365A6BEE4A83D8CA3C9A53E9A8"/>
                </w:placeholder>
                <w:showingPlcHdr/>
                <w:text w:multiLine="true"/>
              </w:sdtPr>
              <w:sdtEndPr/>
              <w:sdtContent>
                <w:r>
                  <w:t xml:space="preserve">2024/151110</w:t>
                </w:r>
              </w:sdtContent>
            </w:sdt>
          </w:p>
        </w:tc>
      </w:tr>
      <w:tr w:rsidR="00277342" w:rsidTr="00AC2B81">
        <w:trPr>
          <w:trHeight w:val="361"/>
        </w:trPr>
        <w:tc>
          <w:tcPr>
            <w:tcW w:w="1669" w:type="pct"/>
          </w:tcPr>
          <w:p w:rsidRPr="00EF4519" w:rsidR="00277342" w:rsidP="00E827DB" w:rsidRDefault="00277342">
            <w:r>
              <w:t>Publication Restriction:</w:t>
            </w:r>
            <w:r w:rsidRPr="00EF4519" w:rsidR="00B914EB">
              <w:t xml:space="preserve"> </w:t>
            </w:r>
          </w:p>
        </w:tc>
        <w:tc>
          <w:tcPr>
            <w:tcW w:w="3331" w:type="pct"/>
          </w:tcPr>
          <w:p w:rsidR="00277342" w:rsidP="001B7A55" w:rsidRDefault="00882F5B">
            <w:sdt>
              <w:sdtPr>
                <w:alias w:val="Publication Restriction"/>
                <w:tag w:val="publicationRestriction"/>
                <w:id w:val="-1536037816"/>
                <w:placeholder>
                  <w:docPart w:val="A7B47E2D68429748B46F94DAB4579B86"/>
                </w:placeholder>
                <w:showingPlcHdr/>
                <w:text w:multiLine="true"/>
              </w:sdtPr>
              <w:sdtEndPr/>
              <w:sdtContent>
                <w:r>
                  <w:t xml:space="preserve">Nil</w:t>
                </w:r>
              </w:sdtContent>
            </w:sdt>
          </w:p>
        </w:tc>
      </w:tr>
      <w:tr w:rsidR="00E827DB" w:rsidTr="00AC2B81">
        <w:trPr>
          <w:trHeight w:val="397"/>
        </w:trPr>
        <w:tc>
          <w:tcPr>
            <w:tcW w:w="1669" w:type="pct"/>
          </w:tcPr>
          <w:p w:rsidR="00E827DB" w:rsidP="00E827DB" w:rsidRDefault="00E827DB">
            <w:r>
              <w:t>Decision under appeal</w:t>
            </w:r>
            <w:r w:rsidRPr="00EF4519">
              <w:t>:</w:t>
            </w:r>
            <w:r>
              <w:t xml:space="preserve"> </w:t>
            </w:r>
          </w:p>
        </w:tc>
        <w:tc>
          <w:tcPr>
            <w:tcW w:w="3331" w:type="pct"/>
          </w:tcPr>
          <w:p w:rsidRPr="00EF4519" w:rsidR="00E827DB" w:rsidP="00856777" w:rsidRDefault="00E827DB">
            <w:sdt>
              <w:sdtPr>
                <w:alias w:val="Decision Under Appeal"/>
                <w:tag w:val="appeal"/>
                <w:id w:val="-117772912"/>
                <w:placeholder>
                  <w:docPart w:val="E8B7626A71E1B64AB957DAADD4528E61"/>
                </w:placeholder>
                <w:showingPlcHdr/>
                <w:text w:multiLine="true"/>
              </w:sdtPr>
              <w:sdtEndPr/>
              <w:sdtContent>
                <w:r w:rsidR="00856777">
                  <w:t xml:space="preserve"> </w:t>
                </w:r>
              </w:sdtContent>
            </w:sdt>
            <w:r>
              <w:t xml:space="preserve"> </w:t>
            </w:r>
          </w:p>
        </w:tc>
      </w:tr>
      <w:tr w:rsidR="00251EE4" w:rsidTr="00AC2B81">
        <w:trPr>
          <w:trHeight w:val="284"/>
        </w:trPr>
        <w:tc>
          <w:tcPr>
            <w:tcW w:w="1669" w:type="pct"/>
          </w:tcPr>
          <w:p w:rsidRPr="00EF4519" w:rsidR="00251EE4" w:rsidP="00E827DB" w:rsidRDefault="00277342">
            <w:r>
              <w:t xml:space="preserve"> </w:t>
            </w:r>
            <w:r w:rsidR="003F31CE">
              <w:t>Court or</w:t>
            </w:r>
            <w:r w:rsidRPr="00EF4519" w:rsidR="00ED3424">
              <w:t xml:space="preserve"> Tribunal:</w:t>
            </w:r>
            <w:r w:rsidRPr="00EF4519" w:rsidR="00B914EB">
              <w:t xml:space="preserve"> </w:t>
            </w:r>
          </w:p>
        </w:tc>
        <w:sdt>
          <w:sdtPr>
            <w:alias w:val="Court/Tribunal"/>
            <w:tag w:val="aCourt"/>
            <w:id w:val="816004220"/>
            <w:placeholder>
              <w:docPart w:val="2287E3D7A5999C449F68774214E87459"/>
            </w:placeholder>
            <w:text w:multiLine="true"/>
          </w:sdtPr>
          <w:sdtEndPr/>
          <w:sdtContent>
            <w:tc>
              <w:tcPr>
                <w:tcW w:w="3331" w:type="pct"/>
              </w:tcPr>
              <w:p w:rsidR="00251EE4" w:rsidP="008F3D40" w:rsidRDefault="008F3D40">
                <w:r>
                  <w:t xml:space="preserve">Land and Environment Court</w:t>
                </w:r>
              </w:p>
            </w:tc>
          </w:sdtContent>
        </w:sdt>
      </w:tr>
      <w:tr w:rsidR="00831DA1" w:rsidTr="00AC2B81">
        <w:trPr>
          <w:trHeight w:val="284"/>
        </w:trPr>
        <w:tc>
          <w:tcPr>
            <w:tcW w:w="1669" w:type="pct"/>
          </w:tcPr>
          <w:p w:rsidRPr="00EF4519" w:rsidR="00831DA1" w:rsidP="00E827DB" w:rsidRDefault="00831DA1">
            <w:r>
              <w:t xml:space="preserve">  </w:t>
            </w:r>
            <w:r w:rsidRPr="00EF4519" w:rsidR="000A6DFA">
              <w:t>Jurisdiction</w:t>
            </w:r>
            <w:r w:rsidRPr="00EF4519">
              <w:t>:</w:t>
            </w:r>
            <w:r w:rsidRPr="00EF4519" w:rsidR="00B914EB">
              <w:t xml:space="preserve"> </w:t>
            </w:r>
          </w:p>
        </w:tc>
        <w:sdt>
          <w:sdtPr>
            <w:alias w:val="Jurisdiction"/>
            <w:tag w:val="aJurisdiction"/>
            <w:id w:val="-1888862537"/>
            <w:placeholder>
              <w:docPart w:val="2287E3D7A5999C449F68774214E87459"/>
            </w:placeholder>
            <w:text w:multiLine="true"/>
          </w:sdtPr>
          <w:sdtEndPr/>
          <w:sdtContent>
            <w:tc>
              <w:tcPr>
                <w:tcW w:w="3331" w:type="pct"/>
              </w:tcPr>
              <w:p w:rsidR="00831DA1" w:rsidP="008F3D40" w:rsidRDefault="008F3D40">
                <w:r>
                  <w:t xml:space="preserve">Class 4</w:t>
                </w:r>
              </w:p>
            </w:tc>
          </w:sdtContent>
        </w:sdt>
      </w:tr>
      <w:tr w:rsidR="00162707" w:rsidTr="00AC2B81">
        <w:trPr>
          <w:trHeight w:val="284"/>
        </w:trPr>
        <w:tc>
          <w:tcPr>
            <w:tcW w:w="1669" w:type="pct"/>
          </w:tcPr>
          <w:p w:rsidRPr="00EF4519" w:rsidR="00162707" w:rsidP="00E827DB" w:rsidRDefault="00162707">
            <w:r>
              <w:t xml:space="preserve">  Citation:</w:t>
            </w:r>
            <w:r w:rsidRPr="00EF4519" w:rsidR="00B914EB">
              <w:t xml:space="preserve"> </w:t>
            </w:r>
          </w:p>
        </w:tc>
        <w:tc>
          <w:tcPr>
            <w:tcW w:w="3331" w:type="pct"/>
          </w:tcPr>
          <w:p w:rsidR="00162707" w:rsidP="00856777" w:rsidRDefault="00882F5B">
            <w:sdt>
              <w:sdtPr>
                <w:alias w:val="Appeal Citation"/>
                <w:tag w:val="aCitation"/>
                <w:id w:val="2091963108"/>
                <w:placeholder>
                  <w:docPart w:val="217D38CADD01B94283F7C310F9E5BE50"/>
                </w:placeholder>
                <w:showingPlcHdr/>
                <w:text w:multiLine="true"/>
              </w:sdtPr>
              <w:sdtEndPr/>
              <w:sdtContent>
                <w:r>
                  <w:t xml:space="preserve">[2024] NSWLEC 27</w:t>
                </w:r>
              </w:sdtContent>
            </w:sdt>
          </w:p>
        </w:tc>
      </w:tr>
      <w:tr w:rsidR="00251EE4" w:rsidTr="00AC2B81">
        <w:trPr>
          <w:trHeight w:val="334"/>
        </w:trPr>
        <w:tc>
          <w:tcPr>
            <w:tcW w:w="1669" w:type="pct"/>
          </w:tcPr>
          <w:p w:rsidRPr="00EF4519" w:rsidR="00251EE4" w:rsidP="00E827DB" w:rsidRDefault="00277342">
            <w:r>
              <w:t xml:space="preserve">  </w:t>
            </w:r>
            <w:r w:rsidRPr="00EF4519" w:rsidR="004930AF">
              <w:t>Date of Decision:</w:t>
            </w:r>
            <w:r w:rsidRPr="00EF4519" w:rsidR="00B914EB">
              <w:t xml:space="preserve"> </w:t>
            </w:r>
          </w:p>
        </w:tc>
        <w:tc>
          <w:tcPr>
            <w:tcW w:w="3331" w:type="pct"/>
          </w:tcPr>
          <w:p w:rsidR="00251EE4" w:rsidP="00856777" w:rsidRDefault="00882F5B">
            <w:sdt>
              <w:sdtPr>
                <w:alias w:val="Date of Decision"/>
                <w:tag w:val="aDecisionDate"/>
                <w:id w:val="-1542505353"/>
                <w:placeholder>
                  <w:docPart w:val="2FBB1D739F997A4C9851874ABC8B0AC1"/>
                </w:placeholder>
                <w:showingPlcHdr/>
                <w:date>
                  <w:dateFormat w:val="d MMMM yyyy"/>
                  <w:lid w:val="en-AU"/>
                  <w:storeMappedDataAs w:val="dateTime"/>
                  <w:calendar w:val="gregorian"/>
                </w:date>
              </w:sdtPr>
              <w:sdtEndPr/>
              <w:sdtContent>
                <w:r>
                  <w:t xml:space="preserve">28 March 2024</w:t>
                </w:r>
              </w:sdtContent>
            </w:sdt>
          </w:p>
        </w:tc>
      </w:tr>
      <w:tr w:rsidR="00251EE4" w:rsidTr="00AC2B81">
        <w:trPr>
          <w:trHeight w:val="384"/>
        </w:trPr>
        <w:tc>
          <w:tcPr>
            <w:tcW w:w="1669" w:type="pct"/>
          </w:tcPr>
          <w:p w:rsidRPr="00EF4519" w:rsidR="00251EE4" w:rsidP="00E827DB" w:rsidRDefault="00277342">
            <w:r>
              <w:t xml:space="preserve">  </w:t>
            </w:r>
            <w:r w:rsidRPr="00EF4519" w:rsidR="00162707">
              <w:t>Before</w:t>
            </w:r>
            <w:r w:rsidRPr="00EF4519" w:rsidR="004930AF">
              <w:t>:</w:t>
            </w:r>
            <w:r w:rsidRPr="00EF4519" w:rsidR="00B914EB">
              <w:t xml:space="preserve"> </w:t>
            </w:r>
          </w:p>
        </w:tc>
        <w:tc>
          <w:tcPr>
            <w:tcW w:w="3331" w:type="pct"/>
          </w:tcPr>
          <w:p w:rsidR="00251EE4" w:rsidP="00F822F4" w:rsidRDefault="00882F5B">
            <w:sdt>
              <w:sdtPr>
                <w:alias w:val="Before"/>
                <w:tag w:val="aBefore"/>
                <w:id w:val="-1858493395"/>
                <w:placeholder>
                  <w:docPart w:val="F09835F13B8F9844838CACDD8B96763F"/>
                </w:placeholder>
                <w:showingPlcHdr/>
                <w:text w:multiLine="true"/>
              </w:sdtPr>
              <w:sdtEndPr/>
              <w:sdtContent>
                <w:r>
                  <w:t xml:space="preserve">Pritchard J</w:t>
                </w:r>
              </w:sdtContent>
            </w:sdt>
          </w:p>
        </w:tc>
      </w:tr>
      <w:tr w:rsidR="00251EE4" w:rsidTr="00AC2B81">
        <w:trPr>
          <w:trHeight w:val="1015"/>
        </w:trPr>
        <w:tc>
          <w:tcPr>
            <w:tcW w:w="1669" w:type="pct"/>
          </w:tcPr>
          <w:p w:rsidRPr="00EF4519" w:rsidR="00251EE4" w:rsidP="00E827DB" w:rsidRDefault="00277342">
            <w:r>
              <w:t xml:space="preserve">  </w:t>
            </w:r>
            <w:r w:rsidRPr="00EF4519" w:rsidR="004930AF">
              <w:t>File Number</w:t>
            </w:r>
            <w:r w:rsidRPr="00EF4519" w:rsidR="00201CA2">
              <w:t>(s)</w:t>
            </w:r>
            <w:r w:rsidRPr="00EF4519" w:rsidR="004930AF">
              <w:t>:</w:t>
            </w:r>
            <w:r w:rsidRPr="00EF4519" w:rsidR="00B914EB">
              <w:t xml:space="preserve"> </w:t>
            </w:r>
          </w:p>
        </w:tc>
        <w:tc>
          <w:tcPr>
            <w:tcW w:w="3331" w:type="pct"/>
          </w:tcPr>
          <w:p w:rsidR="00251EE4" w:rsidP="00856777" w:rsidRDefault="00882F5B">
            <w:sdt>
              <w:sdtPr>
                <w:alias w:val="File Numbers"/>
                <w:tag w:val="aFileNumbers"/>
                <w:id w:val="1129205698"/>
                <w:placeholder>
                  <w:docPart w:val="4D4B4D2BC735494E88685FCB1B11F7E2"/>
                </w:placeholder>
                <w:showingPlcHdr/>
                <w:text w:multiLine="true"/>
              </w:sdtPr>
              <w:sdtEndPr/>
              <w:sdtContent>
                <w:r>
                  <w:t xml:space="preserve">2023/68853</w:t>
                </w:r>
              </w:sdtContent>
            </w:sdt>
          </w:p>
        </w:tc>
      </w:tr>
    </w:tbl>
    <w:p/>
    <w:p w:rsidRPr="00EF40A6" w:rsidR="00F22B5D" w:rsidP="00575582" w:rsidRDefault="00A2002E">
      <w:pPr>
        <w:shd w:val="clear" w:color="auto" w:fill="FFFFFF"/>
        <w:spacing w:after="0" w:line="240" w:lineRule="auto"/>
        <w:rPr>
          <w:rFonts w:cs="Arial"/>
          <w:i/>
          <w:iCs/>
          <w:color w:val="333333"/>
          <w:shd w:val="clear" w:color="auto" w:fill="FFFFFF"/>
        </w:rPr>
      </w:pPr>
      <w:r w:rsidRPr="00EF40A6">
        <w:rPr>
          <w:rStyle w:val="Emphasis"/>
          <w:rFonts w:cs="Arial"/>
          <w:color w:val="333333"/>
          <w:shd w:val="clear" w:color="auto" w:fill="FFFFFF"/>
        </w:rPr>
        <w:t>[Note: The Uniform Civil Procedure Rules 2005 provide (Rule 36.11) that unless the Court otherwise orders, a judgment or order is taken to be entered when it is recorded in the Court's computerised court record system. Setting aside and variation of judgments or orders is dealt with by Rules 36.15, 36.16, 36.17 and 36.18. Parties should in particular note the time limit of fourteen days in Rule 36.16.]</w:t>
      </w:r>
    </w:p>
    <w:p/>
    <w:p>
      <w:pPr>
        <w:pStyle w:val="CaselawHeading1"/>
        <w:keepNext/>
        <w:spacing w:before="150" w:after="150" w:line="264"/>
        <w:ind w:left="0"/>
      </w:pPr>
      <w:r>
        <w:rPr>
          <w:rFonts w:ascii="Arial"/>
        </w:rPr>
        <w:t>HEADNOTE</w:t>
      </w:r>
    </w:p>
    <w:p>
      <w:pPr>
        <w:pStyle w:val="CaselawNormal"/>
        <w:spacing w:before="150" w:after="150"/>
        <w:ind w:left="600"/>
        <w:jc w:val="left"/>
      </w:pPr>
      <w:r>
        <w:rPr>
          <w:rFonts w:ascii="Arial"/>
          <w:b/>
          <w:color w:val="000000"/>
          <w:sz w:val="24"/>
        </w:rPr>
        <w:t>[This headnote is not to be read as part of the judgment]</w:t>
      </w:r>
    </w:p>
    <w:p>
      <w:pPr>
        <w:pStyle w:val="CaselawNormal"/>
        <w:spacing w:before="150" w:after="150"/>
        <w:ind w:left="600"/>
        <w:jc w:val="left"/>
      </w:pPr>
      <w:r>
        <w:rPr>
          <w:rFonts w:ascii="Arial"/>
          <w:color w:val="000000"/>
          <w:sz w:val="24"/>
        </w:rPr>
        <w:t>On 13 April 2021, Woollahra Municipal Council (“the Council”) granted development consent for a proposed development in Bellevue Hill, which involved</w:t>
      </w:r>
      <w:r>
        <w:rPr>
          <w:rFonts w:ascii="Arial"/>
          <w:color w:val="000000"/>
          <w:sz w:val="24"/>
        </w:rPr>
        <w:t xml:space="preserve"> demolishing a pre-existing dwelling and replacing it with a three-storey house. Mr Cameron and Ms Green (“the appellants”) are the registered proprietors of the property.</w:t>
      </w:r>
      <w:r>
        <w:rPr>
          <w:rFonts w:ascii="Arial"/>
          <w:b/>
          <w:color w:val="000000"/>
          <w:sz w:val="24"/>
        </w:rPr>
        <w:t xml:space="preserve"> </w:t>
      </w:r>
      <w:r>
        <w:rPr>
          <w:rFonts w:ascii="Arial"/>
          <w:color w:val="000000"/>
          <w:sz w:val="24"/>
        </w:rPr>
        <w:t xml:space="preserve">On 11 April 2022, the appellants lodged a modification application under s 4.55 of the </w:t>
      </w:r>
      <w:r>
        <w:rPr>
          <w:rFonts w:ascii="Arial"/>
          <w:i/>
          <w:color w:val="000000"/>
          <w:sz w:val="24"/>
        </w:rPr>
        <w:t xml:space="preserve">Environmental Planning and Assessment Act 1979 </w:t>
      </w:r>
      <w:r>
        <w:rPr>
          <w:rFonts w:ascii="Arial"/>
          <w:color w:val="000000"/>
          <w:sz w:val="24"/>
        </w:rPr>
        <w:t xml:space="preserve">(“the EPA Act”), which sought to modify the development consent in various ways, including by adding a cellar level to the proposed development, with access to the cellar and associated storage area to be provided by a lift and access stairs. </w:t>
      </w:r>
    </w:p>
    <w:p>
      <w:pPr>
        <w:pStyle w:val="CaselawNormal"/>
        <w:spacing w:before="150" w:after="150"/>
        <w:ind w:left="600"/>
        <w:jc w:val="left"/>
      </w:pPr>
      <w:r>
        <w:rPr>
          <w:rFonts w:ascii="Arial"/>
          <w:color w:val="000000"/>
          <w:sz w:val="24"/>
        </w:rPr>
        <w:t xml:space="preserve">On 16 June 2022, the Council issued an assessment report responding to the appellants’ modification application. The report recommended “the deletion of the new cellar level and associated excavation” and that the proposed modifications otherwise be accepted. The Local Planning Panel modified the development consent and added condition C.1(d), which deleted the cellar level and provided that the area must remain unexcavated. The modified development consent approved three construction plans in each case with the notation “Cellar Level Deleted”. </w:t>
      </w:r>
    </w:p>
    <w:p>
      <w:pPr>
        <w:pStyle w:val="CaselawNormal"/>
        <w:spacing w:before="150" w:after="150"/>
        <w:ind w:left="600"/>
        <w:jc w:val="left"/>
      </w:pPr>
      <w:r>
        <w:rPr>
          <w:rFonts w:ascii="Arial"/>
          <w:color w:val="000000"/>
          <w:sz w:val="24"/>
        </w:rPr>
        <w:t xml:space="preserve">On 31 August 2022, the second respondent, an accredited certifier, issued a </w:t>
      </w:r>
      <w:r>
        <w:rPr>
          <w:rFonts w:ascii="Arial"/>
          <w:color w:val="000000"/>
          <w:sz w:val="24"/>
        </w:rPr>
        <w:t>construction certificate for the site, listing the development consent, the second development consent and the modified development consent as the relevant consents. Structural plans showed works in the area of the former cellar including an apparent lower floor level for a construction void with a concrete slab and precast concrete walls, stairs leading into the construction void, a lift, and a crane base. Thus, an issue arose from the inconsistency between condition C.1(d) of the development consent, which deleted the cellar level from the proposed consent, and the construction certificate, which permitted excavation of the area where the cellar level had been proposed for the purposes of building a crane base and installing a crane.</w:t>
      </w:r>
    </w:p>
    <w:p>
      <w:pPr>
        <w:pStyle w:val="CaselawNormal"/>
        <w:spacing w:before="150" w:after="150"/>
        <w:ind w:left="600"/>
        <w:jc w:val="left"/>
      </w:pPr>
      <w:r>
        <w:rPr>
          <w:rFonts w:ascii="Arial"/>
          <w:color w:val="000000"/>
          <w:sz w:val="24"/>
        </w:rPr>
        <w:t xml:space="preserve">The primary judge held that the Court should extend time under r 59.10 of the Uniform Civil Procedure Rules 2005 (NSW) (“UCPR”) for the Council to commence proceedings for judicial review of the certifier’s decision to issue the construction certificate. The modified development consent, properly construed, prohibited excavation within the area previously identified as the cellar level for all purposes. The plans, specifications and standards of building work specified in the construction certificate were not consistent with the modified development consent. </w:t>
      </w:r>
      <w:r>
        <w:rPr>
          <w:rFonts w:ascii="Arial"/>
          <w:color w:val="000000"/>
          <w:sz w:val="24"/>
        </w:rPr>
        <w:t>The primary judge found it</w:t>
      </w:r>
      <w:r>
        <w:rPr>
          <w:rFonts w:ascii="Arial"/>
          <w:color w:val="000000"/>
          <w:sz w:val="24"/>
        </w:rPr>
        <w:t xml:space="preserve"> was legally unreasonable for the certifier to determine that the construction certificate was consistent with the modified development consent. The primary judge made a declaration of invalidity in respect of part of the construction certificate. </w:t>
      </w:r>
    </w:p>
    <w:p>
      <w:pPr>
        <w:pStyle w:val="CaselawNormal"/>
        <w:spacing w:before="150" w:after="150"/>
        <w:ind w:left="600"/>
        <w:jc w:val="left"/>
      </w:pPr>
      <w:r>
        <w:rPr>
          <w:rFonts w:ascii="Arial"/>
          <w:color w:val="000000"/>
          <w:sz w:val="24"/>
        </w:rPr>
        <w:t xml:space="preserve">There were three issues on appeal: </w:t>
      </w:r>
    </w:p>
    <w:p>
      <w:pPr>
        <w:pStyle w:val="CaselawNormal"/>
        <w:spacing w:before="150" w:after="150"/>
        <w:ind w:left="600"/>
        <w:jc w:val="left"/>
      </w:pPr>
      <w:r>
        <w:rPr>
          <w:rFonts w:ascii="Arial"/>
          <w:color w:val="000000"/>
          <w:sz w:val="24"/>
        </w:rPr>
        <w:t>(i)</w:t>
      </w:r>
      <w:r>
        <w:rPr>
          <w:rFonts w:ascii="Arial"/>
          <w:color w:val="000000"/>
          <w:sz w:val="24"/>
        </w:rPr>
        <w:t>   </w:t>
      </w:r>
      <w:r>
        <w:rPr>
          <w:rFonts w:ascii="Arial"/>
          <w:color w:val="000000"/>
          <w:sz w:val="24"/>
        </w:rPr>
        <w:t xml:space="preserve">Was there error in the exercise of the primary judge’s discretion to extend time to commence judicial review proceedings </w:t>
      </w:r>
      <w:r>
        <w:rPr>
          <w:rFonts w:ascii="Arial"/>
          <w:color w:val="000000"/>
          <w:sz w:val="24"/>
        </w:rPr>
        <w:t>pursuant to UCPR r 59.10?</w:t>
      </w:r>
    </w:p>
    <w:p>
      <w:pPr>
        <w:pStyle w:val="CaselawNormal"/>
        <w:spacing w:before="150" w:after="150"/>
        <w:ind w:left="600"/>
        <w:jc w:val="left"/>
      </w:pPr>
      <w:r>
        <w:rPr>
          <w:rFonts w:ascii="Arial"/>
          <w:color w:val="000000"/>
          <w:sz w:val="24"/>
        </w:rPr>
        <w:t>(ii)</w:t>
      </w:r>
      <w:r>
        <w:rPr>
          <w:rFonts w:ascii="Arial"/>
          <w:color w:val="000000"/>
          <w:sz w:val="24"/>
        </w:rPr>
        <w:t>   </w:t>
      </w:r>
      <w:r>
        <w:rPr>
          <w:rFonts w:ascii="Arial"/>
          <w:color w:val="000000"/>
          <w:sz w:val="24"/>
        </w:rPr>
        <w:t>Was</w:t>
      </w:r>
      <w:r>
        <w:rPr>
          <w:rFonts w:ascii="Arial"/>
          <w:color w:val="000000"/>
          <w:sz w:val="24"/>
        </w:rPr>
        <w:t xml:space="preserve"> the decision of the private certifier to issue a construction certificate in the form it took legally unreasonable</w:t>
      </w:r>
      <w:r>
        <w:rPr>
          <w:rFonts w:ascii="Arial"/>
          <w:color w:val="000000"/>
          <w:sz w:val="24"/>
        </w:rPr>
        <w:t>?</w:t>
      </w:r>
    </w:p>
    <w:p>
      <w:pPr>
        <w:pStyle w:val="CaselawNormal"/>
        <w:spacing w:before="150" w:after="150"/>
        <w:ind w:left="600"/>
        <w:jc w:val="left"/>
      </w:pPr>
      <w:r>
        <w:rPr>
          <w:rFonts w:ascii="Arial"/>
          <w:color w:val="000000"/>
          <w:sz w:val="24"/>
        </w:rPr>
        <w:t>(iii)</w:t>
      </w:r>
      <w:r>
        <w:rPr>
          <w:rFonts w:ascii="Arial"/>
          <w:color w:val="000000"/>
          <w:sz w:val="24"/>
        </w:rPr>
        <w:t>   </w:t>
      </w:r>
      <w:r>
        <w:rPr>
          <w:rFonts w:ascii="Arial"/>
          <w:color w:val="000000"/>
          <w:sz w:val="24"/>
        </w:rPr>
        <w:t>Was</w:t>
      </w:r>
      <w:r>
        <w:rPr>
          <w:rFonts w:ascii="Arial"/>
          <w:color w:val="000000"/>
          <w:sz w:val="24"/>
        </w:rPr>
        <w:t xml:space="preserve"> the consequence of a finding of legal unreasonableness the invalidity of part of the </w:t>
      </w:r>
      <w:r>
        <w:rPr>
          <w:rFonts w:ascii="Arial"/>
          <w:color w:val="000000"/>
          <w:sz w:val="24"/>
        </w:rPr>
        <w:t>c</w:t>
      </w:r>
      <w:r>
        <w:rPr>
          <w:rFonts w:ascii="Arial"/>
          <w:color w:val="000000"/>
          <w:sz w:val="24"/>
        </w:rPr>
        <w:t xml:space="preserve">onstruction </w:t>
      </w:r>
      <w:r>
        <w:rPr>
          <w:rFonts w:ascii="Arial"/>
          <w:color w:val="000000"/>
          <w:sz w:val="24"/>
        </w:rPr>
        <w:t>certificate?</w:t>
      </w:r>
    </w:p>
    <w:p>
      <w:pPr>
        <w:pStyle w:val="CaselawNormal"/>
        <w:spacing w:before="150" w:after="150"/>
        <w:ind w:left="600"/>
        <w:jc w:val="left"/>
      </w:pPr>
      <w:r>
        <w:rPr>
          <w:rFonts w:ascii="Arial"/>
          <w:b/>
          <w:color w:val="000000"/>
          <w:sz w:val="24"/>
        </w:rPr>
        <w:t>The Court (Payne JA, White JA and Price AJA agreeing at [183] and [184] respectively) held, dismissing the appeal:</w:t>
      </w:r>
    </w:p>
    <w:p>
      <w:pPr>
        <w:pStyle w:val="CaselawNormal"/>
        <w:spacing w:before="150" w:after="150"/>
        <w:ind w:left="600"/>
        <w:jc w:val="left"/>
      </w:pPr>
      <w:r>
        <w:rPr>
          <w:rFonts w:ascii="Arial"/>
          <w:i/>
          <w:color w:val="000000"/>
          <w:sz w:val="24"/>
        </w:rPr>
        <w:t>On issue (i):</w:t>
      </w:r>
    </w:p>
    <w:p>
      <w:pPr>
        <w:pStyle w:val="CaselawNormal"/>
        <w:spacing w:before="150" w:after="150"/>
        <w:ind w:left="600"/>
        <w:jc w:val="left"/>
      </w:pPr>
      <w:r>
        <w:rPr>
          <w:rFonts w:ascii="Arial"/>
          <w:color w:val="000000"/>
          <w:sz w:val="24"/>
        </w:rPr>
        <w:t>(1)</w:t>
      </w:r>
      <w:r>
        <w:rPr>
          <w:rFonts w:ascii="Arial"/>
          <w:color w:val="000000"/>
          <w:sz w:val="24"/>
        </w:rPr>
        <w:t>   </w:t>
      </w:r>
      <w:r>
        <w:rPr>
          <w:rFonts w:ascii="Arial"/>
          <w:color w:val="000000"/>
          <w:sz w:val="24"/>
        </w:rPr>
        <w:t>The primary judge did not err in extending time pursuant to UCPR r 59.10: at [75].</w:t>
      </w:r>
      <w:r>
        <w:rPr>
          <w:rFonts w:ascii="Arial"/>
          <w:color w:val="000000"/>
          <w:sz w:val="24"/>
        </w:rPr>
        <w:t xml:space="preserve"> In general, a tight rein should be kept on applications to extend time in the statutory context of residential building pursuant to a construction certificate issued after an extensive development application process</w:t>
      </w:r>
      <w:r>
        <w:rPr>
          <w:rFonts w:ascii="Arial"/>
          <w:color w:val="000000"/>
          <w:sz w:val="24"/>
        </w:rPr>
        <w:t>.</w:t>
      </w:r>
      <w:r>
        <w:rPr>
          <w:rFonts w:ascii="Arial"/>
          <w:color w:val="000000"/>
          <w:sz w:val="24"/>
        </w:rPr>
        <w:t xml:space="preserve"> The absence of any evidence of prejudice to the appellants by the extension of time in the present case was striking: at [74]</w:t>
      </w:r>
      <w:r>
        <w:rPr>
          <w:rFonts w:ascii="Arial"/>
          <w:color w:val="000000"/>
          <w:sz w:val="24"/>
        </w:rPr>
        <w:t>.</w:t>
      </w:r>
    </w:p>
    <w:p>
      <w:pPr>
        <w:pStyle w:val="CaselawQuote"/>
        <w:spacing w:before="150" w:after="150"/>
        <w:ind w:left="1350"/>
        <w:jc w:val="left"/>
      </w:pPr>
      <w:r>
        <w:rPr>
          <w:rFonts w:ascii="Arial"/>
          <w:i/>
          <w:color w:val="000000"/>
          <w:sz w:val="22"/>
        </w:rPr>
        <w:t xml:space="preserve">Bankstown City Council v </w:t>
      </w:r>
      <w:r>
        <w:rPr>
          <w:rFonts w:ascii="Arial"/>
          <w:i/>
          <w:color w:val="000000"/>
          <w:sz w:val="22"/>
        </w:rPr>
        <w:t>Ramahi</w:t>
      </w:r>
      <w:r>
        <w:rPr>
          <w:rFonts w:ascii="Arial"/>
          <w:color w:val="000000"/>
          <w:sz w:val="22"/>
        </w:rPr>
        <w:t xml:space="preserve"> [2015] NSWLEC 74 considered. </w:t>
      </w:r>
      <w:r>
        <w:rPr>
          <w:rFonts w:ascii="Arial"/>
          <w:i/>
          <w:color w:val="000000"/>
          <w:sz w:val="22"/>
        </w:rPr>
        <w:t>Clancy v Director of Public Prosecutions</w:t>
      </w:r>
      <w:r>
        <w:rPr>
          <w:rFonts w:ascii="Arial"/>
          <w:color w:val="000000"/>
          <w:sz w:val="22"/>
        </w:rPr>
        <w:t xml:space="preserve"> [2018] NSWCA 102; </w:t>
      </w:r>
      <w:r>
        <w:rPr>
          <w:rFonts w:ascii="Arial"/>
          <w:i/>
          <w:color w:val="000000"/>
          <w:sz w:val="22"/>
        </w:rPr>
        <w:t>Toth v Director of Public Prosecutions (NSW)</w:t>
      </w:r>
      <w:r>
        <w:rPr>
          <w:rFonts w:ascii="Arial"/>
          <w:color w:val="000000"/>
          <w:sz w:val="22"/>
        </w:rPr>
        <w:t xml:space="preserve"> [2014] NSWCA 133; </w:t>
      </w:r>
      <w:r>
        <w:rPr>
          <w:rFonts w:ascii="Arial"/>
          <w:i/>
          <w:color w:val="000000"/>
          <w:sz w:val="22"/>
        </w:rPr>
        <w:t xml:space="preserve">Tomko v </w:t>
      </w:r>
      <w:r>
        <w:rPr>
          <w:rFonts w:ascii="Arial"/>
          <w:i/>
          <w:color w:val="000000"/>
          <w:sz w:val="22"/>
        </w:rPr>
        <w:t>Palasty</w:t>
      </w:r>
      <w:r>
        <w:rPr>
          <w:rFonts w:ascii="Arial"/>
          <w:i/>
          <w:color w:val="000000"/>
          <w:sz w:val="22"/>
        </w:rPr>
        <w:t xml:space="preserve"> (No 2)</w:t>
      </w:r>
      <w:r>
        <w:rPr>
          <w:rFonts w:ascii="Arial"/>
          <w:color w:val="000000"/>
          <w:sz w:val="22"/>
        </w:rPr>
        <w:t xml:space="preserve"> (2007) 71 NSWLR 61; [2007] NSWCA 369 applied. </w:t>
      </w:r>
    </w:p>
    <w:p>
      <w:pPr>
        <w:pStyle w:val="CaselawNormal"/>
        <w:spacing w:before="150" w:after="150"/>
        <w:ind w:left="600"/>
        <w:jc w:val="left"/>
      </w:pPr>
      <w:r>
        <w:rPr>
          <w:rFonts w:ascii="Arial"/>
          <w:i/>
          <w:color w:val="000000"/>
          <w:sz w:val="24"/>
        </w:rPr>
        <w:t>On issue (ii):</w:t>
      </w:r>
    </w:p>
    <w:p>
      <w:pPr>
        <w:pStyle w:val="CaselawNormal"/>
        <w:spacing w:before="150" w:after="150"/>
        <w:ind w:left="600"/>
        <w:jc w:val="left"/>
      </w:pPr>
      <w:r>
        <w:rPr>
          <w:rFonts w:ascii="Arial"/>
          <w:color w:val="000000"/>
          <w:sz w:val="24"/>
        </w:rPr>
        <w:t>(2)</w:t>
      </w:r>
      <w:r>
        <w:rPr>
          <w:rFonts w:ascii="Arial"/>
          <w:color w:val="000000"/>
          <w:sz w:val="24"/>
        </w:rPr>
        <w:t>   </w:t>
      </w:r>
      <w:r>
        <w:rPr>
          <w:rFonts w:ascii="Arial"/>
          <w:color w:val="000000"/>
          <w:sz w:val="24"/>
        </w:rPr>
        <w:t xml:space="preserve">The construction certificate was inconsistent with the development consent. The task in determining “inconsistency” is to make findings about the nature and extent of the variations to the approval plans and specifications. It is necessary to make an evaluative judgment as to whether the variations were or were not inconsistent, in the relevant sense, with the plans and specifications approved in the development consent: at </w:t>
      </w:r>
      <w:r>
        <w:rPr>
          <w:rFonts w:ascii="Arial"/>
          <w:color w:val="000000"/>
          <w:sz w:val="24"/>
        </w:rPr>
        <w:t>[105]-[108].</w:t>
      </w:r>
    </w:p>
    <w:p>
      <w:pPr>
        <w:pStyle w:val="CaselawQuote"/>
        <w:spacing w:before="150" w:after="150"/>
        <w:ind w:left="1350"/>
        <w:jc w:val="left"/>
      </w:pPr>
      <w:r>
        <w:rPr>
          <w:rFonts w:ascii="Arial"/>
          <w:i/>
          <w:color w:val="000000"/>
          <w:sz w:val="22"/>
        </w:rPr>
        <w:t xml:space="preserve">Burwood Council v </w:t>
      </w:r>
      <w:r>
        <w:rPr>
          <w:rFonts w:ascii="Arial"/>
          <w:i/>
          <w:color w:val="000000"/>
          <w:sz w:val="22"/>
        </w:rPr>
        <w:t>Ralan</w:t>
      </w:r>
      <w:r>
        <w:rPr>
          <w:rFonts w:ascii="Arial"/>
          <w:i/>
          <w:color w:val="000000"/>
          <w:sz w:val="22"/>
        </w:rPr>
        <w:t xml:space="preserve"> Burwood Pty Ltd (No 3)</w:t>
      </w:r>
      <w:r>
        <w:rPr>
          <w:rFonts w:ascii="Arial"/>
          <w:color w:val="000000"/>
          <w:sz w:val="22"/>
        </w:rPr>
        <w:t xml:space="preserve"> [2014] NSWCA 404 applied</w:t>
      </w:r>
      <w:r>
        <w:rPr>
          <w:rFonts w:ascii="Arial"/>
          <w:color w:val="000000"/>
          <w:sz w:val="22"/>
        </w:rPr>
        <w:t>.</w:t>
      </w:r>
    </w:p>
    <w:p>
      <w:pPr>
        <w:pStyle w:val="CaselawNormal"/>
        <w:spacing w:before="150" w:after="150"/>
        <w:ind w:left="600"/>
        <w:jc w:val="left"/>
      </w:pPr>
      <w:r>
        <w:rPr>
          <w:rFonts w:ascii="Arial"/>
          <w:color w:val="000000"/>
          <w:sz w:val="24"/>
        </w:rPr>
        <w:t>(3)</w:t>
      </w:r>
      <w:r>
        <w:rPr>
          <w:rFonts w:ascii="Arial"/>
          <w:color w:val="000000"/>
          <w:sz w:val="24"/>
        </w:rPr>
        <w:t>   </w:t>
      </w:r>
      <w:r>
        <w:rPr>
          <w:rFonts w:ascii="Arial"/>
          <w:color w:val="000000"/>
          <w:sz w:val="24"/>
        </w:rPr>
        <w:t xml:space="preserve">Inconsistency between a development consent and a construction certificate does not, in itself, establish that the decision of the certifier to issue a construction certificate was legally unreasonable. The issues are to be resolved by proper construction of the development consent, read as a whole, and the construction certificate, and the application of well-known principles </w:t>
      </w:r>
      <w:r>
        <w:rPr>
          <w:rFonts w:ascii="Arial"/>
          <w:color w:val="000000"/>
          <w:sz w:val="24"/>
        </w:rPr>
        <w:t>to establish</w:t>
      </w:r>
      <w:r>
        <w:rPr>
          <w:rFonts w:ascii="Arial"/>
          <w:color w:val="000000"/>
          <w:sz w:val="24"/>
        </w:rPr>
        <w:t xml:space="preserve"> unreasonableness. It is necessary to analyse the reasons of the certifier and the nature and extent of the inconsistency. The question is whether a certifier acting rationally, and having regard to the development consent as a whole, could have taken the view that the construction certificate plans were consistent with that development consent: at [</w:t>
      </w:r>
      <w:r>
        <w:rPr>
          <w:rFonts w:ascii="Arial"/>
          <w:color w:val="000000"/>
          <w:sz w:val="24"/>
        </w:rPr>
        <w:t>109]-[125].</w:t>
      </w:r>
    </w:p>
    <w:p>
      <w:pPr>
        <w:pStyle w:val="CaselawQuote"/>
        <w:spacing w:before="150" w:after="150"/>
        <w:ind w:left="1350"/>
        <w:jc w:val="left"/>
      </w:pPr>
      <w:r>
        <w:rPr>
          <w:rFonts w:ascii="Arial"/>
          <w:i/>
          <w:color w:val="000000"/>
          <w:sz w:val="22"/>
        </w:rPr>
        <w:t>Minister for Immigration and Citizenship v Li</w:t>
      </w:r>
      <w:r>
        <w:rPr>
          <w:rFonts w:ascii="Arial"/>
          <w:color w:val="000000"/>
          <w:sz w:val="22"/>
        </w:rPr>
        <w:t xml:space="preserve"> (2013) 249 CLR 332; [2013] HCA 18; </w:t>
      </w:r>
      <w:r>
        <w:rPr>
          <w:rFonts w:ascii="Arial"/>
          <w:i/>
          <w:color w:val="000000"/>
          <w:sz w:val="22"/>
        </w:rPr>
        <w:t xml:space="preserve">Burwood Council v </w:t>
      </w:r>
      <w:r>
        <w:rPr>
          <w:rFonts w:ascii="Arial"/>
          <w:i/>
          <w:color w:val="000000"/>
          <w:sz w:val="22"/>
        </w:rPr>
        <w:t>Ralan</w:t>
      </w:r>
      <w:r>
        <w:rPr>
          <w:rFonts w:ascii="Arial"/>
          <w:i/>
          <w:color w:val="000000"/>
          <w:sz w:val="22"/>
        </w:rPr>
        <w:t xml:space="preserve"> Burwood Pty Ltd (No 3)</w:t>
      </w:r>
      <w:r>
        <w:rPr>
          <w:rFonts w:ascii="Arial"/>
          <w:color w:val="000000"/>
          <w:sz w:val="22"/>
        </w:rPr>
        <w:t xml:space="preserve"> [2014] NSWCA 404; </w:t>
      </w:r>
      <w:r>
        <w:rPr>
          <w:rFonts w:ascii="Arial"/>
          <w:i/>
          <w:color w:val="000000"/>
          <w:sz w:val="22"/>
        </w:rPr>
        <w:t xml:space="preserve">Al Maha Pty Ltd v </w:t>
      </w:r>
      <w:r>
        <w:rPr>
          <w:rFonts w:ascii="Arial"/>
          <w:i/>
          <w:color w:val="000000"/>
          <w:sz w:val="22"/>
        </w:rPr>
        <w:t>Huajun</w:t>
      </w:r>
      <w:r>
        <w:rPr>
          <w:rFonts w:ascii="Arial"/>
          <w:i/>
          <w:color w:val="000000"/>
          <w:sz w:val="22"/>
        </w:rPr>
        <w:t xml:space="preserve"> Investments Pty Ltd</w:t>
      </w:r>
      <w:r>
        <w:rPr>
          <w:rFonts w:ascii="Arial"/>
          <w:color w:val="000000"/>
          <w:sz w:val="22"/>
        </w:rPr>
        <w:t xml:space="preserve"> [2018] NSWCA 245; </w:t>
      </w:r>
      <w:r>
        <w:rPr>
          <w:rFonts w:ascii="Arial"/>
          <w:i/>
          <w:color w:val="000000"/>
          <w:sz w:val="22"/>
        </w:rPr>
        <w:t xml:space="preserve">Corowa v </w:t>
      </w:r>
      <w:r>
        <w:rPr>
          <w:rFonts w:ascii="Arial"/>
          <w:i/>
          <w:color w:val="000000"/>
          <w:sz w:val="22"/>
        </w:rPr>
        <w:t>Geographe</w:t>
      </w:r>
      <w:r>
        <w:rPr>
          <w:rFonts w:ascii="Arial"/>
          <w:i/>
          <w:color w:val="000000"/>
          <w:sz w:val="22"/>
        </w:rPr>
        <w:t xml:space="preserve"> Point Pty Ltd &amp; Anor </w:t>
      </w:r>
      <w:r>
        <w:rPr>
          <w:rFonts w:ascii="Arial"/>
          <w:color w:val="000000"/>
          <w:sz w:val="22"/>
        </w:rPr>
        <w:t>[2007] NSWLEC 121 applied.</w:t>
      </w:r>
    </w:p>
    <w:p>
      <w:pPr>
        <w:pStyle w:val="CaselawNormal"/>
        <w:spacing w:before="150" w:after="150"/>
        <w:ind w:left="600"/>
        <w:jc w:val="left"/>
      </w:pPr>
      <w:r>
        <w:rPr>
          <w:rFonts w:ascii="Arial"/>
          <w:color w:val="000000"/>
          <w:sz w:val="24"/>
        </w:rPr>
        <w:t>(4)</w:t>
      </w:r>
      <w:r>
        <w:rPr>
          <w:rFonts w:ascii="Arial"/>
          <w:color w:val="000000"/>
          <w:sz w:val="24"/>
        </w:rPr>
        <w:t>   </w:t>
      </w:r>
      <w:r>
        <w:rPr>
          <w:rFonts w:ascii="Arial"/>
          <w:color w:val="000000"/>
          <w:sz w:val="24"/>
        </w:rPr>
        <w:t>There was no evidence of</w:t>
      </w:r>
      <w:r>
        <w:rPr>
          <w:rFonts w:ascii="Arial"/>
          <w:color w:val="000000"/>
          <w:sz w:val="24"/>
        </w:rPr>
        <w:t xml:space="preserve"> a recommendation of the Geotechnical/Hydrogeological Monitoring Program or direction of the </w:t>
      </w:r>
      <w:r>
        <w:rPr>
          <w:rFonts w:ascii="Arial"/>
          <w:color w:val="000000"/>
          <w:sz w:val="24"/>
        </w:rPr>
        <w:t>supervising professional engineer</w:t>
      </w:r>
      <w:r>
        <w:rPr>
          <w:rFonts w:ascii="Arial"/>
          <w:color w:val="000000"/>
          <w:sz w:val="24"/>
        </w:rPr>
        <w:t xml:space="preserve"> to excavate the former cellar level</w:t>
      </w:r>
      <w:r>
        <w:rPr>
          <w:rFonts w:ascii="Arial"/>
          <w:color w:val="000000"/>
          <w:sz w:val="24"/>
        </w:rPr>
        <w:t>. There is no indication in the</w:t>
      </w:r>
      <w:r>
        <w:rPr>
          <w:rFonts w:ascii="Arial"/>
          <w:color w:val="000000"/>
          <w:sz w:val="24"/>
        </w:rPr>
        <w:t xml:space="preserve"> voluminous material</w:t>
      </w:r>
      <w:r>
        <w:rPr>
          <w:rFonts w:ascii="Arial"/>
          <w:color w:val="000000"/>
          <w:sz w:val="24"/>
        </w:rPr>
        <w:t>s</w:t>
      </w:r>
      <w:r>
        <w:rPr>
          <w:rFonts w:ascii="Arial"/>
          <w:color w:val="000000"/>
          <w:sz w:val="24"/>
        </w:rPr>
        <w:t xml:space="preserve"> that the construction of the crane in the former cellar area, the precast panels, or the construction void were necessary to permit the ongoing construction of structural elements of the new house: </w:t>
      </w:r>
      <w:r>
        <w:rPr>
          <w:rFonts w:ascii="Arial"/>
          <w:color w:val="000000"/>
          <w:sz w:val="24"/>
        </w:rPr>
        <w:t>at [126]-[136]</w:t>
      </w:r>
      <w:r>
        <w:rPr>
          <w:rFonts w:ascii="Arial"/>
          <w:color w:val="000000"/>
          <w:sz w:val="24"/>
        </w:rPr>
        <w:t xml:space="preserve">. </w:t>
      </w:r>
      <w:r>
        <w:rPr>
          <w:rFonts w:ascii="Arial"/>
          <w:color w:val="000000"/>
          <w:sz w:val="24"/>
        </w:rPr>
        <w:t>I</w:t>
      </w:r>
      <w:r>
        <w:rPr>
          <w:rFonts w:ascii="Arial"/>
          <w:color w:val="000000"/>
          <w:sz w:val="24"/>
        </w:rPr>
        <w:t xml:space="preserve">n the face of such a clear condition, </w:t>
      </w:r>
      <w:r>
        <w:rPr>
          <w:rFonts w:ascii="Arial"/>
          <w:color w:val="000000"/>
          <w:sz w:val="24"/>
        </w:rPr>
        <w:t>the</w:t>
      </w:r>
      <w:r>
        <w:rPr>
          <w:rFonts w:ascii="Arial"/>
          <w:color w:val="000000"/>
          <w:sz w:val="24"/>
        </w:rPr>
        <w:t xml:space="preserve"> certifier’s decision to issue a </w:t>
      </w:r>
      <w:r>
        <w:rPr>
          <w:rFonts w:ascii="Arial"/>
          <w:color w:val="000000"/>
          <w:sz w:val="24"/>
        </w:rPr>
        <w:t>construction certificate which set condition C.1(d) at naught</w:t>
      </w:r>
      <w:r>
        <w:rPr>
          <w:rFonts w:ascii="Arial"/>
          <w:color w:val="000000"/>
          <w:sz w:val="24"/>
        </w:rPr>
        <w:t xml:space="preserve"> was legally unreasonable</w:t>
      </w:r>
      <w:r>
        <w:rPr>
          <w:rFonts w:ascii="Arial"/>
          <w:color w:val="000000"/>
          <w:sz w:val="24"/>
        </w:rPr>
        <w:t>: at [138].</w:t>
      </w:r>
    </w:p>
    <w:p>
      <w:pPr>
        <w:pStyle w:val="CaselawNormal"/>
        <w:spacing w:before="150" w:after="150"/>
        <w:ind w:left="600"/>
        <w:jc w:val="left"/>
      </w:pPr>
      <w:r>
        <w:rPr>
          <w:rFonts w:ascii="Arial"/>
          <w:i/>
          <w:color w:val="000000"/>
          <w:sz w:val="24"/>
        </w:rPr>
        <w:t>On issue (iii):</w:t>
      </w:r>
    </w:p>
    <w:p>
      <w:pPr>
        <w:pStyle w:val="CaselawNormal"/>
        <w:spacing w:before="150" w:after="150"/>
        <w:ind w:left="600"/>
        <w:jc w:val="left"/>
      </w:pPr>
      <w:r>
        <w:rPr>
          <w:rFonts w:ascii="Arial"/>
          <w:color w:val="000000"/>
          <w:sz w:val="24"/>
        </w:rPr>
        <w:t>(5)</w:t>
      </w:r>
      <w:r>
        <w:rPr>
          <w:rFonts w:ascii="Arial"/>
          <w:color w:val="000000"/>
          <w:sz w:val="24"/>
        </w:rPr>
        <w:t>   </w:t>
      </w:r>
      <w:r>
        <w:rPr>
          <w:rFonts w:ascii="Arial"/>
          <w:color w:val="000000"/>
          <w:sz w:val="24"/>
        </w:rPr>
        <w:t>A</w:t>
      </w:r>
      <w:r>
        <w:rPr>
          <w:rFonts w:ascii="Arial"/>
          <w:color w:val="000000"/>
          <w:sz w:val="24"/>
        </w:rPr>
        <w:t xml:space="preserve"> decision involving jurisdictional error, although it </w:t>
      </w:r>
      <w:r>
        <w:rPr>
          <w:rFonts w:ascii="Arial"/>
          <w:color w:val="000000"/>
          <w:sz w:val="24"/>
        </w:rPr>
        <w:t>remains a decision in fact</w:t>
      </w:r>
      <w:r>
        <w:rPr>
          <w:rFonts w:ascii="Arial"/>
          <w:color w:val="000000"/>
          <w:sz w:val="24"/>
        </w:rPr>
        <w:t xml:space="preserve">, </w:t>
      </w:r>
      <w:r>
        <w:rPr>
          <w:rFonts w:ascii="Arial"/>
          <w:color w:val="000000"/>
          <w:sz w:val="24"/>
        </w:rPr>
        <w:t>is properly to be regarded as no decision at all: at [153]-[161].</w:t>
      </w:r>
      <w:r>
        <w:rPr>
          <w:rFonts w:ascii="Arial"/>
          <w:color w:val="000000"/>
          <w:sz w:val="24"/>
        </w:rPr>
        <w:t xml:space="preserve"> </w:t>
      </w:r>
      <w:r>
        <w:rPr>
          <w:rFonts w:ascii="Arial"/>
          <w:color w:val="000000"/>
          <w:sz w:val="24"/>
        </w:rPr>
        <w:t>The consequence of a finding of jurisdictional error is a question of statutory construction: at [159</w:t>
      </w:r>
      <w:r>
        <w:rPr>
          <w:rFonts w:ascii="Arial"/>
          <w:color w:val="000000"/>
          <w:sz w:val="24"/>
        </w:rPr>
        <w:t xml:space="preserve">]. The appellants accepted that the decision to issue the construction certificate was amenable to judicial review for jurisdictional error. Jurisdictional error having been found, the impugned decision was void, at least in part. Nothing in </w:t>
      </w:r>
      <w:r>
        <w:rPr>
          <w:rFonts w:ascii="Arial"/>
          <w:i/>
          <w:color w:val="000000"/>
          <w:sz w:val="24"/>
        </w:rPr>
        <w:t xml:space="preserve">Burwood Council v </w:t>
      </w:r>
      <w:r>
        <w:rPr>
          <w:rFonts w:ascii="Arial"/>
          <w:i/>
          <w:color w:val="000000"/>
          <w:sz w:val="24"/>
        </w:rPr>
        <w:t>Ralan</w:t>
      </w:r>
      <w:r>
        <w:rPr>
          <w:rFonts w:ascii="Arial"/>
          <w:i/>
          <w:color w:val="000000"/>
          <w:sz w:val="24"/>
        </w:rPr>
        <w:t xml:space="preserve"> Burwood Pty Ltd (No 3)</w:t>
      </w:r>
      <w:r>
        <w:rPr>
          <w:rFonts w:ascii="Arial"/>
          <w:color w:val="000000"/>
          <w:sz w:val="24"/>
        </w:rPr>
        <w:t xml:space="preserve"> [2014] NSWCA 404 mandates a different conclusion: at [160]-[180].</w:t>
      </w:r>
    </w:p>
    <w:p>
      <w:pPr>
        <w:pStyle w:val="CaselawQuote"/>
        <w:spacing w:before="150" w:after="150"/>
        <w:ind w:left="1350"/>
        <w:jc w:val="left"/>
      </w:pPr>
      <w:r>
        <w:rPr>
          <w:rFonts w:ascii="Arial"/>
          <w:i/>
          <w:color w:val="000000"/>
          <w:sz w:val="22"/>
        </w:rPr>
        <w:t>Hossain v Minister for Immigration and Border Protection</w:t>
      </w:r>
      <w:r>
        <w:rPr>
          <w:rFonts w:ascii="Arial"/>
          <w:color w:val="000000"/>
          <w:sz w:val="22"/>
        </w:rPr>
        <w:t xml:space="preserve"> (2018) 264 CLR 123; [2018] HCA 34; </w:t>
      </w:r>
      <w:r>
        <w:rPr>
          <w:rFonts w:ascii="Arial"/>
          <w:i/>
          <w:color w:val="000000"/>
          <w:sz w:val="22"/>
        </w:rPr>
        <w:t>Minister for Immigration and Multicultural Affairs v Bhardwaj</w:t>
      </w:r>
      <w:r>
        <w:rPr>
          <w:rFonts w:ascii="Arial"/>
          <w:color w:val="000000"/>
          <w:sz w:val="22"/>
        </w:rPr>
        <w:t xml:space="preserve"> (2002) 209 CLR 597; [2002] HCA 11; </w:t>
      </w:r>
      <w:r>
        <w:rPr>
          <w:rFonts w:ascii="Arial"/>
          <w:i/>
          <w:color w:val="000000"/>
          <w:sz w:val="22"/>
        </w:rPr>
        <w:t>New South Wales v Kable</w:t>
      </w:r>
      <w:r>
        <w:rPr>
          <w:rFonts w:ascii="Arial"/>
          <w:color w:val="000000"/>
          <w:sz w:val="22"/>
        </w:rPr>
        <w:t xml:space="preserve"> (2013) 252 CLR 118; [2013] HCA 26 applied. </w:t>
      </w:r>
      <w:r>
        <w:rPr>
          <w:rFonts w:ascii="Arial"/>
          <w:i/>
          <w:color w:val="000000"/>
          <w:sz w:val="22"/>
        </w:rPr>
        <w:t>Ralan</w:t>
      </w:r>
      <w:r>
        <w:rPr>
          <w:rFonts w:ascii="Arial"/>
          <w:i/>
          <w:color w:val="000000"/>
          <w:sz w:val="22"/>
        </w:rPr>
        <w:t xml:space="preserve"> Burwood Pty Ltd (No 3)</w:t>
      </w:r>
      <w:r>
        <w:rPr>
          <w:rFonts w:ascii="Arial"/>
          <w:color w:val="000000"/>
          <w:sz w:val="22"/>
        </w:rPr>
        <w:t xml:space="preserve"> [2014] NSWCA 404 considered.</w:t>
      </w:r>
    </w:p>
    <w:p>
      <w:pPr>
        <w:pStyle w:val="CaselawHeading1"/>
        <w:keepNext/>
        <w:spacing w:before="150" w:after="150" w:line="264"/>
        <w:ind w:left="0"/>
        <w:jc w:val="left"/>
      </w:pPr>
      <w:r>
        <w:rPr>
          <w:rFonts w:ascii="Arial"/>
        </w:rPr>
        <w:t>Judgment</w:t>
      </w:r>
    </w:p>
    <w:p>
      <w:pPr>
        <w:pStyle w:val="CaselawNumbered10"/>
        <w:numPr>
          <w:ilvl w:val="0"/>
          <w:numId w:val="22"/>
        </w:numPr>
        <w:spacing w:before="150" w:after="0"/>
        <w:ind w:left="600" w:hanging="600"/>
      </w:pPr>
      <w:r>
        <w:rPr>
          <w:rFonts w:ascii="Arial"/>
          <w:b/>
          <w:color w:val="000000"/>
          <w:sz w:val="24"/>
        </w:rPr>
        <w:t>PAYNE JA</w:t>
      </w:r>
      <w:r>
        <w:rPr>
          <w:rFonts w:ascii="Arial"/>
          <w:color w:val="000000"/>
          <w:sz w:val="24"/>
        </w:rPr>
        <w:t xml:space="preserve">: </w:t>
      </w:r>
      <w:r>
        <w:rPr>
          <w:rFonts w:ascii="Arial"/>
          <w:color w:val="000000"/>
          <w:sz w:val="24"/>
        </w:rPr>
        <w:t xml:space="preserve">Mr </w:t>
      </w:r>
      <w:r>
        <w:rPr>
          <w:rFonts w:ascii="Arial"/>
          <w:color w:val="000000"/>
          <w:sz w:val="24"/>
        </w:rPr>
        <w:t xml:space="preserve">Cameron </w:t>
      </w:r>
      <w:r>
        <w:rPr>
          <w:rFonts w:ascii="Arial"/>
          <w:color w:val="000000"/>
          <w:sz w:val="24"/>
        </w:rPr>
        <w:t xml:space="preserve">and Ms </w:t>
      </w:r>
      <w:r>
        <w:rPr>
          <w:rFonts w:ascii="Arial"/>
          <w:color w:val="000000"/>
          <w:sz w:val="24"/>
        </w:rPr>
        <w:t>Green (</w:t>
      </w:r>
      <w:r>
        <w:rPr>
          <w:rFonts w:ascii="Arial"/>
          <w:color w:val="000000"/>
          <w:sz w:val="24"/>
        </w:rPr>
        <w:t>“</w:t>
      </w:r>
      <w:r>
        <w:rPr>
          <w:rFonts w:ascii="Arial"/>
          <w:color w:val="000000"/>
          <w:sz w:val="24"/>
        </w:rPr>
        <w:t>the appellants</w:t>
      </w:r>
      <w:r>
        <w:rPr>
          <w:rFonts w:ascii="Arial"/>
          <w:color w:val="000000"/>
          <w:sz w:val="24"/>
        </w:rPr>
        <w:t>”</w:t>
      </w:r>
      <w:r>
        <w:rPr>
          <w:rFonts w:ascii="Arial"/>
          <w:color w:val="000000"/>
          <w:sz w:val="24"/>
        </w:rPr>
        <w:t>)</w:t>
      </w:r>
      <w:r>
        <w:rPr>
          <w:rFonts w:ascii="Arial"/>
          <w:color w:val="000000"/>
          <w:sz w:val="24"/>
        </w:rPr>
        <w:t xml:space="preserve"> </w:t>
      </w:r>
      <w:r>
        <w:rPr>
          <w:rFonts w:ascii="Arial"/>
          <w:color w:val="000000"/>
          <w:sz w:val="24"/>
        </w:rPr>
        <w:t xml:space="preserve">are the registered proprietors of a property </w:t>
      </w:r>
      <w:r>
        <w:rPr>
          <w:rFonts w:ascii="Arial"/>
          <w:color w:val="000000"/>
          <w:sz w:val="24"/>
        </w:rPr>
        <w:t>in Bellevue Hill</w:t>
      </w:r>
      <w:r>
        <w:rPr>
          <w:rFonts w:ascii="Arial"/>
          <w:color w:val="000000"/>
          <w:sz w:val="24"/>
        </w:rPr>
        <w:t xml:space="preserve">. </w:t>
      </w:r>
      <w:r>
        <w:rPr>
          <w:rFonts w:ascii="Arial"/>
          <w:color w:val="000000"/>
          <w:sz w:val="24"/>
        </w:rPr>
        <w:t xml:space="preserve">The first respondent, </w:t>
      </w:r>
      <w:r>
        <w:rPr>
          <w:rFonts w:ascii="Arial"/>
          <w:color w:val="000000"/>
          <w:sz w:val="24"/>
        </w:rPr>
        <w:t>Woollahra Municipal Council (</w:t>
      </w:r>
      <w:r>
        <w:rPr>
          <w:rFonts w:ascii="Arial"/>
          <w:color w:val="000000"/>
          <w:sz w:val="24"/>
        </w:rPr>
        <w:t>“</w:t>
      </w:r>
      <w:r>
        <w:rPr>
          <w:rFonts w:ascii="Arial"/>
          <w:color w:val="000000"/>
          <w:sz w:val="24"/>
        </w:rPr>
        <w:t xml:space="preserve">the </w:t>
      </w:r>
      <w:r>
        <w:rPr>
          <w:rFonts w:ascii="Arial"/>
          <w:color w:val="000000"/>
          <w:sz w:val="24"/>
        </w:rPr>
        <w:t>Council</w:t>
      </w:r>
      <w:r>
        <w:rPr>
          <w:rFonts w:ascii="Arial"/>
          <w:color w:val="000000"/>
          <w:sz w:val="24"/>
        </w:rPr>
        <w:t>”</w:t>
      </w:r>
      <w:r>
        <w:rPr>
          <w:rFonts w:ascii="Arial"/>
          <w:color w:val="000000"/>
          <w:sz w:val="24"/>
        </w:rPr>
        <w:t>)</w:t>
      </w:r>
      <w:r>
        <w:rPr>
          <w:rFonts w:ascii="Arial"/>
          <w:color w:val="000000"/>
          <w:sz w:val="24"/>
        </w:rPr>
        <w:t xml:space="preserve"> </w:t>
      </w:r>
      <w:r>
        <w:rPr>
          <w:rFonts w:ascii="Arial"/>
          <w:color w:val="000000"/>
          <w:sz w:val="24"/>
        </w:rPr>
        <w:t xml:space="preserve">is the consent authority for residential building development in Bellevue Hill. </w:t>
      </w:r>
      <w:r>
        <w:rPr>
          <w:rFonts w:ascii="Arial"/>
          <w:color w:val="000000"/>
          <w:sz w:val="24"/>
        </w:rPr>
        <w:t xml:space="preserve">The second respondent, </w:t>
      </w:r>
      <w:r>
        <w:rPr>
          <w:rFonts w:ascii="Arial"/>
          <w:color w:val="000000"/>
          <w:sz w:val="24"/>
        </w:rPr>
        <w:t xml:space="preserve">Mr Paul </w:t>
      </w:r>
      <w:r>
        <w:rPr>
          <w:rFonts w:ascii="Arial"/>
          <w:color w:val="000000"/>
          <w:sz w:val="24"/>
        </w:rPr>
        <w:t>Aramini</w:t>
      </w:r>
      <w:r>
        <w:rPr>
          <w:rFonts w:ascii="Arial"/>
          <w:color w:val="000000"/>
          <w:sz w:val="24"/>
        </w:rPr>
        <w:t>, (</w:t>
      </w:r>
      <w:r>
        <w:rPr>
          <w:rFonts w:ascii="Arial"/>
          <w:color w:val="000000"/>
          <w:sz w:val="24"/>
        </w:rPr>
        <w:t>“</w:t>
      </w:r>
      <w:r>
        <w:rPr>
          <w:rFonts w:ascii="Arial"/>
          <w:color w:val="000000"/>
          <w:sz w:val="24"/>
        </w:rPr>
        <w:t xml:space="preserve">the </w:t>
      </w:r>
      <w:r>
        <w:rPr>
          <w:rFonts w:ascii="Arial"/>
          <w:color w:val="000000"/>
          <w:sz w:val="24"/>
        </w:rPr>
        <w:t>certifier</w:t>
      </w:r>
      <w:r>
        <w:rPr>
          <w:rFonts w:ascii="Arial"/>
          <w:color w:val="000000"/>
          <w:sz w:val="24"/>
        </w:rPr>
        <w:t>”</w:t>
      </w:r>
      <w:r>
        <w:rPr>
          <w:rFonts w:ascii="Arial"/>
          <w:color w:val="000000"/>
          <w:sz w:val="24"/>
        </w:rPr>
        <w:t xml:space="preserve">), </w:t>
      </w:r>
      <w:r>
        <w:rPr>
          <w:rFonts w:ascii="Arial"/>
          <w:color w:val="000000"/>
          <w:sz w:val="24"/>
        </w:rPr>
        <w:t xml:space="preserve">is a private certifier </w:t>
      </w:r>
      <w:r>
        <w:rPr>
          <w:rFonts w:ascii="Arial"/>
          <w:color w:val="000000"/>
          <w:sz w:val="24"/>
        </w:rPr>
        <w:t>who issued</w:t>
      </w:r>
      <w:r>
        <w:rPr>
          <w:rFonts w:ascii="Arial"/>
          <w:color w:val="000000"/>
          <w:sz w:val="24"/>
        </w:rPr>
        <w:t xml:space="preserve"> </w:t>
      </w:r>
      <w:r>
        <w:rPr>
          <w:rFonts w:ascii="Arial"/>
          <w:color w:val="000000"/>
          <w:sz w:val="24"/>
        </w:rPr>
        <w:t xml:space="preserve">a construction certificate </w:t>
      </w:r>
      <w:r>
        <w:rPr>
          <w:rFonts w:ascii="Arial"/>
          <w:color w:val="000000"/>
          <w:sz w:val="24"/>
        </w:rPr>
        <w:t>for the appellants</w:t>
      </w:r>
      <w:r>
        <w:rPr>
          <w:rFonts w:ascii="Arial"/>
          <w:color w:val="000000"/>
          <w:sz w:val="24"/>
        </w:rPr>
        <w:t>’</w:t>
      </w:r>
      <w:r>
        <w:rPr>
          <w:rFonts w:ascii="Arial"/>
          <w:color w:val="000000"/>
          <w:sz w:val="24"/>
        </w:rPr>
        <w:t xml:space="preserve"> </w:t>
      </w:r>
      <w:r>
        <w:rPr>
          <w:rFonts w:ascii="Arial"/>
          <w:color w:val="000000"/>
          <w:sz w:val="24"/>
        </w:rPr>
        <w:t>property.</w:t>
      </w:r>
      <w:r>
        <w:rPr>
          <w:rFonts w:ascii="Arial"/>
          <w:color w:val="000000"/>
          <w:sz w:val="24"/>
        </w:rPr>
        <w:t xml:space="preserve"> </w:t>
      </w:r>
      <w:r>
        <w:rPr>
          <w:rFonts w:ascii="Arial"/>
          <w:color w:val="000000"/>
          <w:sz w:val="24"/>
        </w:rPr>
        <w:t xml:space="preserve">Mr </w:t>
      </w:r>
      <w:r>
        <w:rPr>
          <w:rFonts w:ascii="Arial"/>
          <w:color w:val="000000"/>
          <w:sz w:val="24"/>
        </w:rPr>
        <w:t>Aramini</w:t>
      </w:r>
      <w:r>
        <w:rPr>
          <w:rFonts w:ascii="Arial"/>
          <w:color w:val="000000"/>
          <w:sz w:val="24"/>
        </w:rPr>
        <w:t xml:space="preserve"> </w:t>
      </w:r>
      <w:r>
        <w:rPr>
          <w:rFonts w:ascii="Arial"/>
          <w:color w:val="000000"/>
          <w:sz w:val="24"/>
        </w:rPr>
        <w:t>entered submitting appearances in this Court and in the Land and Environment Court.</w:t>
      </w:r>
      <w:r>
        <w:rPr>
          <w:rFonts w:ascii="Arial"/>
          <w:color w:val="000000"/>
          <w:sz w:val="24"/>
        </w:rPr>
        <w:t xml:space="preserve"> </w:t>
      </w:r>
    </w:p>
    <w:p>
      <w:pPr>
        <w:pStyle w:val="CaselawNumbered10"/>
        <w:numPr>
          <w:ilvl w:val="0"/>
          <w:numId w:val="22"/>
        </w:numPr>
        <w:spacing w:before="150" w:after="0"/>
        <w:ind w:left="600" w:hanging="600"/>
      </w:pPr>
      <w:r>
        <w:rPr>
          <w:rFonts w:ascii="Arial"/>
          <w:color w:val="000000"/>
          <w:sz w:val="24"/>
        </w:rPr>
        <w:t xml:space="preserve">On 13 April 2021, the </w:t>
      </w:r>
      <w:r>
        <w:rPr>
          <w:rFonts w:ascii="Arial"/>
          <w:color w:val="000000"/>
          <w:sz w:val="24"/>
        </w:rPr>
        <w:t>Council</w:t>
      </w:r>
      <w:r>
        <w:rPr>
          <w:rFonts w:ascii="Arial"/>
          <w:color w:val="000000"/>
          <w:sz w:val="24"/>
        </w:rPr>
        <w:t xml:space="preserve"> </w:t>
      </w:r>
      <w:r>
        <w:rPr>
          <w:rFonts w:ascii="Arial"/>
          <w:color w:val="000000"/>
          <w:sz w:val="24"/>
        </w:rPr>
        <w:t xml:space="preserve">granted development consent DA 457/2020 for </w:t>
      </w:r>
      <w:r>
        <w:rPr>
          <w:rFonts w:ascii="Arial"/>
          <w:color w:val="000000"/>
          <w:sz w:val="24"/>
        </w:rPr>
        <w:t>a</w:t>
      </w:r>
      <w:r>
        <w:rPr>
          <w:rFonts w:ascii="Arial"/>
          <w:color w:val="000000"/>
          <w:sz w:val="24"/>
        </w:rPr>
        <w:t xml:space="preserve"> </w:t>
      </w:r>
      <w:r>
        <w:rPr>
          <w:rFonts w:ascii="Arial"/>
          <w:color w:val="000000"/>
          <w:sz w:val="24"/>
        </w:rPr>
        <w:t>proposed development</w:t>
      </w:r>
      <w:r>
        <w:rPr>
          <w:rFonts w:ascii="Arial"/>
          <w:color w:val="000000"/>
          <w:sz w:val="24"/>
        </w:rPr>
        <w:t xml:space="preserve"> </w:t>
      </w:r>
      <w:r>
        <w:rPr>
          <w:rFonts w:ascii="Arial"/>
          <w:color w:val="000000"/>
          <w:sz w:val="24"/>
        </w:rPr>
        <w:t>in Bellevue Hill</w:t>
      </w:r>
      <w:r>
        <w:rPr>
          <w:rFonts w:ascii="Arial"/>
          <w:color w:val="000000"/>
          <w:sz w:val="24"/>
        </w:rPr>
        <w:t>, which involves demolishing a pre-existing dwelling and replacing it with a three-storey house. A second development consent was later granted, which is irrelevant to the present appeal.</w:t>
      </w:r>
      <w:r>
        <w:rPr>
          <w:rFonts w:ascii="Arial"/>
          <w:color w:val="000000"/>
          <w:sz w:val="24"/>
        </w:rPr>
        <w:t xml:space="preserve"> </w:t>
      </w:r>
    </w:p>
    <w:p>
      <w:pPr>
        <w:pStyle w:val="CaselawNumbered10"/>
        <w:numPr>
          <w:ilvl w:val="0"/>
          <w:numId w:val="22"/>
        </w:numPr>
        <w:spacing w:before="150" w:after="0"/>
        <w:ind w:left="600" w:hanging="600"/>
      </w:pPr>
      <w:r>
        <w:rPr>
          <w:rFonts w:ascii="Arial"/>
          <w:color w:val="000000"/>
          <w:sz w:val="24"/>
        </w:rPr>
        <w:t>On 11 April 2022, the appellant</w:t>
      </w:r>
      <w:r>
        <w:rPr>
          <w:rFonts w:ascii="Arial"/>
          <w:color w:val="000000"/>
          <w:sz w:val="24"/>
        </w:rPr>
        <w:t>s</w:t>
      </w:r>
      <w:r>
        <w:rPr>
          <w:rFonts w:ascii="Arial"/>
          <w:color w:val="000000"/>
          <w:sz w:val="24"/>
        </w:rPr>
        <w:t xml:space="preserve"> </w:t>
      </w:r>
      <w:r>
        <w:rPr>
          <w:rFonts w:ascii="Arial"/>
          <w:color w:val="000000"/>
          <w:sz w:val="24"/>
        </w:rPr>
        <w:t xml:space="preserve">lodged modification application DA 457/2020/3 under s 4.55 of the </w:t>
      </w:r>
      <w:r>
        <w:rPr>
          <w:rFonts w:ascii="Arial"/>
          <w:i/>
          <w:color w:val="000000"/>
          <w:sz w:val="24"/>
        </w:rPr>
        <w:t>Environmental Planning and Assessment Act 1979</w:t>
      </w:r>
      <w:r>
        <w:rPr>
          <w:rFonts w:ascii="Arial"/>
          <w:i/>
          <w:color w:val="000000"/>
          <w:sz w:val="24"/>
        </w:rPr>
        <w:t xml:space="preserve"> </w:t>
      </w:r>
      <w:r>
        <w:rPr>
          <w:rFonts w:ascii="Arial"/>
          <w:color w:val="000000"/>
          <w:sz w:val="24"/>
        </w:rPr>
        <w:t>(NSW)</w:t>
      </w:r>
      <w:r>
        <w:rPr>
          <w:rFonts w:ascii="Arial"/>
          <w:i/>
          <w:color w:val="000000"/>
          <w:sz w:val="24"/>
        </w:rPr>
        <w:t xml:space="preserve"> </w:t>
      </w:r>
      <w:r>
        <w:rPr>
          <w:rFonts w:ascii="Arial"/>
          <w:color w:val="000000"/>
          <w:sz w:val="24"/>
        </w:rPr>
        <w:t>(</w:t>
      </w:r>
      <w:r>
        <w:rPr>
          <w:rFonts w:ascii="Arial"/>
          <w:color w:val="000000"/>
          <w:sz w:val="24"/>
        </w:rPr>
        <w:t>“</w:t>
      </w:r>
      <w:r>
        <w:rPr>
          <w:rFonts w:ascii="Arial"/>
          <w:color w:val="000000"/>
          <w:sz w:val="24"/>
        </w:rPr>
        <w:t xml:space="preserve">the </w:t>
      </w:r>
      <w:r>
        <w:rPr>
          <w:rFonts w:ascii="Arial"/>
          <w:color w:val="000000"/>
          <w:sz w:val="24"/>
        </w:rPr>
        <w:t>EPA Act</w:t>
      </w:r>
      <w:r>
        <w:rPr>
          <w:rFonts w:ascii="Arial"/>
          <w:color w:val="000000"/>
          <w:sz w:val="24"/>
        </w:rPr>
        <w:t>”</w:t>
      </w:r>
      <w:r>
        <w:rPr>
          <w:rFonts w:ascii="Arial"/>
          <w:color w:val="000000"/>
          <w:sz w:val="24"/>
        </w:rPr>
        <w:t>), which sought to modify the development consent in various ways, in</w:t>
      </w:r>
      <w:r>
        <w:rPr>
          <w:rFonts w:ascii="Arial"/>
          <w:color w:val="000000"/>
          <w:sz w:val="24"/>
        </w:rPr>
        <w:t xml:space="preserve">cluding </w:t>
      </w:r>
      <w:r>
        <w:rPr>
          <w:rFonts w:ascii="Arial"/>
          <w:color w:val="000000"/>
          <w:sz w:val="24"/>
        </w:rPr>
        <w:t xml:space="preserve">by adding a cellar level to the proposed development, </w:t>
      </w:r>
      <w:r>
        <w:rPr>
          <w:rFonts w:ascii="Arial"/>
          <w:color w:val="000000"/>
          <w:sz w:val="24"/>
        </w:rPr>
        <w:t xml:space="preserve">with access to the cellar and associated storage area to be provided by a </w:t>
      </w:r>
      <w:r>
        <w:rPr>
          <w:rFonts w:ascii="Arial"/>
          <w:color w:val="000000"/>
          <w:sz w:val="24"/>
        </w:rPr>
        <w:t>lift and access stairs.</w:t>
      </w:r>
      <w:r>
        <w:rPr>
          <w:rFonts w:ascii="Arial"/>
          <w:color w:val="000000"/>
          <w:sz w:val="24"/>
        </w:rPr>
        <w:t xml:space="preserve"> </w:t>
      </w:r>
    </w:p>
    <w:p>
      <w:pPr>
        <w:pStyle w:val="CaselawNumbered10"/>
        <w:numPr>
          <w:ilvl w:val="0"/>
          <w:numId w:val="22"/>
        </w:numPr>
        <w:spacing w:before="150" w:after="0"/>
        <w:ind w:left="600" w:hanging="600"/>
      </w:pPr>
      <w:r>
        <w:rPr>
          <w:rFonts w:ascii="Arial"/>
          <w:color w:val="000000"/>
          <w:sz w:val="24"/>
        </w:rPr>
        <w:t xml:space="preserve">On 16 June 2022, the </w:t>
      </w:r>
      <w:r>
        <w:rPr>
          <w:rFonts w:ascii="Arial"/>
          <w:color w:val="000000"/>
          <w:sz w:val="24"/>
        </w:rPr>
        <w:t>Council</w:t>
      </w:r>
      <w:r>
        <w:rPr>
          <w:rFonts w:ascii="Arial"/>
          <w:color w:val="000000"/>
          <w:sz w:val="24"/>
        </w:rPr>
        <w:t xml:space="preserve"> </w:t>
      </w:r>
      <w:r>
        <w:rPr>
          <w:rFonts w:ascii="Arial"/>
          <w:color w:val="000000"/>
          <w:sz w:val="24"/>
        </w:rPr>
        <w:t>issued an assessment report responding to the appellants</w:t>
      </w:r>
      <w:r>
        <w:rPr>
          <w:rFonts w:ascii="Arial"/>
          <w:color w:val="000000"/>
          <w:sz w:val="24"/>
        </w:rPr>
        <w:t>’</w:t>
      </w:r>
      <w:r>
        <w:rPr>
          <w:rFonts w:ascii="Arial"/>
          <w:color w:val="000000"/>
          <w:sz w:val="24"/>
        </w:rPr>
        <w:t xml:space="preserve"> </w:t>
      </w:r>
      <w:r>
        <w:rPr>
          <w:rFonts w:ascii="Arial"/>
          <w:color w:val="000000"/>
          <w:sz w:val="24"/>
        </w:rPr>
        <w:t>modification application. The report recommended that the Woollahra Local Planning Panel accept the proposed modifications except</w:t>
      </w:r>
      <w:r>
        <w:rPr>
          <w:rFonts w:ascii="Arial"/>
          <w:i/>
          <w:color w:val="000000"/>
          <w:sz w:val="24"/>
        </w:rPr>
        <w:t xml:space="preserve"> </w:t>
      </w:r>
      <w:r>
        <w:rPr>
          <w:rFonts w:ascii="Arial"/>
          <w:color w:val="000000"/>
          <w:sz w:val="24"/>
        </w:rPr>
        <w:t xml:space="preserve">for the proposed new cellar level. Instead, the report recommended </w:t>
      </w:r>
      <w:r>
        <w:rPr>
          <w:rFonts w:ascii="Arial"/>
          <w:color w:val="000000"/>
          <w:sz w:val="24"/>
        </w:rPr>
        <w:t>“</w:t>
      </w:r>
      <w:r>
        <w:rPr>
          <w:rFonts w:ascii="Arial"/>
          <w:color w:val="000000"/>
          <w:sz w:val="24"/>
        </w:rPr>
        <w:t>the deletion of the new cellar level and associated excavation</w:t>
      </w:r>
      <w:r>
        <w:rPr>
          <w:rFonts w:ascii="Arial"/>
          <w:color w:val="000000"/>
          <w:sz w:val="24"/>
        </w:rPr>
        <w:t>”</w:t>
      </w:r>
      <w:r>
        <w:rPr>
          <w:rFonts w:ascii="Arial"/>
          <w:color w:val="000000"/>
          <w:sz w:val="24"/>
        </w:rPr>
        <w:t xml:space="preserve">. The report gave the following reason: </w:t>
      </w:r>
    </w:p>
    <w:p>
      <w:pPr>
        <w:pStyle w:val="CaselawQuote"/>
        <w:spacing w:before="150" w:after="150"/>
        <w:ind w:left="1350"/>
        <w:jc w:val="left"/>
      </w:pPr>
      <w:r>
        <w:rPr>
          <w:rFonts w:ascii="Arial"/>
          <w:color w:val="000000"/>
          <w:sz w:val="22"/>
        </w:rPr>
        <w:t>... given the amount of excavation is in excess of the volumetric control, the short-term amenity effects are not reasonable as they are likely to be greater due to the extended period of time required to excavate more material than when compared to a compliant development.</w:t>
      </w:r>
    </w:p>
    <w:p>
      <w:pPr>
        <w:pStyle w:val="CaselawQuote"/>
        <w:spacing w:before="150" w:after="150"/>
        <w:ind w:left="1350"/>
        <w:jc w:val="left"/>
      </w:pPr>
      <w:r>
        <w:rPr>
          <w:rFonts w:ascii="Arial"/>
          <w:color w:val="000000"/>
          <w:sz w:val="22"/>
        </w:rPr>
        <w:t>Conclusion</w:t>
      </w:r>
    </w:p>
    <w:p>
      <w:pPr>
        <w:pStyle w:val="CaselawQuote"/>
        <w:spacing w:before="150" w:after="150"/>
        <w:ind w:left="1350"/>
        <w:jc w:val="left"/>
      </w:pPr>
      <w:r>
        <w:rPr>
          <w:rFonts w:ascii="Arial"/>
          <w:color w:val="000000"/>
          <w:sz w:val="22"/>
        </w:rPr>
        <w:t>The approved development already exceeded the maximum excavation volume. The extent of variation sought under this modification is not justified.</w:t>
      </w:r>
    </w:p>
    <w:p>
      <w:pPr>
        <w:pStyle w:val="CaselawNumbered10"/>
        <w:numPr>
          <w:ilvl w:val="0"/>
          <w:numId w:val="23"/>
        </w:numPr>
        <w:spacing w:before="150" w:after="0"/>
        <w:ind w:left="600" w:hanging="600"/>
      </w:pPr>
      <w:r>
        <w:rPr>
          <w:rFonts w:ascii="Arial"/>
          <w:color w:val="000000"/>
          <w:sz w:val="24"/>
        </w:rPr>
        <w:t>Also o</w:t>
      </w:r>
      <w:r>
        <w:rPr>
          <w:rFonts w:ascii="Arial"/>
          <w:color w:val="000000"/>
          <w:sz w:val="24"/>
        </w:rPr>
        <w:t xml:space="preserve">n 16 June 2022, the Local Planning Panel modified the development consent </w:t>
      </w:r>
      <w:r>
        <w:rPr>
          <w:rFonts w:ascii="Arial"/>
          <w:color w:val="000000"/>
          <w:sz w:val="24"/>
        </w:rPr>
        <w:t>“</w:t>
      </w:r>
      <w:r>
        <w:rPr>
          <w:rFonts w:ascii="Arial"/>
          <w:color w:val="000000"/>
          <w:sz w:val="24"/>
        </w:rPr>
        <w:t>for the reasons set out in the assessment report</w:t>
      </w:r>
      <w:r>
        <w:rPr>
          <w:rFonts w:ascii="Arial"/>
          <w:color w:val="000000"/>
          <w:sz w:val="24"/>
        </w:rPr>
        <w:t>”</w:t>
      </w:r>
      <w:r>
        <w:rPr>
          <w:rFonts w:ascii="Arial"/>
          <w:color w:val="000000"/>
          <w:sz w:val="24"/>
        </w:rPr>
        <w:t xml:space="preserve">. Relevantly, the Panel included the following new sub-paragraph (d) to condition C.1: </w:t>
      </w:r>
    </w:p>
    <w:p>
      <w:pPr>
        <w:pStyle w:val="CaselawQuote"/>
        <w:spacing w:before="150" w:after="150"/>
        <w:ind w:left="1350"/>
        <w:jc w:val="left"/>
      </w:pPr>
      <w:r>
        <w:rPr>
          <w:rFonts w:ascii="Arial"/>
          <w:b/>
          <w:color w:val="000000"/>
          <w:sz w:val="22"/>
        </w:rPr>
        <w:t>C.1 Modification of Details of the Development (section 4.17(1)(g) of the Act)</w:t>
      </w:r>
    </w:p>
    <w:p>
      <w:pPr>
        <w:pStyle w:val="CaselawQuote"/>
        <w:spacing w:before="150" w:after="150"/>
        <w:ind w:left="1350"/>
        <w:jc w:val="left"/>
      </w:pPr>
      <w:r>
        <w:rPr>
          <w:rFonts w:ascii="Arial"/>
          <w:color w:val="000000"/>
          <w:sz w:val="22"/>
        </w:rPr>
        <w:t>The approved plans and the Construction Certificate plans and specification, required to be submitted to the Certifying Authority pursuant to clause 139 of the</w:t>
      </w:r>
      <w:r>
        <w:rPr>
          <w:rFonts w:ascii="Arial"/>
          <w:color w:val="000000"/>
          <w:sz w:val="22"/>
        </w:rPr>
        <w:t xml:space="preserve"> </w:t>
      </w:r>
      <w:r>
        <w:rPr>
          <w:rFonts w:ascii="Arial"/>
          <w:color w:val="000000"/>
          <w:sz w:val="22"/>
        </w:rPr>
        <w:t>Regulation, must detail the following amendments:</w:t>
      </w:r>
    </w:p>
    <w:p>
      <w:pPr>
        <w:pStyle w:val="CaselawQuote"/>
        <w:spacing w:before="150" w:after="150"/>
        <w:ind w:left="1350"/>
        <w:jc w:val="left"/>
      </w:pPr>
      <w:r>
        <w:rPr>
          <w:rFonts w:ascii="Arial"/>
          <w:color w:val="000000"/>
          <w:sz w:val="22"/>
        </w:rPr>
        <w:t>…</w:t>
      </w:r>
    </w:p>
    <w:p>
      <w:pPr>
        <w:pStyle w:val="CaselawQuote0"/>
        <w:spacing w:before="150" w:after="150"/>
        <w:ind w:left="2100"/>
        <w:jc w:val="left"/>
      </w:pPr>
      <w:r>
        <w:rPr>
          <w:rFonts w:ascii="Arial"/>
          <w:b/>
          <w:color w:val="000000"/>
          <w:sz w:val="22"/>
        </w:rPr>
        <w:t xml:space="preserve">(d) Deletion of the </w:t>
      </w:r>
      <w:r>
        <w:rPr>
          <w:rFonts w:ascii="Arial"/>
          <w:b/>
          <w:color w:val="000000"/>
          <w:sz w:val="22"/>
        </w:rPr>
        <w:t>‘cellar’</w:t>
      </w:r>
      <w:r>
        <w:rPr>
          <w:rFonts w:ascii="Arial"/>
          <w:b/>
          <w:color w:val="000000"/>
          <w:sz w:val="22"/>
        </w:rPr>
        <w:t xml:space="preserve"> level and the associated excavation (imposed under DA 475/2020/3)</w:t>
      </w:r>
    </w:p>
    <w:p>
      <w:pPr>
        <w:pStyle w:val="CaselawQuote0"/>
        <w:spacing w:before="150" w:after="150"/>
        <w:ind w:left="2100"/>
        <w:jc w:val="left"/>
      </w:pPr>
      <w:r>
        <w:rPr>
          <w:rFonts w:ascii="Arial"/>
          <w:b/>
          <w:color w:val="000000"/>
          <w:sz w:val="22"/>
        </w:rPr>
        <w:t xml:space="preserve">To minimise excavation, the </w:t>
      </w:r>
      <w:r>
        <w:rPr>
          <w:rFonts w:ascii="Arial"/>
          <w:b/>
          <w:color w:val="000000"/>
          <w:sz w:val="22"/>
        </w:rPr>
        <w:t>‘cellar’</w:t>
      </w:r>
      <w:r>
        <w:rPr>
          <w:rFonts w:ascii="Arial"/>
          <w:b/>
          <w:color w:val="000000"/>
          <w:sz w:val="22"/>
        </w:rPr>
        <w:t xml:space="preserve"> level including the mechanical ventilation, wine cellar, store, lift and access stairs must be deleted; and the area must remain unexcavated. </w:t>
      </w:r>
      <w:r>
        <w:rPr>
          <w:rFonts w:ascii="Arial"/>
          <w:color w:val="000000"/>
          <w:sz w:val="22"/>
        </w:rPr>
        <w:t>(emphasis added).</w:t>
      </w:r>
    </w:p>
    <w:p>
      <w:pPr>
        <w:pStyle w:val="CaselawNumbered10"/>
        <w:numPr>
          <w:ilvl w:val="0"/>
          <w:numId w:val="24"/>
        </w:numPr>
        <w:spacing w:before="150" w:after="0"/>
        <w:ind w:left="600" w:hanging="600"/>
      </w:pPr>
      <w:r>
        <w:rPr>
          <w:rFonts w:ascii="Arial"/>
          <w:color w:val="000000"/>
          <w:sz w:val="24"/>
        </w:rPr>
        <w:t xml:space="preserve">The modified </w:t>
      </w:r>
      <w:r>
        <w:rPr>
          <w:rFonts w:ascii="Arial"/>
          <w:color w:val="000000"/>
          <w:sz w:val="24"/>
        </w:rPr>
        <w:t xml:space="preserve">development </w:t>
      </w:r>
      <w:r>
        <w:rPr>
          <w:rFonts w:ascii="Arial"/>
          <w:color w:val="000000"/>
          <w:sz w:val="24"/>
        </w:rPr>
        <w:t xml:space="preserve">consent approved three construction plans, DA07, DA08 and DA10, each showing </w:t>
      </w:r>
      <w:r>
        <w:rPr>
          <w:rFonts w:ascii="Arial"/>
          <w:color w:val="000000"/>
          <w:sz w:val="24"/>
        </w:rPr>
        <w:t>the proposed</w:t>
      </w:r>
      <w:r>
        <w:rPr>
          <w:rFonts w:ascii="Arial"/>
          <w:color w:val="000000"/>
          <w:sz w:val="24"/>
        </w:rPr>
        <w:t xml:space="preserve"> </w:t>
      </w:r>
      <w:r>
        <w:rPr>
          <w:rFonts w:ascii="Arial"/>
          <w:color w:val="000000"/>
          <w:sz w:val="24"/>
        </w:rPr>
        <w:t>“</w:t>
      </w:r>
      <w:r>
        <w:rPr>
          <w:rFonts w:ascii="Arial"/>
          <w:color w:val="000000"/>
          <w:sz w:val="24"/>
        </w:rPr>
        <w:t>cellar level</w:t>
      </w:r>
      <w:r>
        <w:rPr>
          <w:rFonts w:ascii="Arial"/>
          <w:color w:val="000000"/>
          <w:sz w:val="24"/>
        </w:rPr>
        <w:t>”</w:t>
      </w:r>
      <w:r>
        <w:rPr>
          <w:rFonts w:ascii="Arial"/>
          <w:color w:val="000000"/>
          <w:sz w:val="24"/>
        </w:rPr>
        <w:t xml:space="preserve"> </w:t>
      </w:r>
      <w:r>
        <w:rPr>
          <w:rFonts w:ascii="Arial"/>
          <w:color w:val="000000"/>
          <w:sz w:val="24"/>
        </w:rPr>
        <w:t xml:space="preserve">and </w:t>
      </w:r>
      <w:r>
        <w:rPr>
          <w:rFonts w:ascii="Arial"/>
          <w:color w:val="000000"/>
          <w:sz w:val="24"/>
        </w:rPr>
        <w:t xml:space="preserve">in each case with the notation </w:t>
      </w:r>
      <w:r>
        <w:rPr>
          <w:rFonts w:ascii="Arial"/>
          <w:color w:val="000000"/>
          <w:sz w:val="24"/>
        </w:rPr>
        <w:t>“</w:t>
      </w:r>
      <w:r>
        <w:rPr>
          <w:rFonts w:ascii="Arial"/>
          <w:color w:val="000000"/>
          <w:sz w:val="24"/>
        </w:rPr>
        <w:t>Cellar Level Deleted</w:t>
      </w:r>
      <w:r>
        <w:rPr>
          <w:rFonts w:ascii="Arial"/>
          <w:color w:val="000000"/>
          <w:sz w:val="24"/>
        </w:rPr>
        <w:t>”</w:t>
      </w:r>
      <w:r>
        <w:rPr>
          <w:rFonts w:ascii="Arial"/>
          <w:color w:val="000000"/>
          <w:sz w:val="24"/>
        </w:rPr>
        <w:t>.</w:t>
      </w:r>
      <w:r>
        <w:rPr>
          <w:rFonts w:ascii="Arial"/>
          <w:color w:val="000000"/>
          <w:sz w:val="24"/>
        </w:rPr>
        <w:t xml:space="preserve"> </w:t>
      </w:r>
    </w:p>
    <w:p>
      <w:pPr>
        <w:pStyle w:val="CaselawNumbered10"/>
        <w:numPr>
          <w:ilvl w:val="0"/>
          <w:numId w:val="24"/>
        </w:numPr>
        <w:spacing w:before="150" w:after="0"/>
        <w:ind w:left="600" w:hanging="600"/>
      </w:pPr>
      <w:r>
        <w:rPr>
          <w:rFonts w:ascii="Arial"/>
          <w:color w:val="000000"/>
          <w:sz w:val="24"/>
        </w:rPr>
        <w:t xml:space="preserve">The notations </w:t>
      </w:r>
      <w:r>
        <w:rPr>
          <w:rFonts w:ascii="Arial"/>
          <w:color w:val="000000"/>
          <w:sz w:val="24"/>
        </w:rPr>
        <w:t>“</w:t>
      </w:r>
      <w:r>
        <w:rPr>
          <w:rFonts w:ascii="Arial"/>
          <w:color w:val="000000"/>
          <w:sz w:val="24"/>
        </w:rPr>
        <w:t>stair</w:t>
      </w:r>
      <w:r>
        <w:rPr>
          <w:rFonts w:ascii="Arial"/>
          <w:color w:val="000000"/>
          <w:sz w:val="24"/>
        </w:rPr>
        <w:t>”</w:t>
      </w:r>
      <w:r>
        <w:rPr>
          <w:rFonts w:ascii="Arial"/>
          <w:color w:val="000000"/>
          <w:sz w:val="24"/>
        </w:rPr>
        <w:t xml:space="preserve"> </w:t>
      </w:r>
      <w:r>
        <w:rPr>
          <w:rFonts w:ascii="Arial"/>
          <w:color w:val="000000"/>
          <w:sz w:val="24"/>
        </w:rPr>
        <w:t xml:space="preserve">and </w:t>
      </w:r>
      <w:r>
        <w:rPr>
          <w:rFonts w:ascii="Arial"/>
          <w:color w:val="000000"/>
          <w:sz w:val="24"/>
        </w:rPr>
        <w:t>“</w:t>
      </w:r>
      <w:r>
        <w:rPr>
          <w:rFonts w:ascii="Arial"/>
          <w:color w:val="000000"/>
          <w:sz w:val="24"/>
        </w:rPr>
        <w:t>cellar</w:t>
      </w:r>
      <w:r>
        <w:rPr>
          <w:rFonts w:ascii="Arial"/>
          <w:color w:val="000000"/>
          <w:sz w:val="24"/>
        </w:rPr>
        <w:t>”</w:t>
      </w:r>
      <w:r>
        <w:rPr>
          <w:rFonts w:ascii="Arial"/>
          <w:color w:val="000000"/>
          <w:sz w:val="24"/>
        </w:rPr>
        <w:t xml:space="preserve"> </w:t>
      </w:r>
      <w:r>
        <w:rPr>
          <w:rFonts w:ascii="Arial"/>
          <w:color w:val="000000"/>
          <w:sz w:val="24"/>
        </w:rPr>
        <w:t xml:space="preserve">and </w:t>
      </w:r>
      <w:r>
        <w:rPr>
          <w:rFonts w:ascii="Arial"/>
          <w:color w:val="000000"/>
          <w:sz w:val="24"/>
        </w:rPr>
        <w:t>“</w:t>
      </w:r>
      <w:r>
        <w:rPr>
          <w:rFonts w:ascii="Arial"/>
          <w:color w:val="000000"/>
          <w:sz w:val="24"/>
        </w:rPr>
        <w:t>Cellar Level Deleted. Refer to Condition C.1(d)</w:t>
      </w:r>
      <w:r>
        <w:rPr>
          <w:rFonts w:ascii="Arial"/>
          <w:color w:val="000000"/>
          <w:sz w:val="24"/>
        </w:rPr>
        <w:t>”</w:t>
      </w:r>
      <w:r>
        <w:rPr>
          <w:rFonts w:ascii="Arial"/>
          <w:color w:val="000000"/>
          <w:sz w:val="24"/>
        </w:rPr>
        <w:t xml:space="preserve"> </w:t>
      </w:r>
      <w:r>
        <w:rPr>
          <w:rFonts w:ascii="Arial"/>
          <w:color w:val="000000"/>
          <w:sz w:val="24"/>
        </w:rPr>
        <w:t>on approved plan DA07 (Section A) are shown below:</w:t>
      </w:r>
    </w:p>
    <w:p>
      <w:pPr>
        <w:pStyle w:val="CaselawNormal"/>
        <w:spacing w:before="150" w:after="150"/>
        <w:ind w:left="600"/>
        <w:jc w:val="left"/>
      </w:pPr>
      <w:r>
        <w:drawing>
          <wp:inline distT="0" distB="0" distL="0" distR="0">
            <wp:extent cx="4130432" cy="2514600"/>
            <wp:effectExtent l="0" t="0" r="0" b="0"/>
            <wp:docPr id="0" name="" descr=""/>
            <wp:cNvGraphicFramePr>
              <a:graphicFrameLocks noChangeAspect="true"/>
            </wp:cNvGraphicFramePr>
            <a:graphic>
              <a:graphicData uri="http://schemas.openxmlformats.org/drawingml/2006/picture">
                <pic:pic>
                  <pic:nvPicPr>
                    <pic:cNvPr id="1" name=""/>
                    <pic:cNvPicPr/>
                  </pic:nvPicPr>
                  <pic:blipFill>
                    <a:blip r:embed="rId13"/>
                    <a:stretch>
                      <a:fillRect/>
                    </a:stretch>
                  </pic:blipFill>
                  <pic:spPr>
                    <a:xfrm>
                      <a:off x="0" y="0"/>
                      <a:ext cx="4130432" cy="2514600"/>
                    </a:xfrm>
                    <a:prstGeom prst="rect">
                      <a:avLst/>
                    </a:prstGeom>
                  </pic:spPr>
                </pic:pic>
              </a:graphicData>
            </a:graphic>
          </wp:inline>
        </w:drawing>
      </w:r>
    </w:p>
    <w:p>
      <w:pPr>
        <w:pStyle w:val="CaselawNumbered10"/>
        <w:numPr>
          <w:ilvl w:val="0"/>
          <w:numId w:val="25"/>
        </w:numPr>
        <w:spacing w:before="150" w:after="0"/>
        <w:ind w:left="600" w:hanging="600"/>
      </w:pPr>
      <w:r>
        <w:rPr>
          <w:rFonts w:ascii="Arial"/>
          <w:color w:val="000000"/>
          <w:sz w:val="24"/>
        </w:rPr>
        <w:t xml:space="preserve">The notations </w:t>
      </w:r>
      <w:r>
        <w:rPr>
          <w:rFonts w:ascii="Arial"/>
          <w:color w:val="000000"/>
          <w:sz w:val="24"/>
        </w:rPr>
        <w:t>“</w:t>
      </w:r>
      <w:r>
        <w:rPr>
          <w:rFonts w:ascii="Arial"/>
          <w:color w:val="000000"/>
          <w:sz w:val="24"/>
        </w:rPr>
        <w:t>store</w:t>
      </w:r>
      <w:r>
        <w:rPr>
          <w:rFonts w:ascii="Arial"/>
          <w:color w:val="000000"/>
          <w:sz w:val="24"/>
        </w:rPr>
        <w:t>”</w:t>
      </w:r>
      <w:r>
        <w:rPr>
          <w:rFonts w:ascii="Arial"/>
          <w:color w:val="000000"/>
          <w:sz w:val="24"/>
        </w:rPr>
        <w:t xml:space="preserve"> </w:t>
      </w:r>
      <w:r>
        <w:rPr>
          <w:rFonts w:ascii="Arial"/>
          <w:color w:val="000000"/>
          <w:sz w:val="24"/>
        </w:rPr>
        <w:t xml:space="preserve">and </w:t>
      </w:r>
      <w:r>
        <w:rPr>
          <w:rFonts w:ascii="Arial"/>
          <w:color w:val="000000"/>
          <w:sz w:val="24"/>
        </w:rPr>
        <w:t>“</w:t>
      </w:r>
      <w:r>
        <w:rPr>
          <w:rFonts w:ascii="Arial"/>
          <w:color w:val="000000"/>
          <w:sz w:val="24"/>
        </w:rPr>
        <w:t>cellar</w:t>
      </w:r>
      <w:r>
        <w:rPr>
          <w:rFonts w:ascii="Arial"/>
          <w:color w:val="000000"/>
          <w:sz w:val="24"/>
        </w:rPr>
        <w:t>”</w:t>
      </w:r>
      <w:r>
        <w:rPr>
          <w:rFonts w:ascii="Arial"/>
          <w:color w:val="000000"/>
          <w:sz w:val="24"/>
        </w:rPr>
        <w:t xml:space="preserve"> </w:t>
      </w:r>
      <w:r>
        <w:rPr>
          <w:rFonts w:ascii="Arial"/>
          <w:color w:val="000000"/>
          <w:sz w:val="24"/>
        </w:rPr>
        <w:t xml:space="preserve">and </w:t>
      </w:r>
      <w:r>
        <w:rPr>
          <w:rFonts w:ascii="Arial"/>
          <w:color w:val="000000"/>
          <w:sz w:val="24"/>
        </w:rPr>
        <w:t>“</w:t>
      </w:r>
      <w:r>
        <w:rPr>
          <w:rFonts w:ascii="Arial"/>
          <w:color w:val="000000"/>
          <w:sz w:val="24"/>
        </w:rPr>
        <w:t>Cellar Level Deleted. Refer to Condition C.1(d)</w:t>
      </w:r>
      <w:r>
        <w:rPr>
          <w:rFonts w:ascii="Arial"/>
          <w:color w:val="000000"/>
          <w:sz w:val="24"/>
        </w:rPr>
        <w:t>”</w:t>
      </w:r>
      <w:r>
        <w:rPr>
          <w:rFonts w:ascii="Arial"/>
          <w:color w:val="000000"/>
          <w:sz w:val="24"/>
        </w:rPr>
        <w:t xml:space="preserve"> </w:t>
      </w:r>
      <w:r>
        <w:rPr>
          <w:rFonts w:ascii="Arial"/>
          <w:color w:val="000000"/>
          <w:sz w:val="24"/>
        </w:rPr>
        <w:t>on approved plan DA08 (Section B) are shown below:</w:t>
      </w:r>
    </w:p>
    <w:p>
      <w:pPr>
        <w:pStyle w:val="CaselawNormal"/>
        <w:spacing w:before="150" w:after="150"/>
        <w:ind w:left="600"/>
        <w:jc w:val="left"/>
      </w:pPr>
      <w:r>
        <w:drawing>
          <wp:inline distT="0" distB="0" distL="0" distR="0">
            <wp:extent cx="4145050" cy="2489200"/>
            <wp:effectExtent l="0" t="0" r="0" b="0"/>
            <wp:docPr id="0" name="" descr=""/>
            <wp:cNvGraphicFramePr>
              <a:graphicFrameLocks noChangeAspect="true"/>
            </wp:cNvGraphicFramePr>
            <a:graphic>
              <a:graphicData uri="http://schemas.openxmlformats.org/drawingml/2006/picture">
                <pic:pic>
                  <pic:nvPicPr>
                    <pic:cNvPr id="1" name=""/>
                    <pic:cNvPicPr/>
                  </pic:nvPicPr>
                  <pic:blipFill>
                    <a:blip r:embed="rId14"/>
                    <a:stretch>
                      <a:fillRect/>
                    </a:stretch>
                  </pic:blipFill>
                  <pic:spPr>
                    <a:xfrm>
                      <a:off x="0" y="0"/>
                      <a:ext cx="4145050" cy="2489200"/>
                    </a:xfrm>
                    <a:prstGeom prst="rect">
                      <a:avLst/>
                    </a:prstGeom>
                  </pic:spPr>
                </pic:pic>
              </a:graphicData>
            </a:graphic>
          </wp:inline>
        </w:drawing>
      </w:r>
    </w:p>
    <w:p>
      <w:pPr>
        <w:pStyle w:val="CaselawNumbered10"/>
        <w:numPr>
          <w:ilvl w:val="0"/>
          <w:numId w:val="26"/>
        </w:numPr>
        <w:spacing w:before="150" w:after="0"/>
        <w:ind w:left="600" w:hanging="600"/>
      </w:pPr>
      <w:r>
        <w:rPr>
          <w:rFonts w:ascii="Arial"/>
          <w:color w:val="000000"/>
          <w:sz w:val="24"/>
        </w:rPr>
        <w:t xml:space="preserve">The notations </w:t>
      </w:r>
      <w:r>
        <w:rPr>
          <w:rFonts w:ascii="Arial"/>
          <w:color w:val="000000"/>
          <w:sz w:val="24"/>
        </w:rPr>
        <w:t>“</w:t>
      </w:r>
      <w:r>
        <w:rPr>
          <w:rFonts w:ascii="Arial"/>
          <w:color w:val="000000"/>
          <w:sz w:val="24"/>
        </w:rPr>
        <w:t>cellar</w:t>
      </w:r>
      <w:r>
        <w:rPr>
          <w:rFonts w:ascii="Arial"/>
          <w:color w:val="000000"/>
          <w:sz w:val="24"/>
        </w:rPr>
        <w:t>”</w:t>
      </w:r>
      <w:r>
        <w:rPr>
          <w:rFonts w:ascii="Arial"/>
          <w:color w:val="000000"/>
          <w:sz w:val="24"/>
        </w:rPr>
        <w:t xml:space="preserve"> </w:t>
      </w:r>
      <w:r>
        <w:rPr>
          <w:rFonts w:ascii="Arial"/>
          <w:color w:val="000000"/>
          <w:sz w:val="24"/>
        </w:rPr>
        <w:t xml:space="preserve">and </w:t>
      </w:r>
      <w:r>
        <w:rPr>
          <w:rFonts w:ascii="Arial"/>
          <w:color w:val="000000"/>
          <w:sz w:val="24"/>
        </w:rPr>
        <w:t>“</w:t>
      </w:r>
      <w:r>
        <w:rPr>
          <w:rFonts w:ascii="Arial"/>
          <w:color w:val="000000"/>
          <w:sz w:val="24"/>
        </w:rPr>
        <w:t>store</w:t>
      </w:r>
      <w:r>
        <w:rPr>
          <w:rFonts w:ascii="Arial"/>
          <w:color w:val="000000"/>
          <w:sz w:val="24"/>
        </w:rPr>
        <w:t>”</w:t>
      </w:r>
      <w:r>
        <w:rPr>
          <w:rFonts w:ascii="Arial"/>
          <w:color w:val="000000"/>
          <w:sz w:val="24"/>
        </w:rPr>
        <w:t xml:space="preserve"> </w:t>
      </w:r>
      <w:r>
        <w:rPr>
          <w:rFonts w:ascii="Arial"/>
          <w:color w:val="000000"/>
          <w:sz w:val="24"/>
        </w:rPr>
        <w:t xml:space="preserve">and </w:t>
      </w:r>
      <w:r>
        <w:rPr>
          <w:rFonts w:ascii="Arial"/>
          <w:color w:val="000000"/>
          <w:sz w:val="24"/>
        </w:rPr>
        <w:t>“</w:t>
      </w:r>
      <w:r>
        <w:rPr>
          <w:rFonts w:ascii="Arial"/>
          <w:color w:val="000000"/>
          <w:sz w:val="24"/>
        </w:rPr>
        <w:t>Cellar Level Deleted. Refer to Condition C.1(d)</w:t>
      </w:r>
      <w:r>
        <w:rPr>
          <w:rFonts w:ascii="Arial"/>
          <w:color w:val="000000"/>
          <w:sz w:val="24"/>
        </w:rPr>
        <w:t>”</w:t>
      </w:r>
      <w:r>
        <w:rPr>
          <w:rFonts w:ascii="Arial"/>
          <w:color w:val="000000"/>
          <w:sz w:val="24"/>
        </w:rPr>
        <w:t xml:space="preserve"> </w:t>
      </w:r>
      <w:r>
        <w:rPr>
          <w:rFonts w:ascii="Arial"/>
          <w:color w:val="000000"/>
          <w:sz w:val="24"/>
        </w:rPr>
        <w:t>on approved plan DA10 (Section E) are shown below:</w:t>
      </w:r>
    </w:p>
    <w:p>
      <w:pPr>
        <w:pStyle w:val="CaselawNormal"/>
        <w:spacing w:before="150" w:after="150"/>
        <w:ind w:left="600"/>
        <w:jc w:val="left"/>
      </w:pPr>
      <w:r>
        <w:drawing>
          <wp:inline distT="0" distB="0" distL="0" distR="0">
            <wp:extent cx="3179714" cy="3200400"/>
            <wp:effectExtent l="0" t="0" r="0" b="0"/>
            <wp:docPr id="0" name="" descr=""/>
            <wp:cNvGraphicFramePr>
              <a:graphicFrameLocks noChangeAspect="true"/>
            </wp:cNvGraphicFramePr>
            <a:graphic>
              <a:graphicData uri="http://schemas.openxmlformats.org/drawingml/2006/picture">
                <pic:pic>
                  <pic:nvPicPr>
                    <pic:cNvPr id="1" name=""/>
                    <pic:cNvPicPr/>
                  </pic:nvPicPr>
                  <pic:blipFill>
                    <a:blip r:embed="rId15"/>
                    <a:stretch>
                      <a:fillRect/>
                    </a:stretch>
                  </pic:blipFill>
                  <pic:spPr>
                    <a:xfrm>
                      <a:off x="0" y="0"/>
                      <a:ext cx="3179714" cy="3200400"/>
                    </a:xfrm>
                    <a:prstGeom prst="rect">
                      <a:avLst/>
                    </a:prstGeom>
                  </pic:spPr>
                </pic:pic>
              </a:graphicData>
            </a:graphic>
          </wp:inline>
        </w:drawing>
      </w:r>
    </w:p>
    <w:p>
      <w:pPr>
        <w:pStyle w:val="CaselawNumbered10"/>
        <w:numPr>
          <w:ilvl w:val="0"/>
          <w:numId w:val="27"/>
        </w:numPr>
        <w:spacing w:before="150" w:after="0"/>
        <w:ind w:left="600" w:hanging="600"/>
      </w:pPr>
      <w:r>
        <w:rPr>
          <w:rFonts w:ascii="Arial"/>
          <w:color w:val="000000"/>
          <w:sz w:val="24"/>
        </w:rPr>
        <w:t>On 31 August 2022, the second respondent</w:t>
      </w:r>
      <w:r>
        <w:rPr>
          <w:rFonts w:ascii="Arial"/>
          <w:color w:val="000000"/>
          <w:sz w:val="24"/>
        </w:rPr>
        <w:t>,</w:t>
      </w:r>
      <w:r>
        <w:rPr>
          <w:rFonts w:ascii="Arial"/>
          <w:color w:val="000000"/>
          <w:sz w:val="24"/>
        </w:rPr>
        <w:t xml:space="preserve"> </w:t>
      </w:r>
      <w:r>
        <w:rPr>
          <w:rFonts w:ascii="Arial"/>
          <w:color w:val="000000"/>
          <w:sz w:val="24"/>
        </w:rPr>
        <w:t xml:space="preserve">an accredited certifier, </w:t>
      </w:r>
      <w:r>
        <w:rPr>
          <w:rFonts w:ascii="Arial"/>
          <w:color w:val="000000"/>
          <w:sz w:val="24"/>
        </w:rPr>
        <w:t xml:space="preserve">issued construction certificate number 21/345 for the site, listing the development consent, the second development consent and the modified development consent as the relevant consents. The relevant building plans were a set of </w:t>
      </w:r>
      <w:r>
        <w:rPr>
          <w:rFonts w:ascii="Arial"/>
          <w:color w:val="000000"/>
          <w:sz w:val="24"/>
        </w:rPr>
        <w:t>architectural plans and a set of structural plans (both stamped and approved by the second respondent).</w:t>
      </w:r>
      <w:r>
        <w:rPr>
          <w:rFonts w:ascii="Arial"/>
          <w:color w:val="000000"/>
          <w:sz w:val="24"/>
        </w:rPr>
        <w:t xml:space="preserve"> </w:t>
      </w:r>
    </w:p>
    <w:p>
      <w:pPr>
        <w:pStyle w:val="CaselawNumbered10"/>
        <w:numPr>
          <w:ilvl w:val="0"/>
          <w:numId w:val="27"/>
        </w:numPr>
        <w:spacing w:before="150" w:after="0"/>
        <w:ind w:left="600" w:hanging="600"/>
      </w:pPr>
      <w:r>
        <w:rPr>
          <w:rFonts w:ascii="Arial"/>
          <w:color w:val="000000"/>
          <w:sz w:val="24"/>
        </w:rPr>
        <w:t xml:space="preserve">The structural plans </w:t>
      </w:r>
      <w:r>
        <w:rPr>
          <w:rFonts w:ascii="Arial"/>
          <w:color w:val="000000"/>
          <w:sz w:val="24"/>
        </w:rPr>
        <w:t>“</w:t>
      </w:r>
      <w:r>
        <w:rPr>
          <w:rFonts w:ascii="Arial"/>
          <w:color w:val="000000"/>
          <w:sz w:val="24"/>
        </w:rPr>
        <w:t>stamped</w:t>
      </w:r>
      <w:r>
        <w:rPr>
          <w:rFonts w:ascii="Arial"/>
          <w:color w:val="000000"/>
          <w:sz w:val="24"/>
        </w:rPr>
        <w:t>”</w:t>
      </w:r>
      <w:r>
        <w:rPr>
          <w:rFonts w:ascii="Arial"/>
          <w:color w:val="000000"/>
          <w:sz w:val="24"/>
        </w:rPr>
        <w:t xml:space="preserve"> </w:t>
      </w:r>
      <w:r>
        <w:rPr>
          <w:rFonts w:ascii="Arial"/>
          <w:color w:val="000000"/>
          <w:sz w:val="24"/>
        </w:rPr>
        <w:t xml:space="preserve">by the </w:t>
      </w:r>
      <w:r>
        <w:rPr>
          <w:rFonts w:ascii="Arial"/>
          <w:color w:val="000000"/>
          <w:sz w:val="24"/>
        </w:rPr>
        <w:t xml:space="preserve">second </w:t>
      </w:r>
      <w:r>
        <w:rPr>
          <w:rFonts w:ascii="Arial"/>
          <w:color w:val="000000"/>
          <w:sz w:val="24"/>
        </w:rPr>
        <w:t>respondent and dated 14 July 2022 included:</w:t>
      </w:r>
    </w:p>
    <w:p>
      <w:pPr>
        <w:pStyle w:val="CaselawNumbered1"/>
        <w:numPr>
          <w:ilvl w:val="0"/>
          <w:numId w:val="28"/>
        </w:numPr>
        <w:spacing w:before="150" w:after="0"/>
        <w:ind w:left="1350" w:hanging="750"/>
      </w:pPr>
      <w:r>
        <w:rPr>
          <w:rFonts w:ascii="Arial"/>
          <w:color w:val="000000"/>
          <w:sz w:val="24"/>
        </w:rPr>
        <w:t>Dwg 1051 Rev D, Shoring Elevations Sheet 1 (</w:t>
      </w:r>
      <w:r>
        <w:rPr>
          <w:rFonts w:ascii="Arial"/>
          <w:b/>
          <w:color w:val="000000"/>
          <w:sz w:val="24"/>
        </w:rPr>
        <w:t>Shoring Elevations Sheet 1</w:t>
      </w:r>
      <w:r>
        <w:rPr>
          <w:rFonts w:ascii="Arial"/>
          <w:color w:val="000000"/>
          <w:sz w:val="24"/>
        </w:rPr>
        <w:t>) which shows in the area of the former cellar:</w:t>
      </w:r>
    </w:p>
    <w:p>
      <w:pPr>
        <w:pStyle w:val="CaselawNumbereda"/>
        <w:numPr>
          <w:ilvl w:val="0"/>
          <w:numId w:val="29"/>
        </w:numPr>
        <w:spacing w:before="150" w:after="0"/>
        <w:ind w:left="2100" w:hanging="750"/>
      </w:pPr>
      <w:r>
        <w:rPr>
          <w:rFonts w:ascii="Arial"/>
          <w:color w:val="000000"/>
          <w:sz w:val="24"/>
        </w:rPr>
        <w:t xml:space="preserve">an apparent </w:t>
      </w:r>
      <w:r>
        <w:rPr>
          <w:rFonts w:ascii="Arial"/>
          <w:color w:val="000000"/>
          <w:sz w:val="24"/>
        </w:rPr>
        <w:t xml:space="preserve">lower </w:t>
      </w:r>
      <w:r>
        <w:rPr>
          <w:rFonts w:ascii="Arial"/>
          <w:color w:val="000000"/>
          <w:sz w:val="24"/>
        </w:rPr>
        <w:t>floor level for a construction void;</w:t>
      </w:r>
    </w:p>
    <w:p>
      <w:pPr>
        <w:pStyle w:val="CaselawNumbereda"/>
        <w:numPr>
          <w:ilvl w:val="0"/>
          <w:numId w:val="29"/>
        </w:numPr>
        <w:spacing w:before="150" w:after="0"/>
        <w:ind w:left="2100" w:hanging="750"/>
      </w:pPr>
      <w:r>
        <w:rPr>
          <w:rFonts w:ascii="Arial"/>
          <w:color w:val="000000"/>
          <w:sz w:val="24"/>
        </w:rPr>
        <w:t xml:space="preserve">stairs leading into the construction void; and </w:t>
      </w:r>
    </w:p>
    <w:p>
      <w:pPr>
        <w:pStyle w:val="CaselawNumbereda"/>
        <w:numPr>
          <w:ilvl w:val="0"/>
          <w:numId w:val="29"/>
        </w:numPr>
        <w:spacing w:before="150" w:after="0"/>
        <w:ind w:left="2100" w:hanging="750"/>
      </w:pPr>
      <w:r>
        <w:rPr>
          <w:rFonts w:ascii="Arial"/>
          <w:color w:val="000000"/>
          <w:sz w:val="24"/>
        </w:rPr>
        <w:t xml:space="preserve">a crane base with a notation </w:t>
      </w:r>
      <w:r>
        <w:rPr>
          <w:rFonts w:ascii="Arial"/>
          <w:color w:val="000000"/>
          <w:sz w:val="24"/>
        </w:rPr>
        <w:t>“</w:t>
      </w:r>
      <w:r>
        <w:rPr>
          <w:rFonts w:ascii="Arial"/>
          <w:color w:val="000000"/>
          <w:sz w:val="24"/>
        </w:rPr>
        <w:t>CRANE BASE BY OTHERS. MAXIMUM 5mx5mx1.35m DEEP</w:t>
      </w:r>
      <w:r>
        <w:rPr>
          <w:rFonts w:ascii="Arial"/>
          <w:color w:val="000000"/>
          <w:sz w:val="24"/>
        </w:rPr>
        <w:t>”</w:t>
      </w:r>
      <w:r>
        <w:rPr>
          <w:rFonts w:ascii="Arial"/>
          <w:color w:val="000000"/>
          <w:sz w:val="24"/>
        </w:rPr>
        <w:t>;</w:t>
      </w:r>
    </w:p>
    <w:p>
      <w:pPr>
        <w:pStyle w:val="CaselawNumbered1"/>
        <w:numPr>
          <w:ilvl w:val="0"/>
          <w:numId w:val="30"/>
        </w:numPr>
        <w:spacing w:before="150" w:after="0"/>
        <w:ind w:left="1350" w:hanging="750"/>
      </w:pPr>
      <w:r>
        <w:rPr>
          <w:rFonts w:ascii="Arial"/>
          <w:color w:val="000000"/>
          <w:sz w:val="24"/>
        </w:rPr>
        <w:t>Dwg 1100 Rev C, Construction Void Marking Plan (</w:t>
      </w:r>
      <w:r>
        <w:rPr>
          <w:rFonts w:ascii="Arial"/>
          <w:b/>
          <w:color w:val="000000"/>
          <w:sz w:val="24"/>
        </w:rPr>
        <w:t>the Construction Void Marking Plan</w:t>
      </w:r>
      <w:r>
        <w:rPr>
          <w:rFonts w:ascii="Arial"/>
          <w:color w:val="000000"/>
          <w:sz w:val="24"/>
        </w:rPr>
        <w:t>) which shows in the area of the former cellar:</w:t>
      </w:r>
    </w:p>
    <w:p>
      <w:pPr>
        <w:pStyle w:val="CaselawNumbereda"/>
        <w:numPr>
          <w:ilvl w:val="0"/>
          <w:numId w:val="31"/>
        </w:numPr>
        <w:spacing w:before="150" w:after="0"/>
        <w:ind w:left="2100" w:hanging="750"/>
      </w:pPr>
      <w:r>
        <w:rPr>
          <w:rFonts w:ascii="Arial"/>
          <w:color w:val="000000"/>
          <w:sz w:val="24"/>
        </w:rPr>
        <w:t>a concrete slab at the level of the construction void; and</w:t>
      </w:r>
    </w:p>
    <w:p>
      <w:pPr>
        <w:pStyle w:val="CaselawNumbereda"/>
        <w:numPr>
          <w:ilvl w:val="0"/>
          <w:numId w:val="31"/>
        </w:numPr>
        <w:spacing w:before="150" w:after="0"/>
        <w:ind w:left="2100" w:hanging="750"/>
      </w:pPr>
      <w:r>
        <w:rPr>
          <w:rFonts w:ascii="Arial"/>
          <w:color w:val="000000"/>
          <w:sz w:val="24"/>
        </w:rPr>
        <w:t>precast concrete walls.</w:t>
      </w:r>
    </w:p>
    <w:p>
      <w:pPr>
        <w:pStyle w:val="CaselawNormal"/>
        <w:spacing w:before="150" w:after="150"/>
        <w:ind w:left="600"/>
        <w:jc w:val="left"/>
      </w:pPr>
      <w:r>
        <w:rPr>
          <w:rFonts w:ascii="Arial"/>
          <w:color w:val="000000"/>
          <w:sz w:val="24"/>
        </w:rPr>
        <w:t>Part of the Construction Void Marking Plan is reproduced below:</w:t>
      </w:r>
    </w:p>
    <w:p>
      <w:pPr>
        <w:pStyle w:val="CaselawNormal"/>
        <w:spacing w:before="150" w:after="150"/>
        <w:ind w:left="600"/>
        <w:jc w:val="left"/>
      </w:pPr>
      <w:r>
        <w:drawing>
          <wp:inline distT="0" distB="0" distL="0" distR="0">
            <wp:extent cx="3465087" cy="2616200"/>
            <wp:effectExtent l="0" t="0" r="0" b="0"/>
            <wp:docPr id="0" name="" descr=""/>
            <wp:cNvGraphicFramePr>
              <a:graphicFrameLocks noChangeAspect="true"/>
            </wp:cNvGraphicFramePr>
            <a:graphic>
              <a:graphicData uri="http://schemas.openxmlformats.org/drawingml/2006/picture">
                <pic:pic>
                  <pic:nvPicPr>
                    <pic:cNvPr id="1" name=""/>
                    <pic:cNvPicPr/>
                  </pic:nvPicPr>
                  <pic:blipFill>
                    <a:blip r:embed="rId16"/>
                    <a:stretch>
                      <a:fillRect/>
                    </a:stretch>
                  </pic:blipFill>
                  <pic:spPr>
                    <a:xfrm>
                      <a:off x="0" y="0"/>
                      <a:ext cx="3465087" cy="2616200"/>
                    </a:xfrm>
                    <a:prstGeom prst="rect">
                      <a:avLst/>
                    </a:prstGeom>
                  </pic:spPr>
                </pic:pic>
              </a:graphicData>
            </a:graphic>
          </wp:inline>
        </w:drawing>
      </w:r>
    </w:p>
    <w:p>
      <w:pPr>
        <w:pStyle w:val="CaselawNumbered1"/>
        <w:numPr>
          <w:ilvl w:val="0"/>
          <w:numId w:val="32"/>
        </w:numPr>
        <w:spacing w:before="150" w:after="0"/>
        <w:ind w:left="1350" w:hanging="750"/>
      </w:pPr>
      <w:r>
        <w:rPr>
          <w:rFonts w:ascii="Arial"/>
          <w:color w:val="000000"/>
          <w:sz w:val="24"/>
        </w:rPr>
        <w:t>Dwg 1104 Rev C, Construction Void Sections Sheet 1 (</w:t>
      </w:r>
      <w:r>
        <w:rPr>
          <w:rFonts w:ascii="Arial"/>
          <w:b/>
          <w:color w:val="000000"/>
          <w:sz w:val="24"/>
        </w:rPr>
        <w:t>the Construction Void Sections Sheet 1</w:t>
      </w:r>
      <w:r>
        <w:rPr>
          <w:rFonts w:ascii="Arial"/>
          <w:color w:val="000000"/>
          <w:sz w:val="24"/>
        </w:rPr>
        <w:t>) which shows:</w:t>
      </w:r>
    </w:p>
    <w:p>
      <w:pPr>
        <w:pStyle w:val="CaselawNumbereda"/>
        <w:numPr>
          <w:ilvl w:val="0"/>
          <w:numId w:val="33"/>
        </w:numPr>
        <w:spacing w:before="150" w:after="0"/>
        <w:ind w:left="2100" w:hanging="750"/>
      </w:pPr>
      <w:r>
        <w:rPr>
          <w:rFonts w:ascii="Arial"/>
          <w:color w:val="000000"/>
          <w:sz w:val="24"/>
        </w:rPr>
        <w:t>a crane base; and</w:t>
      </w:r>
    </w:p>
    <w:p>
      <w:pPr>
        <w:pStyle w:val="CaselawNumbereda"/>
        <w:numPr>
          <w:ilvl w:val="0"/>
          <w:numId w:val="33"/>
        </w:numPr>
        <w:spacing w:before="150" w:after="0"/>
        <w:ind w:left="2100" w:hanging="750"/>
      </w:pPr>
      <w:r>
        <w:rPr>
          <w:rFonts w:ascii="Arial"/>
          <w:color w:val="000000"/>
          <w:sz w:val="24"/>
        </w:rPr>
        <w:t>a construction void.</w:t>
      </w:r>
    </w:p>
    <w:p>
      <w:pPr>
        <w:pStyle w:val="CaselawNormal"/>
        <w:spacing w:before="150" w:after="150"/>
        <w:ind w:left="600"/>
        <w:jc w:val="left"/>
      </w:pPr>
      <w:r>
        <w:rPr>
          <w:rFonts w:ascii="Arial"/>
          <w:color w:val="000000"/>
          <w:sz w:val="24"/>
        </w:rPr>
        <w:t>Part of the Construction Void Sections Sheet 1 is reproduced below:</w:t>
      </w:r>
    </w:p>
    <w:p>
      <w:pPr>
        <w:pStyle w:val="CaselawNormal"/>
        <w:spacing w:before="150" w:after="150"/>
        <w:ind w:left="600"/>
        <w:jc w:val="left"/>
      </w:pPr>
      <w:r>
        <w:drawing>
          <wp:inline distT="0" distB="0" distL="0" distR="0">
            <wp:extent cx="4044530" cy="5575300"/>
            <wp:effectExtent l="0" t="0" r="0" b="0"/>
            <wp:docPr id="0" name="" descr=""/>
            <wp:cNvGraphicFramePr>
              <a:graphicFrameLocks noChangeAspect="true"/>
            </wp:cNvGraphicFramePr>
            <a:graphic>
              <a:graphicData uri="http://schemas.openxmlformats.org/drawingml/2006/picture">
                <pic:pic>
                  <pic:nvPicPr>
                    <pic:cNvPr id="1" name=""/>
                    <pic:cNvPicPr/>
                  </pic:nvPicPr>
                  <pic:blipFill>
                    <a:blip r:embed="rId17"/>
                    <a:stretch>
                      <a:fillRect/>
                    </a:stretch>
                  </pic:blipFill>
                  <pic:spPr>
                    <a:xfrm>
                      <a:off x="0" y="0"/>
                      <a:ext cx="4044530" cy="5575300"/>
                    </a:xfrm>
                    <a:prstGeom prst="rect">
                      <a:avLst/>
                    </a:prstGeom>
                  </pic:spPr>
                </pic:pic>
              </a:graphicData>
            </a:graphic>
          </wp:inline>
        </w:drawing>
      </w:r>
    </w:p>
    <w:p>
      <w:pPr>
        <w:pStyle w:val="CaselawNumbered1"/>
        <w:numPr>
          <w:ilvl w:val="0"/>
          <w:numId w:val="34"/>
        </w:numPr>
        <w:spacing w:before="150" w:after="0"/>
        <w:ind w:left="1350" w:hanging="750"/>
      </w:pPr>
      <w:r>
        <w:rPr>
          <w:rFonts w:ascii="Arial"/>
          <w:color w:val="000000"/>
          <w:sz w:val="24"/>
        </w:rPr>
        <w:t>Dwg 1200 Rev C, Lower Level Marking Plan which shows in the area of the former cellar:</w:t>
      </w:r>
    </w:p>
    <w:p>
      <w:pPr>
        <w:pStyle w:val="CaselawNumbereda"/>
        <w:numPr>
          <w:ilvl w:val="0"/>
          <w:numId w:val="35"/>
        </w:numPr>
        <w:spacing w:before="150" w:after="0"/>
        <w:ind w:left="2100" w:hanging="750"/>
      </w:pPr>
      <w:r>
        <w:rPr>
          <w:rFonts w:ascii="Arial"/>
          <w:color w:val="000000"/>
          <w:sz w:val="24"/>
        </w:rPr>
        <w:t>stairs; and</w:t>
      </w:r>
    </w:p>
    <w:p>
      <w:pPr>
        <w:pStyle w:val="CaselawNumbereda"/>
        <w:numPr>
          <w:ilvl w:val="0"/>
          <w:numId w:val="35"/>
        </w:numPr>
        <w:spacing w:before="150" w:after="0"/>
        <w:ind w:left="2100" w:hanging="750"/>
      </w:pPr>
      <w:r>
        <w:rPr>
          <w:rFonts w:ascii="Arial"/>
          <w:color w:val="000000"/>
          <w:sz w:val="24"/>
        </w:rPr>
        <w:t>a concrete slab with 200mm thickness;</w:t>
      </w:r>
    </w:p>
    <w:p>
      <w:pPr>
        <w:pStyle w:val="CaselawNumbered1"/>
        <w:numPr>
          <w:ilvl w:val="0"/>
          <w:numId w:val="36"/>
        </w:numPr>
        <w:spacing w:before="150" w:after="0"/>
        <w:ind w:left="1350" w:hanging="750"/>
      </w:pPr>
      <w:r>
        <w:rPr>
          <w:rFonts w:ascii="Arial"/>
          <w:color w:val="000000"/>
          <w:sz w:val="24"/>
        </w:rPr>
        <w:t>Dwg 1204 Rev C, Lower Level Sections Sheet 1 which includes a marking for a construction void; and</w:t>
      </w:r>
    </w:p>
    <w:p>
      <w:pPr>
        <w:pStyle w:val="CaselawNumbered1"/>
        <w:numPr>
          <w:ilvl w:val="0"/>
          <w:numId w:val="36"/>
        </w:numPr>
        <w:spacing w:before="150" w:after="0"/>
        <w:ind w:left="1350" w:hanging="750"/>
      </w:pPr>
      <w:r>
        <w:rPr>
          <w:rFonts w:ascii="Arial"/>
          <w:color w:val="000000"/>
          <w:sz w:val="24"/>
        </w:rPr>
        <w:t xml:space="preserve">Dwg 7502 Rev C, Wall Elevations </w:t>
      </w:r>
      <w:r>
        <w:rPr>
          <w:rFonts w:ascii="Arial"/>
          <w:color w:val="000000"/>
          <w:sz w:val="24"/>
        </w:rPr>
        <w:t>–</w:t>
      </w:r>
      <w:r>
        <w:rPr>
          <w:rFonts w:ascii="Arial"/>
          <w:color w:val="000000"/>
          <w:sz w:val="24"/>
        </w:rPr>
        <w:t xml:space="preserve"> </w:t>
      </w:r>
      <w:r>
        <w:rPr>
          <w:rFonts w:ascii="Arial"/>
          <w:color w:val="000000"/>
          <w:sz w:val="24"/>
        </w:rPr>
        <w:t>Precast Sheet 2, which shows:</w:t>
      </w:r>
    </w:p>
    <w:p>
      <w:pPr>
        <w:pStyle w:val="CaselawNumbereda"/>
        <w:numPr>
          <w:ilvl w:val="0"/>
          <w:numId w:val="37"/>
        </w:numPr>
        <w:spacing w:before="150" w:after="0"/>
        <w:ind w:left="2100" w:hanging="750"/>
      </w:pPr>
      <w:r>
        <w:rPr>
          <w:rFonts w:ascii="Arial"/>
          <w:color w:val="000000"/>
          <w:sz w:val="24"/>
        </w:rPr>
        <w:t>a lift;</w:t>
      </w:r>
    </w:p>
    <w:p>
      <w:pPr>
        <w:pStyle w:val="CaselawNumbereda"/>
        <w:numPr>
          <w:ilvl w:val="0"/>
          <w:numId w:val="37"/>
        </w:numPr>
        <w:spacing w:before="150" w:after="0"/>
        <w:ind w:left="2100" w:hanging="750"/>
      </w:pPr>
      <w:r>
        <w:rPr>
          <w:rFonts w:ascii="Arial"/>
          <w:color w:val="000000"/>
          <w:sz w:val="24"/>
        </w:rPr>
        <w:t>stairs; and</w:t>
      </w:r>
    </w:p>
    <w:p>
      <w:pPr>
        <w:pStyle w:val="CaselawNormal"/>
        <w:spacing w:before="150" w:after="150"/>
        <w:ind w:left="600"/>
        <w:jc w:val="left"/>
      </w:pPr>
      <w:r>
        <w:rPr>
          <w:rFonts w:ascii="Arial"/>
          <w:color w:val="000000"/>
          <w:sz w:val="24"/>
        </w:rPr>
        <w:t>access to the construction void.</w:t>
      </w:r>
    </w:p>
    <w:p>
      <w:pPr>
        <w:pStyle w:val="CaselawNumbered10"/>
        <w:numPr>
          <w:ilvl w:val="0"/>
          <w:numId w:val="38"/>
        </w:numPr>
        <w:spacing w:before="150" w:after="0"/>
        <w:ind w:left="600" w:hanging="600"/>
      </w:pPr>
      <w:r>
        <w:rPr>
          <w:rFonts w:ascii="Arial"/>
          <w:color w:val="000000"/>
          <w:sz w:val="24"/>
        </w:rPr>
        <w:t>The primary judge concluded that a</w:t>
      </w:r>
      <w:r>
        <w:rPr>
          <w:rFonts w:ascii="Arial"/>
          <w:color w:val="000000"/>
          <w:sz w:val="24"/>
        </w:rPr>
        <w:t>n approximate level for the construction void of between RL</w:t>
      </w:r>
      <w:r>
        <w:rPr>
          <w:rFonts w:ascii="Arial"/>
          <w:color w:val="000000"/>
          <w:sz w:val="24"/>
        </w:rPr>
        <w:t xml:space="preserve"> </w:t>
      </w:r>
      <w:r>
        <w:rPr>
          <w:rFonts w:ascii="Arial"/>
          <w:color w:val="000000"/>
          <w:sz w:val="24"/>
        </w:rPr>
        <w:t>15.6 and RL 15.8 could be extrapolated from the architectural plans and structural plans:</w:t>
      </w:r>
    </w:p>
    <w:p>
      <w:pPr>
        <w:pStyle w:val="CaselawNumbered1"/>
        <w:numPr>
          <w:ilvl w:val="0"/>
          <w:numId w:val="39"/>
        </w:numPr>
        <w:spacing w:before="150" w:after="0"/>
        <w:ind w:left="1350" w:hanging="750"/>
      </w:pPr>
      <w:r>
        <w:rPr>
          <w:rFonts w:ascii="Arial"/>
          <w:color w:val="000000"/>
          <w:sz w:val="24"/>
        </w:rPr>
        <w:t>the architectural plans depicting the lower level of the dwelling (being the level above the cellar or construction void level) with a finished floor level of RL 18.50;</w:t>
      </w:r>
    </w:p>
    <w:p>
      <w:pPr>
        <w:pStyle w:val="CaselawNumbered1"/>
        <w:numPr>
          <w:ilvl w:val="0"/>
          <w:numId w:val="39"/>
        </w:numPr>
        <w:spacing w:before="150" w:after="0"/>
        <w:ind w:left="1350" w:hanging="750"/>
      </w:pPr>
      <w:r>
        <w:rPr>
          <w:rFonts w:ascii="Arial"/>
          <w:color w:val="000000"/>
          <w:sz w:val="24"/>
        </w:rPr>
        <w:t>the same architectural plans showing a crane base, but not depicting the level of the crane base; and</w:t>
      </w:r>
    </w:p>
    <w:p>
      <w:pPr>
        <w:pStyle w:val="CaselawNumbered1"/>
        <w:numPr>
          <w:ilvl w:val="0"/>
          <w:numId w:val="39"/>
        </w:numPr>
        <w:spacing w:before="150" w:after="0"/>
        <w:ind w:left="1350" w:hanging="750"/>
      </w:pPr>
      <w:r>
        <w:rPr>
          <w:rFonts w:ascii="Arial"/>
          <w:color w:val="000000"/>
          <w:sz w:val="24"/>
        </w:rPr>
        <w:t>the structural plans showing a 2900mm socket extending:</w:t>
      </w:r>
    </w:p>
    <w:p>
      <w:pPr>
        <w:pStyle w:val="CaselawNumbereda"/>
        <w:numPr>
          <w:ilvl w:val="0"/>
          <w:numId w:val="40"/>
        </w:numPr>
        <w:spacing w:before="150" w:after="0"/>
        <w:ind w:left="2100" w:hanging="750"/>
      </w:pPr>
      <w:r>
        <w:rPr>
          <w:rFonts w:ascii="Arial"/>
          <w:color w:val="000000"/>
          <w:sz w:val="24"/>
        </w:rPr>
        <w:t>from the finished floor level of the lower level of the dwelling (shown on the architectural plans as at RL 18.50);</w:t>
      </w:r>
      <w:r>
        <w:rPr>
          <w:rFonts w:ascii="Arial"/>
          <w:color w:val="000000"/>
          <w:sz w:val="24"/>
        </w:rPr>
        <w:t xml:space="preserve"> </w:t>
      </w:r>
      <w:r>
        <w:rPr>
          <w:rFonts w:ascii="Arial"/>
          <w:color w:val="000000"/>
          <w:sz w:val="24"/>
        </w:rPr>
        <w:t>and</w:t>
      </w:r>
    </w:p>
    <w:p>
      <w:pPr>
        <w:pStyle w:val="CaselawNumbereda"/>
        <w:numPr>
          <w:ilvl w:val="0"/>
          <w:numId w:val="40"/>
        </w:numPr>
        <w:spacing w:before="150" w:after="0"/>
        <w:ind w:left="2100" w:hanging="750"/>
      </w:pPr>
      <w:r>
        <w:rPr>
          <w:rFonts w:ascii="Arial"/>
          <w:color w:val="000000"/>
          <w:sz w:val="24"/>
        </w:rPr>
        <w:t>to below the finished floor level of the construction void, but within the width of the floor slab above the crane base.</w:t>
      </w:r>
    </w:p>
    <w:p>
      <w:pPr>
        <w:pStyle w:val="CaselawNormal"/>
        <w:spacing w:before="150" w:after="150"/>
        <w:ind w:left="600"/>
        <w:jc w:val="left"/>
      </w:pPr>
      <w:r>
        <w:rPr>
          <w:rFonts w:ascii="Arial"/>
          <w:color w:val="000000"/>
          <w:sz w:val="24"/>
        </w:rPr>
        <w:t>An extract from the Shoring Elevations Sheet 1 structural plan is as follows:</w:t>
      </w:r>
    </w:p>
    <w:p>
      <w:pPr>
        <w:pStyle w:val="CaselawNormal"/>
        <w:spacing w:before="150" w:after="150"/>
        <w:ind w:left="600"/>
        <w:jc w:val="left"/>
      </w:pPr>
      <w:r>
        <w:drawing>
          <wp:inline distT="0" distB="0" distL="0" distR="0">
            <wp:extent cx="4930845" cy="2336800"/>
            <wp:effectExtent l="0" t="0" r="0" b="0"/>
            <wp:docPr id="0" name="" descr=""/>
            <wp:cNvGraphicFramePr>
              <a:graphicFrameLocks noChangeAspect="true"/>
            </wp:cNvGraphicFramePr>
            <a:graphic>
              <a:graphicData uri="http://schemas.openxmlformats.org/drawingml/2006/picture">
                <pic:pic>
                  <pic:nvPicPr>
                    <pic:cNvPr id="1" name=""/>
                    <pic:cNvPicPr/>
                  </pic:nvPicPr>
                  <pic:blipFill>
                    <a:blip r:embed="rId18"/>
                    <a:stretch>
                      <a:fillRect/>
                    </a:stretch>
                  </pic:blipFill>
                  <pic:spPr>
                    <a:xfrm>
                      <a:off x="0" y="0"/>
                      <a:ext cx="4930845" cy="2336800"/>
                    </a:xfrm>
                    <a:prstGeom prst="rect">
                      <a:avLst/>
                    </a:prstGeom>
                  </pic:spPr>
                </pic:pic>
              </a:graphicData>
            </a:graphic>
          </wp:inline>
        </w:drawing>
      </w:r>
    </w:p>
    <w:p>
      <w:pPr>
        <w:pStyle w:val="CaselawNumbered1"/>
        <w:numPr>
          <w:ilvl w:val="0"/>
          <w:numId w:val="41"/>
        </w:numPr>
        <w:spacing w:before="150" w:after="0"/>
        <w:ind w:left="1350" w:hanging="750"/>
      </w:pPr>
      <w:r>
        <w:rPr>
          <w:rFonts w:ascii="Arial"/>
          <w:color w:val="000000"/>
          <w:sz w:val="24"/>
        </w:rPr>
        <w:t>the slab above the crane base being shown to continue beyond the crane base to the adjoining area and being variously:</w:t>
      </w:r>
    </w:p>
    <w:p>
      <w:pPr>
        <w:pStyle w:val="CaselawNumbereda"/>
        <w:numPr>
          <w:ilvl w:val="0"/>
          <w:numId w:val="42"/>
        </w:numPr>
        <w:spacing w:before="150" w:after="0"/>
        <w:ind w:left="2100" w:hanging="750"/>
      </w:pPr>
      <w:r>
        <w:rPr>
          <w:rFonts w:ascii="Arial"/>
          <w:color w:val="000000"/>
          <w:sz w:val="24"/>
        </w:rPr>
        <w:t>100mm thick; and</w:t>
      </w:r>
    </w:p>
    <w:p>
      <w:pPr>
        <w:pStyle w:val="CaselawNumbereda"/>
        <w:numPr>
          <w:ilvl w:val="0"/>
          <w:numId w:val="42"/>
        </w:numPr>
        <w:spacing w:before="150" w:after="0"/>
        <w:ind w:left="2100" w:hanging="750"/>
      </w:pPr>
      <w:r>
        <w:rPr>
          <w:rFonts w:ascii="Arial"/>
          <w:color w:val="000000"/>
          <w:sz w:val="24"/>
        </w:rPr>
        <w:t>200mm thick,</w:t>
      </w:r>
    </w:p>
    <w:p>
      <w:pPr>
        <w:pStyle w:val="CaselawNormal"/>
        <w:spacing w:before="150" w:after="150"/>
        <w:ind w:left="600"/>
        <w:jc w:val="left"/>
      </w:pPr>
      <w:r>
        <w:rPr>
          <w:rFonts w:ascii="Arial"/>
          <w:color w:val="000000"/>
          <w:sz w:val="24"/>
        </w:rPr>
        <w:t>depending on its location within the floor plan of the construction void.</w:t>
      </w:r>
    </w:p>
    <w:p>
      <w:pPr>
        <w:pStyle w:val="CaselawNumbered10"/>
        <w:numPr>
          <w:ilvl w:val="0"/>
          <w:numId w:val="43"/>
        </w:numPr>
        <w:spacing w:before="150" w:after="0"/>
        <w:ind w:left="600" w:hanging="600"/>
      </w:pPr>
      <w:r>
        <w:rPr>
          <w:rFonts w:ascii="Arial"/>
          <w:color w:val="000000"/>
          <w:sz w:val="24"/>
        </w:rPr>
        <w:t xml:space="preserve">Pausing there, as will </w:t>
      </w:r>
      <w:r>
        <w:rPr>
          <w:rFonts w:ascii="Arial"/>
          <w:color w:val="000000"/>
          <w:sz w:val="24"/>
        </w:rPr>
        <w:t>become apparent</w:t>
      </w:r>
      <w:r>
        <w:rPr>
          <w:rFonts w:ascii="Arial"/>
          <w:color w:val="000000"/>
          <w:sz w:val="24"/>
        </w:rPr>
        <w:t>, the central issue in th</w:t>
      </w:r>
      <w:r>
        <w:rPr>
          <w:rFonts w:ascii="Arial"/>
          <w:color w:val="000000"/>
          <w:sz w:val="24"/>
        </w:rPr>
        <w:t>is</w:t>
      </w:r>
      <w:r>
        <w:rPr>
          <w:rFonts w:ascii="Arial"/>
          <w:color w:val="000000"/>
          <w:sz w:val="24"/>
        </w:rPr>
        <w:t xml:space="preserve"> </w:t>
      </w:r>
      <w:r>
        <w:rPr>
          <w:rFonts w:ascii="Arial"/>
          <w:color w:val="000000"/>
          <w:sz w:val="24"/>
        </w:rPr>
        <w:t xml:space="preserve">case </w:t>
      </w:r>
      <w:r>
        <w:rPr>
          <w:rFonts w:ascii="Arial"/>
          <w:color w:val="000000"/>
          <w:sz w:val="24"/>
        </w:rPr>
        <w:t xml:space="preserve">springs from </w:t>
      </w:r>
      <w:r>
        <w:rPr>
          <w:rFonts w:ascii="Arial"/>
          <w:color w:val="000000"/>
          <w:sz w:val="24"/>
        </w:rPr>
        <w:t xml:space="preserve">the inconsistency between </w:t>
      </w:r>
      <w:r>
        <w:rPr>
          <w:rFonts w:ascii="Arial"/>
          <w:color w:val="000000"/>
          <w:sz w:val="24"/>
        </w:rPr>
        <w:t xml:space="preserve">condition </w:t>
      </w:r>
      <w:r>
        <w:rPr>
          <w:rFonts w:ascii="Arial"/>
          <w:color w:val="000000"/>
          <w:sz w:val="24"/>
        </w:rPr>
        <w:t>C</w:t>
      </w:r>
      <w:r>
        <w:rPr>
          <w:rFonts w:ascii="Arial"/>
          <w:color w:val="000000"/>
          <w:sz w:val="24"/>
        </w:rPr>
        <w:t>.</w:t>
      </w:r>
      <w:r>
        <w:rPr>
          <w:rFonts w:ascii="Arial"/>
          <w:color w:val="000000"/>
          <w:sz w:val="24"/>
        </w:rPr>
        <w:t xml:space="preserve">1(d) of the </w:t>
      </w:r>
      <w:r>
        <w:rPr>
          <w:rFonts w:ascii="Arial"/>
          <w:color w:val="000000"/>
          <w:sz w:val="24"/>
        </w:rPr>
        <w:t>d</w:t>
      </w:r>
      <w:r>
        <w:rPr>
          <w:rFonts w:ascii="Arial"/>
          <w:color w:val="000000"/>
          <w:sz w:val="24"/>
        </w:rPr>
        <w:t xml:space="preserve">evelopment </w:t>
      </w:r>
      <w:r>
        <w:rPr>
          <w:rFonts w:ascii="Arial"/>
          <w:color w:val="000000"/>
          <w:sz w:val="24"/>
        </w:rPr>
        <w:t>c</w:t>
      </w:r>
      <w:r>
        <w:rPr>
          <w:rFonts w:ascii="Arial"/>
          <w:color w:val="000000"/>
          <w:sz w:val="24"/>
        </w:rPr>
        <w:t xml:space="preserve">onsent, which deleted the </w:t>
      </w:r>
      <w:r>
        <w:rPr>
          <w:rFonts w:ascii="Arial"/>
          <w:color w:val="000000"/>
          <w:sz w:val="24"/>
        </w:rPr>
        <w:t>“</w:t>
      </w:r>
      <w:r>
        <w:rPr>
          <w:rFonts w:ascii="Arial"/>
          <w:color w:val="000000"/>
          <w:sz w:val="24"/>
        </w:rPr>
        <w:t>cellar</w:t>
      </w:r>
      <w:r>
        <w:rPr>
          <w:rFonts w:ascii="Arial"/>
          <w:color w:val="000000"/>
          <w:sz w:val="24"/>
        </w:rPr>
        <w:t>”</w:t>
      </w:r>
      <w:r>
        <w:rPr>
          <w:rFonts w:ascii="Arial"/>
          <w:color w:val="000000"/>
          <w:sz w:val="24"/>
        </w:rPr>
        <w:t xml:space="preserve"> </w:t>
      </w:r>
      <w:r>
        <w:rPr>
          <w:rFonts w:ascii="Arial"/>
          <w:color w:val="000000"/>
          <w:sz w:val="24"/>
        </w:rPr>
        <w:t xml:space="preserve">and </w:t>
      </w:r>
      <w:r>
        <w:rPr>
          <w:rFonts w:ascii="Arial"/>
          <w:color w:val="000000"/>
          <w:sz w:val="24"/>
        </w:rPr>
        <w:t>“</w:t>
      </w:r>
      <w:r>
        <w:rPr>
          <w:rFonts w:ascii="Arial"/>
          <w:color w:val="000000"/>
          <w:sz w:val="24"/>
        </w:rPr>
        <w:t>store</w:t>
      </w:r>
      <w:r>
        <w:rPr>
          <w:rFonts w:ascii="Arial"/>
          <w:color w:val="000000"/>
          <w:sz w:val="24"/>
        </w:rPr>
        <w:t>”</w:t>
      </w:r>
      <w:r>
        <w:rPr>
          <w:rFonts w:ascii="Arial"/>
          <w:color w:val="000000"/>
          <w:sz w:val="24"/>
        </w:rPr>
        <w:t xml:space="preserve"> </w:t>
      </w:r>
      <w:r>
        <w:rPr>
          <w:rFonts w:ascii="Arial"/>
          <w:color w:val="000000"/>
          <w:sz w:val="24"/>
        </w:rPr>
        <w:t xml:space="preserve">and </w:t>
      </w:r>
      <w:r>
        <w:rPr>
          <w:rFonts w:ascii="Arial"/>
          <w:color w:val="000000"/>
          <w:sz w:val="24"/>
        </w:rPr>
        <w:t>“</w:t>
      </w:r>
      <w:r>
        <w:rPr>
          <w:rFonts w:ascii="Arial"/>
          <w:color w:val="000000"/>
          <w:sz w:val="24"/>
        </w:rPr>
        <w:t>Cellar Level</w:t>
      </w:r>
      <w:r>
        <w:rPr>
          <w:rFonts w:ascii="Arial"/>
          <w:color w:val="000000"/>
          <w:sz w:val="24"/>
        </w:rPr>
        <w:t>”</w:t>
      </w:r>
      <w:r>
        <w:rPr>
          <w:rFonts w:ascii="Arial"/>
          <w:color w:val="000000"/>
          <w:sz w:val="24"/>
        </w:rPr>
        <w:t xml:space="preserve"> </w:t>
      </w:r>
      <w:r>
        <w:rPr>
          <w:rFonts w:ascii="Arial"/>
          <w:color w:val="000000"/>
          <w:sz w:val="24"/>
        </w:rPr>
        <w:t xml:space="preserve">from the proposed consent and the </w:t>
      </w:r>
      <w:r>
        <w:rPr>
          <w:rFonts w:ascii="Arial"/>
          <w:color w:val="000000"/>
          <w:sz w:val="24"/>
        </w:rPr>
        <w:t>c</w:t>
      </w:r>
      <w:r>
        <w:rPr>
          <w:rFonts w:ascii="Arial"/>
          <w:color w:val="000000"/>
          <w:sz w:val="24"/>
        </w:rPr>
        <w:t xml:space="preserve">onstruction </w:t>
      </w:r>
      <w:r>
        <w:rPr>
          <w:rFonts w:ascii="Arial"/>
          <w:color w:val="000000"/>
          <w:sz w:val="24"/>
        </w:rPr>
        <w:t>c</w:t>
      </w:r>
      <w:r>
        <w:rPr>
          <w:rFonts w:ascii="Arial"/>
          <w:color w:val="000000"/>
          <w:sz w:val="24"/>
        </w:rPr>
        <w:t xml:space="preserve">ertificate which permitted excavation of the area where the </w:t>
      </w:r>
      <w:r>
        <w:rPr>
          <w:rFonts w:ascii="Arial"/>
          <w:color w:val="000000"/>
          <w:sz w:val="24"/>
        </w:rPr>
        <w:t>“</w:t>
      </w:r>
      <w:r>
        <w:rPr>
          <w:rFonts w:ascii="Arial"/>
          <w:color w:val="000000"/>
          <w:sz w:val="24"/>
        </w:rPr>
        <w:t>Cellar Level</w:t>
      </w:r>
      <w:r>
        <w:rPr>
          <w:rFonts w:ascii="Arial"/>
          <w:color w:val="000000"/>
          <w:sz w:val="24"/>
        </w:rPr>
        <w:t>”</w:t>
      </w:r>
      <w:r>
        <w:rPr>
          <w:rFonts w:ascii="Arial"/>
          <w:color w:val="000000"/>
          <w:sz w:val="24"/>
        </w:rPr>
        <w:t xml:space="preserve"> </w:t>
      </w:r>
      <w:r>
        <w:rPr>
          <w:rFonts w:ascii="Arial"/>
          <w:color w:val="000000"/>
          <w:sz w:val="24"/>
        </w:rPr>
        <w:t xml:space="preserve">had been proposed, for the purposes of </w:t>
      </w:r>
      <w:r>
        <w:rPr>
          <w:rFonts w:ascii="Arial"/>
          <w:color w:val="000000"/>
          <w:sz w:val="24"/>
        </w:rPr>
        <w:t>building a crane base and installing a crane.</w:t>
      </w:r>
    </w:p>
    <w:p>
      <w:pPr>
        <w:pStyle w:val="CaselawHeading2"/>
        <w:keepNext/>
        <w:spacing w:before="150" w:after="150" w:line="264"/>
        <w:ind w:left="0"/>
        <w:jc w:val="left"/>
      </w:pPr>
      <w:r>
        <w:rPr>
          <w:rFonts w:ascii="Arial"/>
        </w:rPr>
        <w:t xml:space="preserve">The primary judgment </w:t>
      </w:r>
    </w:p>
    <w:p>
      <w:pPr>
        <w:pStyle w:val="CaselawNumbered10"/>
        <w:numPr>
          <w:ilvl w:val="0"/>
          <w:numId w:val="44"/>
        </w:numPr>
        <w:spacing w:before="150" w:after="0"/>
        <w:ind w:left="600" w:hanging="600"/>
      </w:pPr>
      <w:r>
        <w:rPr>
          <w:rFonts w:ascii="Arial"/>
          <w:color w:val="000000"/>
          <w:sz w:val="24"/>
        </w:rPr>
        <w:t xml:space="preserve">There were five issues </w:t>
      </w:r>
      <w:r>
        <w:rPr>
          <w:rFonts w:ascii="Arial"/>
          <w:color w:val="000000"/>
          <w:sz w:val="24"/>
        </w:rPr>
        <w:t>identified by</w:t>
      </w:r>
      <w:r>
        <w:rPr>
          <w:rFonts w:ascii="Arial"/>
          <w:color w:val="000000"/>
          <w:sz w:val="24"/>
        </w:rPr>
        <w:t xml:space="preserve"> </w:t>
      </w:r>
      <w:r>
        <w:rPr>
          <w:rFonts w:ascii="Arial"/>
          <w:color w:val="000000"/>
          <w:sz w:val="24"/>
        </w:rPr>
        <w:t>the primary judge</w:t>
      </w:r>
      <w:r>
        <w:rPr>
          <w:rFonts w:ascii="Arial"/>
          <w:color w:val="000000"/>
          <w:sz w:val="24"/>
        </w:rPr>
        <w:t>. Only issues 1, 4 and 5 remain controversial on appeal</w:t>
      </w:r>
      <w:r>
        <w:rPr>
          <w:rFonts w:ascii="Arial"/>
          <w:color w:val="000000"/>
          <w:sz w:val="24"/>
        </w:rPr>
        <w:t>. Those issues and the answers given by the primary judge were:</w:t>
      </w:r>
    </w:p>
    <w:p>
      <w:pPr>
        <w:pStyle w:val="CaselawNumbered1"/>
        <w:numPr>
          <w:ilvl w:val="0"/>
          <w:numId w:val="45"/>
        </w:numPr>
        <w:spacing w:before="150" w:after="0"/>
        <w:ind w:left="1350" w:hanging="750"/>
      </w:pPr>
      <w:r>
        <w:rPr>
          <w:rFonts w:ascii="Arial"/>
          <w:color w:val="000000"/>
          <w:sz w:val="24"/>
        </w:rPr>
        <w:t xml:space="preserve">Whether the Court should extend time </w:t>
      </w:r>
      <w:r>
        <w:rPr>
          <w:rFonts w:ascii="Arial"/>
          <w:color w:val="000000"/>
          <w:sz w:val="24"/>
        </w:rPr>
        <w:t xml:space="preserve">by approximately three months </w:t>
      </w:r>
      <w:r>
        <w:rPr>
          <w:rFonts w:ascii="Arial"/>
          <w:color w:val="000000"/>
          <w:sz w:val="24"/>
        </w:rPr>
        <w:t>under r 59.10 of the Uniform Civil Procedure Rules 2005 (NSW) (</w:t>
      </w:r>
      <w:r>
        <w:rPr>
          <w:rFonts w:ascii="Arial"/>
          <w:color w:val="000000"/>
          <w:sz w:val="24"/>
        </w:rPr>
        <w:t>“</w:t>
      </w:r>
      <w:r>
        <w:rPr>
          <w:rFonts w:ascii="Arial"/>
          <w:color w:val="000000"/>
          <w:sz w:val="24"/>
        </w:rPr>
        <w:t>UCPR</w:t>
      </w:r>
      <w:r>
        <w:rPr>
          <w:rFonts w:ascii="Arial"/>
          <w:b/>
          <w:color w:val="000000"/>
          <w:sz w:val="24"/>
        </w:rPr>
        <w:t>”</w:t>
      </w:r>
      <w:r>
        <w:rPr>
          <w:rFonts w:ascii="Arial"/>
          <w:color w:val="000000"/>
          <w:sz w:val="24"/>
        </w:rPr>
        <w:t xml:space="preserve">) for </w:t>
      </w:r>
      <w:r>
        <w:rPr>
          <w:rFonts w:ascii="Arial"/>
          <w:color w:val="000000"/>
          <w:sz w:val="24"/>
        </w:rPr>
        <w:t xml:space="preserve">the </w:t>
      </w:r>
      <w:r>
        <w:rPr>
          <w:rFonts w:ascii="Arial"/>
          <w:color w:val="000000"/>
          <w:sz w:val="24"/>
        </w:rPr>
        <w:t xml:space="preserve">Council to commence proceedings for judicial review </w:t>
      </w:r>
      <w:r>
        <w:rPr>
          <w:rFonts w:ascii="Arial"/>
          <w:color w:val="000000"/>
          <w:sz w:val="24"/>
        </w:rPr>
        <w:t xml:space="preserve">of the </w:t>
      </w:r>
      <w:r>
        <w:rPr>
          <w:rFonts w:ascii="Arial"/>
          <w:color w:val="000000"/>
          <w:sz w:val="24"/>
        </w:rPr>
        <w:t>certifier</w:t>
      </w:r>
      <w:r>
        <w:rPr>
          <w:rFonts w:ascii="Arial"/>
          <w:color w:val="000000"/>
          <w:sz w:val="24"/>
        </w:rPr>
        <w:t>’</w:t>
      </w:r>
      <w:r>
        <w:rPr>
          <w:rFonts w:ascii="Arial"/>
          <w:color w:val="000000"/>
          <w:sz w:val="24"/>
        </w:rPr>
        <w:t>s</w:t>
      </w:r>
      <w:r>
        <w:rPr>
          <w:rFonts w:ascii="Arial"/>
          <w:color w:val="000000"/>
          <w:sz w:val="24"/>
        </w:rPr>
        <w:t xml:space="preserve"> </w:t>
      </w:r>
      <w:r>
        <w:rPr>
          <w:rFonts w:ascii="Arial"/>
          <w:color w:val="000000"/>
          <w:sz w:val="24"/>
        </w:rPr>
        <w:t>decision of 31</w:t>
      </w:r>
      <w:r>
        <w:rPr>
          <w:rFonts w:ascii="Arial"/>
          <w:color w:val="000000"/>
          <w:sz w:val="24"/>
        </w:rPr>
        <w:t xml:space="preserve"> </w:t>
      </w:r>
      <w:r>
        <w:rPr>
          <w:rFonts w:ascii="Arial"/>
          <w:color w:val="000000"/>
          <w:sz w:val="24"/>
        </w:rPr>
        <w:t>August 2022 to issue the construction certificate. The three</w:t>
      </w:r>
      <w:r>
        <w:rPr>
          <w:rFonts w:ascii="Arial"/>
          <w:color w:val="000000"/>
          <w:sz w:val="24"/>
        </w:rPr>
        <w:t xml:space="preserve"> </w:t>
      </w:r>
      <w:r>
        <w:rPr>
          <w:rFonts w:ascii="Arial"/>
          <w:color w:val="000000"/>
          <w:sz w:val="24"/>
        </w:rPr>
        <w:t xml:space="preserve">month period </w:t>
      </w:r>
      <w:r>
        <w:rPr>
          <w:rFonts w:ascii="Arial"/>
          <w:color w:val="000000"/>
          <w:sz w:val="24"/>
        </w:rPr>
        <w:t xml:space="preserve">under r 59.10 </w:t>
      </w:r>
      <w:r>
        <w:rPr>
          <w:rFonts w:ascii="Arial"/>
          <w:color w:val="000000"/>
          <w:sz w:val="24"/>
        </w:rPr>
        <w:t>for commencing the proceedings expired on 30 November 2022.</w:t>
      </w:r>
      <w:r>
        <w:rPr>
          <w:rFonts w:ascii="Arial"/>
          <w:color w:val="000000"/>
          <w:sz w:val="24"/>
        </w:rPr>
        <w:t xml:space="preserve"> </w:t>
      </w:r>
      <w:r>
        <w:rPr>
          <w:rFonts w:ascii="Arial"/>
          <w:color w:val="000000"/>
          <w:sz w:val="24"/>
        </w:rPr>
        <w:t xml:space="preserve">The proceedings were commenced on </w:t>
      </w:r>
      <w:r>
        <w:rPr>
          <w:rFonts w:ascii="Arial"/>
          <w:color w:val="000000"/>
          <w:sz w:val="24"/>
        </w:rPr>
        <w:t xml:space="preserve">1 March 2023. </w:t>
      </w:r>
      <w:r>
        <w:rPr>
          <w:rFonts w:ascii="Arial"/>
          <w:b/>
          <w:color w:val="000000"/>
          <w:sz w:val="24"/>
        </w:rPr>
        <w:t xml:space="preserve"> </w:t>
      </w:r>
      <w:r>
        <w:rPr>
          <w:rFonts w:ascii="Arial"/>
          <w:color w:val="000000"/>
          <w:sz w:val="24"/>
        </w:rPr>
        <w:t xml:space="preserve">Answer: Yes. </w:t>
      </w:r>
    </w:p>
    <w:p>
      <w:pPr>
        <w:pStyle w:val="CaselawNumbered1"/>
        <w:numPr>
          <w:ilvl w:val="0"/>
          <w:numId w:val="45"/>
        </w:numPr>
        <w:spacing w:before="150" w:after="0"/>
        <w:ind w:left="1350" w:hanging="750"/>
      </w:pPr>
      <w:r>
        <w:rPr>
          <w:rFonts w:ascii="Arial"/>
          <w:color w:val="000000"/>
          <w:sz w:val="24"/>
        </w:rPr>
        <w:t>Whether the modified development consent, properly construed, prohibits excavation within the area previously identified as the cellar level for all purposes.</w:t>
      </w:r>
      <w:r>
        <w:rPr>
          <w:rFonts w:ascii="Arial"/>
          <w:color w:val="000000"/>
          <w:sz w:val="24"/>
        </w:rPr>
        <w:t xml:space="preserve"> </w:t>
      </w:r>
      <w:r>
        <w:rPr>
          <w:rFonts w:ascii="Arial"/>
          <w:color w:val="000000"/>
          <w:sz w:val="24"/>
        </w:rPr>
        <w:t>Answer: Yes.</w:t>
      </w:r>
    </w:p>
    <w:p>
      <w:pPr>
        <w:pStyle w:val="CaselawNumbered1"/>
        <w:numPr>
          <w:ilvl w:val="0"/>
          <w:numId w:val="45"/>
        </w:numPr>
        <w:spacing w:before="150" w:after="0"/>
        <w:ind w:left="1350" w:hanging="750"/>
      </w:pPr>
      <w:r>
        <w:rPr>
          <w:rFonts w:ascii="Arial"/>
          <w:color w:val="000000"/>
          <w:sz w:val="24"/>
        </w:rPr>
        <w:t>Whether the plans, specifications and standards of building work specified in the construction certificate are consistent with the modified development consent.</w:t>
      </w:r>
      <w:r>
        <w:rPr>
          <w:rFonts w:ascii="Arial"/>
          <w:color w:val="000000"/>
          <w:sz w:val="24"/>
        </w:rPr>
        <w:t xml:space="preserve"> </w:t>
      </w:r>
      <w:r>
        <w:rPr>
          <w:rFonts w:ascii="Arial"/>
          <w:color w:val="000000"/>
          <w:sz w:val="24"/>
        </w:rPr>
        <w:t xml:space="preserve">Answer: No. </w:t>
      </w:r>
    </w:p>
    <w:p>
      <w:pPr>
        <w:pStyle w:val="CaselawNumbered1"/>
        <w:numPr>
          <w:ilvl w:val="0"/>
          <w:numId w:val="45"/>
        </w:numPr>
        <w:spacing w:before="150" w:after="0"/>
        <w:ind w:left="1350" w:hanging="750"/>
      </w:pPr>
      <w:r>
        <w:rPr>
          <w:rFonts w:ascii="Arial"/>
          <w:color w:val="000000"/>
          <w:sz w:val="24"/>
        </w:rPr>
        <w:t xml:space="preserve">If the answer to question (3) is no, whether it was legally unreasonable for the </w:t>
      </w:r>
      <w:r>
        <w:rPr>
          <w:rFonts w:ascii="Arial"/>
          <w:color w:val="000000"/>
          <w:sz w:val="24"/>
        </w:rPr>
        <w:t xml:space="preserve">second </w:t>
      </w:r>
      <w:r>
        <w:rPr>
          <w:rFonts w:ascii="Arial"/>
          <w:color w:val="000000"/>
          <w:sz w:val="24"/>
        </w:rPr>
        <w:t>respondent to determine that the plans, specifications and standards of building work specified in the construction certificate were consistent with the modified development consent.</w:t>
      </w:r>
      <w:r>
        <w:rPr>
          <w:rFonts w:ascii="Arial"/>
          <w:color w:val="000000"/>
          <w:sz w:val="24"/>
        </w:rPr>
        <w:t xml:space="preserve"> </w:t>
      </w:r>
      <w:r>
        <w:rPr>
          <w:rFonts w:ascii="Arial"/>
          <w:color w:val="000000"/>
          <w:sz w:val="24"/>
        </w:rPr>
        <w:t xml:space="preserve">Answer: Yes. </w:t>
      </w:r>
    </w:p>
    <w:p>
      <w:pPr>
        <w:pStyle w:val="CaselawNumbered1"/>
        <w:numPr>
          <w:ilvl w:val="0"/>
          <w:numId w:val="45"/>
        </w:numPr>
        <w:spacing w:before="150" w:after="0"/>
        <w:ind w:left="1350" w:hanging="750"/>
      </w:pPr>
      <w:r>
        <w:rPr>
          <w:rFonts w:ascii="Arial"/>
          <w:color w:val="000000"/>
          <w:sz w:val="24"/>
        </w:rPr>
        <w:t>If the answer to question (4) is yes, whether the Court should make a declaration of invalidity in respect of all or part of the modified development consent having regard to any relevant discretionary consideration.</w:t>
      </w:r>
      <w:r>
        <w:rPr>
          <w:rFonts w:ascii="Arial"/>
          <w:color w:val="000000"/>
          <w:sz w:val="24"/>
        </w:rPr>
        <w:t xml:space="preserve"> </w:t>
      </w:r>
      <w:r>
        <w:rPr>
          <w:rFonts w:ascii="Arial"/>
          <w:color w:val="000000"/>
          <w:sz w:val="24"/>
        </w:rPr>
        <w:t>Answer: Declaration of invalidity in respect of part of the modified development consent</w:t>
      </w:r>
      <w:r>
        <w:rPr>
          <w:rFonts w:ascii="Arial"/>
          <w:color w:val="000000"/>
          <w:sz w:val="24"/>
        </w:rPr>
        <w:t>, being part of the construction certificate</w:t>
      </w:r>
      <w:r>
        <w:rPr>
          <w:rFonts w:ascii="Arial"/>
          <w:color w:val="000000"/>
          <w:sz w:val="24"/>
        </w:rPr>
        <w:t>.</w:t>
      </w:r>
    </w:p>
    <w:p>
      <w:pPr>
        <w:pStyle w:val="CaselawNumbered10"/>
        <w:numPr>
          <w:ilvl w:val="0"/>
          <w:numId w:val="46"/>
        </w:numPr>
        <w:spacing w:before="150" w:after="0"/>
        <w:ind w:left="600" w:hanging="600"/>
      </w:pPr>
      <w:r>
        <w:rPr>
          <w:rFonts w:ascii="Arial"/>
          <w:color w:val="000000"/>
          <w:sz w:val="24"/>
        </w:rPr>
        <w:t>On 26 April 2024</w:t>
      </w:r>
      <w:r>
        <w:rPr>
          <w:rFonts w:ascii="Arial"/>
          <w:color w:val="000000"/>
          <w:sz w:val="24"/>
        </w:rPr>
        <w:t>,</w:t>
      </w:r>
      <w:r>
        <w:rPr>
          <w:rFonts w:ascii="Arial"/>
          <w:color w:val="000000"/>
          <w:sz w:val="24"/>
        </w:rPr>
        <w:t xml:space="preserve"> </w:t>
      </w:r>
      <w:r>
        <w:rPr>
          <w:rFonts w:ascii="Arial"/>
          <w:color w:val="000000"/>
          <w:sz w:val="24"/>
        </w:rPr>
        <w:t xml:space="preserve">the primary judge made the following orders: </w:t>
      </w:r>
    </w:p>
    <w:p>
      <w:pPr>
        <w:pStyle w:val="CaselawQuote"/>
        <w:spacing w:before="150" w:after="150"/>
        <w:ind w:left="1350"/>
        <w:jc w:val="left"/>
      </w:pPr>
      <w:r>
        <w:rPr>
          <w:rFonts w:ascii="Arial"/>
          <w:color w:val="000000"/>
          <w:sz w:val="22"/>
        </w:rPr>
        <w:t xml:space="preserve">1 </w:t>
      </w:r>
      <w:r>
        <w:rPr>
          <w:rFonts w:ascii="Arial"/>
          <w:color w:val="000000"/>
          <w:sz w:val="22"/>
        </w:rPr>
        <w:t>   </w:t>
      </w:r>
      <w:r>
        <w:rPr>
          <w:rFonts w:ascii="Arial"/>
          <w:color w:val="000000"/>
          <w:sz w:val="22"/>
        </w:rPr>
        <w:t xml:space="preserve">The Court declares that construction certificate 21/345, issued by Paul </w:t>
      </w:r>
      <w:r>
        <w:rPr>
          <w:rFonts w:ascii="Arial"/>
          <w:color w:val="000000"/>
          <w:sz w:val="22"/>
        </w:rPr>
        <w:t>Aramini</w:t>
      </w:r>
      <w:r>
        <w:rPr>
          <w:rFonts w:ascii="Arial"/>
          <w:color w:val="000000"/>
          <w:sz w:val="22"/>
        </w:rPr>
        <w:t xml:space="preserve">, on 31 August 2022 </w:t>
      </w:r>
      <w:r>
        <w:rPr>
          <w:rFonts w:ascii="Arial"/>
          <w:b/>
          <w:color w:val="000000"/>
          <w:sz w:val="22"/>
        </w:rPr>
        <w:t xml:space="preserve">(CC) </w:t>
      </w:r>
      <w:r>
        <w:rPr>
          <w:rFonts w:ascii="Arial"/>
          <w:color w:val="000000"/>
          <w:sz w:val="22"/>
        </w:rPr>
        <w:t xml:space="preserve">for the demolition of the existing dwelling and the construction of a new dwelling at [XX] Suttie Road, Bellevue Hill, is invalid and of no effect in so far as it purports to approve </w:t>
      </w:r>
      <w:r>
        <w:rPr>
          <w:rFonts w:ascii="Arial"/>
          <w:color w:val="000000"/>
          <w:sz w:val="22"/>
        </w:rPr>
        <w:t xml:space="preserve">below RL 18.28 in the area hatched in red on the </w:t>
      </w:r>
      <w:r>
        <w:rPr>
          <w:rFonts w:ascii="Arial"/>
          <w:b/>
          <w:color w:val="000000"/>
          <w:sz w:val="22"/>
        </w:rPr>
        <w:t xml:space="preserve">attached </w:t>
      </w:r>
      <w:r>
        <w:rPr>
          <w:rFonts w:ascii="Arial"/>
          <w:color w:val="000000"/>
          <w:sz w:val="22"/>
        </w:rPr>
        <w:t xml:space="preserve">plan: </w:t>
      </w:r>
    </w:p>
    <w:p>
      <w:pPr>
        <w:pStyle w:val="CaselawQuote0"/>
        <w:spacing w:before="150" w:after="150"/>
        <w:ind w:left="2100"/>
        <w:jc w:val="left"/>
      </w:pPr>
      <w:r>
        <w:rPr>
          <w:rFonts w:ascii="Arial"/>
          <w:color w:val="000000"/>
          <w:sz w:val="22"/>
        </w:rPr>
        <w:t xml:space="preserve">a. </w:t>
      </w:r>
      <w:r>
        <w:rPr>
          <w:rFonts w:ascii="Arial"/>
          <w:color w:val="000000"/>
          <w:sz w:val="22"/>
        </w:rPr>
        <w:t>   </w:t>
      </w:r>
      <w:r>
        <w:rPr>
          <w:rFonts w:ascii="Arial"/>
          <w:color w:val="000000"/>
          <w:sz w:val="22"/>
        </w:rPr>
        <w:t xml:space="preserve">excavation; </w:t>
      </w:r>
    </w:p>
    <w:p>
      <w:pPr>
        <w:pStyle w:val="CaselawQuote0"/>
        <w:spacing w:before="150" w:after="150"/>
        <w:ind w:left="2100"/>
        <w:jc w:val="left"/>
      </w:pPr>
      <w:r>
        <w:rPr>
          <w:rFonts w:ascii="Arial"/>
          <w:color w:val="000000"/>
          <w:sz w:val="22"/>
        </w:rPr>
        <w:t xml:space="preserve">b. </w:t>
      </w:r>
      <w:r>
        <w:rPr>
          <w:rFonts w:ascii="Arial"/>
          <w:color w:val="000000"/>
          <w:sz w:val="22"/>
        </w:rPr>
        <w:t>   </w:t>
      </w:r>
      <w:r>
        <w:rPr>
          <w:rFonts w:ascii="Arial"/>
          <w:color w:val="000000"/>
          <w:sz w:val="22"/>
        </w:rPr>
        <w:t xml:space="preserve">structures including lift, lift shafts, stairs, walls, floor, and crane base; and </w:t>
      </w:r>
    </w:p>
    <w:p>
      <w:pPr>
        <w:pStyle w:val="CaselawQuote0"/>
        <w:spacing w:before="150" w:after="150"/>
        <w:ind w:left="2100"/>
        <w:jc w:val="left"/>
      </w:pPr>
      <w:r>
        <w:rPr>
          <w:rFonts w:ascii="Arial"/>
          <w:color w:val="000000"/>
          <w:sz w:val="22"/>
        </w:rPr>
        <w:t xml:space="preserve">c. </w:t>
      </w:r>
      <w:r>
        <w:rPr>
          <w:rFonts w:ascii="Arial"/>
          <w:color w:val="000000"/>
          <w:sz w:val="22"/>
        </w:rPr>
        <w:t>   </w:t>
      </w:r>
      <w:r>
        <w:rPr>
          <w:rFonts w:ascii="Arial"/>
          <w:color w:val="000000"/>
          <w:sz w:val="22"/>
        </w:rPr>
        <w:t xml:space="preserve">other works in that area. </w:t>
      </w:r>
    </w:p>
    <w:p>
      <w:pPr>
        <w:pStyle w:val="CaselawQuote"/>
        <w:spacing w:before="150" w:after="150"/>
        <w:ind w:left="1350"/>
        <w:jc w:val="left"/>
      </w:pPr>
      <w:r>
        <w:rPr>
          <w:rFonts w:ascii="Arial"/>
          <w:color w:val="000000"/>
          <w:sz w:val="22"/>
        </w:rPr>
        <w:t xml:space="preserve">2 </w:t>
      </w:r>
      <w:r>
        <w:rPr>
          <w:rFonts w:ascii="Arial"/>
          <w:color w:val="000000"/>
          <w:sz w:val="22"/>
        </w:rPr>
        <w:t>   </w:t>
      </w:r>
      <w:r>
        <w:rPr>
          <w:rFonts w:ascii="Arial"/>
          <w:color w:val="000000"/>
          <w:sz w:val="22"/>
        </w:rPr>
        <w:t>Order that the First and Second Respondents, by themselves, their servants and agents, are restrained from carrying out any development in reliance on that part of the CC referred to in Order 1 above.</w:t>
      </w:r>
    </w:p>
    <w:p>
      <w:pPr>
        <w:pStyle w:val="CaselawNumbered10"/>
        <w:numPr>
          <w:ilvl w:val="0"/>
          <w:numId w:val="47"/>
        </w:numPr>
        <w:spacing w:before="150" w:after="0"/>
        <w:ind w:left="600" w:hanging="600"/>
      </w:pPr>
      <w:r>
        <w:rPr>
          <w:rFonts w:ascii="Arial"/>
          <w:color w:val="000000"/>
          <w:sz w:val="24"/>
        </w:rPr>
        <w:t xml:space="preserve">The attached plan </w:t>
      </w:r>
      <w:r>
        <w:rPr>
          <w:rFonts w:ascii="Arial"/>
          <w:color w:val="000000"/>
          <w:sz w:val="24"/>
        </w:rPr>
        <w:t>referred to in the primary judge</w:t>
      </w:r>
      <w:r>
        <w:rPr>
          <w:rFonts w:ascii="Arial"/>
          <w:color w:val="000000"/>
          <w:sz w:val="24"/>
        </w:rPr>
        <w:t>’</w:t>
      </w:r>
      <w:r>
        <w:rPr>
          <w:rFonts w:ascii="Arial"/>
          <w:color w:val="000000"/>
          <w:sz w:val="24"/>
        </w:rPr>
        <w:t xml:space="preserve">s orders </w:t>
      </w:r>
      <w:r>
        <w:rPr>
          <w:rFonts w:ascii="Arial"/>
          <w:color w:val="000000"/>
          <w:sz w:val="24"/>
        </w:rPr>
        <w:t>provided:</w:t>
      </w:r>
      <w:r>
        <w:rPr>
          <w:rFonts w:ascii="Arial"/>
          <w:color w:val="000000"/>
          <w:sz w:val="24"/>
        </w:rPr>
        <w:t xml:space="preserve"> </w:t>
      </w:r>
      <w:r>
        <w:drawing>
          <wp:inline distT="0" distB="0" distL="0" distR="0">
            <wp:extent cx="5718930" cy="4140200"/>
            <wp:effectExtent l="0" t="0" r="0" b="0"/>
            <wp:docPr id="0" name="" descr=""/>
            <wp:cNvGraphicFramePr>
              <a:graphicFrameLocks noChangeAspect="true"/>
            </wp:cNvGraphicFramePr>
            <a:graphic>
              <a:graphicData uri="http://schemas.openxmlformats.org/drawingml/2006/picture">
                <pic:pic>
                  <pic:nvPicPr>
                    <pic:cNvPr id="1" name=""/>
                    <pic:cNvPicPr/>
                  </pic:nvPicPr>
                  <pic:blipFill>
                    <a:blip r:embed="rId19"/>
                    <a:stretch>
                      <a:fillRect/>
                    </a:stretch>
                  </pic:blipFill>
                  <pic:spPr>
                    <a:xfrm>
                      <a:off x="0" y="0"/>
                      <a:ext cx="5718930" cy="4140200"/>
                    </a:xfrm>
                    <a:prstGeom prst="rect">
                      <a:avLst/>
                    </a:prstGeom>
                  </pic:spPr>
                </pic:pic>
              </a:graphicData>
            </a:graphic>
          </wp:inline>
        </w:drawing>
      </w:r>
    </w:p>
    <w:p>
      <w:pPr>
        <w:pStyle w:val="CaselawNumbered10"/>
        <w:numPr>
          <w:ilvl w:val="0"/>
          <w:numId w:val="47"/>
        </w:numPr>
        <w:spacing w:before="150" w:after="0"/>
        <w:ind w:left="600" w:hanging="600"/>
      </w:pPr>
      <w:r>
        <w:rPr>
          <w:rFonts w:ascii="Arial"/>
          <w:color w:val="000000"/>
          <w:sz w:val="24"/>
        </w:rPr>
        <w:t>Two matter</w:t>
      </w:r>
      <w:r>
        <w:rPr>
          <w:rFonts w:ascii="Arial"/>
          <w:color w:val="000000"/>
          <w:sz w:val="24"/>
        </w:rPr>
        <w:t>s should immediately be noticed about these orders.</w:t>
      </w:r>
      <w:r>
        <w:rPr>
          <w:rFonts w:ascii="Arial"/>
          <w:color w:val="000000"/>
          <w:sz w:val="24"/>
        </w:rPr>
        <w:t xml:space="preserve"> </w:t>
      </w:r>
      <w:r>
        <w:rPr>
          <w:rFonts w:ascii="Arial"/>
          <w:color w:val="000000"/>
          <w:sz w:val="24"/>
        </w:rPr>
        <w:t xml:space="preserve">The first is that </w:t>
      </w:r>
      <w:r>
        <w:rPr>
          <w:rFonts w:ascii="Arial"/>
          <w:color w:val="000000"/>
          <w:sz w:val="24"/>
        </w:rPr>
        <w:t>t</w:t>
      </w:r>
      <w:r>
        <w:rPr>
          <w:rFonts w:ascii="Arial"/>
          <w:color w:val="000000"/>
          <w:sz w:val="24"/>
        </w:rPr>
        <w:t>he construction certificate is set aside in part only, being the area hatched in red</w:t>
      </w:r>
      <w:r>
        <w:rPr>
          <w:rFonts w:ascii="Arial"/>
          <w:color w:val="000000"/>
          <w:sz w:val="24"/>
        </w:rPr>
        <w:t xml:space="preserve"> </w:t>
      </w:r>
      <w:r>
        <w:rPr>
          <w:rFonts w:ascii="Arial"/>
          <w:color w:val="000000"/>
          <w:sz w:val="24"/>
        </w:rPr>
        <w:t>at the identified level</w:t>
      </w:r>
      <w:r>
        <w:rPr>
          <w:rFonts w:ascii="Arial"/>
          <w:color w:val="000000"/>
          <w:sz w:val="24"/>
        </w:rPr>
        <w:t>.</w:t>
      </w:r>
      <w:r>
        <w:rPr>
          <w:rFonts w:ascii="Arial"/>
          <w:color w:val="000000"/>
          <w:sz w:val="24"/>
        </w:rPr>
        <w:t xml:space="preserve"> </w:t>
      </w:r>
      <w:r>
        <w:rPr>
          <w:rFonts w:ascii="Arial"/>
          <w:color w:val="000000"/>
          <w:sz w:val="24"/>
        </w:rPr>
        <w:t>The second is that excavation below RL 18.28 is the level at which the order applies</w:t>
      </w:r>
      <w:r>
        <w:rPr>
          <w:rFonts w:ascii="Arial"/>
          <w:color w:val="000000"/>
          <w:sz w:val="24"/>
        </w:rPr>
        <w:t xml:space="preserve">, </w:t>
      </w:r>
      <w:r>
        <w:rPr>
          <w:rFonts w:ascii="Arial"/>
          <w:color w:val="000000"/>
          <w:sz w:val="24"/>
        </w:rPr>
        <w:t xml:space="preserve">rather than </w:t>
      </w:r>
      <w:r>
        <w:rPr>
          <w:rFonts w:ascii="Arial"/>
          <w:color w:val="000000"/>
          <w:sz w:val="24"/>
        </w:rPr>
        <w:t>lower tha</w:t>
      </w:r>
      <w:r>
        <w:rPr>
          <w:rFonts w:ascii="Arial"/>
          <w:color w:val="000000"/>
          <w:sz w:val="24"/>
        </w:rPr>
        <w:t>n</w:t>
      </w:r>
      <w:r>
        <w:rPr>
          <w:rFonts w:ascii="Arial"/>
          <w:color w:val="000000"/>
          <w:sz w:val="24"/>
        </w:rPr>
        <w:t xml:space="preserve"> </w:t>
      </w:r>
      <w:r>
        <w:rPr>
          <w:rFonts w:ascii="Arial"/>
          <w:color w:val="000000"/>
          <w:sz w:val="24"/>
        </w:rPr>
        <w:t xml:space="preserve">the level of </w:t>
      </w:r>
      <w:r>
        <w:rPr>
          <w:rFonts w:ascii="Arial"/>
          <w:color w:val="000000"/>
          <w:sz w:val="24"/>
        </w:rPr>
        <w:t xml:space="preserve">RL </w:t>
      </w:r>
      <w:r>
        <w:rPr>
          <w:rFonts w:ascii="Arial"/>
          <w:color w:val="000000"/>
          <w:sz w:val="24"/>
        </w:rPr>
        <w:t xml:space="preserve">18.50, which is the </w:t>
      </w:r>
      <w:r>
        <w:rPr>
          <w:rFonts w:ascii="Arial"/>
          <w:color w:val="000000"/>
          <w:sz w:val="24"/>
        </w:rPr>
        <w:t xml:space="preserve">approved </w:t>
      </w:r>
      <w:r>
        <w:rPr>
          <w:rFonts w:ascii="Arial"/>
          <w:color w:val="000000"/>
          <w:sz w:val="24"/>
        </w:rPr>
        <w:t>“</w:t>
      </w:r>
      <w:r>
        <w:rPr>
          <w:rFonts w:ascii="Arial"/>
          <w:color w:val="000000"/>
          <w:sz w:val="24"/>
        </w:rPr>
        <w:t>lo</w:t>
      </w:r>
      <w:r>
        <w:rPr>
          <w:rFonts w:ascii="Arial"/>
          <w:color w:val="000000"/>
          <w:sz w:val="24"/>
        </w:rPr>
        <w:t>w</w:t>
      </w:r>
      <w:r>
        <w:rPr>
          <w:rFonts w:ascii="Arial"/>
          <w:color w:val="000000"/>
          <w:sz w:val="24"/>
        </w:rPr>
        <w:t>er level</w:t>
      </w:r>
      <w:r>
        <w:rPr>
          <w:rFonts w:ascii="Arial"/>
          <w:color w:val="000000"/>
          <w:sz w:val="24"/>
        </w:rPr>
        <w:t>”</w:t>
      </w:r>
      <w:r>
        <w:rPr>
          <w:rFonts w:ascii="Arial"/>
          <w:color w:val="000000"/>
          <w:sz w:val="24"/>
        </w:rPr>
        <w:t xml:space="preserve"> </w:t>
      </w:r>
      <w:r>
        <w:rPr>
          <w:rFonts w:ascii="Arial"/>
          <w:color w:val="000000"/>
          <w:sz w:val="24"/>
        </w:rPr>
        <w:t xml:space="preserve">in the </w:t>
      </w:r>
      <w:r>
        <w:rPr>
          <w:rFonts w:ascii="Arial"/>
          <w:color w:val="000000"/>
          <w:sz w:val="24"/>
        </w:rPr>
        <w:t xml:space="preserve">development consent </w:t>
      </w:r>
      <w:r>
        <w:rPr>
          <w:rFonts w:ascii="Arial"/>
          <w:color w:val="000000"/>
          <w:sz w:val="24"/>
        </w:rPr>
        <w:t>(see the diagram at [9] above).</w:t>
      </w:r>
      <w:r>
        <w:rPr>
          <w:rFonts w:ascii="Arial"/>
          <w:color w:val="000000"/>
          <w:sz w:val="24"/>
        </w:rPr>
        <w:t xml:space="preserve"> </w:t>
      </w:r>
      <w:r>
        <w:rPr>
          <w:rFonts w:ascii="Arial"/>
          <w:color w:val="000000"/>
          <w:sz w:val="24"/>
        </w:rPr>
        <w:t>I will return to both of these matters below.</w:t>
      </w:r>
    </w:p>
    <w:p>
      <w:pPr>
        <w:pStyle w:val="CaselawHeading2"/>
        <w:keepNext/>
        <w:spacing w:before="150" w:after="150" w:line="264"/>
        <w:ind w:left="0"/>
        <w:jc w:val="left"/>
      </w:pPr>
      <w:r>
        <w:rPr>
          <w:rFonts w:ascii="Arial"/>
        </w:rPr>
        <w:t>Reasoning of the primary judge</w:t>
      </w:r>
    </w:p>
    <w:p>
      <w:pPr>
        <w:pStyle w:val="CaselawHeading3"/>
        <w:keepNext/>
        <w:spacing w:before="150" w:after="150" w:line="264"/>
        <w:ind w:left="0"/>
        <w:jc w:val="left"/>
      </w:pPr>
      <w:r>
        <w:rPr>
          <w:rFonts w:ascii="Arial"/>
        </w:rPr>
        <w:t xml:space="preserve">(1) </w:t>
      </w:r>
      <w:r>
        <w:rPr>
          <w:rFonts w:ascii="Arial"/>
        </w:rPr>
        <w:t>E</w:t>
      </w:r>
      <w:r>
        <w:rPr>
          <w:rFonts w:ascii="Arial"/>
        </w:rPr>
        <w:t xml:space="preserve">xtension </w:t>
      </w:r>
      <w:r>
        <w:rPr>
          <w:rFonts w:ascii="Arial"/>
        </w:rPr>
        <w:t>of time under UCPR r 59.10</w:t>
      </w:r>
    </w:p>
    <w:p>
      <w:pPr>
        <w:pStyle w:val="CaselawNumbered10"/>
        <w:numPr>
          <w:ilvl w:val="0"/>
          <w:numId w:val="48"/>
        </w:numPr>
        <w:spacing w:before="150" w:after="0"/>
        <w:ind w:left="600" w:hanging="600"/>
      </w:pPr>
      <w:r>
        <w:rPr>
          <w:rFonts w:ascii="Arial"/>
          <w:color w:val="000000"/>
          <w:sz w:val="24"/>
        </w:rPr>
        <w:t xml:space="preserve">The primary judge </w:t>
      </w:r>
      <w:r>
        <w:rPr>
          <w:rFonts w:ascii="Arial"/>
          <w:color w:val="000000"/>
          <w:sz w:val="24"/>
        </w:rPr>
        <w:t xml:space="preserve">was </w:t>
      </w:r>
      <w:r>
        <w:rPr>
          <w:rFonts w:ascii="Arial"/>
          <w:color w:val="000000"/>
          <w:sz w:val="24"/>
        </w:rPr>
        <w:t>satisfied that the Land and Environment Court had jurisdiction to extend time</w:t>
      </w:r>
      <w:r>
        <w:rPr>
          <w:rFonts w:ascii="Arial"/>
          <w:color w:val="000000"/>
          <w:sz w:val="24"/>
        </w:rPr>
        <w:t xml:space="preserve"> </w:t>
      </w:r>
      <w:r>
        <w:rPr>
          <w:rFonts w:ascii="Arial"/>
          <w:color w:val="000000"/>
          <w:sz w:val="24"/>
        </w:rPr>
        <w:t xml:space="preserve">to commence the proceedings </w:t>
      </w:r>
      <w:r>
        <w:rPr>
          <w:rFonts w:ascii="Arial"/>
          <w:color w:val="000000"/>
          <w:sz w:val="24"/>
        </w:rPr>
        <w:t xml:space="preserve">under UCPR r 59.10: </w:t>
      </w:r>
      <w:r>
        <w:rPr>
          <w:rFonts w:ascii="Arial"/>
          <w:i/>
          <w:color w:val="000000"/>
          <w:sz w:val="24"/>
        </w:rPr>
        <w:t xml:space="preserve">Bankstown City Council v </w:t>
      </w:r>
      <w:r>
        <w:rPr>
          <w:rFonts w:ascii="Arial"/>
          <w:i/>
          <w:color w:val="000000"/>
          <w:sz w:val="24"/>
        </w:rPr>
        <w:t>Ramahi</w:t>
      </w:r>
      <w:r>
        <w:rPr>
          <w:rFonts w:ascii="Arial"/>
          <w:color w:val="000000"/>
          <w:sz w:val="24"/>
        </w:rPr>
        <w:t xml:space="preserve"> </w:t>
      </w:r>
      <w:r>
        <w:rPr>
          <w:rFonts w:ascii="Arial"/>
          <w:color w:val="000000"/>
          <w:sz w:val="24"/>
        </w:rPr>
        <w:t>[2015] NSWLEC 74</w:t>
      </w:r>
      <w:r>
        <w:rPr>
          <w:rFonts w:ascii="Arial"/>
          <w:color w:val="000000"/>
          <w:sz w:val="24"/>
        </w:rPr>
        <w:t xml:space="preserve"> </w:t>
      </w:r>
      <w:r>
        <w:rPr>
          <w:rFonts w:ascii="Arial"/>
          <w:color w:val="000000"/>
          <w:sz w:val="24"/>
        </w:rPr>
        <w:t>(</w:t>
      </w:r>
      <w:r>
        <w:rPr>
          <w:rFonts w:ascii="Arial"/>
          <w:color w:val="000000"/>
          <w:sz w:val="24"/>
        </w:rPr>
        <w:t>“</w:t>
      </w:r>
      <w:r>
        <w:rPr>
          <w:rFonts w:ascii="Arial"/>
          <w:i/>
          <w:color w:val="000000"/>
          <w:sz w:val="24"/>
        </w:rPr>
        <w:t>Ramahi</w:t>
      </w:r>
      <w:r>
        <w:rPr>
          <w:rFonts w:ascii="Arial"/>
          <w:color w:val="000000"/>
          <w:sz w:val="24"/>
        </w:rPr>
        <w:t>”</w:t>
      </w:r>
      <w:r>
        <w:rPr>
          <w:rFonts w:ascii="Arial"/>
          <w:color w:val="000000"/>
          <w:sz w:val="24"/>
        </w:rPr>
        <w:t>)</w:t>
      </w:r>
      <w:r>
        <w:rPr>
          <w:rFonts w:ascii="Arial"/>
          <w:color w:val="000000"/>
          <w:sz w:val="24"/>
        </w:rPr>
        <w:t>.</w:t>
      </w:r>
    </w:p>
    <w:p>
      <w:pPr>
        <w:pStyle w:val="CaselawNumbered10"/>
        <w:numPr>
          <w:ilvl w:val="0"/>
          <w:numId w:val="48"/>
        </w:numPr>
        <w:spacing w:before="150" w:after="0"/>
        <w:ind w:left="600" w:hanging="600"/>
      </w:pPr>
      <w:r>
        <w:rPr>
          <w:rFonts w:ascii="Arial"/>
          <w:color w:val="000000"/>
          <w:sz w:val="24"/>
        </w:rPr>
        <w:t xml:space="preserve">Her Honour was </w:t>
      </w:r>
      <w:r>
        <w:rPr>
          <w:rFonts w:ascii="Arial"/>
          <w:color w:val="000000"/>
          <w:sz w:val="24"/>
        </w:rPr>
        <w:t>persuaded by</w:t>
      </w:r>
      <w:r>
        <w:rPr>
          <w:rFonts w:ascii="Arial"/>
          <w:color w:val="000000"/>
          <w:sz w:val="24"/>
        </w:rPr>
        <w:t xml:space="preserve"> </w:t>
      </w:r>
      <w:r>
        <w:rPr>
          <w:rFonts w:ascii="Arial"/>
          <w:color w:val="000000"/>
          <w:sz w:val="24"/>
        </w:rPr>
        <w:t xml:space="preserve">the </w:t>
      </w:r>
      <w:r>
        <w:rPr>
          <w:rFonts w:ascii="Arial"/>
          <w:color w:val="000000"/>
          <w:sz w:val="24"/>
        </w:rPr>
        <w:t>Council</w:t>
      </w:r>
      <w:r>
        <w:rPr>
          <w:rFonts w:ascii="Arial"/>
          <w:color w:val="000000"/>
          <w:sz w:val="24"/>
        </w:rPr>
        <w:t>’</w:t>
      </w:r>
      <w:r>
        <w:rPr>
          <w:rFonts w:ascii="Arial"/>
          <w:color w:val="000000"/>
          <w:sz w:val="24"/>
        </w:rPr>
        <w:t xml:space="preserve">s responsibility to enforce the EPA Act and the lack of significant prejudice to the </w:t>
      </w:r>
      <w:r>
        <w:rPr>
          <w:rFonts w:ascii="Arial"/>
          <w:color w:val="000000"/>
          <w:sz w:val="24"/>
        </w:rPr>
        <w:t>appellants</w:t>
      </w:r>
      <w:r>
        <w:rPr>
          <w:rFonts w:ascii="Arial"/>
          <w:color w:val="000000"/>
          <w:sz w:val="24"/>
        </w:rPr>
        <w:t xml:space="preserve"> </w:t>
      </w:r>
      <w:r>
        <w:rPr>
          <w:rFonts w:ascii="Arial"/>
          <w:color w:val="000000"/>
          <w:sz w:val="24"/>
        </w:rPr>
        <w:t xml:space="preserve">from the delay. </w:t>
      </w:r>
      <w:r>
        <w:rPr>
          <w:rFonts w:ascii="Arial"/>
          <w:color w:val="000000"/>
          <w:sz w:val="24"/>
        </w:rPr>
        <w:t>Her Honour</w:t>
      </w:r>
      <w:r>
        <w:rPr>
          <w:rFonts w:ascii="Arial"/>
          <w:color w:val="000000"/>
          <w:sz w:val="24"/>
        </w:rPr>
        <w:t xml:space="preserve"> </w:t>
      </w:r>
      <w:r>
        <w:rPr>
          <w:rFonts w:ascii="Arial"/>
          <w:color w:val="000000"/>
          <w:sz w:val="24"/>
        </w:rPr>
        <w:t>accepted</w:t>
      </w:r>
      <w:r>
        <w:rPr>
          <w:rFonts w:ascii="Arial"/>
          <w:color w:val="000000"/>
          <w:sz w:val="24"/>
        </w:rPr>
        <w:t xml:space="preserve"> </w:t>
      </w:r>
      <w:r>
        <w:rPr>
          <w:rFonts w:ascii="Arial"/>
          <w:color w:val="000000"/>
          <w:sz w:val="24"/>
        </w:rPr>
        <w:t>the</w:t>
      </w:r>
      <w:r>
        <w:rPr>
          <w:rFonts w:ascii="Arial"/>
          <w:color w:val="000000"/>
          <w:sz w:val="24"/>
        </w:rPr>
        <w:t xml:space="preserve"> </w:t>
      </w:r>
      <w:r>
        <w:rPr>
          <w:rFonts w:ascii="Arial"/>
          <w:color w:val="000000"/>
          <w:sz w:val="24"/>
        </w:rPr>
        <w:t>Council</w:t>
      </w:r>
      <w:r>
        <w:rPr>
          <w:rFonts w:ascii="Arial"/>
          <w:color w:val="000000"/>
          <w:sz w:val="24"/>
        </w:rPr>
        <w:t>’</w:t>
      </w:r>
      <w:r>
        <w:rPr>
          <w:rFonts w:ascii="Arial"/>
          <w:color w:val="000000"/>
          <w:sz w:val="24"/>
        </w:rPr>
        <w:t>s submission that any relevant prejudice, being expenses on building work incurred up to the expiry of the three</w:t>
      </w:r>
      <w:r>
        <w:rPr>
          <w:rFonts w:ascii="Arial"/>
          <w:color w:val="000000"/>
          <w:sz w:val="24"/>
        </w:rPr>
        <w:t xml:space="preserve"> </w:t>
      </w:r>
      <w:r>
        <w:rPr>
          <w:rFonts w:ascii="Arial"/>
          <w:color w:val="000000"/>
          <w:sz w:val="24"/>
        </w:rPr>
        <w:t xml:space="preserve">month period for commencing the proceedings, is not connected to any delay on the part of </w:t>
      </w:r>
      <w:r>
        <w:rPr>
          <w:rFonts w:ascii="Arial"/>
          <w:color w:val="000000"/>
          <w:sz w:val="24"/>
        </w:rPr>
        <w:t xml:space="preserve">the </w:t>
      </w:r>
      <w:r>
        <w:rPr>
          <w:rFonts w:ascii="Arial"/>
          <w:color w:val="000000"/>
          <w:sz w:val="24"/>
        </w:rPr>
        <w:t>Council in commencing the proceedings. The primary judge accepted that there was no evidence as to what other works (if any) were carried out during that period, nor the potential costs of any such works, to enable a quantification of prejudice.</w:t>
      </w:r>
    </w:p>
    <w:p>
      <w:pPr>
        <w:pStyle w:val="CaselawNumbered10"/>
        <w:numPr>
          <w:ilvl w:val="0"/>
          <w:numId w:val="48"/>
        </w:numPr>
        <w:spacing w:before="150" w:after="0"/>
        <w:ind w:left="600" w:hanging="600"/>
      </w:pPr>
      <w:r>
        <w:rPr>
          <w:rFonts w:ascii="Arial"/>
          <w:color w:val="000000"/>
          <w:sz w:val="24"/>
        </w:rPr>
        <w:t>The primary judge</w:t>
      </w:r>
      <w:r>
        <w:rPr>
          <w:rFonts w:ascii="Arial"/>
          <w:color w:val="000000"/>
          <w:sz w:val="24"/>
        </w:rPr>
        <w:t xml:space="preserve"> </w:t>
      </w:r>
      <w:r>
        <w:rPr>
          <w:rFonts w:ascii="Arial"/>
          <w:color w:val="000000"/>
          <w:sz w:val="24"/>
        </w:rPr>
        <w:t xml:space="preserve">accepted </w:t>
      </w:r>
      <w:r>
        <w:rPr>
          <w:rFonts w:ascii="Arial"/>
          <w:color w:val="000000"/>
          <w:sz w:val="24"/>
        </w:rPr>
        <w:t xml:space="preserve">the </w:t>
      </w:r>
      <w:r>
        <w:rPr>
          <w:rFonts w:ascii="Arial"/>
          <w:color w:val="000000"/>
          <w:sz w:val="24"/>
        </w:rPr>
        <w:t>Council</w:t>
      </w:r>
      <w:r>
        <w:rPr>
          <w:rFonts w:ascii="Arial"/>
          <w:color w:val="000000"/>
          <w:sz w:val="24"/>
        </w:rPr>
        <w:t>’</w:t>
      </w:r>
      <w:r>
        <w:rPr>
          <w:rFonts w:ascii="Arial"/>
          <w:color w:val="000000"/>
          <w:sz w:val="24"/>
        </w:rPr>
        <w:t xml:space="preserve">s submission that any prejudice to the appellants </w:t>
      </w:r>
      <w:r>
        <w:rPr>
          <w:rFonts w:ascii="Arial"/>
          <w:color w:val="000000"/>
          <w:sz w:val="24"/>
        </w:rPr>
        <w:t xml:space="preserve">needed </w:t>
      </w:r>
      <w:r>
        <w:rPr>
          <w:rFonts w:ascii="Arial"/>
          <w:color w:val="000000"/>
          <w:sz w:val="24"/>
        </w:rPr>
        <w:t>to be considered in the context that the appellant</w:t>
      </w:r>
      <w:r>
        <w:rPr>
          <w:rFonts w:ascii="Arial"/>
          <w:color w:val="000000"/>
          <w:sz w:val="24"/>
        </w:rPr>
        <w:t>s</w:t>
      </w:r>
      <w:r>
        <w:rPr>
          <w:rFonts w:ascii="Arial"/>
          <w:color w:val="000000"/>
          <w:sz w:val="24"/>
        </w:rPr>
        <w:t xml:space="preserve"> </w:t>
      </w:r>
      <w:r>
        <w:rPr>
          <w:rFonts w:ascii="Arial"/>
          <w:color w:val="000000"/>
          <w:sz w:val="24"/>
        </w:rPr>
        <w:t xml:space="preserve">knew that the Local Planning Panel </w:t>
      </w:r>
      <w:r>
        <w:rPr>
          <w:rFonts w:ascii="Arial"/>
          <w:color w:val="000000"/>
          <w:sz w:val="24"/>
        </w:rPr>
        <w:t>“</w:t>
      </w:r>
      <w:r>
        <w:rPr>
          <w:rFonts w:ascii="Arial"/>
          <w:color w:val="000000"/>
          <w:sz w:val="24"/>
        </w:rPr>
        <w:t>had essentially refused consent to a cellar level</w:t>
      </w:r>
      <w:r>
        <w:rPr>
          <w:rFonts w:ascii="Arial"/>
          <w:color w:val="000000"/>
          <w:sz w:val="24"/>
        </w:rPr>
        <w:t>”</w:t>
      </w:r>
      <w:r>
        <w:rPr>
          <w:rFonts w:ascii="Arial"/>
          <w:color w:val="000000"/>
          <w:sz w:val="24"/>
        </w:rPr>
        <w:t xml:space="preserve"> </w:t>
      </w:r>
      <w:r>
        <w:rPr>
          <w:rFonts w:ascii="Arial"/>
          <w:color w:val="000000"/>
          <w:sz w:val="24"/>
        </w:rPr>
        <w:t xml:space="preserve">and nonetheless </w:t>
      </w:r>
      <w:r>
        <w:rPr>
          <w:rFonts w:ascii="Arial"/>
          <w:color w:val="000000"/>
          <w:sz w:val="24"/>
        </w:rPr>
        <w:t>submitted plans to the principal certifying authority that showed a cellar level</w:t>
      </w:r>
      <w:r>
        <w:rPr>
          <w:rFonts w:ascii="Arial"/>
          <w:color w:val="000000"/>
          <w:sz w:val="24"/>
        </w:rPr>
        <w:t>.</w:t>
      </w:r>
      <w:r>
        <w:rPr>
          <w:rFonts w:ascii="Arial"/>
          <w:color w:val="000000"/>
          <w:sz w:val="24"/>
        </w:rPr>
        <w:t xml:space="preserve"> </w:t>
      </w:r>
    </w:p>
    <w:p>
      <w:pPr>
        <w:pStyle w:val="CaselawNumbered10"/>
        <w:numPr>
          <w:ilvl w:val="0"/>
          <w:numId w:val="48"/>
        </w:numPr>
        <w:spacing w:before="150" w:after="0"/>
        <w:ind w:left="600" w:hanging="600"/>
      </w:pPr>
      <w:r>
        <w:rPr>
          <w:rFonts w:ascii="Arial"/>
          <w:color w:val="000000"/>
          <w:sz w:val="24"/>
        </w:rPr>
        <w:t>T</w:t>
      </w:r>
      <w:r>
        <w:rPr>
          <w:rFonts w:ascii="Arial"/>
          <w:color w:val="000000"/>
          <w:sz w:val="24"/>
        </w:rPr>
        <w:t>he primary judge was satisfied that the</w:t>
      </w:r>
      <w:r>
        <w:rPr>
          <w:rFonts w:ascii="Arial"/>
          <w:color w:val="000000"/>
          <w:sz w:val="24"/>
        </w:rPr>
        <w:t xml:space="preserve"> </w:t>
      </w:r>
      <w:r>
        <w:rPr>
          <w:rFonts w:ascii="Arial"/>
          <w:color w:val="000000"/>
          <w:sz w:val="24"/>
        </w:rPr>
        <w:t>Council</w:t>
      </w:r>
      <w:r>
        <w:rPr>
          <w:rFonts w:ascii="Arial"/>
          <w:color w:val="000000"/>
          <w:sz w:val="24"/>
        </w:rPr>
        <w:t>’</w:t>
      </w:r>
      <w:r>
        <w:rPr>
          <w:rFonts w:ascii="Arial"/>
          <w:color w:val="000000"/>
          <w:sz w:val="24"/>
        </w:rPr>
        <w:t>s</w:t>
      </w:r>
      <w:r>
        <w:rPr>
          <w:rFonts w:ascii="Arial"/>
          <w:color w:val="000000"/>
          <w:sz w:val="24"/>
        </w:rPr>
        <w:t xml:space="preserve"> </w:t>
      </w:r>
      <w:r>
        <w:rPr>
          <w:rFonts w:ascii="Arial"/>
          <w:color w:val="000000"/>
          <w:sz w:val="24"/>
        </w:rPr>
        <w:t xml:space="preserve">delay was not undue. </w:t>
      </w:r>
      <w:r>
        <w:rPr>
          <w:rFonts w:ascii="Arial"/>
          <w:color w:val="000000"/>
          <w:sz w:val="24"/>
        </w:rPr>
        <w:t xml:space="preserve">The </w:t>
      </w:r>
      <w:r>
        <w:rPr>
          <w:rFonts w:ascii="Arial"/>
          <w:color w:val="000000"/>
          <w:sz w:val="24"/>
        </w:rPr>
        <w:t>Council, having reviewed the construction certificate, attended the site the following day and on 6</w:t>
      </w:r>
      <w:r>
        <w:rPr>
          <w:rFonts w:ascii="Arial"/>
          <w:color w:val="000000"/>
          <w:sz w:val="24"/>
        </w:rPr>
        <w:t xml:space="preserve"> </w:t>
      </w:r>
      <w:r>
        <w:rPr>
          <w:rFonts w:ascii="Arial"/>
          <w:color w:val="000000"/>
          <w:sz w:val="24"/>
        </w:rPr>
        <w:t xml:space="preserve">February 2023 issued </w:t>
      </w:r>
      <w:r>
        <w:rPr>
          <w:rFonts w:ascii="Arial"/>
          <w:color w:val="000000"/>
          <w:sz w:val="24"/>
        </w:rPr>
        <w:t>a</w:t>
      </w:r>
      <w:r>
        <w:rPr>
          <w:rFonts w:ascii="Arial"/>
          <w:color w:val="000000"/>
          <w:sz w:val="24"/>
        </w:rPr>
        <w:t xml:space="preserve"> </w:t>
      </w:r>
      <w:r>
        <w:rPr>
          <w:rFonts w:ascii="Arial"/>
          <w:color w:val="000000"/>
          <w:sz w:val="24"/>
        </w:rPr>
        <w:t xml:space="preserve">development control order requiring the cessation of all excavation works below RL 18.30. </w:t>
      </w:r>
    </w:p>
    <w:p>
      <w:pPr>
        <w:pStyle w:val="CaselawNumbered10"/>
        <w:numPr>
          <w:ilvl w:val="0"/>
          <w:numId w:val="48"/>
        </w:numPr>
        <w:spacing w:before="150" w:after="0"/>
        <w:ind w:left="600" w:hanging="600"/>
      </w:pPr>
      <w:r>
        <w:rPr>
          <w:rFonts w:ascii="Arial"/>
          <w:color w:val="000000"/>
          <w:sz w:val="24"/>
        </w:rPr>
        <w:t>T</w:t>
      </w:r>
      <w:r>
        <w:rPr>
          <w:rFonts w:ascii="Arial"/>
          <w:color w:val="000000"/>
          <w:sz w:val="24"/>
        </w:rPr>
        <w:t xml:space="preserve">he primary judge held that neither </w:t>
      </w:r>
      <w:r>
        <w:rPr>
          <w:rFonts w:ascii="Arial"/>
          <w:i/>
          <w:color w:val="000000"/>
          <w:sz w:val="24"/>
        </w:rPr>
        <w:t xml:space="preserve">The Hills Shire Council v </w:t>
      </w:r>
      <w:r>
        <w:rPr>
          <w:rFonts w:ascii="Arial"/>
          <w:i/>
          <w:color w:val="000000"/>
          <w:sz w:val="24"/>
        </w:rPr>
        <w:t>Drenovac</w:t>
      </w:r>
      <w:r>
        <w:rPr>
          <w:rFonts w:ascii="Arial"/>
          <w:color w:val="000000"/>
          <w:sz w:val="24"/>
        </w:rPr>
        <w:t xml:space="preserve"> </w:t>
      </w:r>
      <w:r>
        <w:rPr>
          <w:rFonts w:ascii="Arial"/>
          <w:color w:val="000000"/>
          <w:sz w:val="24"/>
        </w:rPr>
        <w:t xml:space="preserve">[2022] NSWLEC 139 </w:t>
      </w:r>
      <w:r>
        <w:rPr>
          <w:rFonts w:ascii="Arial"/>
          <w:color w:val="000000"/>
          <w:sz w:val="24"/>
        </w:rPr>
        <w:t xml:space="preserve">nor </w:t>
      </w:r>
      <w:r>
        <w:rPr>
          <w:rFonts w:ascii="Arial"/>
          <w:i/>
          <w:color w:val="000000"/>
          <w:sz w:val="24"/>
        </w:rPr>
        <w:t xml:space="preserve">Central Coast Council v 40 </w:t>
      </w:r>
      <w:r>
        <w:rPr>
          <w:rFonts w:ascii="Arial"/>
          <w:i/>
          <w:color w:val="000000"/>
          <w:sz w:val="24"/>
        </w:rPr>
        <w:t>Gindurra</w:t>
      </w:r>
      <w:r>
        <w:rPr>
          <w:rFonts w:ascii="Arial"/>
          <w:i/>
          <w:color w:val="000000"/>
          <w:sz w:val="24"/>
        </w:rPr>
        <w:t xml:space="preserve"> Road Somersby Pty Ltd (No 2) </w:t>
      </w:r>
      <w:r>
        <w:rPr>
          <w:rFonts w:ascii="Arial"/>
          <w:color w:val="000000"/>
          <w:sz w:val="24"/>
        </w:rPr>
        <w:t xml:space="preserve">[2019] NSWLEC 171 </w:t>
      </w:r>
      <w:r>
        <w:rPr>
          <w:rFonts w:ascii="Arial"/>
          <w:color w:val="000000"/>
          <w:sz w:val="24"/>
        </w:rPr>
        <w:t xml:space="preserve">is authority for the proposition that </w:t>
      </w:r>
      <w:r>
        <w:rPr>
          <w:rFonts w:ascii="Arial"/>
          <w:color w:val="000000"/>
          <w:sz w:val="24"/>
        </w:rPr>
        <w:t xml:space="preserve">the </w:t>
      </w:r>
      <w:r>
        <w:rPr>
          <w:rFonts w:ascii="Arial"/>
          <w:color w:val="000000"/>
          <w:sz w:val="24"/>
        </w:rPr>
        <w:t>Council</w:t>
      </w:r>
      <w:r>
        <w:rPr>
          <w:rFonts w:ascii="Arial"/>
          <w:color w:val="000000"/>
          <w:sz w:val="24"/>
        </w:rPr>
        <w:t>’</w:t>
      </w:r>
      <w:r>
        <w:rPr>
          <w:rFonts w:ascii="Arial"/>
          <w:color w:val="000000"/>
          <w:sz w:val="24"/>
        </w:rPr>
        <w:t xml:space="preserve">s role is to proactively monitor certificates issued by private certifiers. The rejection of that submission in </w:t>
      </w:r>
      <w:r>
        <w:rPr>
          <w:rFonts w:ascii="Arial"/>
          <w:i/>
          <w:color w:val="000000"/>
          <w:sz w:val="24"/>
        </w:rPr>
        <w:t>Drenovac</w:t>
      </w:r>
      <w:r>
        <w:rPr>
          <w:rFonts w:ascii="Arial"/>
          <w:color w:val="000000"/>
          <w:sz w:val="24"/>
        </w:rPr>
        <w:t xml:space="preserve"> </w:t>
      </w:r>
      <w:r>
        <w:rPr>
          <w:rFonts w:ascii="Arial"/>
          <w:color w:val="000000"/>
          <w:sz w:val="24"/>
        </w:rPr>
        <w:t xml:space="preserve">turned on the inadequacies of </w:t>
      </w:r>
      <w:r>
        <w:rPr>
          <w:rFonts w:ascii="Arial"/>
          <w:color w:val="000000"/>
          <w:sz w:val="24"/>
        </w:rPr>
        <w:t xml:space="preserve">the </w:t>
      </w:r>
      <w:r>
        <w:rPr>
          <w:rFonts w:ascii="Arial"/>
          <w:color w:val="000000"/>
          <w:sz w:val="24"/>
        </w:rPr>
        <w:t>Council</w:t>
      </w:r>
      <w:r>
        <w:rPr>
          <w:rFonts w:ascii="Arial"/>
          <w:color w:val="000000"/>
          <w:sz w:val="24"/>
        </w:rPr>
        <w:t>’</w:t>
      </w:r>
      <w:r>
        <w:rPr>
          <w:rFonts w:ascii="Arial"/>
          <w:color w:val="000000"/>
          <w:sz w:val="24"/>
        </w:rPr>
        <w:t xml:space="preserve">s evidence </w:t>
      </w:r>
      <w:r>
        <w:rPr>
          <w:rFonts w:ascii="Arial"/>
          <w:color w:val="000000"/>
          <w:sz w:val="24"/>
        </w:rPr>
        <w:t>at [</w:t>
      </w:r>
      <w:r>
        <w:rPr>
          <w:rFonts w:ascii="Arial"/>
          <w:color w:val="000000"/>
          <w:sz w:val="24"/>
        </w:rPr>
        <w:t xml:space="preserve">180], and in </w:t>
      </w:r>
      <w:r>
        <w:rPr>
          <w:rFonts w:ascii="Arial"/>
          <w:i/>
          <w:color w:val="000000"/>
          <w:sz w:val="24"/>
        </w:rPr>
        <w:t>Gindurra</w:t>
      </w:r>
      <w:r>
        <w:rPr>
          <w:rFonts w:ascii="Arial"/>
          <w:i/>
          <w:color w:val="000000"/>
          <w:sz w:val="24"/>
        </w:rPr>
        <w:t xml:space="preserve"> Road</w:t>
      </w:r>
      <w:r>
        <w:rPr>
          <w:rFonts w:ascii="Arial"/>
          <w:i/>
          <w:color w:val="000000"/>
          <w:sz w:val="24"/>
        </w:rPr>
        <w:t xml:space="preserve"> </w:t>
      </w:r>
      <w:r>
        <w:rPr>
          <w:rFonts w:ascii="Arial"/>
          <w:color w:val="000000"/>
          <w:sz w:val="24"/>
        </w:rPr>
        <w:t>at [234]</w:t>
      </w:r>
      <w:r>
        <w:rPr>
          <w:rFonts w:ascii="Arial"/>
          <w:color w:val="000000"/>
          <w:sz w:val="24"/>
        </w:rPr>
        <w:t>, Pain J emphasised that</w:t>
      </w:r>
      <w:r>
        <w:rPr>
          <w:rFonts w:ascii="Arial"/>
          <w:color w:val="000000"/>
          <w:sz w:val="24"/>
        </w:rPr>
        <w:t xml:space="preserve"> </w:t>
      </w:r>
      <w:r>
        <w:rPr>
          <w:rFonts w:ascii="Arial"/>
          <w:color w:val="000000"/>
          <w:sz w:val="24"/>
        </w:rPr>
        <w:t>the</w:t>
      </w:r>
      <w:r>
        <w:rPr>
          <w:rFonts w:ascii="Arial"/>
          <w:color w:val="000000"/>
          <w:sz w:val="24"/>
        </w:rPr>
        <w:t xml:space="preserve"> </w:t>
      </w:r>
      <w:r>
        <w:rPr>
          <w:rFonts w:ascii="Arial"/>
          <w:color w:val="000000"/>
          <w:sz w:val="24"/>
        </w:rPr>
        <w:t>Council had delayed for over one year.</w:t>
      </w:r>
    </w:p>
    <w:p>
      <w:pPr>
        <w:pStyle w:val="CaselawNumbered10"/>
        <w:numPr>
          <w:ilvl w:val="0"/>
          <w:numId w:val="48"/>
        </w:numPr>
        <w:spacing w:before="150" w:after="0"/>
        <w:ind w:left="600" w:hanging="600"/>
      </w:pPr>
      <w:r>
        <w:rPr>
          <w:rFonts w:ascii="Arial"/>
          <w:color w:val="000000"/>
          <w:sz w:val="24"/>
        </w:rPr>
        <w:t xml:space="preserve">The primary judge accepted that </w:t>
      </w:r>
      <w:r>
        <w:rPr>
          <w:rFonts w:ascii="Arial"/>
          <w:color w:val="000000"/>
          <w:sz w:val="24"/>
        </w:rPr>
        <w:t xml:space="preserve">the </w:t>
      </w:r>
      <w:r>
        <w:rPr>
          <w:rFonts w:ascii="Arial"/>
          <w:color w:val="000000"/>
          <w:sz w:val="24"/>
        </w:rPr>
        <w:t xml:space="preserve">Council </w:t>
      </w:r>
      <w:r>
        <w:rPr>
          <w:rFonts w:ascii="Arial"/>
          <w:color w:val="000000"/>
          <w:sz w:val="24"/>
        </w:rPr>
        <w:t>was</w:t>
      </w:r>
      <w:r>
        <w:rPr>
          <w:rFonts w:ascii="Arial"/>
          <w:color w:val="000000"/>
          <w:sz w:val="24"/>
        </w:rPr>
        <w:t xml:space="preserve"> </w:t>
      </w:r>
      <w:r>
        <w:rPr>
          <w:rFonts w:ascii="Arial"/>
          <w:color w:val="000000"/>
          <w:sz w:val="24"/>
        </w:rPr>
        <w:t xml:space="preserve">entitled to presume that the </w:t>
      </w:r>
      <w:r>
        <w:rPr>
          <w:rFonts w:ascii="Arial"/>
          <w:color w:val="000000"/>
          <w:sz w:val="24"/>
        </w:rPr>
        <w:t>construction certificate had</w:t>
      </w:r>
      <w:r>
        <w:rPr>
          <w:rFonts w:ascii="Arial"/>
          <w:color w:val="000000"/>
          <w:sz w:val="24"/>
        </w:rPr>
        <w:t xml:space="preserve"> </w:t>
      </w:r>
      <w:r>
        <w:rPr>
          <w:rFonts w:ascii="Arial"/>
          <w:color w:val="000000"/>
          <w:sz w:val="24"/>
        </w:rPr>
        <w:t xml:space="preserve">been issued in compliance with the EPA Act, the </w:t>
      </w:r>
      <w:r>
        <w:rPr>
          <w:rFonts w:ascii="Arial"/>
          <w:color w:val="000000"/>
          <w:sz w:val="24"/>
        </w:rPr>
        <w:t xml:space="preserve">Certification </w:t>
      </w:r>
      <w:r>
        <w:rPr>
          <w:rFonts w:ascii="Arial"/>
          <w:color w:val="000000"/>
          <w:sz w:val="24"/>
        </w:rPr>
        <w:t xml:space="preserve">Regulation and the applicable environmental planning instrument and development standards. </w:t>
      </w:r>
    </w:p>
    <w:p>
      <w:pPr>
        <w:pStyle w:val="CaselawHeading3"/>
        <w:keepNext/>
        <w:spacing w:before="150" w:after="150" w:line="264"/>
        <w:ind w:left="0"/>
        <w:jc w:val="left"/>
      </w:pPr>
      <w:r>
        <w:rPr>
          <w:rFonts w:ascii="Arial"/>
        </w:rPr>
        <w:t xml:space="preserve">(2) Construing the development consent </w:t>
      </w:r>
    </w:p>
    <w:p>
      <w:pPr>
        <w:pStyle w:val="CaselawNumbered10"/>
        <w:numPr>
          <w:ilvl w:val="0"/>
          <w:numId w:val="49"/>
        </w:numPr>
        <w:spacing w:before="150" w:after="0"/>
        <w:ind w:left="600" w:hanging="600"/>
      </w:pPr>
      <w:r>
        <w:rPr>
          <w:rFonts w:ascii="Arial"/>
          <w:color w:val="000000"/>
          <w:sz w:val="24"/>
        </w:rPr>
        <w:t>Secondly, the primary judge held that</w:t>
      </w:r>
      <w:r>
        <w:rPr>
          <w:rFonts w:ascii="Arial"/>
          <w:color w:val="000000"/>
          <w:sz w:val="24"/>
        </w:rPr>
        <w:t xml:space="preserve"> </w:t>
      </w:r>
      <w:r>
        <w:rPr>
          <w:rFonts w:ascii="Arial"/>
          <w:color w:val="000000"/>
          <w:sz w:val="24"/>
        </w:rPr>
        <w:t xml:space="preserve">the modified development consent, properly construed, </w:t>
      </w:r>
      <w:r>
        <w:rPr>
          <w:rFonts w:ascii="Arial"/>
          <w:color w:val="000000"/>
          <w:sz w:val="24"/>
        </w:rPr>
        <w:t xml:space="preserve">prohibited </w:t>
      </w:r>
      <w:r>
        <w:rPr>
          <w:rFonts w:ascii="Arial"/>
          <w:color w:val="000000"/>
          <w:sz w:val="24"/>
        </w:rPr>
        <w:t xml:space="preserve">excavation </w:t>
      </w:r>
      <w:r>
        <w:rPr>
          <w:rFonts w:ascii="Arial"/>
          <w:color w:val="000000"/>
          <w:sz w:val="24"/>
        </w:rPr>
        <w:t xml:space="preserve">and works </w:t>
      </w:r>
      <w:r>
        <w:rPr>
          <w:rFonts w:ascii="Arial"/>
          <w:color w:val="000000"/>
          <w:sz w:val="24"/>
        </w:rPr>
        <w:t xml:space="preserve">within the area previously identified </w:t>
      </w:r>
      <w:r>
        <w:rPr>
          <w:rFonts w:ascii="Arial"/>
          <w:color w:val="000000"/>
          <w:sz w:val="24"/>
        </w:rPr>
        <w:t xml:space="preserve">in condition C.1(d) </w:t>
      </w:r>
      <w:r>
        <w:rPr>
          <w:rFonts w:ascii="Arial"/>
          <w:color w:val="000000"/>
          <w:sz w:val="24"/>
        </w:rPr>
        <w:t xml:space="preserve">as the </w:t>
      </w:r>
      <w:r>
        <w:rPr>
          <w:rFonts w:ascii="Arial"/>
          <w:color w:val="000000"/>
          <w:sz w:val="24"/>
        </w:rPr>
        <w:t>‘</w:t>
      </w:r>
      <w:r>
        <w:rPr>
          <w:rFonts w:ascii="Arial"/>
          <w:color w:val="000000"/>
          <w:sz w:val="24"/>
        </w:rPr>
        <w:t>cellar</w:t>
      </w:r>
      <w:r>
        <w:rPr>
          <w:rFonts w:ascii="Arial"/>
          <w:color w:val="000000"/>
          <w:sz w:val="24"/>
        </w:rPr>
        <w:t>’</w:t>
      </w:r>
      <w:r>
        <w:rPr>
          <w:rFonts w:ascii="Arial"/>
          <w:color w:val="000000"/>
          <w:sz w:val="24"/>
        </w:rPr>
        <w:t xml:space="preserve"> </w:t>
      </w:r>
      <w:r>
        <w:rPr>
          <w:rFonts w:ascii="Arial"/>
          <w:color w:val="000000"/>
          <w:sz w:val="24"/>
        </w:rPr>
        <w:t>level for all purposes</w:t>
      </w:r>
      <w:r>
        <w:rPr>
          <w:rFonts w:ascii="Arial"/>
          <w:color w:val="000000"/>
          <w:sz w:val="24"/>
        </w:rPr>
        <w:t xml:space="preserve">, including critically, </w:t>
      </w:r>
      <w:r>
        <w:rPr>
          <w:rFonts w:ascii="Arial"/>
          <w:color w:val="000000"/>
          <w:sz w:val="24"/>
        </w:rPr>
        <w:t xml:space="preserve">to build </w:t>
      </w:r>
      <w:r>
        <w:rPr>
          <w:rFonts w:ascii="Arial"/>
          <w:color w:val="000000"/>
          <w:sz w:val="24"/>
        </w:rPr>
        <w:t>a crane base</w:t>
      </w:r>
      <w:r>
        <w:rPr>
          <w:rFonts w:ascii="Arial"/>
          <w:color w:val="000000"/>
          <w:sz w:val="24"/>
        </w:rPr>
        <w:t>.</w:t>
      </w:r>
      <w:r>
        <w:rPr>
          <w:rFonts w:ascii="Arial"/>
          <w:color w:val="000000"/>
          <w:sz w:val="24"/>
        </w:rPr>
        <w:t xml:space="preserve"> </w:t>
      </w:r>
      <w:r>
        <w:rPr>
          <w:rFonts w:ascii="Arial"/>
          <w:color w:val="000000"/>
          <w:sz w:val="24"/>
        </w:rPr>
        <w:t xml:space="preserve">The primary judge concluded that there was nothing ambiguous in the language of condition C.1(d). </w:t>
      </w:r>
      <w:r>
        <w:rPr>
          <w:rFonts w:ascii="Arial"/>
          <w:color w:val="000000"/>
          <w:sz w:val="24"/>
        </w:rPr>
        <w:t>As I have said this is no longer an issue on appeal.</w:t>
      </w:r>
    </w:p>
    <w:p>
      <w:pPr>
        <w:pStyle w:val="CaselawHeading3"/>
        <w:keepNext/>
        <w:spacing w:before="150" w:after="150" w:line="264"/>
        <w:ind w:left="0"/>
        <w:jc w:val="left"/>
      </w:pPr>
      <w:r>
        <w:rPr>
          <w:rFonts w:ascii="Arial"/>
        </w:rPr>
        <w:t xml:space="preserve">(3) Inconsistency </w:t>
      </w:r>
    </w:p>
    <w:p>
      <w:pPr>
        <w:pStyle w:val="CaselawNumbered10"/>
        <w:numPr>
          <w:ilvl w:val="0"/>
          <w:numId w:val="50"/>
        </w:numPr>
        <w:spacing w:before="150" w:after="0"/>
        <w:ind w:left="600" w:hanging="600"/>
      </w:pPr>
      <w:r>
        <w:rPr>
          <w:rFonts w:ascii="Arial"/>
          <w:color w:val="000000"/>
          <w:sz w:val="24"/>
        </w:rPr>
        <w:t>Thirdly, t</w:t>
      </w:r>
      <w:r>
        <w:rPr>
          <w:rFonts w:ascii="Arial"/>
          <w:color w:val="000000"/>
          <w:sz w:val="24"/>
        </w:rPr>
        <w:t xml:space="preserve">he primary judge </w:t>
      </w:r>
      <w:r>
        <w:rPr>
          <w:rFonts w:ascii="Arial"/>
          <w:color w:val="000000"/>
          <w:sz w:val="24"/>
        </w:rPr>
        <w:t>held</w:t>
      </w:r>
      <w:r>
        <w:rPr>
          <w:rFonts w:ascii="Arial"/>
          <w:color w:val="000000"/>
          <w:sz w:val="24"/>
        </w:rPr>
        <w:t xml:space="preserve"> </w:t>
      </w:r>
      <w:r>
        <w:rPr>
          <w:rFonts w:ascii="Arial"/>
          <w:color w:val="000000"/>
          <w:sz w:val="24"/>
        </w:rPr>
        <w:t xml:space="preserve">that the plans, specifications, and standards of building work specified in the </w:t>
      </w:r>
      <w:r>
        <w:rPr>
          <w:rFonts w:ascii="Arial"/>
          <w:color w:val="000000"/>
          <w:sz w:val="24"/>
        </w:rPr>
        <w:t>c</w:t>
      </w:r>
      <w:r>
        <w:rPr>
          <w:rFonts w:ascii="Arial"/>
          <w:color w:val="000000"/>
          <w:sz w:val="24"/>
        </w:rPr>
        <w:t xml:space="preserve">onstruction </w:t>
      </w:r>
      <w:r>
        <w:rPr>
          <w:rFonts w:ascii="Arial"/>
          <w:color w:val="000000"/>
          <w:sz w:val="24"/>
        </w:rPr>
        <w:t>c</w:t>
      </w:r>
      <w:r>
        <w:rPr>
          <w:rFonts w:ascii="Arial"/>
          <w:color w:val="000000"/>
          <w:sz w:val="24"/>
        </w:rPr>
        <w:t xml:space="preserve">ertificate </w:t>
      </w:r>
      <w:r>
        <w:rPr>
          <w:rFonts w:ascii="Arial"/>
          <w:color w:val="000000"/>
          <w:sz w:val="24"/>
        </w:rPr>
        <w:t>were</w:t>
      </w:r>
      <w:r>
        <w:rPr>
          <w:rFonts w:ascii="Arial"/>
          <w:color w:val="000000"/>
          <w:sz w:val="24"/>
        </w:rPr>
        <w:t xml:space="preserve"> </w:t>
      </w:r>
      <w:r>
        <w:rPr>
          <w:rFonts w:ascii="Arial"/>
          <w:color w:val="000000"/>
          <w:sz w:val="24"/>
        </w:rPr>
        <w:t xml:space="preserve">not consistent with the </w:t>
      </w:r>
      <w:r>
        <w:rPr>
          <w:rFonts w:ascii="Arial"/>
          <w:color w:val="000000"/>
          <w:sz w:val="24"/>
        </w:rPr>
        <w:t xml:space="preserve">development consent </w:t>
      </w:r>
      <w:r>
        <w:rPr>
          <w:rFonts w:ascii="Arial"/>
          <w:color w:val="000000"/>
          <w:sz w:val="24"/>
        </w:rPr>
        <w:t>for several reasons:</w:t>
      </w:r>
    </w:p>
    <w:p>
      <w:pPr>
        <w:pStyle w:val="CaselawNumbered1"/>
        <w:numPr>
          <w:ilvl w:val="0"/>
          <w:numId w:val="51"/>
        </w:numPr>
        <w:spacing w:before="150" w:after="0"/>
        <w:ind w:left="1350" w:hanging="750"/>
      </w:pPr>
      <w:r>
        <w:rPr>
          <w:rFonts w:ascii="Arial"/>
          <w:color w:val="000000"/>
          <w:sz w:val="24"/>
        </w:rPr>
        <w:t xml:space="preserve">The </w:t>
      </w:r>
      <w:r>
        <w:rPr>
          <w:rFonts w:ascii="Arial"/>
          <w:color w:val="000000"/>
          <w:sz w:val="24"/>
        </w:rPr>
        <w:t xml:space="preserve">development </w:t>
      </w:r>
      <w:r>
        <w:rPr>
          <w:rFonts w:ascii="Arial"/>
          <w:color w:val="000000"/>
          <w:sz w:val="24"/>
        </w:rPr>
        <w:t xml:space="preserve">consent </w:t>
      </w:r>
      <w:r>
        <w:rPr>
          <w:rFonts w:ascii="Arial"/>
          <w:color w:val="000000"/>
          <w:sz w:val="24"/>
        </w:rPr>
        <w:t xml:space="preserve">did not permit excavation for a crane base in the </w:t>
      </w:r>
      <w:r>
        <w:rPr>
          <w:rFonts w:ascii="Arial"/>
          <w:color w:val="000000"/>
          <w:sz w:val="24"/>
        </w:rPr>
        <w:t>“</w:t>
      </w:r>
      <w:r>
        <w:rPr>
          <w:rFonts w:ascii="Arial"/>
          <w:color w:val="000000"/>
          <w:sz w:val="24"/>
        </w:rPr>
        <w:t>cellar</w:t>
      </w:r>
      <w:r>
        <w:rPr>
          <w:rFonts w:ascii="Arial"/>
          <w:color w:val="000000"/>
          <w:sz w:val="24"/>
        </w:rPr>
        <w:t>”</w:t>
      </w:r>
      <w:r>
        <w:rPr>
          <w:rFonts w:ascii="Arial"/>
          <w:color w:val="000000"/>
          <w:sz w:val="24"/>
        </w:rPr>
        <w:t xml:space="preserve"> </w:t>
      </w:r>
      <w:r>
        <w:rPr>
          <w:rFonts w:ascii="Arial"/>
          <w:color w:val="000000"/>
          <w:sz w:val="24"/>
        </w:rPr>
        <w:t xml:space="preserve">level area. The </w:t>
      </w:r>
      <w:r>
        <w:rPr>
          <w:rFonts w:ascii="Arial"/>
          <w:color w:val="000000"/>
          <w:sz w:val="24"/>
        </w:rPr>
        <w:t xml:space="preserve">development consent </w:t>
      </w:r>
      <w:r>
        <w:rPr>
          <w:rFonts w:ascii="Arial"/>
          <w:color w:val="000000"/>
          <w:sz w:val="24"/>
        </w:rPr>
        <w:t xml:space="preserve">explicitly prohibited excavation in the spatial area previously occupied by the </w:t>
      </w:r>
      <w:r>
        <w:rPr>
          <w:rFonts w:ascii="Arial"/>
          <w:color w:val="000000"/>
          <w:sz w:val="24"/>
        </w:rPr>
        <w:t>“</w:t>
      </w:r>
      <w:r>
        <w:rPr>
          <w:rFonts w:ascii="Arial"/>
          <w:color w:val="000000"/>
          <w:sz w:val="24"/>
        </w:rPr>
        <w:t>cellar</w:t>
      </w:r>
      <w:r>
        <w:rPr>
          <w:rFonts w:ascii="Arial"/>
          <w:color w:val="000000"/>
          <w:sz w:val="24"/>
        </w:rPr>
        <w:t>”</w:t>
      </w:r>
      <w:r>
        <w:rPr>
          <w:rFonts w:ascii="Arial"/>
          <w:color w:val="000000"/>
          <w:sz w:val="24"/>
        </w:rPr>
        <w:t xml:space="preserve"> </w:t>
      </w:r>
      <w:r>
        <w:rPr>
          <w:rFonts w:ascii="Arial"/>
          <w:color w:val="000000"/>
          <w:sz w:val="24"/>
        </w:rPr>
        <w:t>level</w:t>
      </w:r>
      <w:r>
        <w:rPr>
          <w:rFonts w:ascii="Arial"/>
          <w:color w:val="000000"/>
          <w:sz w:val="24"/>
        </w:rPr>
        <w:t xml:space="preserve">. The </w:t>
      </w:r>
      <w:r>
        <w:rPr>
          <w:rFonts w:ascii="Arial"/>
          <w:color w:val="000000"/>
          <w:sz w:val="24"/>
        </w:rPr>
        <w:t xml:space="preserve">construction certificate </w:t>
      </w:r>
      <w:r>
        <w:rPr>
          <w:rFonts w:ascii="Arial"/>
          <w:color w:val="000000"/>
          <w:sz w:val="24"/>
        </w:rPr>
        <w:t>permitted</w:t>
      </w:r>
      <w:r>
        <w:rPr>
          <w:rFonts w:ascii="Arial"/>
          <w:color w:val="000000"/>
          <w:sz w:val="24"/>
        </w:rPr>
        <w:t xml:space="preserve"> </w:t>
      </w:r>
      <w:r>
        <w:rPr>
          <w:rFonts w:ascii="Arial"/>
          <w:color w:val="000000"/>
          <w:sz w:val="24"/>
        </w:rPr>
        <w:t>excavation in that area.</w:t>
      </w:r>
    </w:p>
    <w:p>
      <w:pPr>
        <w:pStyle w:val="CaselawNumbered1"/>
        <w:numPr>
          <w:ilvl w:val="0"/>
          <w:numId w:val="51"/>
        </w:numPr>
        <w:spacing w:before="150" w:after="0"/>
        <w:ind w:left="1350" w:hanging="750"/>
      </w:pPr>
      <w:r>
        <w:rPr>
          <w:rFonts w:ascii="Arial"/>
          <w:color w:val="000000"/>
          <w:sz w:val="24"/>
        </w:rPr>
        <w:t xml:space="preserve">The structural plans approved by the certifier indicated far more extensive excavation than what was allowed for a crane base. The </w:t>
      </w:r>
      <w:r>
        <w:rPr>
          <w:rFonts w:ascii="Arial"/>
          <w:color w:val="000000"/>
          <w:sz w:val="24"/>
        </w:rPr>
        <w:t>“</w:t>
      </w:r>
      <w:r>
        <w:rPr>
          <w:rFonts w:ascii="Arial"/>
          <w:color w:val="000000"/>
          <w:sz w:val="24"/>
        </w:rPr>
        <w:t>Cellar Level Plan</w:t>
      </w:r>
      <w:r>
        <w:rPr>
          <w:rFonts w:ascii="Arial"/>
          <w:color w:val="000000"/>
          <w:sz w:val="24"/>
        </w:rPr>
        <w:t>”</w:t>
      </w:r>
      <w:r>
        <w:rPr>
          <w:rFonts w:ascii="Arial"/>
          <w:color w:val="000000"/>
          <w:sz w:val="24"/>
        </w:rPr>
        <w:t>, deleted by the modified consent, still appeared in the construction plans, showing lifts and stairs inconsistent with the consent.</w:t>
      </w:r>
    </w:p>
    <w:p>
      <w:pPr>
        <w:pStyle w:val="CaselawNumbered1"/>
        <w:numPr>
          <w:ilvl w:val="0"/>
          <w:numId w:val="51"/>
        </w:numPr>
        <w:spacing w:before="150" w:after="0"/>
        <w:ind w:left="1350" w:hanging="750"/>
      </w:pPr>
      <w:r>
        <w:rPr>
          <w:rFonts w:ascii="Arial"/>
          <w:color w:val="000000"/>
          <w:sz w:val="24"/>
        </w:rPr>
        <w:t>The structural plans suggested the creation of a broader accessible space, not just the crane base and shoring. The inclusion of permanent structures like a lift and stairs indicated that the excavation was intended to be permanent, contradicting the requirement for the area to remain unexcavated.</w:t>
      </w:r>
    </w:p>
    <w:p>
      <w:pPr>
        <w:pStyle w:val="CaselawHeading3"/>
        <w:keepNext/>
        <w:spacing w:before="150" w:after="150" w:line="264"/>
        <w:ind w:left="0"/>
        <w:jc w:val="left"/>
      </w:pPr>
      <w:r>
        <w:rPr>
          <w:rFonts w:ascii="Arial"/>
        </w:rPr>
        <w:t xml:space="preserve">(4) Legal unreasonableness </w:t>
      </w:r>
    </w:p>
    <w:p>
      <w:pPr>
        <w:pStyle w:val="CaselawNumbered10"/>
        <w:numPr>
          <w:ilvl w:val="0"/>
          <w:numId w:val="52"/>
        </w:numPr>
        <w:spacing w:before="150" w:after="0"/>
        <w:ind w:left="600" w:hanging="600"/>
      </w:pPr>
      <w:r>
        <w:rPr>
          <w:rFonts w:ascii="Arial"/>
          <w:color w:val="000000"/>
          <w:sz w:val="24"/>
        </w:rPr>
        <w:t>The primary judge concluded that the certifier</w:t>
      </w:r>
      <w:r>
        <w:rPr>
          <w:rFonts w:ascii="Arial"/>
          <w:color w:val="000000"/>
          <w:sz w:val="24"/>
        </w:rPr>
        <w:t>’</w:t>
      </w:r>
      <w:r>
        <w:rPr>
          <w:rFonts w:ascii="Arial"/>
          <w:color w:val="000000"/>
          <w:sz w:val="24"/>
        </w:rPr>
        <w:t xml:space="preserve">s decision to issue the construction certificate was legally unreasonable. </w:t>
      </w:r>
      <w:r>
        <w:rPr>
          <w:rFonts w:ascii="Arial"/>
          <w:color w:val="000000"/>
          <w:sz w:val="24"/>
        </w:rPr>
        <w:t xml:space="preserve">Her Honour found that </w:t>
      </w:r>
      <w:r>
        <w:rPr>
          <w:rFonts w:ascii="Arial"/>
          <w:color w:val="000000"/>
          <w:sz w:val="24"/>
        </w:rPr>
        <w:t xml:space="preserve">there was </w:t>
      </w:r>
      <w:r>
        <w:rPr>
          <w:rFonts w:ascii="Arial"/>
          <w:color w:val="000000"/>
          <w:sz w:val="24"/>
        </w:rPr>
        <w:t>no</w:t>
      </w:r>
      <w:r>
        <w:rPr>
          <w:rFonts w:ascii="Arial"/>
          <w:color w:val="000000"/>
          <w:sz w:val="24"/>
        </w:rPr>
        <w:t xml:space="preserve"> </w:t>
      </w:r>
      <w:r>
        <w:rPr>
          <w:rFonts w:ascii="Arial"/>
          <w:color w:val="000000"/>
          <w:sz w:val="24"/>
        </w:rPr>
        <w:t xml:space="preserve">evident or intelligible basis for the certifier to determine that the building </w:t>
      </w:r>
      <w:r>
        <w:rPr>
          <w:rFonts w:ascii="Arial"/>
          <w:color w:val="000000"/>
          <w:sz w:val="24"/>
        </w:rPr>
        <w:t xml:space="preserve">design and construction shown in the </w:t>
      </w:r>
      <w:r>
        <w:rPr>
          <w:rFonts w:ascii="Arial"/>
          <w:color w:val="000000"/>
          <w:sz w:val="24"/>
        </w:rPr>
        <w:t xml:space="preserve">construction certificate </w:t>
      </w:r>
      <w:r>
        <w:rPr>
          <w:rFonts w:ascii="Arial"/>
          <w:color w:val="000000"/>
          <w:sz w:val="24"/>
        </w:rPr>
        <w:t>was</w:t>
      </w:r>
      <w:r>
        <w:rPr>
          <w:rFonts w:ascii="Arial"/>
          <w:color w:val="000000"/>
          <w:sz w:val="24"/>
        </w:rPr>
        <w:t xml:space="preserve"> </w:t>
      </w:r>
      <w:r>
        <w:rPr>
          <w:rFonts w:ascii="Arial"/>
          <w:color w:val="000000"/>
          <w:sz w:val="24"/>
        </w:rPr>
        <w:t xml:space="preserve">consistent with the </w:t>
      </w:r>
      <w:r>
        <w:rPr>
          <w:rFonts w:ascii="Arial"/>
          <w:color w:val="000000"/>
          <w:sz w:val="24"/>
        </w:rPr>
        <w:t>development consent</w:t>
      </w:r>
      <w:r>
        <w:rPr>
          <w:rFonts w:ascii="Arial"/>
          <w:color w:val="000000"/>
          <w:sz w:val="24"/>
        </w:rPr>
        <w:t xml:space="preserve">. </w:t>
      </w:r>
    </w:p>
    <w:p>
      <w:pPr>
        <w:pStyle w:val="CaselawNumbered10"/>
        <w:numPr>
          <w:ilvl w:val="0"/>
          <w:numId w:val="52"/>
        </w:numPr>
        <w:spacing w:before="150" w:after="0"/>
        <w:ind w:left="600" w:hanging="600"/>
      </w:pPr>
      <w:r>
        <w:rPr>
          <w:rFonts w:ascii="Arial"/>
          <w:color w:val="000000"/>
          <w:sz w:val="24"/>
        </w:rPr>
        <w:t xml:space="preserve">The primary judge held that </w:t>
      </w:r>
      <w:r>
        <w:rPr>
          <w:rFonts w:ascii="Arial"/>
          <w:color w:val="000000"/>
          <w:sz w:val="24"/>
        </w:rPr>
        <w:t>a certifier must act according to the law and must be rational and not unreasonable.</w:t>
      </w:r>
      <w:r>
        <w:rPr>
          <w:rFonts w:ascii="Arial"/>
          <w:color w:val="000000"/>
          <w:sz w:val="24"/>
        </w:rPr>
        <w:t xml:space="preserve"> </w:t>
      </w:r>
      <w:r>
        <w:rPr>
          <w:rFonts w:ascii="Arial"/>
          <w:color w:val="000000"/>
          <w:sz w:val="24"/>
        </w:rPr>
        <w:t xml:space="preserve">In </w:t>
      </w:r>
      <w:r>
        <w:rPr>
          <w:rFonts w:ascii="Arial"/>
          <w:i/>
          <w:color w:val="000000"/>
          <w:sz w:val="24"/>
        </w:rPr>
        <w:t>Trives</w:t>
      </w:r>
      <w:r>
        <w:rPr>
          <w:rFonts w:ascii="Arial"/>
          <w:i/>
          <w:color w:val="000000"/>
          <w:sz w:val="24"/>
        </w:rPr>
        <w:t xml:space="preserve"> v Hornsby Shire Council</w:t>
      </w:r>
      <w:r>
        <w:rPr>
          <w:rFonts w:ascii="Arial"/>
          <w:color w:val="000000"/>
          <w:sz w:val="24"/>
        </w:rPr>
        <w:t xml:space="preserve"> </w:t>
      </w:r>
      <w:r>
        <w:rPr>
          <w:rFonts w:ascii="Arial"/>
          <w:color w:val="000000"/>
          <w:sz w:val="24"/>
        </w:rPr>
        <w:t>(2015) 89 NSWLR 268; [2015] NSWCA</w:t>
      </w:r>
      <w:r>
        <w:rPr>
          <w:rFonts w:ascii="Arial"/>
          <w:color w:val="000000"/>
          <w:sz w:val="24"/>
        </w:rPr>
        <w:t xml:space="preserve"> </w:t>
      </w:r>
      <w:r>
        <w:rPr>
          <w:rFonts w:ascii="Arial"/>
          <w:color w:val="000000"/>
          <w:sz w:val="24"/>
        </w:rPr>
        <w:t>158 at [14],</w:t>
      </w:r>
      <w:r>
        <w:rPr>
          <w:rFonts w:ascii="Arial"/>
          <w:color w:val="000000"/>
          <w:sz w:val="24"/>
        </w:rPr>
        <w:t xml:space="preserve"> </w:t>
      </w:r>
      <w:r>
        <w:rPr>
          <w:rFonts w:ascii="Arial"/>
          <w:color w:val="000000"/>
          <w:sz w:val="24"/>
        </w:rPr>
        <w:t>Basten</w:t>
      </w:r>
      <w:r>
        <w:rPr>
          <w:rFonts w:ascii="Arial"/>
          <w:color w:val="000000"/>
          <w:sz w:val="24"/>
        </w:rPr>
        <w:t xml:space="preserve"> </w:t>
      </w:r>
      <w:r>
        <w:rPr>
          <w:rFonts w:ascii="Arial"/>
          <w:color w:val="000000"/>
          <w:sz w:val="24"/>
        </w:rPr>
        <w:t xml:space="preserve">JA noted that even if </w:t>
      </w:r>
      <w:r>
        <w:rPr>
          <w:rFonts w:ascii="Arial"/>
          <w:color w:val="000000"/>
          <w:sz w:val="24"/>
        </w:rPr>
        <w:t xml:space="preserve">a </w:t>
      </w:r>
      <w:r>
        <w:rPr>
          <w:rFonts w:ascii="Arial"/>
          <w:color w:val="000000"/>
          <w:sz w:val="24"/>
        </w:rPr>
        <w:t>certificate</w:t>
      </w:r>
      <w:r>
        <w:rPr>
          <w:rFonts w:ascii="Arial"/>
          <w:color w:val="000000"/>
          <w:sz w:val="24"/>
        </w:rPr>
        <w:t>’</w:t>
      </w:r>
      <w:r>
        <w:rPr>
          <w:rFonts w:ascii="Arial"/>
          <w:color w:val="000000"/>
          <w:sz w:val="24"/>
        </w:rPr>
        <w:t>s validity depends on the certifier</w:t>
      </w:r>
      <w:r>
        <w:rPr>
          <w:rFonts w:ascii="Arial"/>
          <w:color w:val="000000"/>
          <w:sz w:val="24"/>
        </w:rPr>
        <w:t>’</w:t>
      </w:r>
      <w:r>
        <w:rPr>
          <w:rFonts w:ascii="Arial"/>
          <w:color w:val="000000"/>
          <w:sz w:val="24"/>
        </w:rPr>
        <w:t xml:space="preserve">s </w:t>
      </w:r>
      <w:r>
        <w:rPr>
          <w:rFonts w:ascii="Arial"/>
          <w:color w:val="000000"/>
          <w:sz w:val="24"/>
        </w:rPr>
        <w:t xml:space="preserve">state of </w:t>
      </w:r>
      <w:r>
        <w:rPr>
          <w:rFonts w:ascii="Arial"/>
          <w:color w:val="000000"/>
          <w:sz w:val="24"/>
        </w:rPr>
        <w:t>satisfaction, the certifier must act within legal and rational bounds. This means that unreasonableness must be inferred objectively from the matters before the certifier and the actual decision reached.</w:t>
      </w:r>
    </w:p>
    <w:p>
      <w:pPr>
        <w:pStyle w:val="CaselawNumbered10"/>
        <w:numPr>
          <w:ilvl w:val="0"/>
          <w:numId w:val="52"/>
        </w:numPr>
        <w:spacing w:before="150" w:after="0"/>
        <w:ind w:left="600" w:hanging="600"/>
      </w:pPr>
      <w:r>
        <w:rPr>
          <w:rFonts w:ascii="Arial"/>
          <w:color w:val="000000"/>
          <w:sz w:val="24"/>
        </w:rPr>
        <w:t xml:space="preserve">The </w:t>
      </w:r>
      <w:r>
        <w:rPr>
          <w:rFonts w:ascii="Arial"/>
          <w:color w:val="000000"/>
          <w:sz w:val="24"/>
        </w:rPr>
        <w:t xml:space="preserve">primary judge explained that </w:t>
      </w:r>
      <w:r>
        <w:rPr>
          <w:rFonts w:ascii="Arial"/>
          <w:color w:val="000000"/>
          <w:sz w:val="24"/>
        </w:rPr>
        <w:t>w</w:t>
      </w:r>
      <w:r>
        <w:rPr>
          <w:rFonts w:ascii="Arial"/>
          <w:color w:val="000000"/>
          <w:sz w:val="24"/>
        </w:rPr>
        <w:t>hile the threshold for proving a certifier</w:t>
      </w:r>
      <w:r>
        <w:rPr>
          <w:rFonts w:ascii="Arial"/>
          <w:color w:val="000000"/>
          <w:sz w:val="24"/>
        </w:rPr>
        <w:t>’</w:t>
      </w:r>
      <w:r>
        <w:rPr>
          <w:rFonts w:ascii="Arial"/>
          <w:color w:val="000000"/>
          <w:sz w:val="24"/>
        </w:rPr>
        <w:t xml:space="preserve">s decision is legally unreasonable is high, it has been met in other cases, such as </w:t>
      </w:r>
      <w:r>
        <w:rPr>
          <w:rFonts w:ascii="Arial"/>
          <w:i/>
          <w:color w:val="000000"/>
          <w:sz w:val="24"/>
        </w:rPr>
        <w:t xml:space="preserve">Bankstown City Council v </w:t>
      </w:r>
      <w:r>
        <w:rPr>
          <w:rFonts w:ascii="Arial"/>
          <w:i/>
          <w:color w:val="000000"/>
          <w:sz w:val="24"/>
        </w:rPr>
        <w:t>Ramahi</w:t>
      </w:r>
      <w:r>
        <w:rPr>
          <w:rFonts w:ascii="Arial"/>
          <w:i/>
          <w:color w:val="000000"/>
          <w:sz w:val="24"/>
        </w:rPr>
        <w:t xml:space="preserve"> (No 2)</w:t>
      </w:r>
      <w:r>
        <w:rPr>
          <w:rFonts w:ascii="Arial"/>
          <w:color w:val="000000"/>
          <w:sz w:val="24"/>
        </w:rPr>
        <w:t xml:space="preserve"> </w:t>
      </w:r>
      <w:r>
        <w:rPr>
          <w:rFonts w:ascii="Arial"/>
          <w:color w:val="000000"/>
          <w:sz w:val="24"/>
        </w:rPr>
        <w:t>[2016] NSWLEC 34</w:t>
      </w:r>
      <w:r>
        <w:rPr>
          <w:rFonts w:ascii="Arial"/>
          <w:color w:val="000000"/>
          <w:sz w:val="24"/>
        </w:rPr>
        <w:t xml:space="preserve"> </w:t>
      </w:r>
      <w:r>
        <w:rPr>
          <w:rFonts w:ascii="Arial"/>
          <w:color w:val="000000"/>
          <w:sz w:val="24"/>
        </w:rPr>
        <w:t>(</w:t>
      </w:r>
      <w:r>
        <w:rPr>
          <w:rFonts w:ascii="Arial"/>
          <w:color w:val="000000"/>
          <w:sz w:val="24"/>
        </w:rPr>
        <w:t>“</w:t>
      </w:r>
      <w:r>
        <w:rPr>
          <w:rFonts w:ascii="Arial"/>
          <w:i/>
          <w:color w:val="000000"/>
          <w:sz w:val="24"/>
        </w:rPr>
        <w:t>Ramahi</w:t>
      </w:r>
      <w:r>
        <w:rPr>
          <w:rFonts w:ascii="Arial"/>
          <w:i/>
          <w:color w:val="000000"/>
          <w:sz w:val="24"/>
        </w:rPr>
        <w:t xml:space="preserve"> (No 2)</w:t>
      </w:r>
      <w:r>
        <w:rPr>
          <w:rFonts w:ascii="Arial"/>
          <w:color w:val="000000"/>
          <w:sz w:val="24"/>
        </w:rPr>
        <w:t>”</w:t>
      </w:r>
      <w:r>
        <w:rPr>
          <w:rFonts w:ascii="Arial"/>
          <w:color w:val="000000"/>
          <w:sz w:val="24"/>
        </w:rPr>
        <w:t>)</w:t>
      </w:r>
      <w:r>
        <w:rPr>
          <w:rFonts w:ascii="Arial"/>
          <w:color w:val="000000"/>
          <w:sz w:val="24"/>
        </w:rPr>
        <w:t>. The certifier, in th</w:t>
      </w:r>
      <w:r>
        <w:rPr>
          <w:rFonts w:ascii="Arial"/>
          <w:color w:val="000000"/>
          <w:sz w:val="24"/>
        </w:rPr>
        <w:t>e present</w:t>
      </w:r>
      <w:r>
        <w:rPr>
          <w:rFonts w:ascii="Arial"/>
          <w:color w:val="000000"/>
          <w:sz w:val="24"/>
        </w:rPr>
        <w:t xml:space="preserve"> </w:t>
      </w:r>
      <w:r>
        <w:rPr>
          <w:rFonts w:ascii="Arial"/>
          <w:color w:val="000000"/>
          <w:sz w:val="24"/>
        </w:rPr>
        <w:t xml:space="preserve">case, had to ensure that the building design and construction plans </w:t>
      </w:r>
      <w:r>
        <w:rPr>
          <w:rFonts w:ascii="Arial"/>
          <w:color w:val="000000"/>
          <w:sz w:val="24"/>
        </w:rPr>
        <w:t xml:space="preserve">incorporated in </w:t>
      </w:r>
      <w:r>
        <w:rPr>
          <w:rFonts w:ascii="Arial"/>
          <w:color w:val="000000"/>
          <w:sz w:val="24"/>
        </w:rPr>
        <w:t>t</w:t>
      </w:r>
      <w:r>
        <w:rPr>
          <w:rFonts w:ascii="Arial"/>
          <w:color w:val="000000"/>
          <w:sz w:val="24"/>
        </w:rPr>
        <w:t xml:space="preserve">he </w:t>
      </w:r>
      <w:r>
        <w:rPr>
          <w:rFonts w:ascii="Arial"/>
          <w:color w:val="000000"/>
          <w:sz w:val="24"/>
        </w:rPr>
        <w:t xml:space="preserve">construction certificate </w:t>
      </w:r>
      <w:r>
        <w:rPr>
          <w:rFonts w:ascii="Arial"/>
          <w:color w:val="000000"/>
          <w:sz w:val="24"/>
        </w:rPr>
        <w:t xml:space="preserve">were consistent with the modified development consent per </w:t>
      </w:r>
      <w:r>
        <w:rPr>
          <w:rFonts w:ascii="Arial"/>
          <w:color w:val="000000"/>
          <w:sz w:val="24"/>
        </w:rPr>
        <w:t xml:space="preserve">cl </w:t>
      </w:r>
      <w:r>
        <w:rPr>
          <w:rFonts w:ascii="Arial"/>
          <w:color w:val="000000"/>
          <w:sz w:val="24"/>
        </w:rPr>
        <w:t xml:space="preserve">19(1)(b) of the </w:t>
      </w:r>
      <w:r>
        <w:rPr>
          <w:rFonts w:ascii="Arial"/>
          <w:i/>
          <w:color w:val="000000"/>
          <w:sz w:val="24"/>
        </w:rPr>
        <w:t xml:space="preserve">Environmental Planning and Assessment (Development Certification and Fire Safety) Regulation 2021 </w:t>
      </w:r>
      <w:r>
        <w:rPr>
          <w:rFonts w:ascii="Arial"/>
          <w:color w:val="000000"/>
          <w:sz w:val="24"/>
        </w:rPr>
        <w:t xml:space="preserve">(NSW) </w:t>
      </w:r>
      <w:r>
        <w:rPr>
          <w:rFonts w:ascii="Arial"/>
          <w:color w:val="000000"/>
          <w:sz w:val="24"/>
        </w:rPr>
        <w:t>(</w:t>
      </w:r>
      <w:r>
        <w:rPr>
          <w:rFonts w:ascii="Arial"/>
          <w:color w:val="000000"/>
          <w:sz w:val="24"/>
        </w:rPr>
        <w:t>“</w:t>
      </w:r>
      <w:r>
        <w:rPr>
          <w:rFonts w:ascii="Arial"/>
          <w:color w:val="000000"/>
          <w:sz w:val="24"/>
        </w:rPr>
        <w:t>Certification Regulation</w:t>
      </w:r>
      <w:r>
        <w:rPr>
          <w:rFonts w:ascii="Arial"/>
          <w:color w:val="000000"/>
          <w:sz w:val="24"/>
        </w:rPr>
        <w:t>”</w:t>
      </w:r>
      <w:r>
        <w:rPr>
          <w:rFonts w:ascii="Arial"/>
          <w:color w:val="000000"/>
          <w:sz w:val="24"/>
        </w:rPr>
        <w:t>)</w:t>
      </w:r>
      <w:r>
        <w:rPr>
          <w:rFonts w:ascii="Arial"/>
          <w:color w:val="000000"/>
          <w:sz w:val="24"/>
        </w:rPr>
        <w:t>.</w:t>
      </w:r>
    </w:p>
    <w:p>
      <w:pPr>
        <w:pStyle w:val="CaselawNumbered10"/>
        <w:numPr>
          <w:ilvl w:val="0"/>
          <w:numId w:val="52"/>
        </w:numPr>
        <w:spacing w:before="150" w:after="0"/>
        <w:ind w:left="600" w:hanging="600"/>
      </w:pPr>
      <w:r>
        <w:rPr>
          <w:rFonts w:ascii="Arial"/>
          <w:color w:val="000000"/>
          <w:sz w:val="24"/>
        </w:rPr>
        <w:t xml:space="preserve">The primary judge also relied on </w:t>
      </w:r>
      <w:r>
        <w:rPr>
          <w:rFonts w:ascii="Arial"/>
          <w:i/>
          <w:color w:val="000000"/>
          <w:sz w:val="24"/>
        </w:rPr>
        <w:t>Sader</w:t>
      </w:r>
      <w:r>
        <w:rPr>
          <w:rFonts w:ascii="Arial"/>
          <w:i/>
          <w:color w:val="000000"/>
          <w:sz w:val="24"/>
        </w:rPr>
        <w:t xml:space="preserve"> v </w:t>
      </w:r>
      <w:r>
        <w:rPr>
          <w:rFonts w:ascii="Arial"/>
          <w:i/>
          <w:color w:val="000000"/>
          <w:sz w:val="24"/>
        </w:rPr>
        <w:t>Elgammal</w:t>
      </w:r>
      <w:r>
        <w:rPr>
          <w:rFonts w:ascii="Arial"/>
          <w:color w:val="000000"/>
          <w:sz w:val="24"/>
        </w:rPr>
        <w:t xml:space="preserve"> </w:t>
      </w:r>
      <w:r>
        <w:rPr>
          <w:rFonts w:ascii="Arial"/>
          <w:color w:val="000000"/>
          <w:sz w:val="24"/>
        </w:rPr>
        <w:t xml:space="preserve">[2022] NSWLEC 107, where there was a </w:t>
      </w:r>
      <w:r>
        <w:rPr>
          <w:rFonts w:ascii="Arial"/>
          <w:color w:val="000000"/>
          <w:sz w:val="24"/>
        </w:rPr>
        <w:t>successful legal unreasonableness challenge to a construction certificate</w:t>
      </w:r>
      <w:r>
        <w:rPr>
          <w:rFonts w:ascii="Arial"/>
          <w:color w:val="000000"/>
          <w:sz w:val="24"/>
        </w:rPr>
        <w:t xml:space="preserve"> </w:t>
      </w:r>
      <w:r>
        <w:rPr>
          <w:rFonts w:ascii="Arial"/>
          <w:color w:val="000000"/>
          <w:sz w:val="24"/>
        </w:rPr>
        <w:t>because the</w:t>
      </w:r>
      <w:r>
        <w:rPr>
          <w:rFonts w:ascii="Arial"/>
          <w:color w:val="000000"/>
          <w:sz w:val="24"/>
        </w:rPr>
        <w:t xml:space="preserve"> </w:t>
      </w:r>
      <w:r>
        <w:rPr>
          <w:rFonts w:ascii="Arial"/>
          <w:color w:val="000000"/>
          <w:sz w:val="24"/>
        </w:rPr>
        <w:t xml:space="preserve">development consent did not authorise the demolition of </w:t>
      </w:r>
      <w:r>
        <w:rPr>
          <w:rFonts w:ascii="Arial"/>
          <w:color w:val="000000"/>
          <w:sz w:val="24"/>
        </w:rPr>
        <w:t>a</w:t>
      </w:r>
      <w:r>
        <w:rPr>
          <w:rFonts w:ascii="Arial"/>
          <w:color w:val="000000"/>
          <w:sz w:val="24"/>
        </w:rPr>
        <w:t xml:space="preserve"> </w:t>
      </w:r>
      <w:r>
        <w:rPr>
          <w:rFonts w:ascii="Arial"/>
          <w:color w:val="000000"/>
          <w:sz w:val="24"/>
        </w:rPr>
        <w:t>wall.</w:t>
      </w:r>
      <w:r>
        <w:rPr>
          <w:rFonts w:ascii="Arial"/>
          <w:color w:val="000000"/>
          <w:sz w:val="24"/>
        </w:rPr>
        <w:t xml:space="preserve"> </w:t>
      </w:r>
      <w:r>
        <w:rPr>
          <w:rFonts w:ascii="Arial"/>
          <w:color w:val="000000"/>
          <w:sz w:val="24"/>
        </w:rPr>
        <w:t xml:space="preserve">Duggan J at [51] observed that to the extent that the construction certificate permitted demolition of a wall, it was inconsistent with the development consent as the relevant provisions in the development consent and the construction certificate </w:t>
      </w:r>
      <w:r>
        <w:rPr>
          <w:rFonts w:ascii="Arial"/>
          <w:color w:val="000000"/>
          <w:sz w:val="24"/>
        </w:rPr>
        <w:t>“</w:t>
      </w:r>
      <w:r>
        <w:rPr>
          <w:rFonts w:ascii="Arial"/>
          <w:color w:val="000000"/>
          <w:sz w:val="24"/>
        </w:rPr>
        <w:t>could not be undertaken harmoniously</w:t>
      </w:r>
      <w:r>
        <w:rPr>
          <w:rFonts w:ascii="Arial"/>
          <w:color w:val="000000"/>
          <w:sz w:val="24"/>
        </w:rPr>
        <w:t>”</w:t>
      </w:r>
      <w:r>
        <w:rPr>
          <w:rFonts w:ascii="Arial"/>
          <w:color w:val="000000"/>
          <w:sz w:val="24"/>
        </w:rPr>
        <w:t>.</w:t>
      </w:r>
    </w:p>
    <w:p>
      <w:pPr>
        <w:pStyle w:val="CaselawNumbered10"/>
        <w:numPr>
          <w:ilvl w:val="0"/>
          <w:numId w:val="52"/>
        </w:numPr>
        <w:spacing w:before="150" w:after="0"/>
        <w:ind w:left="600" w:hanging="600"/>
      </w:pPr>
      <w:r>
        <w:rPr>
          <w:rFonts w:ascii="Arial"/>
          <w:color w:val="000000"/>
          <w:sz w:val="24"/>
        </w:rPr>
        <w:t xml:space="preserve">Applying these principles, the primary judge held that only one conclusion was open to the certifier given the architectural and structural plans provided. These plans indicated the installation of a concrete crane base, which presupposed excavation, and described the area above it as a </w:t>
      </w:r>
      <w:r>
        <w:rPr>
          <w:rFonts w:ascii="Arial"/>
          <w:color w:val="000000"/>
          <w:sz w:val="24"/>
        </w:rPr>
        <w:t>“</w:t>
      </w:r>
      <w:r>
        <w:rPr>
          <w:rFonts w:ascii="Arial"/>
          <w:color w:val="000000"/>
          <w:sz w:val="24"/>
        </w:rPr>
        <w:t>void</w:t>
      </w:r>
      <w:r>
        <w:rPr>
          <w:rFonts w:ascii="Arial"/>
          <w:color w:val="000000"/>
          <w:sz w:val="24"/>
        </w:rPr>
        <w:t>”</w:t>
      </w:r>
      <w:r>
        <w:rPr>
          <w:rFonts w:ascii="Arial"/>
          <w:color w:val="000000"/>
          <w:sz w:val="24"/>
        </w:rPr>
        <w:t>.</w:t>
      </w:r>
      <w:r>
        <w:rPr>
          <w:rFonts w:ascii="Arial"/>
          <w:color w:val="000000"/>
          <w:sz w:val="24"/>
        </w:rPr>
        <w:t xml:space="preserve"> </w:t>
      </w:r>
      <w:r>
        <w:rPr>
          <w:rFonts w:ascii="Arial"/>
          <w:color w:val="000000"/>
          <w:sz w:val="24"/>
        </w:rPr>
        <w:t>Her Honour</w:t>
      </w:r>
      <w:r>
        <w:rPr>
          <w:rFonts w:ascii="Arial"/>
          <w:color w:val="000000"/>
          <w:sz w:val="24"/>
        </w:rPr>
        <w:t xml:space="preserve"> </w:t>
      </w:r>
      <w:r>
        <w:rPr>
          <w:rFonts w:ascii="Arial"/>
          <w:color w:val="000000"/>
          <w:sz w:val="24"/>
        </w:rPr>
        <w:t xml:space="preserve">held that a comparison of the modified development consent plans and the stamped </w:t>
      </w:r>
      <w:r>
        <w:rPr>
          <w:rFonts w:ascii="Arial"/>
          <w:color w:val="000000"/>
          <w:sz w:val="24"/>
        </w:rPr>
        <w:t xml:space="preserve">construction plans clearly shows that the construction void overlaps with the </w:t>
      </w:r>
      <w:r>
        <w:rPr>
          <w:rFonts w:ascii="Arial"/>
          <w:color w:val="000000"/>
          <w:sz w:val="24"/>
        </w:rPr>
        <w:t>“</w:t>
      </w:r>
      <w:r>
        <w:rPr>
          <w:rFonts w:ascii="Arial"/>
          <w:color w:val="000000"/>
          <w:sz w:val="24"/>
        </w:rPr>
        <w:t>cellar</w:t>
      </w:r>
      <w:r>
        <w:rPr>
          <w:rFonts w:ascii="Arial"/>
          <w:color w:val="000000"/>
          <w:sz w:val="24"/>
        </w:rPr>
        <w:t>”</w:t>
      </w:r>
      <w:r>
        <w:rPr>
          <w:rFonts w:ascii="Arial"/>
          <w:color w:val="000000"/>
          <w:sz w:val="24"/>
        </w:rPr>
        <w:t xml:space="preserve"> </w:t>
      </w:r>
      <w:r>
        <w:rPr>
          <w:rFonts w:ascii="Arial"/>
          <w:color w:val="000000"/>
          <w:sz w:val="24"/>
        </w:rPr>
        <w:t xml:space="preserve">level. </w:t>
      </w:r>
    </w:p>
    <w:p>
      <w:pPr>
        <w:pStyle w:val="CaselawNumbered10"/>
        <w:numPr>
          <w:ilvl w:val="0"/>
          <w:numId w:val="52"/>
        </w:numPr>
        <w:spacing w:before="150" w:after="0"/>
        <w:ind w:left="600" w:hanging="600"/>
      </w:pPr>
      <w:r>
        <w:rPr>
          <w:rFonts w:ascii="Arial"/>
          <w:color w:val="000000"/>
          <w:sz w:val="24"/>
        </w:rPr>
        <w:t xml:space="preserve">Thus, </w:t>
      </w:r>
      <w:r>
        <w:rPr>
          <w:rFonts w:ascii="Arial"/>
          <w:color w:val="000000"/>
          <w:sz w:val="24"/>
        </w:rPr>
        <w:t xml:space="preserve">her Honour held that </w:t>
      </w:r>
      <w:r>
        <w:rPr>
          <w:rFonts w:ascii="Arial"/>
          <w:color w:val="000000"/>
          <w:sz w:val="24"/>
        </w:rPr>
        <w:t>it was unreasonable to conclude that the construction certificate plans, which required excavation, were consistent with the modified development consent that prohibited such excavation.</w:t>
      </w:r>
    </w:p>
    <w:p>
      <w:pPr>
        <w:pStyle w:val="CaselawHeading3"/>
        <w:keepNext/>
        <w:spacing w:before="150" w:after="150" w:line="264"/>
        <w:ind w:left="0"/>
        <w:jc w:val="left"/>
      </w:pPr>
      <w:r>
        <w:rPr>
          <w:rFonts w:ascii="Arial"/>
        </w:rPr>
        <w:t xml:space="preserve">(5) Invalidity </w:t>
      </w:r>
    </w:p>
    <w:p>
      <w:pPr>
        <w:pStyle w:val="CaselawNumbered10"/>
        <w:numPr>
          <w:ilvl w:val="0"/>
          <w:numId w:val="53"/>
        </w:numPr>
        <w:spacing w:before="150" w:after="0"/>
        <w:ind w:left="600" w:hanging="600"/>
      </w:pPr>
      <w:r>
        <w:rPr>
          <w:rFonts w:ascii="Arial"/>
          <w:color w:val="000000"/>
          <w:sz w:val="24"/>
        </w:rPr>
        <w:t>The fifth issue was whether the Court should make a declaration of invalidity in respect of all or part of the modified development consent having regard to any relevant discretionary consideration</w:t>
      </w:r>
      <w:r>
        <w:rPr>
          <w:rFonts w:ascii="Arial"/>
          <w:color w:val="000000"/>
          <w:sz w:val="24"/>
        </w:rPr>
        <w:t>s</w:t>
      </w:r>
      <w:r>
        <w:rPr>
          <w:rFonts w:ascii="Arial"/>
          <w:color w:val="000000"/>
          <w:sz w:val="24"/>
        </w:rPr>
        <w:t>.</w:t>
      </w:r>
    </w:p>
    <w:p>
      <w:pPr>
        <w:pStyle w:val="CaselawNumbered10"/>
        <w:numPr>
          <w:ilvl w:val="0"/>
          <w:numId w:val="53"/>
        </w:numPr>
        <w:spacing w:before="150" w:after="0"/>
        <w:ind w:left="600" w:hanging="600"/>
      </w:pPr>
      <w:r>
        <w:rPr>
          <w:rFonts w:ascii="Arial"/>
          <w:color w:val="000000"/>
          <w:sz w:val="24"/>
        </w:rPr>
        <w:t xml:space="preserve">The primary judge concluded that the modified development consent does not permit excavation in the </w:t>
      </w:r>
      <w:r>
        <w:rPr>
          <w:rFonts w:ascii="Arial"/>
          <w:color w:val="000000"/>
          <w:sz w:val="24"/>
        </w:rPr>
        <w:t>“</w:t>
      </w:r>
      <w:r>
        <w:rPr>
          <w:rFonts w:ascii="Arial"/>
          <w:color w:val="000000"/>
          <w:sz w:val="24"/>
        </w:rPr>
        <w:t>cellar</w:t>
      </w:r>
      <w:r>
        <w:rPr>
          <w:rFonts w:ascii="Arial"/>
          <w:color w:val="000000"/>
          <w:sz w:val="24"/>
        </w:rPr>
        <w:t>”</w:t>
      </w:r>
      <w:r>
        <w:rPr>
          <w:rFonts w:ascii="Arial"/>
          <w:color w:val="000000"/>
          <w:sz w:val="24"/>
        </w:rPr>
        <w:t xml:space="preserve"> </w:t>
      </w:r>
      <w:r>
        <w:rPr>
          <w:rFonts w:ascii="Arial"/>
          <w:color w:val="000000"/>
          <w:sz w:val="24"/>
        </w:rPr>
        <w:t xml:space="preserve">level area and that the construction plans are inconsistent with the consent. </w:t>
      </w:r>
      <w:r>
        <w:rPr>
          <w:rFonts w:ascii="Arial"/>
          <w:color w:val="000000"/>
          <w:sz w:val="24"/>
        </w:rPr>
        <w:t>The primary judge found that</w:t>
      </w:r>
      <w:r>
        <w:rPr>
          <w:rFonts w:ascii="Arial"/>
          <w:color w:val="000000"/>
          <w:sz w:val="24"/>
        </w:rPr>
        <w:t xml:space="preserve"> </w:t>
      </w:r>
      <w:r>
        <w:rPr>
          <w:rFonts w:ascii="Arial"/>
          <w:color w:val="000000"/>
          <w:sz w:val="24"/>
        </w:rPr>
        <w:t xml:space="preserve">a declaration of invalidity was warranted due to jurisdictional error, but it would only apply to the excavation in the </w:t>
      </w:r>
      <w:r>
        <w:rPr>
          <w:rFonts w:ascii="Arial"/>
          <w:color w:val="000000"/>
          <w:sz w:val="24"/>
        </w:rPr>
        <w:t>“</w:t>
      </w:r>
      <w:r>
        <w:rPr>
          <w:rFonts w:ascii="Arial"/>
          <w:color w:val="000000"/>
          <w:sz w:val="24"/>
        </w:rPr>
        <w:t>cellar</w:t>
      </w:r>
      <w:r>
        <w:rPr>
          <w:rFonts w:ascii="Arial"/>
          <w:color w:val="000000"/>
          <w:sz w:val="24"/>
        </w:rPr>
        <w:t>”</w:t>
      </w:r>
      <w:r>
        <w:rPr>
          <w:rFonts w:ascii="Arial"/>
          <w:color w:val="000000"/>
          <w:sz w:val="24"/>
        </w:rPr>
        <w:t xml:space="preserve"> </w:t>
      </w:r>
      <w:r>
        <w:rPr>
          <w:rFonts w:ascii="Arial"/>
          <w:color w:val="000000"/>
          <w:sz w:val="24"/>
        </w:rPr>
        <w:t xml:space="preserve">level to </w:t>
      </w:r>
      <w:r>
        <w:rPr>
          <w:rFonts w:ascii="Arial"/>
          <w:color w:val="000000"/>
          <w:sz w:val="24"/>
        </w:rPr>
        <w:t>minimi</w:t>
      </w:r>
      <w:r>
        <w:rPr>
          <w:rFonts w:ascii="Arial"/>
          <w:color w:val="000000"/>
          <w:sz w:val="24"/>
        </w:rPr>
        <w:t>s</w:t>
      </w:r>
      <w:r>
        <w:rPr>
          <w:rFonts w:ascii="Arial"/>
          <w:color w:val="000000"/>
          <w:sz w:val="24"/>
        </w:rPr>
        <w:t xml:space="preserve">e </w:t>
      </w:r>
      <w:r>
        <w:rPr>
          <w:rFonts w:ascii="Arial"/>
          <w:color w:val="000000"/>
          <w:sz w:val="24"/>
        </w:rPr>
        <w:t xml:space="preserve">disruption and costs for the </w:t>
      </w:r>
      <w:r>
        <w:rPr>
          <w:rFonts w:ascii="Arial"/>
          <w:color w:val="000000"/>
          <w:sz w:val="24"/>
        </w:rPr>
        <w:t>appellants</w:t>
      </w:r>
      <w:r>
        <w:rPr>
          <w:rFonts w:ascii="Arial"/>
          <w:color w:val="000000"/>
          <w:sz w:val="24"/>
        </w:rPr>
        <w:t xml:space="preserve">. Her </w:t>
      </w:r>
      <w:r>
        <w:rPr>
          <w:rFonts w:ascii="Arial"/>
          <w:color w:val="000000"/>
          <w:sz w:val="24"/>
        </w:rPr>
        <w:t>Honour found</w:t>
      </w:r>
      <w:r>
        <w:rPr>
          <w:rFonts w:ascii="Arial"/>
          <w:color w:val="000000"/>
          <w:sz w:val="24"/>
        </w:rPr>
        <w:t>:</w:t>
      </w:r>
    </w:p>
    <w:p>
      <w:pPr>
        <w:pStyle w:val="CaselawNumbered1"/>
        <w:numPr>
          <w:ilvl w:val="0"/>
          <w:numId w:val="54"/>
        </w:numPr>
        <w:spacing w:before="150" w:after="0"/>
        <w:ind w:left="1350" w:hanging="750"/>
      </w:pPr>
      <w:r>
        <w:rPr>
          <w:rFonts w:ascii="Arial"/>
          <w:color w:val="000000"/>
          <w:sz w:val="24"/>
        </w:rPr>
        <w:t xml:space="preserve">Jurisdictional error generally leads to </w:t>
      </w:r>
      <w:r>
        <w:rPr>
          <w:rFonts w:ascii="Arial"/>
          <w:color w:val="000000"/>
          <w:sz w:val="24"/>
        </w:rPr>
        <w:t xml:space="preserve">a declaration of </w:t>
      </w:r>
      <w:r>
        <w:rPr>
          <w:rFonts w:ascii="Arial"/>
          <w:color w:val="000000"/>
          <w:sz w:val="24"/>
        </w:rPr>
        <w:t xml:space="preserve">invalidity, as such decisions lack a legal foundation. The declaration </w:t>
      </w:r>
      <w:r>
        <w:rPr>
          <w:rFonts w:ascii="Arial"/>
          <w:color w:val="000000"/>
          <w:sz w:val="24"/>
        </w:rPr>
        <w:t>of invalidity was</w:t>
      </w:r>
      <w:r>
        <w:rPr>
          <w:rFonts w:ascii="Arial"/>
          <w:color w:val="000000"/>
          <w:sz w:val="24"/>
        </w:rPr>
        <w:t xml:space="preserve"> </w:t>
      </w:r>
      <w:r>
        <w:rPr>
          <w:rFonts w:ascii="Arial"/>
          <w:color w:val="000000"/>
          <w:sz w:val="24"/>
        </w:rPr>
        <w:t xml:space="preserve">limited to the </w:t>
      </w:r>
      <w:r>
        <w:rPr>
          <w:rFonts w:ascii="Arial"/>
          <w:color w:val="000000"/>
          <w:sz w:val="24"/>
        </w:rPr>
        <w:t>“</w:t>
      </w:r>
      <w:r>
        <w:rPr>
          <w:rFonts w:ascii="Arial"/>
          <w:color w:val="000000"/>
          <w:sz w:val="24"/>
        </w:rPr>
        <w:t>cellar</w:t>
      </w:r>
      <w:r>
        <w:rPr>
          <w:rFonts w:ascii="Arial"/>
          <w:color w:val="000000"/>
          <w:sz w:val="24"/>
        </w:rPr>
        <w:t>”</w:t>
      </w:r>
      <w:r>
        <w:rPr>
          <w:rFonts w:ascii="Arial"/>
          <w:color w:val="000000"/>
          <w:sz w:val="24"/>
        </w:rPr>
        <w:t xml:space="preserve"> </w:t>
      </w:r>
      <w:r>
        <w:rPr>
          <w:rFonts w:ascii="Arial"/>
          <w:color w:val="000000"/>
          <w:sz w:val="24"/>
        </w:rPr>
        <w:t xml:space="preserve">level excavation to avoid broader impacts on the construction </w:t>
      </w:r>
      <w:r>
        <w:rPr>
          <w:rFonts w:ascii="Arial"/>
          <w:color w:val="000000"/>
          <w:sz w:val="24"/>
        </w:rPr>
        <w:t>of the new dwelling</w:t>
      </w:r>
      <w:r>
        <w:rPr>
          <w:rFonts w:ascii="Arial"/>
          <w:color w:val="000000"/>
          <w:sz w:val="24"/>
        </w:rPr>
        <w:t>.</w:t>
      </w:r>
    </w:p>
    <w:p>
      <w:pPr>
        <w:pStyle w:val="CaselawNumbered1"/>
        <w:numPr>
          <w:ilvl w:val="0"/>
          <w:numId w:val="54"/>
        </w:numPr>
        <w:spacing w:before="150" w:after="0"/>
        <w:ind w:left="1350" w:hanging="750"/>
      </w:pPr>
      <w:r>
        <w:rPr>
          <w:rFonts w:ascii="Arial"/>
          <w:color w:val="000000"/>
          <w:sz w:val="24"/>
        </w:rPr>
        <w:t xml:space="preserve">The </w:t>
      </w:r>
      <w:r>
        <w:rPr>
          <w:rFonts w:ascii="Arial"/>
          <w:color w:val="000000"/>
          <w:sz w:val="24"/>
        </w:rPr>
        <w:t>appellants</w:t>
      </w:r>
      <w:r>
        <w:rPr>
          <w:rFonts w:ascii="Arial"/>
          <w:color w:val="000000"/>
          <w:sz w:val="24"/>
        </w:rPr>
        <w:t xml:space="preserve"> </w:t>
      </w:r>
      <w:r>
        <w:rPr>
          <w:rFonts w:ascii="Arial"/>
          <w:color w:val="000000"/>
          <w:sz w:val="24"/>
        </w:rPr>
        <w:t>failed to show that the crane base could</w:t>
      </w:r>
      <w:r>
        <w:rPr>
          <w:rFonts w:ascii="Arial"/>
          <w:color w:val="000000"/>
          <w:sz w:val="24"/>
        </w:rPr>
        <w:t xml:space="preserve"> </w:t>
      </w:r>
      <w:r>
        <w:rPr>
          <w:rFonts w:ascii="Arial"/>
          <w:color w:val="000000"/>
          <w:sz w:val="24"/>
        </w:rPr>
        <w:t>not</w:t>
      </w:r>
      <w:r>
        <w:rPr>
          <w:rFonts w:ascii="Arial"/>
          <w:color w:val="000000"/>
          <w:sz w:val="24"/>
        </w:rPr>
        <w:t xml:space="preserve"> </w:t>
      </w:r>
      <w:r>
        <w:rPr>
          <w:rFonts w:ascii="Arial"/>
          <w:color w:val="000000"/>
          <w:sz w:val="24"/>
        </w:rPr>
        <w:t>be relocated to a higher level. The proposed excavation was not justified</w:t>
      </w:r>
      <w:r>
        <w:rPr>
          <w:rFonts w:ascii="Arial"/>
          <w:color w:val="000000"/>
          <w:sz w:val="24"/>
        </w:rPr>
        <w:t xml:space="preserve"> </w:t>
      </w:r>
      <w:r>
        <w:rPr>
          <w:rFonts w:ascii="Arial"/>
          <w:color w:val="000000"/>
          <w:sz w:val="24"/>
        </w:rPr>
        <w:t>and was</w:t>
      </w:r>
      <w:r>
        <w:rPr>
          <w:rFonts w:ascii="Arial"/>
          <w:color w:val="000000"/>
          <w:sz w:val="24"/>
        </w:rPr>
        <w:t xml:space="preserve"> </w:t>
      </w:r>
      <w:r>
        <w:rPr>
          <w:rFonts w:ascii="Arial"/>
          <w:color w:val="000000"/>
          <w:sz w:val="24"/>
        </w:rPr>
        <w:t xml:space="preserve">contrary to the development control </w:t>
      </w:r>
      <w:r>
        <w:rPr>
          <w:rFonts w:ascii="Arial"/>
          <w:color w:val="000000"/>
          <w:sz w:val="24"/>
        </w:rPr>
        <w:t>plan</w:t>
      </w:r>
      <w:r>
        <w:rPr>
          <w:rFonts w:ascii="Arial"/>
          <w:color w:val="000000"/>
          <w:sz w:val="24"/>
        </w:rPr>
        <w:t>’</w:t>
      </w:r>
      <w:r>
        <w:rPr>
          <w:rFonts w:ascii="Arial"/>
          <w:color w:val="000000"/>
          <w:sz w:val="24"/>
        </w:rPr>
        <w:t xml:space="preserve">s </w:t>
      </w:r>
      <w:r>
        <w:rPr>
          <w:rFonts w:ascii="Arial"/>
          <w:color w:val="000000"/>
          <w:sz w:val="24"/>
        </w:rPr>
        <w:t>objectives</w:t>
      </w:r>
      <w:r>
        <w:rPr>
          <w:rFonts w:ascii="Arial"/>
          <w:color w:val="000000"/>
          <w:sz w:val="24"/>
        </w:rPr>
        <w:t>.</w:t>
      </w:r>
    </w:p>
    <w:p>
      <w:pPr>
        <w:pStyle w:val="CaselawNumbered1"/>
        <w:numPr>
          <w:ilvl w:val="0"/>
          <w:numId w:val="54"/>
        </w:numPr>
        <w:spacing w:before="150" w:after="0"/>
        <w:ind w:left="1350" w:hanging="750"/>
      </w:pPr>
      <w:r>
        <w:rPr>
          <w:rFonts w:ascii="Arial"/>
          <w:i/>
          <w:color w:val="000000"/>
          <w:sz w:val="24"/>
        </w:rPr>
        <w:t xml:space="preserve">Burwood Council v </w:t>
      </w:r>
      <w:r>
        <w:rPr>
          <w:rFonts w:ascii="Arial"/>
          <w:i/>
          <w:color w:val="000000"/>
          <w:sz w:val="24"/>
        </w:rPr>
        <w:t>Ralan</w:t>
      </w:r>
      <w:r>
        <w:rPr>
          <w:rFonts w:ascii="Arial"/>
          <w:i/>
          <w:color w:val="000000"/>
          <w:sz w:val="24"/>
        </w:rPr>
        <w:t xml:space="preserve"> Burwood Pty Ltd (No 3) </w:t>
      </w:r>
      <w:r>
        <w:rPr>
          <w:rFonts w:ascii="Arial"/>
          <w:color w:val="000000"/>
          <w:sz w:val="24"/>
        </w:rPr>
        <w:t>[2014] NSWCA 404</w:t>
      </w:r>
      <w:r>
        <w:rPr>
          <w:rFonts w:ascii="Arial"/>
          <w:color w:val="000000"/>
          <w:sz w:val="24"/>
        </w:rPr>
        <w:t xml:space="preserve">, which was relied upon by the appellants, </w:t>
      </w:r>
      <w:r>
        <w:rPr>
          <w:rFonts w:ascii="Arial"/>
          <w:color w:val="000000"/>
          <w:sz w:val="24"/>
        </w:rPr>
        <w:t xml:space="preserve">dealt with different legal issues and </w:t>
      </w:r>
      <w:r>
        <w:rPr>
          <w:rFonts w:ascii="Arial"/>
          <w:color w:val="000000"/>
          <w:sz w:val="24"/>
        </w:rPr>
        <w:t xml:space="preserve">did </w:t>
      </w:r>
      <w:r>
        <w:rPr>
          <w:rFonts w:ascii="Arial"/>
          <w:color w:val="000000"/>
          <w:sz w:val="24"/>
        </w:rPr>
        <w:t>not preclude the current declaration of invalidity.</w:t>
      </w:r>
    </w:p>
    <w:p>
      <w:pPr>
        <w:pStyle w:val="CaselawHeading2"/>
        <w:keepNext/>
        <w:spacing w:before="150" w:after="150" w:line="264"/>
        <w:ind w:left="0"/>
        <w:jc w:val="left"/>
      </w:pPr>
      <w:r>
        <w:rPr>
          <w:rFonts w:ascii="Arial"/>
        </w:rPr>
        <w:t>Grounds of Appeal</w:t>
      </w:r>
    </w:p>
    <w:p>
      <w:pPr>
        <w:pStyle w:val="CaselawNumbered10"/>
        <w:numPr>
          <w:ilvl w:val="0"/>
          <w:numId w:val="55"/>
        </w:numPr>
        <w:spacing w:before="150" w:after="0"/>
        <w:ind w:left="600" w:hanging="600"/>
      </w:pPr>
      <w:r>
        <w:rPr>
          <w:rFonts w:ascii="Arial"/>
          <w:color w:val="000000"/>
          <w:sz w:val="24"/>
        </w:rPr>
        <w:t>The notice of appeal provided:</w:t>
      </w:r>
      <w:r>
        <w:rPr>
          <w:rFonts w:ascii="Arial"/>
          <w:color w:val="000000"/>
          <w:sz w:val="24"/>
        </w:rPr>
        <w:t xml:space="preserve"> </w:t>
      </w:r>
    </w:p>
    <w:p>
      <w:pPr>
        <w:pStyle w:val="CaselawQuote"/>
        <w:spacing w:before="150" w:after="150"/>
        <w:ind w:left="1350"/>
        <w:jc w:val="left"/>
      </w:pPr>
      <w:r>
        <w:rPr>
          <w:rFonts w:ascii="Arial"/>
          <w:color w:val="000000"/>
          <w:sz w:val="22"/>
        </w:rPr>
        <w:t>1</w:t>
      </w:r>
      <w:r>
        <w:rPr>
          <w:rFonts w:ascii="Arial"/>
          <w:color w:val="000000"/>
          <w:sz w:val="22"/>
        </w:rPr>
        <w:t>   </w:t>
      </w:r>
      <w:r>
        <w:rPr>
          <w:rFonts w:ascii="Arial"/>
          <w:color w:val="000000"/>
          <w:sz w:val="22"/>
        </w:rPr>
        <w:t xml:space="preserve">In deciding to extend the time under rule 59.10 of the </w:t>
      </w:r>
      <w:r>
        <w:rPr>
          <w:rFonts w:ascii="Arial"/>
          <w:i/>
          <w:color w:val="000000"/>
          <w:sz w:val="22"/>
        </w:rPr>
        <w:t xml:space="preserve">Uniform Civil Procedure Rules 2005 </w:t>
      </w:r>
      <w:r>
        <w:rPr>
          <w:rFonts w:ascii="Arial"/>
          <w:color w:val="000000"/>
          <w:sz w:val="22"/>
        </w:rPr>
        <w:t>for the First Respondent to commence proceedings for judicial review of the Second Respondent’</w:t>
      </w:r>
      <w:r>
        <w:rPr>
          <w:rFonts w:ascii="Arial"/>
          <w:color w:val="000000"/>
          <w:sz w:val="22"/>
        </w:rPr>
        <w:t xml:space="preserve">s decision of 31 August 2022 to issue construction certificate 21 /345 </w:t>
      </w:r>
      <w:r>
        <w:rPr>
          <w:rFonts w:ascii="Arial"/>
          <w:b/>
          <w:color w:val="000000"/>
          <w:sz w:val="22"/>
        </w:rPr>
        <w:t xml:space="preserve">(Construction Certificate), </w:t>
      </w:r>
      <w:r>
        <w:rPr>
          <w:rFonts w:ascii="Arial"/>
          <w:color w:val="000000"/>
          <w:sz w:val="22"/>
        </w:rPr>
        <w:t xml:space="preserve">the learned primary judge erred in the exercise of her discretion at J[107] in that her Honour: </w:t>
      </w:r>
    </w:p>
    <w:p>
      <w:pPr>
        <w:pStyle w:val="CaselawQuote0"/>
        <w:spacing w:before="150" w:after="150"/>
        <w:ind w:left="2100"/>
        <w:jc w:val="left"/>
      </w:pPr>
      <w:r>
        <w:rPr>
          <w:rFonts w:ascii="Arial"/>
          <w:color w:val="000000"/>
          <w:sz w:val="22"/>
        </w:rPr>
        <w:t xml:space="preserve">a. </w:t>
      </w:r>
      <w:r>
        <w:rPr>
          <w:rFonts w:ascii="Arial"/>
          <w:color w:val="000000"/>
          <w:sz w:val="22"/>
        </w:rPr>
        <w:t>   </w:t>
      </w:r>
      <w:r>
        <w:rPr>
          <w:rFonts w:ascii="Arial"/>
          <w:color w:val="000000"/>
          <w:sz w:val="22"/>
        </w:rPr>
        <w:t xml:space="preserve">treated as irrelevant and failed to take into account (or alternatively gave insufficient weight) to material considerations, namely: </w:t>
      </w:r>
    </w:p>
    <w:p>
      <w:pPr>
        <w:pStyle w:val="CaselawQuote1"/>
        <w:spacing w:before="150" w:after="150"/>
        <w:ind w:left="2850"/>
        <w:jc w:val="left"/>
      </w:pPr>
      <w:r>
        <w:rPr>
          <w:rFonts w:ascii="Arial"/>
          <w:color w:val="000000"/>
          <w:sz w:val="22"/>
        </w:rPr>
        <w:t>i</w:t>
      </w:r>
      <w:r>
        <w:rPr>
          <w:rFonts w:ascii="Arial"/>
          <w:color w:val="000000"/>
          <w:sz w:val="22"/>
        </w:rPr>
        <w:t xml:space="preserve">. </w:t>
      </w:r>
      <w:r>
        <w:rPr>
          <w:rFonts w:ascii="Arial"/>
          <w:color w:val="000000"/>
          <w:sz w:val="22"/>
        </w:rPr>
        <w:t>   </w:t>
      </w:r>
      <w:r>
        <w:rPr>
          <w:rFonts w:ascii="Arial"/>
          <w:color w:val="000000"/>
          <w:sz w:val="22"/>
        </w:rPr>
        <w:t xml:space="preserve">that the First Respondent was in a position to commence the proceedings within time, having in its possession a copy of the Construction Certificate and having attended the development site on 27 October 2022 for enforcement purposes on that date; and/or </w:t>
      </w:r>
    </w:p>
    <w:p>
      <w:pPr>
        <w:pStyle w:val="CaselawQuote1"/>
        <w:spacing w:before="150" w:after="150"/>
        <w:ind w:left="2850"/>
        <w:jc w:val="left"/>
      </w:pPr>
      <w:r>
        <w:rPr>
          <w:rFonts w:ascii="Arial"/>
          <w:color w:val="000000"/>
          <w:sz w:val="22"/>
        </w:rPr>
        <w:t xml:space="preserve">ii. </w:t>
      </w:r>
      <w:r>
        <w:rPr>
          <w:rFonts w:ascii="Arial"/>
          <w:color w:val="000000"/>
          <w:sz w:val="22"/>
        </w:rPr>
        <w:t>   </w:t>
      </w:r>
      <w:r>
        <w:rPr>
          <w:rFonts w:ascii="Arial"/>
          <w:color w:val="000000"/>
          <w:sz w:val="22"/>
        </w:rPr>
        <w:t xml:space="preserve">the public interest in the certainty and finality of decisions made by certifiers in relation to construction certificates; </w:t>
      </w:r>
    </w:p>
    <w:p>
      <w:pPr>
        <w:pStyle w:val="CaselawQuote0"/>
        <w:spacing w:before="150" w:after="150"/>
        <w:ind w:left="2100"/>
        <w:jc w:val="left"/>
      </w:pPr>
      <w:r>
        <w:rPr>
          <w:rFonts w:ascii="Arial"/>
          <w:color w:val="000000"/>
          <w:sz w:val="22"/>
        </w:rPr>
        <w:t xml:space="preserve">b. </w:t>
      </w:r>
      <w:r>
        <w:rPr>
          <w:rFonts w:ascii="Arial"/>
          <w:color w:val="000000"/>
          <w:sz w:val="22"/>
        </w:rPr>
        <w:t>   </w:t>
      </w:r>
      <w:r>
        <w:rPr>
          <w:rFonts w:ascii="Arial"/>
          <w:color w:val="000000"/>
          <w:sz w:val="22"/>
        </w:rPr>
        <w:t xml:space="preserve">gave material weight to (or alternatively gave undue weight) to irrelevant considerations, namely: </w:t>
      </w:r>
    </w:p>
    <w:p>
      <w:pPr>
        <w:pStyle w:val="CaselawQuote1"/>
        <w:spacing w:before="150" w:after="150"/>
        <w:ind w:left="2850"/>
        <w:jc w:val="left"/>
      </w:pPr>
      <w:r>
        <w:rPr>
          <w:rFonts w:ascii="Arial"/>
          <w:color w:val="000000"/>
          <w:sz w:val="22"/>
        </w:rPr>
        <w:t>i</w:t>
      </w:r>
      <w:r>
        <w:rPr>
          <w:rFonts w:ascii="Arial"/>
          <w:color w:val="000000"/>
          <w:sz w:val="22"/>
        </w:rPr>
        <w:t xml:space="preserve">. </w:t>
      </w:r>
      <w:r>
        <w:rPr>
          <w:rFonts w:ascii="Arial"/>
          <w:color w:val="000000"/>
          <w:sz w:val="22"/>
        </w:rPr>
        <w:t>   </w:t>
      </w:r>
      <w:r>
        <w:rPr>
          <w:rFonts w:ascii="Arial"/>
          <w:color w:val="000000"/>
          <w:sz w:val="22"/>
        </w:rPr>
        <w:t xml:space="preserve">the resources of the First Respondent and </w:t>
      </w:r>
      <w:r>
        <w:rPr>
          <w:rFonts w:ascii="Arial"/>
          <w:color w:val="000000"/>
          <w:sz w:val="22"/>
        </w:rPr>
        <w:t>‘the number of construction certificates and complying development certificates issued in the Woollahra Local Government Area each year’</w:t>
      </w:r>
      <w:r>
        <w:rPr>
          <w:rFonts w:ascii="Arial"/>
          <w:color w:val="000000"/>
          <w:sz w:val="22"/>
        </w:rPr>
        <w:t xml:space="preserve"> at J[107](7); and/or </w:t>
      </w:r>
    </w:p>
    <w:p>
      <w:pPr>
        <w:pStyle w:val="CaselawQuote1"/>
        <w:spacing w:before="150" w:after="150"/>
        <w:ind w:left="2850"/>
        <w:jc w:val="left"/>
      </w:pPr>
      <w:r>
        <w:rPr>
          <w:rFonts w:ascii="Arial"/>
          <w:color w:val="000000"/>
          <w:sz w:val="22"/>
        </w:rPr>
        <w:t xml:space="preserve">ii. </w:t>
      </w:r>
      <w:r>
        <w:rPr>
          <w:rFonts w:ascii="Arial"/>
          <w:color w:val="000000"/>
          <w:sz w:val="22"/>
        </w:rPr>
        <w:t>   </w:t>
      </w:r>
      <w:r>
        <w:rPr>
          <w:rFonts w:ascii="Arial"/>
          <w:color w:val="000000"/>
          <w:sz w:val="22"/>
        </w:rPr>
        <w:t xml:space="preserve">that the First Respondent </w:t>
      </w:r>
      <w:r>
        <w:rPr>
          <w:rFonts w:ascii="Arial"/>
          <w:color w:val="000000"/>
          <w:sz w:val="22"/>
        </w:rPr>
        <w:t>‘knew’</w:t>
      </w:r>
      <w:r>
        <w:rPr>
          <w:rFonts w:ascii="Arial"/>
          <w:color w:val="000000"/>
          <w:sz w:val="22"/>
        </w:rPr>
        <w:t xml:space="preserve"> that the Local Planning Panel </w:t>
      </w:r>
      <w:r>
        <w:rPr>
          <w:rFonts w:ascii="Arial"/>
          <w:i/>
          <w:color w:val="000000"/>
          <w:sz w:val="22"/>
        </w:rPr>
        <w:t>“</w:t>
      </w:r>
      <w:r>
        <w:rPr>
          <w:rFonts w:ascii="Arial"/>
          <w:i/>
          <w:color w:val="000000"/>
          <w:sz w:val="22"/>
        </w:rPr>
        <w:t xml:space="preserve">had essentially refused consent to a cellar level, submitted plans to the principal certifying authority that showed a cellar </w:t>
      </w:r>
      <w:r>
        <w:rPr>
          <w:rFonts w:ascii="Arial"/>
          <w:i/>
          <w:color w:val="000000"/>
          <w:sz w:val="22"/>
        </w:rPr>
        <w:t>level</w:t>
      </w:r>
      <w:r>
        <w:rPr>
          <w:rFonts w:ascii="Arial"/>
          <w:color w:val="000000"/>
          <w:sz w:val="22"/>
        </w:rPr>
        <w:t>”</w:t>
      </w:r>
      <w:r>
        <w:rPr>
          <w:rFonts w:ascii="Arial"/>
          <w:i/>
          <w:color w:val="000000"/>
          <w:sz w:val="22"/>
        </w:rPr>
        <w:t xml:space="preserve"> </w:t>
      </w:r>
      <w:r>
        <w:rPr>
          <w:rFonts w:ascii="Arial"/>
          <w:color w:val="000000"/>
          <w:sz w:val="22"/>
        </w:rPr>
        <w:t xml:space="preserve">at J[107](5). </w:t>
      </w:r>
    </w:p>
    <w:p>
      <w:pPr>
        <w:pStyle w:val="CaselawQuote"/>
        <w:spacing w:before="150" w:after="150"/>
        <w:ind w:left="1350"/>
        <w:jc w:val="left"/>
      </w:pPr>
      <w:r>
        <w:rPr>
          <w:rFonts w:ascii="Arial"/>
          <w:color w:val="000000"/>
          <w:sz w:val="22"/>
        </w:rPr>
        <w:t xml:space="preserve">2 </w:t>
      </w:r>
      <w:r>
        <w:rPr>
          <w:rFonts w:ascii="Arial"/>
          <w:color w:val="000000"/>
          <w:sz w:val="22"/>
        </w:rPr>
        <w:t>   </w:t>
      </w:r>
      <w:r>
        <w:rPr>
          <w:rFonts w:ascii="Arial"/>
          <w:color w:val="000000"/>
          <w:sz w:val="22"/>
        </w:rPr>
        <w:t xml:space="preserve">The learned primary judge erred in finding that it was </w:t>
      </w:r>
      <w:r>
        <w:rPr>
          <w:rFonts w:ascii="Arial"/>
          <w:color w:val="000000"/>
          <w:sz w:val="22"/>
        </w:rPr>
        <w:t>‘legally unreasonable’</w:t>
      </w:r>
      <w:r>
        <w:rPr>
          <w:rFonts w:ascii="Arial"/>
          <w:color w:val="000000"/>
          <w:sz w:val="22"/>
        </w:rPr>
        <w:t xml:space="preserve"> for the Second Respondent to determine that the plans, specifications and standards of building work specified in the Construction Certificate were consistent with the modified development consent, in that, on the evidence before the Court, there was an evident and intelligible justification for the inconsistency between the relevant architectural plans and the structural plans contrary to J[179](1) and J[179](5)-(6) and J[179](10). </w:t>
      </w:r>
    </w:p>
    <w:p>
      <w:pPr>
        <w:pStyle w:val="CaselawQuote"/>
        <w:spacing w:before="150" w:after="150"/>
        <w:ind w:left="1350"/>
        <w:jc w:val="left"/>
      </w:pPr>
      <w:r>
        <w:rPr>
          <w:rFonts w:ascii="Arial"/>
          <w:color w:val="000000"/>
          <w:sz w:val="22"/>
        </w:rPr>
        <w:t xml:space="preserve">3 </w:t>
      </w:r>
      <w:r>
        <w:rPr>
          <w:rFonts w:ascii="Arial"/>
          <w:color w:val="000000"/>
          <w:sz w:val="22"/>
        </w:rPr>
        <w:t>   </w:t>
      </w:r>
      <w:r>
        <w:rPr>
          <w:rFonts w:ascii="Arial"/>
          <w:color w:val="000000"/>
          <w:sz w:val="22"/>
        </w:rPr>
        <w:t xml:space="preserve">The learned primary judge erred in finding that the consequence of a finding of legal unreasonableness was the invalidity of the Construction Certificate at J[195] </w:t>
      </w:r>
      <w:r>
        <w:rPr>
          <w:rFonts w:ascii="Arial"/>
          <w:color w:val="000000"/>
          <w:sz w:val="22"/>
        </w:rPr>
        <w:t>–</w:t>
      </w:r>
      <w:r>
        <w:rPr>
          <w:rFonts w:ascii="Arial"/>
          <w:color w:val="000000"/>
          <w:sz w:val="22"/>
        </w:rPr>
        <w:t xml:space="preserve"> [197].</w:t>
      </w:r>
    </w:p>
    <w:p>
      <w:pPr>
        <w:pStyle w:val="CaselawNumbered10"/>
        <w:numPr>
          <w:ilvl w:val="0"/>
          <w:numId w:val="56"/>
        </w:numPr>
        <w:spacing w:before="150" w:after="0"/>
        <w:ind w:left="600" w:hanging="600"/>
      </w:pPr>
      <w:r>
        <w:rPr>
          <w:rFonts w:ascii="Arial"/>
          <w:color w:val="000000"/>
          <w:sz w:val="24"/>
        </w:rPr>
        <w:t xml:space="preserve">This appeal is brought under s 58 of the </w:t>
      </w:r>
      <w:r>
        <w:rPr>
          <w:rFonts w:ascii="Arial"/>
          <w:i/>
          <w:color w:val="000000"/>
          <w:sz w:val="24"/>
        </w:rPr>
        <w:t xml:space="preserve">Land and Environment Court Act 1979 </w:t>
      </w:r>
      <w:r>
        <w:rPr>
          <w:rFonts w:ascii="Arial"/>
          <w:color w:val="000000"/>
          <w:sz w:val="24"/>
        </w:rPr>
        <w:t xml:space="preserve">(NSW) and is </w:t>
      </w:r>
      <w:r>
        <w:rPr>
          <w:rFonts w:ascii="Arial"/>
          <w:color w:val="000000"/>
          <w:sz w:val="24"/>
        </w:rPr>
        <w:t xml:space="preserve">an appeal </w:t>
      </w:r>
      <w:r>
        <w:rPr>
          <w:rFonts w:ascii="Arial"/>
          <w:color w:val="000000"/>
          <w:sz w:val="24"/>
        </w:rPr>
        <w:t>by way of rehearing.</w:t>
      </w:r>
      <w:r>
        <w:rPr>
          <w:rFonts w:ascii="Arial"/>
          <w:color w:val="000000"/>
          <w:sz w:val="24"/>
        </w:rPr>
        <w:t xml:space="preserve"> </w:t>
      </w:r>
    </w:p>
    <w:p>
      <w:pPr>
        <w:pStyle w:val="CaselawHeading2"/>
        <w:keepNext/>
        <w:spacing w:before="150" w:after="150" w:line="264"/>
        <w:ind w:left="0"/>
        <w:jc w:val="left"/>
      </w:pPr>
      <w:r>
        <w:rPr>
          <w:rFonts w:ascii="Arial"/>
        </w:rPr>
        <w:t>Relevant legal framework</w:t>
      </w:r>
    </w:p>
    <w:p>
      <w:pPr>
        <w:pStyle w:val="CaselawNumbered10"/>
        <w:numPr>
          <w:ilvl w:val="0"/>
          <w:numId w:val="57"/>
        </w:numPr>
        <w:spacing w:before="150" w:after="0"/>
        <w:ind w:left="600" w:hanging="600"/>
      </w:pPr>
      <w:r>
        <w:rPr>
          <w:rFonts w:ascii="Arial"/>
          <w:color w:val="000000"/>
          <w:sz w:val="24"/>
        </w:rPr>
        <w:t xml:space="preserve">Before descending into the detail of the </w:t>
      </w:r>
      <w:r>
        <w:rPr>
          <w:rFonts w:ascii="Arial"/>
          <w:color w:val="000000"/>
          <w:sz w:val="24"/>
        </w:rPr>
        <w:t>issues on the appeal it is necessary first to set out the relevant statutory background.</w:t>
      </w:r>
    </w:p>
    <w:p>
      <w:pPr>
        <w:pStyle w:val="CaselawNumbered10"/>
        <w:numPr>
          <w:ilvl w:val="0"/>
          <w:numId w:val="57"/>
        </w:numPr>
        <w:spacing w:before="150" w:after="0"/>
        <w:ind w:left="600" w:hanging="600"/>
      </w:pPr>
      <w:r>
        <w:rPr>
          <w:rFonts w:ascii="Arial"/>
          <w:color w:val="000000"/>
          <w:sz w:val="24"/>
        </w:rPr>
        <w:t xml:space="preserve">Section 4.16(12) </w:t>
      </w:r>
      <w:r>
        <w:rPr>
          <w:rFonts w:ascii="Arial"/>
          <w:color w:val="000000"/>
          <w:sz w:val="24"/>
        </w:rPr>
        <w:t xml:space="preserve">of the EPA Act </w:t>
      </w:r>
      <w:r>
        <w:rPr>
          <w:rFonts w:ascii="Arial"/>
          <w:color w:val="000000"/>
          <w:sz w:val="24"/>
        </w:rPr>
        <w:t xml:space="preserve">(then numbered differently) is a provision at the heart of the decision in </w:t>
      </w:r>
      <w:r>
        <w:rPr>
          <w:rFonts w:ascii="Arial"/>
          <w:i/>
          <w:color w:val="000000"/>
          <w:sz w:val="24"/>
        </w:rPr>
        <w:t>Ralan</w:t>
      </w:r>
      <w:r>
        <w:rPr>
          <w:rFonts w:ascii="Arial"/>
          <w:i/>
          <w:color w:val="000000"/>
          <w:sz w:val="24"/>
        </w:rPr>
        <w:t xml:space="preserve">, </w:t>
      </w:r>
      <w:r>
        <w:rPr>
          <w:rFonts w:ascii="Arial"/>
          <w:color w:val="000000"/>
          <w:sz w:val="24"/>
        </w:rPr>
        <w:t>a case</w:t>
      </w:r>
      <w:r>
        <w:rPr>
          <w:rFonts w:ascii="Arial"/>
          <w:i/>
          <w:color w:val="000000"/>
          <w:sz w:val="24"/>
        </w:rPr>
        <w:t xml:space="preserve"> </w:t>
      </w:r>
      <w:r>
        <w:rPr>
          <w:rFonts w:ascii="Arial"/>
          <w:color w:val="000000"/>
          <w:sz w:val="24"/>
        </w:rPr>
        <w:t xml:space="preserve">which </w:t>
      </w:r>
      <w:r>
        <w:rPr>
          <w:rFonts w:ascii="Arial"/>
          <w:color w:val="000000"/>
          <w:sz w:val="24"/>
        </w:rPr>
        <w:t>I will analyse in detail below</w:t>
      </w:r>
      <w:r>
        <w:rPr>
          <w:rFonts w:ascii="Arial"/>
          <w:color w:val="000000"/>
          <w:sz w:val="24"/>
        </w:rPr>
        <w:t>. Section 4.16 (12) provides</w:t>
      </w:r>
      <w:r>
        <w:rPr>
          <w:rFonts w:ascii="Arial"/>
          <w:color w:val="000000"/>
          <w:sz w:val="24"/>
        </w:rPr>
        <w:t>:</w:t>
      </w:r>
    </w:p>
    <w:p>
      <w:pPr>
        <w:pStyle w:val="CaselawQuote"/>
        <w:spacing w:before="150" w:after="150"/>
        <w:ind w:left="1350"/>
        <w:jc w:val="left"/>
      </w:pPr>
      <w:r>
        <w:rPr>
          <w:rFonts w:ascii="Arial"/>
          <w:b/>
          <w:color w:val="000000"/>
          <w:sz w:val="22"/>
        </w:rPr>
        <w:t>4.16</w:t>
      </w:r>
      <w:r>
        <w:rPr>
          <w:rFonts w:ascii="Arial"/>
          <w:color w:val="000000"/>
          <w:sz w:val="22"/>
        </w:rPr>
        <w:t xml:space="preserve"> </w:t>
      </w:r>
      <w:r>
        <w:rPr>
          <w:rFonts w:ascii="Arial"/>
          <w:b/>
          <w:color w:val="000000"/>
          <w:sz w:val="22"/>
        </w:rPr>
        <w:t>Determination</w:t>
      </w:r>
      <w:r>
        <w:rPr>
          <w:rFonts w:ascii="Arial"/>
          <w:color w:val="000000"/>
          <w:sz w:val="22"/>
        </w:rPr>
        <w:t xml:space="preserve"> (</w:t>
      </w:r>
      <w:r>
        <w:rPr>
          <w:rFonts w:ascii="Arial"/>
          <w:color w:val="000000"/>
          <w:sz w:val="22"/>
        </w:rPr>
        <w:t>cf</w:t>
      </w:r>
      <w:r>
        <w:rPr>
          <w:rFonts w:ascii="Arial"/>
          <w:color w:val="000000"/>
          <w:sz w:val="22"/>
        </w:rPr>
        <w:t xml:space="preserve"> previous s 80) </w:t>
      </w:r>
    </w:p>
    <w:p>
      <w:pPr>
        <w:pStyle w:val="CaselawQuote"/>
        <w:spacing w:before="150" w:after="150"/>
        <w:ind w:left="1350"/>
        <w:jc w:val="left"/>
      </w:pPr>
      <w:r>
        <w:rPr>
          <w:rFonts w:ascii="Arial"/>
          <w:color w:val="000000"/>
          <w:sz w:val="22"/>
        </w:rPr>
        <w:t>…</w:t>
      </w:r>
    </w:p>
    <w:p>
      <w:pPr>
        <w:pStyle w:val="CaselawQuote"/>
        <w:spacing w:before="150" w:after="150"/>
        <w:ind w:left="1350"/>
        <w:jc w:val="left"/>
      </w:pPr>
      <w:r>
        <w:rPr>
          <w:rFonts w:ascii="Arial"/>
          <w:color w:val="000000"/>
          <w:sz w:val="22"/>
        </w:rPr>
        <w:t>(12)</w:t>
      </w:r>
      <w:r>
        <w:rPr>
          <w:rFonts w:ascii="Arial"/>
          <w:color w:val="000000"/>
          <w:sz w:val="22"/>
        </w:rPr>
        <w:t>   </w:t>
      </w:r>
      <w:r>
        <w:rPr>
          <w:rFonts w:ascii="Arial"/>
          <w:b/>
          <w:color w:val="000000"/>
          <w:sz w:val="22"/>
        </w:rPr>
        <w:t>Effect of issuing construction certificate</w:t>
      </w:r>
      <w:r>
        <w:rPr>
          <w:rFonts w:ascii="Arial"/>
          <w:color w:val="000000"/>
          <w:sz w:val="22"/>
        </w:rPr>
        <w:t xml:space="preserve"> If a consent authority or a registered certifier issues a construction certificate, the construction certificate and any approved plans and specifications issued with respect to that construction certificate, together with any variations to the construction certificate or plans and specifications that are effected in accordance with this Act or the regulations, are taken to form part of the relevant development consent (other than for the purposes of section 4.55). </w:t>
      </w:r>
    </w:p>
    <w:p>
      <w:pPr>
        <w:pStyle w:val="CaselawNumbered10"/>
        <w:numPr>
          <w:ilvl w:val="0"/>
          <w:numId w:val="58"/>
        </w:numPr>
        <w:spacing w:before="150" w:after="0"/>
        <w:ind w:left="600" w:hanging="600"/>
      </w:pPr>
      <w:r>
        <w:rPr>
          <w:rFonts w:ascii="Arial"/>
          <w:color w:val="000000"/>
          <w:sz w:val="24"/>
        </w:rPr>
        <w:t xml:space="preserve">Section 6.1 </w:t>
      </w:r>
      <w:r>
        <w:rPr>
          <w:rFonts w:ascii="Arial"/>
          <w:color w:val="000000"/>
          <w:sz w:val="24"/>
        </w:rPr>
        <w:t xml:space="preserve">of the EPA Act </w:t>
      </w:r>
      <w:r>
        <w:rPr>
          <w:rFonts w:ascii="Arial"/>
          <w:color w:val="000000"/>
          <w:sz w:val="24"/>
        </w:rPr>
        <w:t>contains definitions, relevantly</w:t>
      </w:r>
    </w:p>
    <w:p>
      <w:pPr>
        <w:pStyle w:val="CaselawQuote"/>
        <w:spacing w:before="150" w:after="150"/>
        <w:ind w:left="1350"/>
        <w:jc w:val="left"/>
      </w:pPr>
      <w:r>
        <w:rPr>
          <w:rFonts w:ascii="Arial"/>
          <w:b/>
          <w:i/>
          <w:color w:val="000000"/>
          <w:sz w:val="22"/>
        </w:rPr>
        <w:t>building work</w:t>
      </w:r>
      <w:r>
        <w:rPr>
          <w:rFonts w:ascii="Arial"/>
          <w:color w:val="000000"/>
          <w:sz w:val="22"/>
        </w:rPr>
        <w:t xml:space="preserve"> </w:t>
      </w:r>
      <w:r>
        <w:rPr>
          <w:rFonts w:ascii="Arial"/>
          <w:color w:val="000000"/>
          <w:sz w:val="22"/>
        </w:rPr>
        <w:t>means any physical activity involved in the erection of a building.</w:t>
      </w:r>
    </w:p>
    <w:p>
      <w:pPr>
        <w:pStyle w:val="CaselawQuote"/>
        <w:spacing w:before="150" w:after="150"/>
        <w:ind w:left="1350"/>
        <w:jc w:val="left"/>
      </w:pPr>
      <w:r>
        <w:rPr>
          <w:rFonts w:ascii="Arial"/>
          <w:b/>
          <w:i/>
          <w:color w:val="000000"/>
          <w:sz w:val="22"/>
        </w:rPr>
        <w:t>Certifier</w:t>
      </w:r>
      <w:r>
        <w:rPr>
          <w:rFonts w:ascii="Arial"/>
          <w:color w:val="000000"/>
          <w:sz w:val="22"/>
        </w:rPr>
        <w:t xml:space="preserve"> </w:t>
      </w:r>
      <w:r>
        <w:rPr>
          <w:rFonts w:ascii="Arial"/>
          <w:color w:val="000000"/>
          <w:sz w:val="22"/>
        </w:rPr>
        <w:t>means a council or a registered certifier.</w:t>
      </w:r>
    </w:p>
    <w:p>
      <w:pPr>
        <w:pStyle w:val="CaselawQuote"/>
        <w:spacing w:before="150" w:after="150"/>
        <w:ind w:left="1350"/>
        <w:jc w:val="left"/>
      </w:pPr>
      <w:r>
        <w:rPr>
          <w:rFonts w:ascii="Arial"/>
          <w:color w:val="000000"/>
          <w:sz w:val="22"/>
        </w:rPr>
        <w:t>…</w:t>
      </w:r>
    </w:p>
    <w:p>
      <w:pPr>
        <w:pStyle w:val="CaselawQuote"/>
        <w:spacing w:before="150" w:after="150"/>
        <w:ind w:left="1350"/>
        <w:jc w:val="left"/>
      </w:pPr>
      <w:r>
        <w:rPr>
          <w:rFonts w:ascii="Arial"/>
          <w:b/>
          <w:color w:val="000000"/>
          <w:sz w:val="22"/>
        </w:rPr>
        <w:t>Note—</w:t>
      </w:r>
    </w:p>
    <w:p>
      <w:pPr>
        <w:pStyle w:val="CaselawQuote"/>
        <w:spacing w:before="150" w:after="150"/>
        <w:ind w:left="1350"/>
        <w:jc w:val="left"/>
      </w:pPr>
      <w:r>
        <w:rPr>
          <w:rFonts w:ascii="Arial"/>
          <w:color w:val="000000"/>
          <w:sz w:val="22"/>
        </w:rPr>
        <w:t>Section 1.4 (Definitions) includes a complying development certificate in the definition of</w:t>
      </w:r>
      <w:r>
        <w:rPr>
          <w:rFonts w:ascii="Arial"/>
          <w:color w:val="000000"/>
          <w:sz w:val="22"/>
        </w:rPr>
        <w:t xml:space="preserve"> </w:t>
      </w:r>
      <w:r>
        <w:rPr>
          <w:rFonts w:ascii="Arial"/>
          <w:b/>
          <w:i/>
          <w:color w:val="000000"/>
          <w:sz w:val="22"/>
        </w:rPr>
        <w:t>development consent</w:t>
      </w:r>
      <w:r>
        <w:rPr>
          <w:rFonts w:ascii="Arial"/>
          <w:color w:val="000000"/>
          <w:sz w:val="22"/>
        </w:rPr>
        <w:t xml:space="preserve"> </w:t>
      </w:r>
      <w:r>
        <w:rPr>
          <w:rFonts w:ascii="Arial"/>
          <w:color w:val="000000"/>
          <w:sz w:val="22"/>
        </w:rPr>
        <w:t>for the purposes of this Act.</w:t>
      </w:r>
    </w:p>
    <w:p>
      <w:pPr>
        <w:pStyle w:val="CaselawNumbered10"/>
        <w:numPr>
          <w:ilvl w:val="0"/>
          <w:numId w:val="59"/>
        </w:numPr>
        <w:spacing w:before="150" w:after="0"/>
        <w:ind w:left="600" w:hanging="600"/>
      </w:pPr>
      <w:r>
        <w:rPr>
          <w:rFonts w:ascii="Arial"/>
          <w:color w:val="000000"/>
          <w:sz w:val="24"/>
        </w:rPr>
        <w:t>Division</w:t>
      </w:r>
      <w:r>
        <w:rPr>
          <w:rFonts w:ascii="Arial"/>
          <w:color w:val="000000"/>
          <w:sz w:val="24"/>
        </w:rPr>
        <w:t xml:space="preserve"> </w:t>
      </w:r>
      <w:r>
        <w:rPr>
          <w:rFonts w:ascii="Arial"/>
          <w:color w:val="000000"/>
          <w:sz w:val="24"/>
        </w:rPr>
        <w:t xml:space="preserve">6.2 </w:t>
      </w:r>
      <w:r>
        <w:rPr>
          <w:rFonts w:ascii="Arial"/>
          <w:color w:val="000000"/>
          <w:sz w:val="24"/>
        </w:rPr>
        <w:t xml:space="preserve">of the EPA Act </w:t>
      </w:r>
      <w:r>
        <w:rPr>
          <w:rFonts w:ascii="Arial"/>
          <w:color w:val="000000"/>
          <w:sz w:val="24"/>
        </w:rPr>
        <w:t>deals with certificates required under the certification part of the Act, and s 6.3 provides</w:t>
      </w:r>
      <w:r>
        <w:rPr>
          <w:rFonts w:ascii="Arial"/>
          <w:color w:val="000000"/>
          <w:sz w:val="24"/>
        </w:rPr>
        <w:t>, relevantly</w:t>
      </w:r>
      <w:r>
        <w:rPr>
          <w:rFonts w:ascii="Arial"/>
          <w:color w:val="000000"/>
          <w:sz w:val="24"/>
        </w:rPr>
        <w:t>:</w:t>
      </w:r>
    </w:p>
    <w:p>
      <w:pPr>
        <w:pStyle w:val="CaselawQuote"/>
        <w:spacing w:before="150" w:after="150"/>
        <w:ind w:left="1350"/>
        <w:jc w:val="left"/>
      </w:pPr>
      <w:r>
        <w:rPr>
          <w:rFonts w:ascii="Arial"/>
          <w:b/>
          <w:color w:val="000000"/>
          <w:sz w:val="22"/>
        </w:rPr>
        <w:t>6.3</w:t>
      </w:r>
      <w:r>
        <w:rPr>
          <w:rFonts w:ascii="Arial"/>
          <w:color w:val="000000"/>
          <w:sz w:val="22"/>
        </w:rPr>
        <w:t xml:space="preserve"> </w:t>
      </w:r>
      <w:r>
        <w:rPr>
          <w:rFonts w:ascii="Arial"/>
          <w:b/>
          <w:color w:val="000000"/>
          <w:sz w:val="22"/>
        </w:rPr>
        <w:t>Work or activity that requires certificate under this Part</w:t>
      </w:r>
      <w:r>
        <w:rPr>
          <w:rFonts w:ascii="Arial"/>
          <w:color w:val="000000"/>
          <w:sz w:val="22"/>
        </w:rPr>
        <w:t xml:space="preserve"> (</w:t>
      </w:r>
      <w:r>
        <w:rPr>
          <w:rFonts w:ascii="Arial"/>
          <w:color w:val="000000"/>
          <w:sz w:val="22"/>
        </w:rPr>
        <w:t>cf</w:t>
      </w:r>
      <w:r>
        <w:rPr>
          <w:rFonts w:ascii="Arial"/>
          <w:color w:val="000000"/>
          <w:sz w:val="22"/>
        </w:rPr>
        <w:t xml:space="preserve"> previous s 109C)</w:t>
      </w:r>
    </w:p>
    <w:p>
      <w:pPr>
        <w:pStyle w:val="CaselawQuote"/>
        <w:spacing w:before="150" w:after="150"/>
        <w:ind w:left="1350"/>
        <w:jc w:val="left"/>
      </w:pPr>
      <w:r>
        <w:rPr>
          <w:rFonts w:ascii="Arial"/>
          <w:color w:val="000000"/>
          <w:sz w:val="22"/>
        </w:rPr>
        <w:t>(1)</w:t>
      </w:r>
      <w:r>
        <w:rPr>
          <w:rFonts w:ascii="Arial"/>
          <w:color w:val="000000"/>
          <w:sz w:val="22"/>
        </w:rPr>
        <w:t>   </w:t>
      </w:r>
      <w:r>
        <w:rPr>
          <w:rFonts w:ascii="Arial"/>
          <w:color w:val="000000"/>
          <w:sz w:val="22"/>
        </w:rPr>
        <w:t>A person must not carry out any of the following work or activity without a certificate under this Part that is required by this Part for that work or activity—</w:t>
      </w:r>
    </w:p>
    <w:p>
      <w:pPr>
        <w:pStyle w:val="CaselawQuote0"/>
        <w:spacing w:before="150" w:after="150"/>
        <w:ind w:left="2100"/>
        <w:jc w:val="left"/>
      </w:pPr>
      <w:r>
        <w:rPr>
          <w:rFonts w:ascii="Arial"/>
          <w:color w:val="000000"/>
          <w:sz w:val="22"/>
        </w:rPr>
        <w:t>(a)</w:t>
      </w:r>
      <w:r>
        <w:rPr>
          <w:rFonts w:ascii="Arial"/>
          <w:color w:val="000000"/>
          <w:sz w:val="22"/>
        </w:rPr>
        <w:t>   </w:t>
      </w:r>
      <w:r>
        <w:rPr>
          <w:rFonts w:ascii="Arial"/>
          <w:color w:val="000000"/>
          <w:sz w:val="22"/>
        </w:rPr>
        <w:t>building work,</w:t>
      </w:r>
    </w:p>
    <w:p>
      <w:pPr>
        <w:pStyle w:val="CaselawQuote0"/>
        <w:spacing w:before="150" w:after="150"/>
        <w:ind w:left="2100"/>
        <w:jc w:val="left"/>
      </w:pPr>
      <w:r>
        <w:rPr>
          <w:rFonts w:ascii="Arial"/>
          <w:color w:val="000000"/>
          <w:sz w:val="22"/>
        </w:rPr>
        <w:t>…</w:t>
      </w:r>
    </w:p>
    <w:p>
      <w:pPr>
        <w:pStyle w:val="CaselawQuote"/>
        <w:spacing w:before="150" w:after="150"/>
        <w:ind w:left="1350"/>
        <w:jc w:val="left"/>
      </w:pPr>
      <w:r>
        <w:rPr>
          <w:rFonts w:ascii="Arial"/>
          <w:color w:val="000000"/>
          <w:sz w:val="22"/>
        </w:rPr>
        <w:t>(2)</w:t>
      </w:r>
      <w:r>
        <w:rPr>
          <w:rFonts w:ascii="Arial"/>
          <w:color w:val="000000"/>
          <w:sz w:val="22"/>
        </w:rPr>
        <w:t>   </w:t>
      </w:r>
      <w:r>
        <w:rPr>
          <w:rFonts w:ascii="Arial"/>
          <w:color w:val="000000"/>
          <w:sz w:val="22"/>
        </w:rPr>
        <w:t>A person must not, in carrying out any such work or activity, contravene a certificate under this Part that applies to the carrying out of the work or activity.</w:t>
      </w:r>
    </w:p>
    <w:p>
      <w:pPr>
        <w:pStyle w:val="CaselawQuote"/>
        <w:spacing w:before="150" w:after="150"/>
        <w:ind w:left="1350"/>
        <w:jc w:val="left"/>
      </w:pPr>
      <w:r>
        <w:rPr>
          <w:rFonts w:ascii="Arial"/>
          <w:color w:val="000000"/>
          <w:sz w:val="22"/>
        </w:rPr>
        <w:t>…</w:t>
      </w:r>
    </w:p>
    <w:p>
      <w:pPr>
        <w:pStyle w:val="CaselawQuote"/>
        <w:spacing w:before="150" w:after="150"/>
        <w:ind w:left="1350"/>
        <w:jc w:val="left"/>
      </w:pPr>
      <w:r>
        <w:rPr>
          <w:rFonts w:ascii="Arial"/>
          <w:color w:val="000000"/>
          <w:sz w:val="22"/>
        </w:rPr>
        <w:t>Maximum penalty—Tier 1 monetary penalty.</w:t>
      </w:r>
    </w:p>
    <w:p>
      <w:pPr>
        <w:pStyle w:val="CaselawQuote"/>
        <w:spacing w:before="150" w:after="150"/>
        <w:ind w:left="1350"/>
        <w:jc w:val="left"/>
      </w:pPr>
      <w:r>
        <w:rPr>
          <w:rFonts w:ascii="Arial"/>
          <w:b/>
          <w:color w:val="000000"/>
          <w:sz w:val="22"/>
        </w:rPr>
        <w:t>…</w:t>
      </w:r>
    </w:p>
    <w:p>
      <w:pPr>
        <w:pStyle w:val="CaselawNumbered10"/>
        <w:numPr>
          <w:ilvl w:val="0"/>
          <w:numId w:val="60"/>
        </w:numPr>
        <w:spacing w:before="150" w:after="0"/>
        <w:ind w:left="600" w:hanging="600"/>
      </w:pPr>
      <w:r>
        <w:rPr>
          <w:rFonts w:ascii="Arial"/>
          <w:color w:val="000000"/>
          <w:sz w:val="24"/>
        </w:rPr>
        <w:t>Section</w:t>
      </w:r>
      <w:r>
        <w:rPr>
          <w:rFonts w:ascii="Arial"/>
          <w:color w:val="000000"/>
          <w:sz w:val="24"/>
        </w:rPr>
        <w:t xml:space="preserve"> </w:t>
      </w:r>
      <w:r>
        <w:rPr>
          <w:rFonts w:ascii="Arial"/>
          <w:color w:val="000000"/>
          <w:sz w:val="24"/>
        </w:rPr>
        <w:t xml:space="preserve">6.4 </w:t>
      </w:r>
      <w:r>
        <w:rPr>
          <w:rFonts w:ascii="Arial"/>
          <w:color w:val="000000"/>
          <w:sz w:val="24"/>
        </w:rPr>
        <w:t xml:space="preserve">identifies the kinds of certificates to which </w:t>
      </w:r>
      <w:r>
        <w:rPr>
          <w:rFonts w:ascii="Arial"/>
          <w:color w:val="000000"/>
          <w:sz w:val="24"/>
        </w:rPr>
        <w:t xml:space="preserve">the Part applies, being </w:t>
      </w:r>
      <w:r>
        <w:rPr>
          <w:rFonts w:ascii="Arial"/>
          <w:color w:val="000000"/>
          <w:sz w:val="24"/>
        </w:rPr>
        <w:t xml:space="preserve">relevantly: </w:t>
      </w:r>
    </w:p>
    <w:p>
      <w:pPr>
        <w:pStyle w:val="CaselawQuote"/>
        <w:spacing w:before="150" w:after="150"/>
        <w:ind w:left="1350"/>
        <w:jc w:val="left"/>
      </w:pPr>
      <w:r>
        <w:rPr>
          <w:rFonts w:ascii="Arial"/>
          <w:b/>
          <w:color w:val="000000"/>
          <w:sz w:val="22"/>
        </w:rPr>
        <w:t>6.4</w:t>
      </w:r>
      <w:r>
        <w:rPr>
          <w:rFonts w:ascii="Arial"/>
          <w:color w:val="000000"/>
          <w:sz w:val="22"/>
        </w:rPr>
        <w:t xml:space="preserve"> </w:t>
      </w:r>
      <w:r>
        <w:rPr>
          <w:rFonts w:ascii="Arial"/>
          <w:b/>
          <w:color w:val="000000"/>
          <w:sz w:val="22"/>
        </w:rPr>
        <w:t>Kinds of certificates under this Part</w:t>
      </w:r>
      <w:r>
        <w:rPr>
          <w:rFonts w:ascii="Arial"/>
          <w:color w:val="000000"/>
          <w:sz w:val="22"/>
        </w:rPr>
        <w:t xml:space="preserve"> (</w:t>
      </w:r>
      <w:r>
        <w:rPr>
          <w:rFonts w:ascii="Arial"/>
          <w:color w:val="000000"/>
          <w:sz w:val="22"/>
        </w:rPr>
        <w:t>cf</w:t>
      </w:r>
      <w:r>
        <w:rPr>
          <w:rFonts w:ascii="Arial"/>
          <w:color w:val="000000"/>
          <w:sz w:val="22"/>
        </w:rPr>
        <w:t xml:space="preserve"> previous s 109C)</w:t>
      </w:r>
    </w:p>
    <w:p>
      <w:pPr>
        <w:pStyle w:val="CaselawQuote"/>
        <w:spacing w:before="150" w:after="150"/>
        <w:ind w:left="1350"/>
        <w:jc w:val="left"/>
      </w:pPr>
      <w:r>
        <w:rPr>
          <w:rFonts w:ascii="Arial"/>
          <w:color w:val="000000"/>
          <w:sz w:val="22"/>
        </w:rPr>
        <w:t>There are the following kinds of certificates under this Part—</w:t>
      </w:r>
    </w:p>
    <w:p>
      <w:pPr>
        <w:pStyle w:val="CaselawQuote"/>
        <w:spacing w:before="150" w:after="150"/>
        <w:ind w:left="1350"/>
        <w:jc w:val="left"/>
      </w:pPr>
      <w:r>
        <w:rPr>
          <w:rFonts w:ascii="Arial"/>
          <w:color w:val="000000"/>
          <w:sz w:val="22"/>
        </w:rPr>
        <w:t>(a)</w:t>
      </w:r>
      <w:r>
        <w:rPr>
          <w:rFonts w:ascii="Arial"/>
          <w:color w:val="000000"/>
          <w:sz w:val="22"/>
        </w:rPr>
        <w:t>   </w:t>
      </w:r>
      <w:r>
        <w:rPr>
          <w:rFonts w:ascii="Arial"/>
          <w:b/>
          <w:i/>
          <w:color w:val="000000"/>
          <w:sz w:val="22"/>
        </w:rPr>
        <w:t>construction certificate</w:t>
      </w:r>
      <w:r>
        <w:rPr>
          <w:rFonts w:ascii="Arial"/>
          <w:color w:val="000000"/>
          <w:sz w:val="22"/>
        </w:rPr>
        <w:t>—a certificate to the effect that building work completed in accordance with specified plans and specifications or standards will comply with the requirements of the regulations.</w:t>
      </w:r>
    </w:p>
    <w:p>
      <w:pPr>
        <w:pStyle w:val="CaselawQuote"/>
        <w:spacing w:before="150" w:after="150"/>
        <w:ind w:left="1350"/>
        <w:jc w:val="left"/>
      </w:pPr>
      <w:r>
        <w:rPr>
          <w:rFonts w:ascii="Arial"/>
          <w:color w:val="000000"/>
          <w:sz w:val="22"/>
        </w:rPr>
        <w:t>…</w:t>
      </w:r>
    </w:p>
    <w:p>
      <w:pPr>
        <w:pStyle w:val="CaselawNumbered10"/>
        <w:numPr>
          <w:ilvl w:val="0"/>
          <w:numId w:val="61"/>
        </w:numPr>
        <w:spacing w:before="150" w:after="0"/>
        <w:ind w:left="600" w:hanging="600"/>
      </w:pPr>
      <w:r>
        <w:rPr>
          <w:rFonts w:ascii="Arial"/>
          <w:color w:val="000000"/>
          <w:sz w:val="24"/>
        </w:rPr>
        <w:t xml:space="preserve">Section 6.5 </w:t>
      </w:r>
      <w:r>
        <w:rPr>
          <w:rFonts w:ascii="Arial"/>
          <w:color w:val="000000"/>
          <w:sz w:val="24"/>
        </w:rPr>
        <w:t xml:space="preserve">of the EPA Act </w:t>
      </w:r>
      <w:r>
        <w:rPr>
          <w:rFonts w:ascii="Arial"/>
          <w:color w:val="000000"/>
          <w:sz w:val="24"/>
        </w:rPr>
        <w:t>sets out the functions of certifiers</w:t>
      </w:r>
      <w:r>
        <w:rPr>
          <w:rFonts w:ascii="Arial"/>
          <w:color w:val="000000"/>
          <w:sz w:val="24"/>
        </w:rPr>
        <w:t xml:space="preserve"> </w:t>
      </w:r>
      <w:r>
        <w:rPr>
          <w:rFonts w:ascii="Arial"/>
          <w:color w:val="000000"/>
          <w:sz w:val="24"/>
        </w:rPr>
        <w:t>and provides, relevantly</w:t>
      </w:r>
      <w:r>
        <w:rPr>
          <w:rFonts w:ascii="Arial"/>
          <w:color w:val="000000"/>
          <w:sz w:val="24"/>
        </w:rPr>
        <w:t xml:space="preserve">: </w:t>
      </w:r>
    </w:p>
    <w:p>
      <w:pPr>
        <w:pStyle w:val="CaselawQuote"/>
        <w:spacing w:before="150" w:after="150"/>
        <w:ind w:left="1350"/>
        <w:jc w:val="left"/>
      </w:pPr>
      <w:r>
        <w:rPr>
          <w:rFonts w:ascii="Arial"/>
          <w:b/>
          <w:color w:val="000000"/>
          <w:sz w:val="22"/>
        </w:rPr>
        <w:t>6.5</w:t>
      </w:r>
      <w:r>
        <w:rPr>
          <w:rFonts w:ascii="Arial"/>
          <w:color w:val="000000"/>
          <w:sz w:val="22"/>
        </w:rPr>
        <w:t xml:space="preserve"> </w:t>
      </w:r>
      <w:r>
        <w:rPr>
          <w:rFonts w:ascii="Arial"/>
          <w:b/>
          <w:color w:val="000000"/>
          <w:sz w:val="22"/>
        </w:rPr>
        <w:t>Functions of certifiers (including principal certifiers)</w:t>
      </w:r>
      <w:r>
        <w:rPr>
          <w:rFonts w:ascii="Arial"/>
          <w:color w:val="000000"/>
          <w:sz w:val="22"/>
        </w:rPr>
        <w:t xml:space="preserve"> (</w:t>
      </w:r>
      <w:r>
        <w:rPr>
          <w:rFonts w:ascii="Arial"/>
          <w:color w:val="000000"/>
          <w:sz w:val="22"/>
        </w:rPr>
        <w:t>cf</w:t>
      </w:r>
      <w:r>
        <w:rPr>
          <w:rFonts w:ascii="Arial"/>
          <w:color w:val="000000"/>
          <w:sz w:val="22"/>
        </w:rPr>
        <w:t xml:space="preserve"> previous s 109E)</w:t>
      </w:r>
    </w:p>
    <w:p>
      <w:pPr>
        <w:pStyle w:val="CaselawQuote"/>
        <w:spacing w:before="150" w:after="150"/>
        <w:ind w:left="1350"/>
        <w:jc w:val="left"/>
      </w:pPr>
      <w:r>
        <w:rPr>
          <w:rFonts w:ascii="Arial"/>
          <w:color w:val="000000"/>
          <w:sz w:val="22"/>
        </w:rPr>
        <w:t>(1)</w:t>
      </w:r>
      <w:r>
        <w:rPr>
          <w:rFonts w:ascii="Arial"/>
          <w:color w:val="000000"/>
          <w:sz w:val="22"/>
        </w:rPr>
        <w:t>   </w:t>
      </w:r>
      <w:r>
        <w:rPr>
          <w:rFonts w:ascii="Arial"/>
          <w:color w:val="000000"/>
          <w:sz w:val="22"/>
        </w:rPr>
        <w:t>A certifier has the following functions in relation to building work—</w:t>
      </w:r>
    </w:p>
    <w:p>
      <w:pPr>
        <w:pStyle w:val="CaselawQuote0"/>
        <w:spacing w:before="150" w:after="150"/>
        <w:ind w:left="2100"/>
        <w:jc w:val="left"/>
      </w:pPr>
      <w:r>
        <w:rPr>
          <w:rFonts w:ascii="Arial"/>
          <w:color w:val="000000"/>
          <w:sz w:val="22"/>
        </w:rPr>
        <w:t>(a)</w:t>
      </w:r>
      <w:r>
        <w:rPr>
          <w:rFonts w:ascii="Arial"/>
          <w:color w:val="000000"/>
          <w:sz w:val="22"/>
        </w:rPr>
        <w:t>   </w:t>
      </w:r>
      <w:r>
        <w:rPr>
          <w:rFonts w:ascii="Arial"/>
          <w:color w:val="000000"/>
          <w:sz w:val="22"/>
        </w:rPr>
        <w:t>issuing construction certificates for building work,</w:t>
      </w:r>
    </w:p>
    <w:p>
      <w:pPr>
        <w:pStyle w:val="CaselawQuote0"/>
        <w:spacing w:before="150" w:after="150"/>
        <w:ind w:left="2100"/>
        <w:jc w:val="left"/>
      </w:pPr>
      <w:r>
        <w:rPr>
          <w:rFonts w:ascii="Arial"/>
          <w:color w:val="000000"/>
          <w:sz w:val="22"/>
        </w:rPr>
        <w:t>….</w:t>
      </w:r>
    </w:p>
    <w:p>
      <w:pPr>
        <w:pStyle w:val="CaselawQuote"/>
        <w:spacing w:before="150" w:after="150"/>
        <w:ind w:left="1350"/>
        <w:jc w:val="left"/>
      </w:pPr>
      <w:r>
        <w:rPr>
          <w:rFonts w:ascii="Arial"/>
          <w:color w:val="000000"/>
          <w:sz w:val="22"/>
        </w:rPr>
        <w:t>(4)</w:t>
      </w:r>
      <w:r>
        <w:rPr>
          <w:rFonts w:ascii="Arial"/>
          <w:color w:val="000000"/>
          <w:sz w:val="22"/>
        </w:rPr>
        <w:t>   </w:t>
      </w:r>
      <w:r>
        <w:rPr>
          <w:rFonts w:ascii="Arial"/>
          <w:color w:val="000000"/>
          <w:sz w:val="22"/>
        </w:rPr>
        <w:t>A certifier also has any other functions conferred or imposed on the certifier under this or any other Act.</w:t>
      </w:r>
    </w:p>
    <w:p>
      <w:pPr>
        <w:pStyle w:val="CaselawQuote"/>
        <w:spacing w:before="150" w:after="150"/>
        <w:ind w:left="1350"/>
        <w:jc w:val="left"/>
      </w:pPr>
      <w:r>
        <w:rPr>
          <w:rFonts w:ascii="Arial"/>
          <w:b/>
          <w:color w:val="000000"/>
          <w:sz w:val="22"/>
        </w:rPr>
        <w:t>….</w:t>
      </w:r>
    </w:p>
    <w:p>
      <w:pPr>
        <w:pStyle w:val="CaselawQuote"/>
        <w:spacing w:before="150" w:after="150"/>
        <w:ind w:left="1350"/>
        <w:jc w:val="left"/>
      </w:pPr>
      <w:r>
        <w:rPr>
          <w:rFonts w:ascii="Arial"/>
          <w:color w:val="000000"/>
          <w:sz w:val="22"/>
        </w:rPr>
        <w:t>(5)</w:t>
      </w:r>
      <w:r>
        <w:rPr>
          <w:rFonts w:ascii="Arial"/>
          <w:color w:val="000000"/>
          <w:sz w:val="22"/>
        </w:rPr>
        <w:t>   </w:t>
      </w:r>
      <w:r>
        <w:rPr>
          <w:rFonts w:ascii="Arial"/>
          <w:color w:val="000000"/>
          <w:sz w:val="22"/>
        </w:rPr>
        <w:t>A certifier must not issue a certificate under this Part—</w:t>
      </w:r>
    </w:p>
    <w:p>
      <w:pPr>
        <w:pStyle w:val="CaselawQuote0"/>
        <w:spacing w:before="150" w:after="150"/>
        <w:ind w:left="2100"/>
        <w:jc w:val="left"/>
      </w:pPr>
      <w:r>
        <w:rPr>
          <w:rFonts w:ascii="Arial"/>
          <w:color w:val="000000"/>
          <w:sz w:val="22"/>
        </w:rPr>
        <w:t>(a)</w:t>
      </w:r>
      <w:r>
        <w:rPr>
          <w:rFonts w:ascii="Arial"/>
          <w:color w:val="000000"/>
          <w:sz w:val="22"/>
        </w:rPr>
        <w:t>   </w:t>
      </w:r>
      <w:r>
        <w:rPr>
          <w:rFonts w:ascii="Arial"/>
          <w:color w:val="000000"/>
          <w:sz w:val="22"/>
        </w:rPr>
        <w:t>in any case in which this part or Part 7 provides that the certificate is not to be issued, or</w:t>
      </w:r>
    </w:p>
    <w:p>
      <w:pPr>
        <w:pStyle w:val="CaselawQuote0"/>
        <w:spacing w:before="150" w:after="150"/>
        <w:ind w:left="2100"/>
        <w:jc w:val="left"/>
      </w:pPr>
      <w:r>
        <w:rPr>
          <w:rFonts w:ascii="Arial"/>
          <w:color w:val="000000"/>
          <w:sz w:val="22"/>
        </w:rPr>
        <w:t>(b)</w:t>
      </w:r>
      <w:r>
        <w:rPr>
          <w:rFonts w:ascii="Arial"/>
          <w:color w:val="000000"/>
          <w:sz w:val="22"/>
        </w:rPr>
        <w:t>   </w:t>
      </w:r>
      <w:r>
        <w:rPr>
          <w:rFonts w:ascii="Arial"/>
          <w:color w:val="000000"/>
          <w:sz w:val="22"/>
        </w:rPr>
        <w:t>in any case in which the function of issuing the certificate is not conferred on the certifier by this Part.</w:t>
      </w:r>
    </w:p>
    <w:p>
      <w:pPr>
        <w:pStyle w:val="CaselawQuote"/>
        <w:spacing w:before="150" w:after="150"/>
        <w:ind w:left="1350"/>
        <w:jc w:val="left"/>
      </w:pPr>
      <w:r>
        <w:rPr>
          <w:rFonts w:ascii="Arial"/>
          <w:color w:val="000000"/>
          <w:sz w:val="22"/>
        </w:rPr>
        <w:t>Maximum penalty—Tier 3 monetary penalty.</w:t>
      </w:r>
    </w:p>
    <w:p>
      <w:pPr>
        <w:pStyle w:val="CaselawQuote"/>
        <w:spacing w:before="150" w:after="150"/>
        <w:ind w:left="1350"/>
        <w:jc w:val="left"/>
      </w:pPr>
      <w:r>
        <w:rPr>
          <w:rFonts w:ascii="Arial"/>
          <w:color w:val="000000"/>
          <w:sz w:val="22"/>
        </w:rPr>
        <w:t>…</w:t>
      </w:r>
    </w:p>
    <w:p>
      <w:pPr>
        <w:pStyle w:val="CaselawNumbered10"/>
        <w:numPr>
          <w:ilvl w:val="0"/>
          <w:numId w:val="62"/>
        </w:numPr>
        <w:spacing w:before="150" w:after="0"/>
        <w:ind w:left="600" w:hanging="600"/>
      </w:pPr>
      <w:r>
        <w:rPr>
          <w:rFonts w:ascii="Arial"/>
          <w:color w:val="000000"/>
          <w:sz w:val="24"/>
        </w:rPr>
        <w:t xml:space="preserve">Section 6.7 </w:t>
      </w:r>
      <w:r>
        <w:rPr>
          <w:rFonts w:ascii="Arial"/>
          <w:color w:val="000000"/>
          <w:sz w:val="24"/>
        </w:rPr>
        <w:t>of the EPA Act</w:t>
      </w:r>
      <w:r>
        <w:rPr>
          <w:rFonts w:ascii="Arial"/>
          <w:color w:val="000000"/>
          <w:sz w:val="24"/>
        </w:rPr>
        <w:t xml:space="preserve"> </w:t>
      </w:r>
      <w:r>
        <w:rPr>
          <w:rFonts w:ascii="Arial"/>
          <w:color w:val="000000"/>
          <w:sz w:val="24"/>
        </w:rPr>
        <w:t xml:space="preserve">requires the </w:t>
      </w:r>
      <w:r>
        <w:rPr>
          <w:rFonts w:ascii="Arial"/>
          <w:color w:val="000000"/>
          <w:sz w:val="24"/>
        </w:rPr>
        <w:t xml:space="preserve">issue of a </w:t>
      </w:r>
      <w:r>
        <w:rPr>
          <w:rFonts w:ascii="Arial"/>
          <w:color w:val="000000"/>
          <w:sz w:val="24"/>
        </w:rPr>
        <w:t>construction certificate</w:t>
      </w:r>
      <w:r>
        <w:rPr>
          <w:rFonts w:ascii="Arial"/>
          <w:color w:val="000000"/>
          <w:sz w:val="24"/>
        </w:rPr>
        <w:t xml:space="preserve"> </w:t>
      </w:r>
      <w:r>
        <w:rPr>
          <w:rFonts w:ascii="Arial"/>
          <w:color w:val="000000"/>
          <w:sz w:val="24"/>
        </w:rPr>
        <w:t>prior to the erection of a building in accordance with a development consent</w:t>
      </w:r>
      <w:r>
        <w:rPr>
          <w:rFonts w:ascii="Arial"/>
          <w:color w:val="000000"/>
          <w:sz w:val="24"/>
        </w:rPr>
        <w:t>:</w:t>
      </w:r>
    </w:p>
    <w:p>
      <w:pPr>
        <w:pStyle w:val="CaselawQuote"/>
        <w:spacing w:before="150" w:after="150"/>
        <w:ind w:left="1350"/>
        <w:jc w:val="left"/>
      </w:pPr>
      <w:r>
        <w:rPr>
          <w:rFonts w:ascii="Arial"/>
          <w:b/>
          <w:color w:val="000000"/>
          <w:sz w:val="22"/>
        </w:rPr>
        <w:t>6.7</w:t>
      </w:r>
      <w:r>
        <w:rPr>
          <w:rFonts w:ascii="Arial"/>
          <w:color w:val="000000"/>
          <w:sz w:val="22"/>
        </w:rPr>
        <w:t xml:space="preserve"> </w:t>
      </w:r>
      <w:r>
        <w:rPr>
          <w:rFonts w:ascii="Arial"/>
          <w:b/>
          <w:color w:val="000000"/>
          <w:sz w:val="22"/>
        </w:rPr>
        <w:t>Requirement for construction certificate</w:t>
      </w:r>
      <w:r>
        <w:rPr>
          <w:rFonts w:ascii="Arial"/>
          <w:color w:val="000000"/>
          <w:sz w:val="22"/>
        </w:rPr>
        <w:t xml:space="preserve"> (</w:t>
      </w:r>
      <w:r>
        <w:rPr>
          <w:rFonts w:ascii="Arial"/>
          <w:color w:val="000000"/>
          <w:sz w:val="22"/>
        </w:rPr>
        <w:t>cf</w:t>
      </w:r>
      <w:r>
        <w:rPr>
          <w:rFonts w:ascii="Arial"/>
          <w:color w:val="000000"/>
          <w:sz w:val="22"/>
        </w:rPr>
        <w:t xml:space="preserve"> previous s 81A)</w:t>
      </w:r>
    </w:p>
    <w:p>
      <w:pPr>
        <w:pStyle w:val="CaselawQuote"/>
        <w:spacing w:before="150" w:after="150"/>
        <w:ind w:left="1350"/>
        <w:jc w:val="left"/>
      </w:pPr>
      <w:r>
        <w:rPr>
          <w:rFonts w:ascii="Arial"/>
          <w:color w:val="000000"/>
          <w:sz w:val="22"/>
        </w:rPr>
        <w:t>(1)</w:t>
      </w:r>
      <w:r>
        <w:rPr>
          <w:rFonts w:ascii="Arial"/>
          <w:color w:val="000000"/>
          <w:sz w:val="22"/>
        </w:rPr>
        <w:t>   </w:t>
      </w:r>
      <w:r>
        <w:rPr>
          <w:rFonts w:ascii="Arial"/>
          <w:color w:val="000000"/>
          <w:sz w:val="22"/>
        </w:rPr>
        <w:t>A construction certificate is required for the erection of a building in accordance with a development consent.</w:t>
      </w:r>
    </w:p>
    <w:p>
      <w:pPr>
        <w:pStyle w:val="CaselawQuote"/>
        <w:spacing w:before="150" w:after="150"/>
        <w:ind w:left="1350"/>
        <w:jc w:val="left"/>
      </w:pPr>
      <w:r>
        <w:rPr>
          <w:rFonts w:ascii="Arial"/>
          <w:color w:val="000000"/>
          <w:sz w:val="22"/>
        </w:rPr>
        <w:t>…</w:t>
      </w:r>
    </w:p>
    <w:p>
      <w:pPr>
        <w:pStyle w:val="CaselawNumbered10"/>
        <w:numPr>
          <w:ilvl w:val="0"/>
          <w:numId w:val="63"/>
        </w:numPr>
        <w:spacing w:before="150" w:after="0"/>
        <w:ind w:left="600" w:hanging="600"/>
      </w:pPr>
      <w:r>
        <w:rPr>
          <w:rFonts w:ascii="Arial"/>
          <w:color w:val="000000"/>
          <w:sz w:val="24"/>
        </w:rPr>
        <w:t>Section</w:t>
      </w:r>
      <w:r>
        <w:rPr>
          <w:rFonts w:ascii="Arial"/>
          <w:color w:val="000000"/>
          <w:sz w:val="24"/>
        </w:rPr>
        <w:t xml:space="preserve"> </w:t>
      </w:r>
      <w:r>
        <w:rPr>
          <w:rFonts w:ascii="Arial"/>
          <w:color w:val="000000"/>
          <w:sz w:val="24"/>
        </w:rPr>
        <w:t>6.8(1) of the EPA Act</w:t>
      </w:r>
      <w:r>
        <w:rPr>
          <w:rFonts w:ascii="Arial"/>
          <w:color w:val="000000"/>
          <w:sz w:val="24"/>
        </w:rPr>
        <w:t xml:space="preserve"> </w:t>
      </w:r>
      <w:r>
        <w:rPr>
          <w:rFonts w:ascii="Arial"/>
          <w:color w:val="000000"/>
          <w:sz w:val="24"/>
        </w:rPr>
        <w:t>contains preconditions to the issue of a construction certificate.</w:t>
      </w:r>
      <w:r>
        <w:rPr>
          <w:rFonts w:ascii="Arial"/>
          <w:color w:val="000000"/>
          <w:sz w:val="24"/>
        </w:rPr>
        <w:t xml:space="preserve"> </w:t>
      </w:r>
      <w:r>
        <w:rPr>
          <w:rFonts w:ascii="Arial"/>
          <w:color w:val="000000"/>
          <w:sz w:val="24"/>
        </w:rPr>
        <w:t>That section provides, relevantly:</w:t>
      </w:r>
    </w:p>
    <w:p>
      <w:pPr>
        <w:pStyle w:val="CaselawQuote"/>
        <w:spacing w:before="150" w:after="150"/>
        <w:ind w:left="1350"/>
        <w:jc w:val="left"/>
      </w:pPr>
      <w:r>
        <w:rPr>
          <w:rFonts w:ascii="Arial"/>
          <w:b/>
          <w:color w:val="000000"/>
          <w:sz w:val="22"/>
        </w:rPr>
        <w:t>6.8</w:t>
      </w:r>
      <w:r>
        <w:rPr>
          <w:rFonts w:ascii="Arial"/>
          <w:color w:val="000000"/>
          <w:sz w:val="22"/>
        </w:rPr>
        <w:t xml:space="preserve"> </w:t>
      </w:r>
      <w:r>
        <w:rPr>
          <w:rFonts w:ascii="Arial"/>
          <w:b/>
          <w:color w:val="000000"/>
          <w:sz w:val="22"/>
        </w:rPr>
        <w:t>Restriction on issue of construction certificate</w:t>
      </w:r>
      <w:r>
        <w:rPr>
          <w:rFonts w:ascii="Arial"/>
          <w:color w:val="000000"/>
          <w:sz w:val="22"/>
        </w:rPr>
        <w:t xml:space="preserve"> (</w:t>
      </w:r>
      <w:r>
        <w:rPr>
          <w:rFonts w:ascii="Arial"/>
          <w:color w:val="000000"/>
          <w:sz w:val="22"/>
        </w:rPr>
        <w:t>cf</w:t>
      </w:r>
      <w:r>
        <w:rPr>
          <w:rFonts w:ascii="Arial"/>
          <w:color w:val="000000"/>
          <w:sz w:val="22"/>
        </w:rPr>
        <w:t xml:space="preserve"> previous s 109F)</w:t>
      </w:r>
    </w:p>
    <w:p>
      <w:pPr>
        <w:pStyle w:val="CaselawQuote"/>
        <w:spacing w:before="150" w:after="150"/>
        <w:ind w:left="1350"/>
        <w:jc w:val="left"/>
      </w:pPr>
      <w:r>
        <w:rPr>
          <w:rFonts w:ascii="Arial"/>
          <w:color w:val="000000"/>
          <w:sz w:val="22"/>
        </w:rPr>
        <w:t>(1)</w:t>
      </w:r>
      <w:r>
        <w:rPr>
          <w:rFonts w:ascii="Arial"/>
          <w:color w:val="000000"/>
          <w:sz w:val="22"/>
        </w:rPr>
        <w:t>   </w:t>
      </w:r>
      <w:r>
        <w:rPr>
          <w:rFonts w:ascii="Arial"/>
          <w:color w:val="000000"/>
          <w:sz w:val="22"/>
        </w:rPr>
        <w:t>A construction certificate must not be issued with respect to the plans and specifications for any building work unless—</w:t>
      </w:r>
    </w:p>
    <w:p>
      <w:pPr>
        <w:pStyle w:val="CaselawQuote0"/>
        <w:spacing w:before="150" w:after="150"/>
        <w:ind w:left="2100"/>
        <w:jc w:val="left"/>
      </w:pPr>
      <w:r>
        <w:rPr>
          <w:rFonts w:ascii="Arial"/>
          <w:color w:val="000000"/>
          <w:sz w:val="22"/>
        </w:rPr>
        <w:t>(a)</w:t>
      </w:r>
      <w:r>
        <w:rPr>
          <w:rFonts w:ascii="Arial"/>
          <w:color w:val="000000"/>
          <w:sz w:val="22"/>
        </w:rPr>
        <w:t>   </w:t>
      </w:r>
      <w:r>
        <w:rPr>
          <w:rFonts w:ascii="Arial"/>
          <w:color w:val="000000"/>
          <w:sz w:val="22"/>
        </w:rPr>
        <w:t>the requirements of the regulations have been complied with, and</w:t>
      </w:r>
    </w:p>
    <w:p>
      <w:pPr>
        <w:pStyle w:val="CaselawQuote0"/>
        <w:spacing w:before="150" w:after="150"/>
        <w:ind w:left="2100"/>
        <w:jc w:val="left"/>
      </w:pPr>
      <w:r>
        <w:rPr>
          <w:rFonts w:ascii="Arial"/>
          <w:color w:val="000000"/>
          <w:sz w:val="22"/>
        </w:rPr>
        <w:t>…</w:t>
      </w:r>
    </w:p>
    <w:p>
      <w:pPr>
        <w:pStyle w:val="CaselawQuote"/>
        <w:spacing w:before="150" w:after="150"/>
        <w:ind w:left="1350"/>
        <w:jc w:val="left"/>
      </w:pPr>
      <w:r>
        <w:rPr>
          <w:rFonts w:ascii="Arial"/>
          <w:color w:val="000000"/>
          <w:sz w:val="22"/>
        </w:rPr>
        <w:t>(2)</w:t>
      </w:r>
      <w:r>
        <w:rPr>
          <w:rFonts w:ascii="Arial"/>
          <w:color w:val="000000"/>
          <w:sz w:val="22"/>
        </w:rPr>
        <w:t>   </w:t>
      </w:r>
      <w:r>
        <w:rPr>
          <w:rFonts w:ascii="Arial"/>
          <w:color w:val="000000"/>
          <w:sz w:val="22"/>
        </w:rPr>
        <w:t>A construction certificate has no effect if it is issued after the building work to which it relates is physically commenced on the land to which the relevant development consent applies.</w:t>
      </w:r>
    </w:p>
    <w:p>
      <w:pPr>
        <w:pStyle w:val="CaselawNumbered10"/>
        <w:numPr>
          <w:ilvl w:val="0"/>
          <w:numId w:val="64"/>
        </w:numPr>
        <w:spacing w:before="150" w:after="0"/>
        <w:ind w:left="600" w:hanging="600"/>
      </w:pPr>
      <w:r>
        <w:rPr>
          <w:rFonts w:ascii="Arial"/>
          <w:color w:val="000000"/>
          <w:sz w:val="24"/>
        </w:rPr>
        <w:t xml:space="preserve">The </w:t>
      </w:r>
      <w:r>
        <w:rPr>
          <w:rFonts w:ascii="Arial"/>
          <w:color w:val="000000"/>
          <w:sz w:val="24"/>
        </w:rPr>
        <w:t>Certification Regulation</w:t>
      </w:r>
      <w:r>
        <w:rPr>
          <w:rFonts w:ascii="Arial"/>
          <w:color w:val="000000"/>
          <w:sz w:val="24"/>
        </w:rPr>
        <w:t xml:space="preserve"> </w:t>
      </w:r>
      <w:r>
        <w:rPr>
          <w:rFonts w:ascii="Arial"/>
          <w:color w:val="000000"/>
          <w:sz w:val="24"/>
        </w:rPr>
        <w:t>provides for the detailed requirements of a construction certificate, including those referred to in s 6.8</w:t>
      </w:r>
      <w:r>
        <w:rPr>
          <w:rFonts w:ascii="Arial"/>
          <w:color w:val="000000"/>
          <w:sz w:val="24"/>
        </w:rPr>
        <w:t xml:space="preserve"> </w:t>
      </w:r>
      <w:r>
        <w:rPr>
          <w:rFonts w:ascii="Arial"/>
          <w:color w:val="000000"/>
          <w:sz w:val="24"/>
        </w:rPr>
        <w:t>of the EPA Act</w:t>
      </w:r>
      <w:r>
        <w:rPr>
          <w:rFonts w:ascii="Arial"/>
          <w:color w:val="000000"/>
          <w:sz w:val="24"/>
        </w:rPr>
        <w:t>. Clauses 7 and 8 of the Certification Regulation set out the formal requirements of a construction certificate, including the use of the electronic planning portal (cl 7) and identify the contents of a construction certificate (cl 8).</w:t>
      </w:r>
      <w:r>
        <w:rPr>
          <w:rFonts w:ascii="Arial"/>
          <w:color w:val="000000"/>
          <w:sz w:val="24"/>
        </w:rPr>
        <w:t xml:space="preserve"> </w:t>
      </w:r>
      <w:r>
        <w:rPr>
          <w:rFonts w:ascii="Arial"/>
          <w:color w:val="000000"/>
          <w:sz w:val="24"/>
        </w:rPr>
        <w:t xml:space="preserve">It is not suggested that these clauses throw particular light </w:t>
      </w:r>
      <w:r>
        <w:rPr>
          <w:rFonts w:ascii="Arial"/>
          <w:color w:val="000000"/>
          <w:sz w:val="24"/>
        </w:rPr>
        <w:t xml:space="preserve">on </w:t>
      </w:r>
      <w:r>
        <w:rPr>
          <w:rFonts w:ascii="Arial"/>
          <w:color w:val="000000"/>
          <w:sz w:val="24"/>
        </w:rPr>
        <w:t xml:space="preserve">the question in this case. </w:t>
      </w:r>
    </w:p>
    <w:p>
      <w:pPr>
        <w:pStyle w:val="CaselawNumbered10"/>
        <w:numPr>
          <w:ilvl w:val="0"/>
          <w:numId w:val="64"/>
        </w:numPr>
        <w:spacing w:before="150" w:after="0"/>
        <w:ind w:left="600" w:hanging="600"/>
      </w:pPr>
      <w:r>
        <w:rPr>
          <w:rFonts w:ascii="Arial"/>
          <w:color w:val="000000"/>
          <w:sz w:val="24"/>
        </w:rPr>
        <w:t>Clause</w:t>
      </w:r>
      <w:r>
        <w:rPr>
          <w:rFonts w:ascii="Arial"/>
          <w:color w:val="000000"/>
          <w:sz w:val="24"/>
        </w:rPr>
        <w:t xml:space="preserve"> </w:t>
      </w:r>
      <w:r>
        <w:rPr>
          <w:rFonts w:ascii="Arial"/>
          <w:color w:val="000000"/>
          <w:sz w:val="24"/>
        </w:rPr>
        <w:t xml:space="preserve">12 </w:t>
      </w:r>
      <w:r>
        <w:rPr>
          <w:rFonts w:ascii="Arial"/>
          <w:color w:val="000000"/>
          <w:sz w:val="24"/>
        </w:rPr>
        <w:t xml:space="preserve">of the Certification Regulation </w:t>
      </w:r>
      <w:r>
        <w:rPr>
          <w:rFonts w:ascii="Arial"/>
          <w:color w:val="000000"/>
          <w:sz w:val="24"/>
        </w:rPr>
        <w:t>allows</w:t>
      </w:r>
      <w:r>
        <w:rPr>
          <w:rFonts w:ascii="Arial"/>
          <w:color w:val="000000"/>
          <w:sz w:val="24"/>
        </w:rPr>
        <w:t xml:space="preserve"> </w:t>
      </w:r>
      <w:r>
        <w:rPr>
          <w:rFonts w:ascii="Arial"/>
          <w:color w:val="000000"/>
          <w:sz w:val="24"/>
        </w:rPr>
        <w:t>a certifier to request additional information</w:t>
      </w:r>
      <w:r>
        <w:rPr>
          <w:rFonts w:ascii="Arial"/>
          <w:color w:val="000000"/>
          <w:sz w:val="24"/>
        </w:rPr>
        <w:t xml:space="preserve">. Clause </w:t>
      </w:r>
      <w:r>
        <w:rPr>
          <w:rFonts w:ascii="Arial"/>
          <w:color w:val="000000"/>
          <w:sz w:val="24"/>
        </w:rPr>
        <w:t xml:space="preserve">13 </w:t>
      </w:r>
      <w:r>
        <w:rPr>
          <w:rFonts w:ascii="Arial"/>
          <w:color w:val="000000"/>
          <w:sz w:val="24"/>
        </w:rPr>
        <w:t xml:space="preserve">of the Certification Regulation </w:t>
      </w:r>
      <w:r>
        <w:rPr>
          <w:rFonts w:ascii="Arial"/>
          <w:color w:val="000000"/>
          <w:sz w:val="24"/>
        </w:rPr>
        <w:t>provides</w:t>
      </w:r>
      <w:r>
        <w:rPr>
          <w:rFonts w:ascii="Arial"/>
          <w:color w:val="000000"/>
          <w:sz w:val="24"/>
        </w:rPr>
        <w:t xml:space="preserve"> </w:t>
      </w:r>
      <w:r>
        <w:rPr>
          <w:rFonts w:ascii="Arial"/>
          <w:color w:val="000000"/>
          <w:sz w:val="24"/>
        </w:rPr>
        <w:t>further requirements for the contents of a construction certificate and provides for notification, via the NSW planning portal, to the consent authority of, relevantly, the construction certificate issued as a result of the determination and the relevant building work plans and specifications.</w:t>
      </w:r>
      <w:r>
        <w:rPr>
          <w:rFonts w:ascii="Arial"/>
          <w:color w:val="000000"/>
          <w:sz w:val="24"/>
        </w:rPr>
        <w:t xml:space="preserve"> </w:t>
      </w:r>
      <w:r>
        <w:rPr>
          <w:rFonts w:ascii="Arial"/>
          <w:color w:val="000000"/>
          <w:sz w:val="24"/>
        </w:rPr>
        <w:t xml:space="preserve">It is common ground here that </w:t>
      </w:r>
      <w:r>
        <w:rPr>
          <w:rFonts w:ascii="Arial"/>
          <w:color w:val="000000"/>
          <w:sz w:val="24"/>
        </w:rPr>
        <w:t xml:space="preserve">the </w:t>
      </w:r>
      <w:r>
        <w:rPr>
          <w:rFonts w:ascii="Arial"/>
          <w:color w:val="000000"/>
          <w:sz w:val="24"/>
        </w:rPr>
        <w:t xml:space="preserve">certifier </w:t>
      </w:r>
      <w:r>
        <w:rPr>
          <w:rFonts w:ascii="Arial"/>
          <w:color w:val="000000"/>
          <w:sz w:val="24"/>
        </w:rPr>
        <w:t>complied with</w:t>
      </w:r>
      <w:r>
        <w:rPr>
          <w:rFonts w:ascii="Arial"/>
          <w:color w:val="000000"/>
          <w:sz w:val="24"/>
        </w:rPr>
        <w:t xml:space="preserve"> </w:t>
      </w:r>
      <w:r>
        <w:rPr>
          <w:rFonts w:ascii="Arial"/>
          <w:color w:val="000000"/>
          <w:sz w:val="24"/>
        </w:rPr>
        <w:t xml:space="preserve">the requirements of </w:t>
      </w:r>
      <w:r>
        <w:rPr>
          <w:rFonts w:ascii="Arial"/>
          <w:color w:val="000000"/>
          <w:sz w:val="24"/>
        </w:rPr>
        <w:t xml:space="preserve">cl </w:t>
      </w:r>
      <w:r>
        <w:rPr>
          <w:rFonts w:ascii="Arial"/>
          <w:color w:val="000000"/>
          <w:sz w:val="24"/>
        </w:rPr>
        <w:t xml:space="preserve">13 of the Certification Regulation and within two days notified </w:t>
      </w:r>
      <w:r>
        <w:rPr>
          <w:rFonts w:ascii="Arial"/>
          <w:color w:val="000000"/>
          <w:sz w:val="24"/>
        </w:rPr>
        <w:t xml:space="preserve">the </w:t>
      </w:r>
      <w:r>
        <w:rPr>
          <w:rFonts w:ascii="Arial"/>
          <w:color w:val="000000"/>
          <w:sz w:val="24"/>
        </w:rPr>
        <w:t>Council of all relevant information including the construction certificate issued as a result of the determination and the relevant building work</w:t>
      </w:r>
      <w:r>
        <w:rPr>
          <w:rFonts w:ascii="Arial"/>
          <w:color w:val="000000"/>
          <w:sz w:val="24"/>
        </w:rPr>
        <w:t>,</w:t>
      </w:r>
      <w:r>
        <w:rPr>
          <w:rFonts w:ascii="Arial"/>
          <w:color w:val="000000"/>
          <w:sz w:val="24"/>
        </w:rPr>
        <w:t xml:space="preserve"> </w:t>
      </w:r>
      <w:r>
        <w:rPr>
          <w:rFonts w:ascii="Arial"/>
          <w:color w:val="000000"/>
          <w:sz w:val="24"/>
        </w:rPr>
        <w:t>plans and specifications.</w:t>
      </w:r>
    </w:p>
    <w:p>
      <w:pPr>
        <w:pStyle w:val="CaselawNumbered10"/>
        <w:numPr>
          <w:ilvl w:val="0"/>
          <w:numId w:val="64"/>
        </w:numPr>
        <w:spacing w:before="150" w:after="0"/>
        <w:ind w:left="600" w:hanging="600"/>
      </w:pPr>
      <w:r>
        <w:rPr>
          <w:rFonts w:ascii="Arial"/>
          <w:color w:val="000000"/>
          <w:sz w:val="24"/>
        </w:rPr>
        <w:t xml:space="preserve">Clauses </w:t>
      </w:r>
      <w:r>
        <w:rPr>
          <w:rFonts w:ascii="Arial"/>
          <w:color w:val="000000"/>
          <w:sz w:val="24"/>
        </w:rPr>
        <w:t xml:space="preserve">16 and 17 </w:t>
      </w:r>
      <w:r>
        <w:rPr>
          <w:rFonts w:ascii="Arial"/>
          <w:color w:val="000000"/>
          <w:sz w:val="24"/>
        </w:rPr>
        <w:t xml:space="preserve">of the Certification Regulation </w:t>
      </w:r>
      <w:r>
        <w:rPr>
          <w:rFonts w:ascii="Arial"/>
          <w:color w:val="000000"/>
          <w:sz w:val="24"/>
        </w:rPr>
        <w:t>provide</w:t>
      </w:r>
      <w:r>
        <w:rPr>
          <w:rFonts w:ascii="Arial"/>
          <w:color w:val="000000"/>
          <w:sz w:val="24"/>
        </w:rPr>
        <w:t xml:space="preserve"> </w:t>
      </w:r>
      <w:r>
        <w:rPr>
          <w:rFonts w:ascii="Arial"/>
          <w:color w:val="000000"/>
          <w:sz w:val="24"/>
        </w:rPr>
        <w:t>a requirement for inspections and a creation of a record of site inspections.</w:t>
      </w:r>
      <w:r>
        <w:rPr>
          <w:rFonts w:ascii="Arial"/>
          <w:color w:val="000000"/>
          <w:sz w:val="24"/>
        </w:rPr>
        <w:t xml:space="preserve"> </w:t>
      </w:r>
    </w:p>
    <w:p>
      <w:pPr>
        <w:pStyle w:val="CaselawNumbered10"/>
        <w:numPr>
          <w:ilvl w:val="0"/>
          <w:numId w:val="64"/>
        </w:numPr>
        <w:spacing w:before="150" w:after="0"/>
        <w:ind w:left="600" w:hanging="600"/>
      </w:pPr>
      <w:r>
        <w:rPr>
          <w:rFonts w:ascii="Arial"/>
          <w:color w:val="000000"/>
          <w:sz w:val="24"/>
        </w:rPr>
        <w:t xml:space="preserve">Clause </w:t>
      </w:r>
      <w:r>
        <w:rPr>
          <w:rFonts w:ascii="Arial"/>
          <w:color w:val="000000"/>
          <w:sz w:val="24"/>
        </w:rPr>
        <w:t xml:space="preserve">19(1) </w:t>
      </w:r>
      <w:r>
        <w:rPr>
          <w:rFonts w:ascii="Arial"/>
          <w:color w:val="000000"/>
          <w:sz w:val="24"/>
        </w:rPr>
        <w:t>of the Certification Regulation is a critical provision in the present case. Cl</w:t>
      </w:r>
      <w:r>
        <w:rPr>
          <w:rFonts w:ascii="Arial"/>
          <w:color w:val="000000"/>
          <w:sz w:val="24"/>
        </w:rPr>
        <w:t>ause</w:t>
      </w:r>
      <w:r>
        <w:rPr>
          <w:rFonts w:ascii="Arial"/>
          <w:color w:val="000000"/>
          <w:sz w:val="24"/>
        </w:rPr>
        <w:t xml:space="preserve"> </w:t>
      </w:r>
      <w:r>
        <w:rPr>
          <w:rFonts w:ascii="Arial"/>
          <w:color w:val="000000"/>
          <w:sz w:val="24"/>
        </w:rPr>
        <w:t>19, r</w:t>
      </w:r>
      <w:r>
        <w:rPr>
          <w:rFonts w:ascii="Arial"/>
          <w:color w:val="000000"/>
          <w:sz w:val="24"/>
        </w:rPr>
        <w:t>elevantly</w:t>
      </w:r>
      <w:r>
        <w:rPr>
          <w:rFonts w:ascii="Arial"/>
          <w:color w:val="000000"/>
          <w:sz w:val="24"/>
        </w:rPr>
        <w:t>,</w:t>
      </w:r>
      <w:r>
        <w:rPr>
          <w:rFonts w:ascii="Arial"/>
          <w:color w:val="000000"/>
          <w:sz w:val="24"/>
        </w:rPr>
        <w:t xml:space="preserve"> </w:t>
      </w:r>
      <w:r>
        <w:rPr>
          <w:rFonts w:ascii="Arial"/>
          <w:color w:val="000000"/>
          <w:sz w:val="24"/>
        </w:rPr>
        <w:t>provides:</w:t>
      </w:r>
    </w:p>
    <w:p>
      <w:pPr>
        <w:pStyle w:val="CaselawQuote"/>
        <w:spacing w:before="150" w:after="150"/>
        <w:ind w:left="1350"/>
        <w:jc w:val="left"/>
      </w:pPr>
      <w:r>
        <w:rPr>
          <w:rFonts w:ascii="Arial"/>
          <w:b/>
          <w:color w:val="000000"/>
          <w:sz w:val="22"/>
        </w:rPr>
        <w:t>19</w:t>
      </w:r>
      <w:r>
        <w:rPr>
          <w:rFonts w:ascii="Arial"/>
          <w:color w:val="000000"/>
          <w:sz w:val="22"/>
        </w:rPr>
        <w:t xml:space="preserve"> </w:t>
      </w:r>
      <w:r>
        <w:rPr>
          <w:rFonts w:ascii="Arial"/>
          <w:b/>
          <w:color w:val="000000"/>
          <w:sz w:val="22"/>
        </w:rPr>
        <w:t>Compliance with development consent and</w:t>
      </w:r>
      <w:r>
        <w:rPr>
          <w:rFonts w:ascii="Arial"/>
          <w:b/>
          <w:color w:val="000000"/>
          <w:sz w:val="22"/>
        </w:rPr>
        <w:t xml:space="preserve"> </w:t>
      </w:r>
      <w:r>
        <w:rPr>
          <w:rFonts w:ascii="Arial"/>
          <w:b/>
          <w:color w:val="000000"/>
          <w:sz w:val="22"/>
        </w:rPr>
        <w:t>Building Code of Australia</w:t>
      </w:r>
    </w:p>
    <w:p>
      <w:pPr>
        <w:pStyle w:val="CaselawQuote"/>
        <w:spacing w:before="150" w:after="150"/>
        <w:ind w:left="1350"/>
        <w:jc w:val="left"/>
      </w:pPr>
      <w:r>
        <w:rPr>
          <w:rFonts w:ascii="Arial"/>
          <w:color w:val="000000"/>
          <w:sz w:val="22"/>
        </w:rPr>
        <w:t>(1)</w:t>
      </w:r>
      <w:r>
        <w:rPr>
          <w:rFonts w:ascii="Arial"/>
          <w:color w:val="000000"/>
          <w:sz w:val="22"/>
        </w:rPr>
        <w:t>   </w:t>
      </w:r>
      <w:r>
        <w:rPr>
          <w:rFonts w:ascii="Arial"/>
          <w:color w:val="000000"/>
          <w:sz w:val="22"/>
        </w:rPr>
        <w:t>A certifier must not issue a construction certificate for building work unless—</w:t>
      </w:r>
    </w:p>
    <w:p>
      <w:pPr>
        <w:pStyle w:val="CaselawQuote0"/>
        <w:spacing w:before="150" w:after="150"/>
        <w:ind w:left="2100"/>
        <w:jc w:val="left"/>
      </w:pPr>
      <w:r>
        <w:rPr>
          <w:rFonts w:ascii="Arial"/>
          <w:color w:val="000000"/>
          <w:sz w:val="22"/>
        </w:rPr>
        <w:t>…</w:t>
      </w:r>
    </w:p>
    <w:p>
      <w:pPr>
        <w:pStyle w:val="CaselawQuote0"/>
        <w:spacing w:before="150" w:after="150"/>
        <w:ind w:left="2100"/>
        <w:jc w:val="left"/>
      </w:pPr>
      <w:r>
        <w:rPr>
          <w:rFonts w:ascii="Arial"/>
          <w:color w:val="000000"/>
          <w:sz w:val="22"/>
        </w:rPr>
        <w:t>(b)</w:t>
      </w:r>
      <w:r>
        <w:rPr>
          <w:rFonts w:ascii="Arial"/>
          <w:color w:val="000000"/>
          <w:sz w:val="22"/>
        </w:rPr>
        <w:t>   </w:t>
      </w:r>
      <w:r>
        <w:rPr>
          <w:rFonts w:ascii="Arial"/>
          <w:color w:val="000000"/>
          <w:sz w:val="22"/>
        </w:rPr>
        <w:t>the design and construction of the building, as described in the relevant building work plans and specifications and in other information given to the certifier under section 12, is consistent with the development consent, and</w:t>
      </w:r>
    </w:p>
    <w:p>
      <w:pPr>
        <w:pStyle w:val="CaselawQuote0"/>
        <w:spacing w:before="150" w:after="150"/>
        <w:ind w:left="2100"/>
        <w:jc w:val="left"/>
      </w:pPr>
      <w:r>
        <w:rPr>
          <w:rFonts w:ascii="Arial"/>
          <w:color w:val="000000"/>
          <w:sz w:val="22"/>
        </w:rPr>
        <w:t>…</w:t>
      </w:r>
    </w:p>
    <w:p>
      <w:pPr>
        <w:pStyle w:val="CaselawQuote"/>
        <w:spacing w:before="150" w:after="150"/>
        <w:ind w:left="1350"/>
        <w:jc w:val="left"/>
      </w:pPr>
      <w:r>
        <w:rPr>
          <w:rFonts w:ascii="Arial"/>
          <w:color w:val="000000"/>
          <w:sz w:val="22"/>
        </w:rPr>
        <w:t>Maximum penalty (subsection (1))—</w:t>
      </w:r>
    </w:p>
    <w:p>
      <w:pPr>
        <w:pStyle w:val="CaselawQuote"/>
        <w:spacing w:before="150" w:after="150"/>
        <w:ind w:left="1350"/>
        <w:jc w:val="left"/>
      </w:pPr>
      <w:r>
        <w:rPr>
          <w:rFonts w:ascii="Arial"/>
          <w:color w:val="000000"/>
          <w:sz w:val="22"/>
        </w:rPr>
        <w:t>(a)</w:t>
      </w:r>
      <w:r>
        <w:rPr>
          <w:rFonts w:ascii="Arial"/>
          <w:color w:val="000000"/>
          <w:sz w:val="22"/>
        </w:rPr>
        <w:t>   </w:t>
      </w:r>
      <w:r>
        <w:rPr>
          <w:rFonts w:ascii="Arial"/>
          <w:color w:val="000000"/>
          <w:sz w:val="22"/>
        </w:rPr>
        <w:t>for a corporation—300 penalty units, or</w:t>
      </w:r>
    </w:p>
    <w:p>
      <w:pPr>
        <w:pStyle w:val="CaselawQuote"/>
        <w:spacing w:before="150" w:after="150"/>
        <w:ind w:left="1350"/>
        <w:jc w:val="left"/>
      </w:pPr>
      <w:r>
        <w:rPr>
          <w:rFonts w:ascii="Arial"/>
          <w:color w:val="000000"/>
          <w:sz w:val="22"/>
        </w:rPr>
        <w:t>(b)</w:t>
      </w:r>
      <w:r>
        <w:rPr>
          <w:rFonts w:ascii="Arial"/>
          <w:color w:val="000000"/>
          <w:sz w:val="22"/>
        </w:rPr>
        <w:t>   </w:t>
      </w:r>
      <w:r>
        <w:rPr>
          <w:rFonts w:ascii="Arial"/>
          <w:color w:val="000000"/>
          <w:sz w:val="22"/>
        </w:rPr>
        <w:t>for an individual—150 penalty units.</w:t>
      </w:r>
    </w:p>
    <w:p>
      <w:pPr>
        <w:pStyle w:val="CaselawNumbered10"/>
        <w:numPr>
          <w:ilvl w:val="0"/>
          <w:numId w:val="65"/>
        </w:numPr>
        <w:spacing w:before="150" w:after="0"/>
        <w:ind w:left="600" w:hanging="600"/>
      </w:pPr>
      <w:r>
        <w:rPr>
          <w:rFonts w:ascii="Arial"/>
          <w:color w:val="000000"/>
          <w:sz w:val="24"/>
        </w:rPr>
        <w:t>In respect of a</w:t>
      </w:r>
      <w:r>
        <w:rPr>
          <w:rFonts w:ascii="Arial"/>
          <w:color w:val="000000"/>
          <w:sz w:val="24"/>
        </w:rPr>
        <w:t>n asserted</w:t>
      </w:r>
      <w:r>
        <w:rPr>
          <w:rFonts w:ascii="Arial"/>
          <w:color w:val="000000"/>
          <w:sz w:val="24"/>
        </w:rPr>
        <w:t xml:space="preserve"> </w:t>
      </w:r>
      <w:r>
        <w:rPr>
          <w:rFonts w:ascii="Arial"/>
          <w:color w:val="000000"/>
          <w:sz w:val="24"/>
        </w:rPr>
        <w:t xml:space="preserve">breach of </w:t>
      </w:r>
      <w:r>
        <w:rPr>
          <w:rFonts w:ascii="Arial"/>
          <w:color w:val="000000"/>
          <w:sz w:val="24"/>
        </w:rPr>
        <w:t xml:space="preserve">cl </w:t>
      </w:r>
      <w:r>
        <w:rPr>
          <w:rFonts w:ascii="Arial"/>
          <w:color w:val="000000"/>
          <w:sz w:val="24"/>
        </w:rPr>
        <w:t xml:space="preserve">19(1)(b), </w:t>
      </w:r>
      <w:r>
        <w:rPr>
          <w:rFonts w:ascii="Arial"/>
          <w:color w:val="000000"/>
          <w:sz w:val="24"/>
        </w:rPr>
        <w:t xml:space="preserve">an important change </w:t>
      </w:r>
      <w:r>
        <w:rPr>
          <w:rFonts w:ascii="Arial"/>
          <w:color w:val="000000"/>
          <w:sz w:val="24"/>
        </w:rPr>
        <w:t xml:space="preserve">was inserted into the EPA Act </w:t>
      </w:r>
      <w:r>
        <w:rPr>
          <w:rFonts w:ascii="Arial"/>
          <w:color w:val="000000"/>
          <w:sz w:val="24"/>
        </w:rPr>
        <w:t>in March 2018</w:t>
      </w:r>
      <w:r>
        <w:rPr>
          <w:rFonts w:ascii="Arial"/>
          <w:color w:val="000000"/>
          <w:sz w:val="24"/>
        </w:rPr>
        <w:t xml:space="preserve"> </w:t>
      </w:r>
      <w:r>
        <w:rPr>
          <w:rFonts w:ascii="Arial"/>
          <w:color w:val="000000"/>
          <w:sz w:val="24"/>
        </w:rPr>
        <w:t>i</w:t>
      </w:r>
      <w:r>
        <w:rPr>
          <w:rFonts w:ascii="Arial"/>
          <w:color w:val="000000"/>
          <w:sz w:val="24"/>
        </w:rPr>
        <w:t>n s 6.32</w:t>
      </w:r>
      <w:r>
        <w:rPr>
          <w:rFonts w:ascii="Arial"/>
          <w:color w:val="000000"/>
          <w:sz w:val="24"/>
        </w:rPr>
        <w:t xml:space="preserve">. </w:t>
      </w:r>
      <w:r>
        <w:rPr>
          <w:rFonts w:ascii="Arial"/>
          <w:color w:val="000000"/>
          <w:sz w:val="24"/>
        </w:rPr>
        <w:t>Section 6.32</w:t>
      </w:r>
      <w:r>
        <w:rPr>
          <w:rFonts w:ascii="Arial"/>
          <w:color w:val="000000"/>
          <w:sz w:val="24"/>
        </w:rPr>
        <w:t xml:space="preserve"> </w:t>
      </w:r>
      <w:r>
        <w:rPr>
          <w:rFonts w:ascii="Arial"/>
          <w:color w:val="000000"/>
          <w:sz w:val="24"/>
        </w:rPr>
        <w:t>provides:</w:t>
      </w:r>
    </w:p>
    <w:p>
      <w:pPr>
        <w:pStyle w:val="CaselawQuote"/>
        <w:spacing w:before="150" w:after="150"/>
        <w:ind w:left="1350"/>
        <w:jc w:val="left"/>
      </w:pPr>
      <w:r>
        <w:rPr>
          <w:rFonts w:ascii="Arial"/>
          <w:b/>
          <w:color w:val="000000"/>
          <w:sz w:val="22"/>
        </w:rPr>
        <w:t>6.32</w:t>
      </w:r>
      <w:r>
        <w:rPr>
          <w:rFonts w:ascii="Arial"/>
          <w:color w:val="000000"/>
          <w:sz w:val="22"/>
        </w:rPr>
        <w:t xml:space="preserve"> </w:t>
      </w:r>
      <w:r>
        <w:rPr>
          <w:rFonts w:ascii="Arial"/>
          <w:b/>
          <w:color w:val="000000"/>
          <w:sz w:val="22"/>
        </w:rPr>
        <w:t xml:space="preserve">Validity of </w:t>
      </w:r>
      <w:r>
        <w:rPr>
          <w:rFonts w:ascii="Arial"/>
          <w:b/>
          <w:color w:val="000000"/>
          <w:sz w:val="22"/>
        </w:rPr>
        <w:t>certificates under this Part</w:t>
      </w:r>
    </w:p>
    <w:p>
      <w:pPr>
        <w:pStyle w:val="CaselawQuote"/>
        <w:spacing w:before="150" w:after="150"/>
        <w:ind w:left="1350"/>
        <w:jc w:val="left"/>
      </w:pPr>
      <w:r>
        <w:rPr>
          <w:rFonts w:ascii="Arial"/>
          <w:color w:val="000000"/>
          <w:sz w:val="22"/>
        </w:rPr>
        <w:t>Without limiting the powers of the Court under section 9.46(1), the Court may by order under that section declare that a certificate under this Part (other than an occupation certificate) is invalid if—</w:t>
      </w:r>
    </w:p>
    <w:p>
      <w:pPr>
        <w:pStyle w:val="CaselawQuote"/>
        <w:spacing w:before="150" w:after="150"/>
        <w:ind w:left="1350"/>
        <w:jc w:val="left"/>
      </w:pPr>
      <w:r>
        <w:rPr>
          <w:rFonts w:ascii="Arial"/>
          <w:color w:val="000000"/>
          <w:sz w:val="22"/>
        </w:rPr>
        <w:t>(a)</w:t>
      </w:r>
      <w:r>
        <w:rPr>
          <w:rFonts w:ascii="Arial"/>
          <w:color w:val="000000"/>
          <w:sz w:val="22"/>
        </w:rPr>
        <w:t>   </w:t>
      </w:r>
      <w:r>
        <w:rPr>
          <w:rFonts w:ascii="Arial"/>
          <w:color w:val="000000"/>
          <w:sz w:val="22"/>
        </w:rPr>
        <w:t>proceedings for the order are brought within 3 months after the issue of the certificate, and</w:t>
      </w:r>
    </w:p>
    <w:p>
      <w:pPr>
        <w:pStyle w:val="CaselawQuote"/>
        <w:spacing w:before="150" w:after="150"/>
        <w:ind w:left="1350"/>
        <w:jc w:val="left"/>
      </w:pPr>
      <w:r>
        <w:rPr>
          <w:rFonts w:ascii="Arial"/>
          <w:color w:val="000000"/>
          <w:sz w:val="22"/>
        </w:rPr>
        <w:t>(b)</w:t>
      </w:r>
      <w:r>
        <w:rPr>
          <w:rFonts w:ascii="Arial"/>
          <w:color w:val="000000"/>
          <w:sz w:val="22"/>
        </w:rPr>
        <w:t>   </w:t>
      </w:r>
      <w:r>
        <w:rPr>
          <w:rFonts w:ascii="Arial"/>
          <w:color w:val="000000"/>
          <w:sz w:val="22"/>
        </w:rPr>
        <w:t>the plans and specifications or standards of building work or subdivision work specified in the certificate are not consistent with the development consent for the building work or subdivision work.</w:t>
      </w:r>
    </w:p>
    <w:p>
      <w:pPr>
        <w:pStyle w:val="CaselawNumbered10"/>
        <w:numPr>
          <w:ilvl w:val="0"/>
          <w:numId w:val="66"/>
        </w:numPr>
        <w:spacing w:before="150" w:after="0"/>
        <w:ind w:left="600" w:hanging="600"/>
      </w:pPr>
      <w:r>
        <w:rPr>
          <w:rFonts w:ascii="Arial"/>
          <w:color w:val="000000"/>
          <w:sz w:val="24"/>
        </w:rPr>
        <w:t xml:space="preserve">The section is no doubt a statutory reaction to the decision of this Court in </w:t>
      </w:r>
      <w:r>
        <w:rPr>
          <w:rFonts w:ascii="Arial"/>
          <w:i/>
          <w:color w:val="000000"/>
          <w:sz w:val="24"/>
        </w:rPr>
        <w:t>Ralan</w:t>
      </w:r>
      <w:r>
        <w:rPr>
          <w:rFonts w:ascii="Arial"/>
          <w:color w:val="000000"/>
          <w:sz w:val="24"/>
        </w:rPr>
        <w:t xml:space="preserve">. A number of things should be noticed about the section. </w:t>
      </w:r>
      <w:r>
        <w:rPr>
          <w:rFonts w:ascii="Arial"/>
          <w:color w:val="000000"/>
          <w:sz w:val="24"/>
        </w:rPr>
        <w:t xml:space="preserve">It </w:t>
      </w:r>
      <w:r>
        <w:rPr>
          <w:rFonts w:ascii="Arial"/>
          <w:color w:val="000000"/>
          <w:sz w:val="24"/>
        </w:rPr>
        <w:t xml:space="preserve">addresses </w:t>
      </w:r>
      <w:r>
        <w:rPr>
          <w:rFonts w:ascii="Arial"/>
          <w:color w:val="000000"/>
          <w:sz w:val="24"/>
        </w:rPr>
        <w:t xml:space="preserve">the </w:t>
      </w:r>
      <w:r>
        <w:rPr>
          <w:rFonts w:ascii="Arial"/>
          <w:color w:val="000000"/>
          <w:sz w:val="24"/>
        </w:rPr>
        <w:t xml:space="preserve">validity of a construction certificate and </w:t>
      </w:r>
      <w:r>
        <w:rPr>
          <w:rFonts w:ascii="Arial"/>
          <w:color w:val="000000"/>
          <w:sz w:val="24"/>
        </w:rPr>
        <w:t xml:space="preserve">provides an express power to order that a certificate issued under this Part (other than an occupation certificate) is invalid. </w:t>
      </w:r>
      <w:r>
        <w:rPr>
          <w:rFonts w:ascii="Arial"/>
          <w:color w:val="000000"/>
          <w:sz w:val="24"/>
        </w:rPr>
        <w:t>The power to make an order declaring a construction certificate invalid</w:t>
      </w:r>
      <w:r>
        <w:rPr>
          <w:rFonts w:ascii="Arial"/>
          <w:color w:val="000000"/>
          <w:sz w:val="24"/>
        </w:rPr>
        <w:t xml:space="preserve"> </w:t>
      </w:r>
      <w:r>
        <w:rPr>
          <w:rFonts w:ascii="Arial"/>
          <w:color w:val="000000"/>
          <w:sz w:val="24"/>
        </w:rPr>
        <w:t>has a strict time limit to commence proceedings in which such an order can be sought; 3 months after the issue of the certificate.</w:t>
      </w:r>
      <w:r>
        <w:rPr>
          <w:rFonts w:ascii="Arial"/>
          <w:color w:val="000000"/>
          <w:sz w:val="24"/>
        </w:rPr>
        <w:t xml:space="preserve"> </w:t>
      </w:r>
    </w:p>
    <w:p>
      <w:pPr>
        <w:pStyle w:val="CaselawNumbered10"/>
        <w:numPr>
          <w:ilvl w:val="0"/>
          <w:numId w:val="66"/>
        </w:numPr>
        <w:spacing w:before="150" w:after="0"/>
        <w:ind w:left="600" w:hanging="600"/>
      </w:pPr>
      <w:r>
        <w:rPr>
          <w:rFonts w:ascii="Arial"/>
          <w:color w:val="000000"/>
          <w:sz w:val="24"/>
        </w:rPr>
        <w:t>There is an equivalent</w:t>
      </w:r>
      <w:r>
        <w:rPr>
          <w:rFonts w:ascii="Arial"/>
          <w:color w:val="000000"/>
          <w:sz w:val="24"/>
        </w:rPr>
        <w:t xml:space="preserve"> </w:t>
      </w:r>
      <w:r>
        <w:rPr>
          <w:rFonts w:ascii="Arial"/>
          <w:color w:val="000000"/>
          <w:sz w:val="24"/>
        </w:rPr>
        <w:t xml:space="preserve">provision in relation to a </w:t>
      </w:r>
      <w:r>
        <w:rPr>
          <w:rFonts w:ascii="Arial"/>
          <w:color w:val="000000"/>
          <w:sz w:val="24"/>
        </w:rPr>
        <w:t xml:space="preserve">complying development certificate in s 4.31 of the EPA Act: </w:t>
      </w:r>
    </w:p>
    <w:p>
      <w:pPr>
        <w:pStyle w:val="CaselawQuote"/>
        <w:spacing w:before="150" w:after="150"/>
        <w:ind w:left="1350"/>
        <w:jc w:val="left"/>
      </w:pPr>
      <w:r>
        <w:rPr>
          <w:rFonts w:ascii="Arial"/>
          <w:b/>
          <w:color w:val="000000"/>
          <w:sz w:val="22"/>
        </w:rPr>
        <w:t>4.31</w:t>
      </w:r>
      <w:r>
        <w:rPr>
          <w:rFonts w:ascii="Arial"/>
          <w:color w:val="000000"/>
          <w:sz w:val="22"/>
        </w:rPr>
        <w:t xml:space="preserve"> </w:t>
      </w:r>
      <w:r>
        <w:rPr>
          <w:rFonts w:ascii="Arial"/>
          <w:b/>
          <w:color w:val="000000"/>
          <w:sz w:val="22"/>
        </w:rPr>
        <w:t>Validity of complying development certificate</w:t>
      </w:r>
    </w:p>
    <w:p>
      <w:pPr>
        <w:pStyle w:val="CaselawQuote"/>
        <w:spacing w:before="150" w:after="150"/>
        <w:ind w:left="1350"/>
        <w:jc w:val="left"/>
      </w:pPr>
      <w:r>
        <w:rPr>
          <w:rFonts w:ascii="Arial"/>
          <w:color w:val="000000"/>
          <w:sz w:val="22"/>
        </w:rPr>
        <w:t>Without limiting the powers of the Court under section 9.46(1), the Court may by order under that section declare that a complying development certificate is invalid if—</w:t>
      </w:r>
    </w:p>
    <w:p>
      <w:pPr>
        <w:pStyle w:val="CaselawQuote"/>
        <w:spacing w:before="150" w:after="150"/>
        <w:ind w:left="1350"/>
        <w:jc w:val="left"/>
      </w:pPr>
      <w:r>
        <w:rPr>
          <w:rFonts w:ascii="Arial"/>
          <w:color w:val="000000"/>
          <w:sz w:val="22"/>
        </w:rPr>
        <w:t>(a)</w:t>
      </w:r>
      <w:r>
        <w:rPr>
          <w:rFonts w:ascii="Arial"/>
          <w:color w:val="000000"/>
          <w:sz w:val="22"/>
        </w:rPr>
        <w:t>   </w:t>
      </w:r>
      <w:r>
        <w:rPr>
          <w:rFonts w:ascii="Arial"/>
          <w:color w:val="000000"/>
          <w:sz w:val="22"/>
        </w:rPr>
        <w:t>proceedings for the order are brought within 3 months after the issue of the certificate, and</w:t>
      </w:r>
    </w:p>
    <w:p>
      <w:pPr>
        <w:pStyle w:val="CaselawQuote"/>
        <w:spacing w:before="150" w:after="150"/>
        <w:ind w:left="1350"/>
        <w:jc w:val="left"/>
      </w:pPr>
      <w:r>
        <w:rPr>
          <w:rFonts w:ascii="Arial"/>
          <w:color w:val="000000"/>
          <w:sz w:val="22"/>
        </w:rPr>
        <w:t>(b)</w:t>
      </w:r>
      <w:r>
        <w:rPr>
          <w:rFonts w:ascii="Arial"/>
          <w:color w:val="000000"/>
          <w:sz w:val="22"/>
        </w:rPr>
        <w:t>   </w:t>
      </w:r>
      <w:r>
        <w:rPr>
          <w:rFonts w:ascii="Arial"/>
          <w:color w:val="000000"/>
          <w:sz w:val="22"/>
        </w:rPr>
        <w:t>the certificate authorises the carrying out of development for which the Court determines that a complying development certificate is not authorised to be issued.</w:t>
      </w:r>
    </w:p>
    <w:p>
      <w:pPr>
        <w:pStyle w:val="CaselawNumbered10"/>
        <w:numPr>
          <w:ilvl w:val="0"/>
          <w:numId w:val="67"/>
        </w:numPr>
        <w:spacing w:before="150" w:after="0"/>
        <w:ind w:left="600" w:hanging="600"/>
      </w:pPr>
      <w:r>
        <w:rPr>
          <w:rFonts w:ascii="Arial"/>
          <w:color w:val="000000"/>
          <w:sz w:val="24"/>
        </w:rPr>
        <w:t xml:space="preserve">Section 6.33 provides: </w:t>
      </w:r>
    </w:p>
    <w:p>
      <w:pPr>
        <w:pStyle w:val="CaselawQuote"/>
        <w:spacing w:before="150" w:after="150"/>
        <w:ind w:left="1350"/>
        <w:jc w:val="left"/>
      </w:pPr>
      <w:r>
        <w:rPr>
          <w:rFonts w:ascii="Arial"/>
          <w:b/>
          <w:color w:val="000000"/>
          <w:sz w:val="22"/>
        </w:rPr>
        <w:t>6.33</w:t>
      </w:r>
      <w:r>
        <w:rPr>
          <w:rFonts w:ascii="Arial"/>
          <w:color w:val="000000"/>
          <w:sz w:val="22"/>
        </w:rPr>
        <w:t xml:space="preserve"> </w:t>
      </w:r>
      <w:r>
        <w:rPr>
          <w:rFonts w:ascii="Arial"/>
          <w:b/>
          <w:color w:val="000000"/>
          <w:sz w:val="22"/>
        </w:rPr>
        <w:t>Regulations: Part 6</w:t>
      </w:r>
    </w:p>
    <w:p>
      <w:pPr>
        <w:pStyle w:val="CaselawQuote"/>
        <w:spacing w:before="150" w:after="150"/>
        <w:ind w:left="1350"/>
        <w:jc w:val="left"/>
      </w:pPr>
      <w:r>
        <w:rPr>
          <w:rFonts w:ascii="Arial"/>
          <w:color w:val="000000"/>
          <w:sz w:val="22"/>
        </w:rPr>
        <w:t>(cf</w:t>
      </w:r>
      <w:r>
        <w:rPr>
          <w:rFonts w:ascii="Arial"/>
          <w:color w:val="000000"/>
          <w:sz w:val="22"/>
        </w:rPr>
        <w:t xml:space="preserve"> previous s 109Q)</w:t>
      </w:r>
    </w:p>
    <w:p>
      <w:pPr>
        <w:pStyle w:val="CaselawQuote"/>
        <w:spacing w:before="150" w:after="150"/>
        <w:ind w:left="1350"/>
        <w:jc w:val="left"/>
      </w:pPr>
      <w:r>
        <w:rPr>
          <w:rFonts w:ascii="Arial"/>
          <w:color w:val="000000"/>
          <w:sz w:val="22"/>
        </w:rPr>
        <w:t>(1)</w:t>
      </w:r>
      <w:r>
        <w:rPr>
          <w:rFonts w:ascii="Arial"/>
          <w:color w:val="000000"/>
          <w:sz w:val="22"/>
        </w:rPr>
        <w:t>   </w:t>
      </w:r>
      <w:r>
        <w:rPr>
          <w:rFonts w:ascii="Arial"/>
          <w:color w:val="000000"/>
          <w:sz w:val="22"/>
        </w:rPr>
        <w:t>The regulations may make provision for or with respect to the carrying out of building work or subdivision work and, in particular, for or with respect to the following—</w:t>
      </w:r>
    </w:p>
    <w:p>
      <w:pPr>
        <w:pStyle w:val="CaselawQuote"/>
        <w:spacing w:before="150" w:after="150"/>
        <w:ind w:left="1350"/>
        <w:jc w:val="left"/>
      </w:pPr>
      <w:r>
        <w:rPr>
          <w:rFonts w:ascii="Arial"/>
          <w:color w:val="000000"/>
          <w:sz w:val="22"/>
        </w:rPr>
        <w:t>(a)</w:t>
      </w:r>
      <w:r>
        <w:rPr>
          <w:rFonts w:ascii="Arial"/>
          <w:color w:val="000000"/>
          <w:sz w:val="22"/>
        </w:rPr>
        <w:t>   </w:t>
      </w:r>
      <w:r>
        <w:rPr>
          <w:rFonts w:ascii="Arial"/>
          <w:color w:val="000000"/>
          <w:sz w:val="22"/>
        </w:rPr>
        <w:t>requirements to comply with provisions of the</w:t>
      </w:r>
      <w:r>
        <w:rPr>
          <w:rFonts w:ascii="Arial"/>
          <w:color w:val="000000"/>
          <w:sz w:val="22"/>
        </w:rPr>
        <w:t xml:space="preserve"> </w:t>
      </w:r>
      <w:r>
        <w:rPr>
          <w:rFonts w:ascii="Arial"/>
          <w:i/>
          <w:color w:val="000000"/>
          <w:sz w:val="22"/>
        </w:rPr>
        <w:t>Building Code of Australia</w:t>
      </w:r>
      <w:r>
        <w:rPr>
          <w:rFonts w:ascii="Arial"/>
          <w:color w:val="000000"/>
          <w:sz w:val="22"/>
        </w:rPr>
        <w:t xml:space="preserve"> </w:t>
      </w:r>
      <w:r>
        <w:rPr>
          <w:rFonts w:ascii="Arial"/>
          <w:color w:val="000000"/>
          <w:sz w:val="22"/>
        </w:rPr>
        <w:t>or other specified standards in relation to building work or subdivision work,</w:t>
      </w:r>
    </w:p>
    <w:p>
      <w:pPr>
        <w:pStyle w:val="CaselawQuote"/>
        <w:spacing w:before="150" w:after="150"/>
        <w:ind w:left="1350"/>
        <w:jc w:val="left"/>
      </w:pPr>
      <w:r>
        <w:rPr>
          <w:rFonts w:ascii="Arial"/>
          <w:color w:val="000000"/>
          <w:sz w:val="22"/>
        </w:rPr>
        <w:t>(b)</w:t>
      </w:r>
      <w:r>
        <w:rPr>
          <w:rFonts w:ascii="Arial"/>
          <w:color w:val="000000"/>
          <w:sz w:val="22"/>
        </w:rPr>
        <w:t>   </w:t>
      </w:r>
      <w:r>
        <w:rPr>
          <w:rFonts w:ascii="Arial"/>
          <w:color w:val="000000"/>
          <w:sz w:val="22"/>
        </w:rPr>
        <w:t>applications for and the issue of certificates under this Part,</w:t>
      </w:r>
    </w:p>
    <w:p>
      <w:pPr>
        <w:pStyle w:val="CaselawQuote"/>
        <w:spacing w:before="150" w:after="150"/>
        <w:ind w:left="1350"/>
        <w:jc w:val="left"/>
      </w:pPr>
      <w:r>
        <w:rPr>
          <w:rFonts w:ascii="Arial"/>
          <w:color w:val="000000"/>
          <w:sz w:val="22"/>
        </w:rPr>
        <w:t>(c)</w:t>
      </w:r>
      <w:r>
        <w:rPr>
          <w:rFonts w:ascii="Arial"/>
          <w:color w:val="000000"/>
          <w:sz w:val="22"/>
        </w:rPr>
        <w:t>   </w:t>
      </w:r>
      <w:r>
        <w:rPr>
          <w:rFonts w:ascii="Arial"/>
          <w:color w:val="000000"/>
          <w:sz w:val="22"/>
        </w:rPr>
        <w:t>the form and contents of certificates under this Part,</w:t>
      </w:r>
    </w:p>
    <w:p>
      <w:pPr>
        <w:pStyle w:val="CaselawQuote"/>
        <w:spacing w:before="150" w:after="150"/>
        <w:ind w:left="1350"/>
        <w:jc w:val="left"/>
      </w:pPr>
      <w:r>
        <w:rPr>
          <w:rFonts w:ascii="Arial"/>
          <w:color w:val="000000"/>
          <w:sz w:val="22"/>
        </w:rPr>
        <w:t>(d)</w:t>
      </w:r>
      <w:r>
        <w:rPr>
          <w:rFonts w:ascii="Arial"/>
          <w:color w:val="000000"/>
          <w:sz w:val="22"/>
        </w:rPr>
        <w:t>   </w:t>
      </w:r>
      <w:r>
        <w:rPr>
          <w:rFonts w:ascii="Arial"/>
          <w:color w:val="000000"/>
          <w:sz w:val="22"/>
        </w:rPr>
        <w:t>conditions of certificates under this Part,</w:t>
      </w:r>
    </w:p>
    <w:p>
      <w:pPr>
        <w:pStyle w:val="CaselawQuote"/>
        <w:spacing w:before="150" w:after="150"/>
        <w:ind w:left="1350"/>
        <w:jc w:val="left"/>
      </w:pPr>
      <w:r>
        <w:rPr>
          <w:rFonts w:ascii="Arial"/>
          <w:color w:val="000000"/>
          <w:sz w:val="22"/>
        </w:rPr>
        <w:t>(e)</w:t>
      </w:r>
      <w:r>
        <w:rPr>
          <w:rFonts w:ascii="Arial"/>
          <w:color w:val="000000"/>
          <w:sz w:val="22"/>
        </w:rPr>
        <w:t>   </w:t>
      </w:r>
      <w:r>
        <w:rPr>
          <w:rFonts w:ascii="Arial"/>
          <w:color w:val="000000"/>
          <w:sz w:val="22"/>
        </w:rPr>
        <w:t>modification of certificates under this Part,</w:t>
      </w:r>
    </w:p>
    <w:p>
      <w:pPr>
        <w:pStyle w:val="CaselawQuote"/>
        <w:spacing w:before="150" w:after="150"/>
        <w:ind w:left="1350"/>
        <w:jc w:val="left"/>
      </w:pPr>
      <w:r>
        <w:rPr>
          <w:rFonts w:ascii="Arial"/>
          <w:color w:val="000000"/>
          <w:sz w:val="22"/>
        </w:rPr>
        <w:t>(f)</w:t>
      </w:r>
      <w:r>
        <w:rPr>
          <w:rFonts w:ascii="Arial"/>
          <w:color w:val="000000"/>
          <w:sz w:val="22"/>
        </w:rPr>
        <w:t>   </w:t>
      </w:r>
      <w:r>
        <w:rPr>
          <w:rFonts w:ascii="Arial"/>
          <w:color w:val="000000"/>
          <w:sz w:val="22"/>
        </w:rPr>
        <w:t>exempting classes of manufactured homes or temporary structures from requirements relating to construction certificates or occupation certificates,</w:t>
      </w:r>
    </w:p>
    <w:p>
      <w:pPr>
        <w:pStyle w:val="CaselawQuote"/>
        <w:spacing w:before="150" w:after="150"/>
        <w:ind w:left="1350"/>
        <w:jc w:val="left"/>
      </w:pPr>
      <w:r>
        <w:rPr>
          <w:rFonts w:ascii="Arial"/>
          <w:color w:val="000000"/>
          <w:sz w:val="22"/>
        </w:rPr>
        <w:t>(g)</w:t>
      </w:r>
      <w:r>
        <w:rPr>
          <w:rFonts w:ascii="Arial"/>
          <w:color w:val="000000"/>
          <w:sz w:val="22"/>
        </w:rPr>
        <w:t>   </w:t>
      </w:r>
      <w:r>
        <w:rPr>
          <w:rFonts w:ascii="Arial"/>
          <w:color w:val="000000"/>
          <w:sz w:val="22"/>
        </w:rPr>
        <w:t>inspection of building work and subdivision work,</w:t>
      </w:r>
    </w:p>
    <w:p>
      <w:pPr>
        <w:pStyle w:val="CaselawQuote"/>
        <w:spacing w:before="150" w:after="150"/>
        <w:ind w:left="1350"/>
        <w:jc w:val="left"/>
      </w:pPr>
      <w:r>
        <w:rPr>
          <w:rFonts w:ascii="Arial"/>
          <w:color w:val="000000"/>
          <w:sz w:val="22"/>
        </w:rPr>
        <w:t>(h)</w:t>
      </w:r>
      <w:r>
        <w:rPr>
          <w:rFonts w:ascii="Arial"/>
          <w:color w:val="000000"/>
          <w:sz w:val="22"/>
        </w:rPr>
        <w:t>   </w:t>
      </w:r>
      <w:r>
        <w:rPr>
          <w:rFonts w:ascii="Arial"/>
          <w:color w:val="000000"/>
          <w:sz w:val="22"/>
        </w:rPr>
        <w:t>the functions of certifiers under this Part,</w:t>
      </w:r>
    </w:p>
    <w:p>
      <w:pPr>
        <w:pStyle w:val="CaselawQuote"/>
        <w:spacing w:before="150" w:after="150"/>
        <w:ind w:left="1350"/>
        <w:jc w:val="left"/>
      </w:pPr>
      <w:r>
        <w:rPr>
          <w:rFonts w:ascii="Arial"/>
          <w:color w:val="000000"/>
          <w:sz w:val="22"/>
        </w:rPr>
        <w:t>(i)</w:t>
      </w:r>
      <w:r>
        <w:rPr>
          <w:rFonts w:ascii="Arial"/>
          <w:color w:val="000000"/>
          <w:sz w:val="22"/>
        </w:rPr>
        <w:t>   </w:t>
      </w:r>
      <w:r>
        <w:rPr>
          <w:rFonts w:ascii="Arial"/>
          <w:color w:val="000000"/>
          <w:sz w:val="22"/>
        </w:rPr>
        <w:t>the replacement of certifiers,</w:t>
      </w:r>
    </w:p>
    <w:p>
      <w:pPr>
        <w:pStyle w:val="CaselawQuote"/>
        <w:spacing w:before="150" w:after="150"/>
        <w:ind w:left="1350"/>
        <w:jc w:val="left"/>
      </w:pPr>
      <w:r>
        <w:rPr>
          <w:rFonts w:ascii="Arial"/>
          <w:color w:val="000000"/>
          <w:sz w:val="22"/>
        </w:rPr>
        <w:t>(j)</w:t>
      </w:r>
      <w:r>
        <w:rPr>
          <w:rFonts w:ascii="Arial"/>
          <w:color w:val="000000"/>
          <w:sz w:val="22"/>
        </w:rPr>
        <w:t>   </w:t>
      </w:r>
      <w:r>
        <w:rPr>
          <w:rFonts w:ascii="Arial"/>
          <w:color w:val="000000"/>
          <w:sz w:val="22"/>
        </w:rPr>
        <w:t>exemptions in relation to the requirement to obtain a certificate under this Part,</w:t>
      </w:r>
    </w:p>
    <w:p>
      <w:pPr>
        <w:pStyle w:val="CaselawQuote"/>
        <w:spacing w:before="150" w:after="150"/>
        <w:ind w:left="1350"/>
        <w:jc w:val="left"/>
      </w:pPr>
      <w:r>
        <w:rPr>
          <w:rFonts w:ascii="Arial"/>
          <w:color w:val="000000"/>
          <w:sz w:val="22"/>
        </w:rPr>
        <w:t>(k)</w:t>
      </w:r>
      <w:r>
        <w:rPr>
          <w:rFonts w:ascii="Arial"/>
          <w:color w:val="000000"/>
          <w:sz w:val="22"/>
        </w:rPr>
        <w:t>   </w:t>
      </w:r>
      <w:r>
        <w:rPr>
          <w:rFonts w:ascii="Arial"/>
          <w:color w:val="000000"/>
          <w:sz w:val="22"/>
        </w:rPr>
        <w:t>the keeping of records in relation to building work or subdivision work,</w:t>
      </w:r>
    </w:p>
    <w:p>
      <w:pPr>
        <w:pStyle w:val="CaselawQuote"/>
        <w:spacing w:before="150" w:after="150"/>
        <w:ind w:left="1350"/>
        <w:jc w:val="left"/>
      </w:pPr>
      <w:r>
        <w:rPr>
          <w:rFonts w:ascii="Arial"/>
          <w:color w:val="000000"/>
          <w:sz w:val="22"/>
        </w:rPr>
        <w:t>(l)</w:t>
      </w:r>
      <w:r>
        <w:rPr>
          <w:rFonts w:ascii="Arial"/>
          <w:color w:val="000000"/>
          <w:sz w:val="22"/>
        </w:rPr>
        <w:t>   </w:t>
      </w:r>
      <w:r>
        <w:rPr>
          <w:rFonts w:ascii="Arial"/>
          <w:color w:val="000000"/>
          <w:sz w:val="22"/>
        </w:rPr>
        <w:t>notices and information to be given in relation to the carrying out of building work and subdivision work,</w:t>
      </w:r>
    </w:p>
    <w:p>
      <w:pPr>
        <w:pStyle w:val="CaselawQuote"/>
        <w:spacing w:before="150" w:after="150"/>
        <w:ind w:left="1350"/>
        <w:jc w:val="left"/>
      </w:pPr>
      <w:r>
        <w:rPr>
          <w:rFonts w:ascii="Arial"/>
          <w:color w:val="000000"/>
          <w:sz w:val="22"/>
        </w:rPr>
        <w:t>(m)</w:t>
      </w:r>
      <w:r>
        <w:rPr>
          <w:rFonts w:ascii="Arial"/>
          <w:color w:val="000000"/>
          <w:sz w:val="22"/>
        </w:rPr>
        <w:t>   </w:t>
      </w:r>
      <w:r>
        <w:rPr>
          <w:rFonts w:ascii="Arial"/>
          <w:color w:val="000000"/>
          <w:sz w:val="22"/>
        </w:rPr>
        <w:t>the procedure for dealing with complaints about building work or subdivision work.</w:t>
      </w:r>
    </w:p>
    <w:p>
      <w:pPr>
        <w:pStyle w:val="CaselawQuote"/>
        <w:spacing w:before="150" w:after="150"/>
        <w:ind w:left="1350"/>
        <w:jc w:val="left"/>
      </w:pPr>
      <w:r>
        <w:rPr>
          <w:rFonts w:ascii="Arial"/>
          <w:color w:val="000000"/>
          <w:sz w:val="22"/>
        </w:rPr>
        <w:t>(2)</w:t>
      </w:r>
      <w:r>
        <w:rPr>
          <w:rFonts w:ascii="Arial"/>
          <w:color w:val="000000"/>
          <w:sz w:val="22"/>
        </w:rPr>
        <w:t>   </w:t>
      </w:r>
      <w:r>
        <w:rPr>
          <w:rFonts w:ascii="Arial"/>
          <w:color w:val="000000"/>
          <w:sz w:val="22"/>
        </w:rPr>
        <w:t>The regulations may apply the provisions of this Part to State significant infrastructure.</w:t>
      </w:r>
    </w:p>
    <w:p>
      <w:pPr>
        <w:pStyle w:val="CaselawNumbered10"/>
        <w:numPr>
          <w:ilvl w:val="0"/>
          <w:numId w:val="68"/>
        </w:numPr>
        <w:spacing w:before="150" w:after="0"/>
        <w:ind w:left="600" w:hanging="600"/>
      </w:pPr>
      <w:r>
        <w:rPr>
          <w:rFonts w:ascii="Arial"/>
          <w:color w:val="000000"/>
          <w:sz w:val="24"/>
        </w:rPr>
        <w:t>Division 9</w:t>
      </w:r>
      <w:r>
        <w:rPr>
          <w:rFonts w:ascii="Arial"/>
          <w:color w:val="000000"/>
          <w:sz w:val="24"/>
        </w:rPr>
        <w:t>.5</w:t>
      </w:r>
      <w:r>
        <w:rPr>
          <w:rFonts w:ascii="Arial"/>
          <w:color w:val="000000"/>
          <w:sz w:val="24"/>
        </w:rPr>
        <w:t xml:space="preserve">, </w:t>
      </w:r>
      <w:r>
        <w:rPr>
          <w:rFonts w:ascii="Arial"/>
          <w:color w:val="000000"/>
          <w:sz w:val="24"/>
        </w:rPr>
        <w:t xml:space="preserve">which is </w:t>
      </w:r>
      <w:r>
        <w:rPr>
          <w:rFonts w:ascii="Arial"/>
          <w:color w:val="000000"/>
          <w:sz w:val="24"/>
        </w:rPr>
        <w:t xml:space="preserve">headed </w:t>
      </w:r>
      <w:r>
        <w:rPr>
          <w:rFonts w:ascii="Arial"/>
          <w:color w:val="000000"/>
          <w:sz w:val="24"/>
        </w:rPr>
        <w:t>“</w:t>
      </w:r>
      <w:r>
        <w:rPr>
          <w:rFonts w:ascii="Arial"/>
          <w:color w:val="000000"/>
          <w:sz w:val="24"/>
        </w:rPr>
        <w:t>Civil Enforcement Proceedings</w:t>
      </w:r>
      <w:r>
        <w:rPr>
          <w:rFonts w:ascii="Arial"/>
          <w:color w:val="000000"/>
          <w:sz w:val="24"/>
        </w:rPr>
        <w:t>”</w:t>
      </w:r>
      <w:r>
        <w:rPr>
          <w:rFonts w:ascii="Arial"/>
          <w:color w:val="000000"/>
          <w:sz w:val="24"/>
        </w:rPr>
        <w:t>,</w:t>
      </w:r>
      <w:r>
        <w:rPr>
          <w:rFonts w:ascii="Arial"/>
          <w:color w:val="000000"/>
          <w:sz w:val="24"/>
        </w:rPr>
        <w:t xml:space="preserve"> </w:t>
      </w:r>
      <w:r>
        <w:rPr>
          <w:rFonts w:ascii="Arial"/>
          <w:color w:val="000000"/>
          <w:sz w:val="24"/>
        </w:rPr>
        <w:t>is important. Section 9.44, which illustrates the scope of the other provisions of Division 9</w:t>
      </w:r>
      <w:r>
        <w:rPr>
          <w:rFonts w:ascii="Arial"/>
          <w:color w:val="000000"/>
          <w:sz w:val="24"/>
        </w:rPr>
        <w:t>,</w:t>
      </w:r>
      <w:r>
        <w:rPr>
          <w:rFonts w:ascii="Arial"/>
          <w:color w:val="000000"/>
          <w:sz w:val="24"/>
        </w:rPr>
        <w:t xml:space="preserve"> </w:t>
      </w:r>
      <w:r>
        <w:rPr>
          <w:rFonts w:ascii="Arial"/>
          <w:color w:val="000000"/>
          <w:sz w:val="24"/>
        </w:rPr>
        <w:t>should be referred to. That section provides:</w:t>
      </w:r>
    </w:p>
    <w:p>
      <w:pPr>
        <w:pStyle w:val="CaselawQuote"/>
        <w:spacing w:before="150" w:after="150"/>
        <w:ind w:left="1350"/>
        <w:jc w:val="left"/>
      </w:pPr>
      <w:r>
        <w:rPr>
          <w:rFonts w:ascii="Arial"/>
          <w:b/>
          <w:color w:val="000000"/>
          <w:sz w:val="22"/>
        </w:rPr>
        <w:t>9.44</w:t>
      </w:r>
      <w:r>
        <w:rPr>
          <w:rFonts w:ascii="Arial"/>
          <w:color w:val="000000"/>
          <w:sz w:val="22"/>
        </w:rPr>
        <w:t xml:space="preserve"> </w:t>
      </w:r>
      <w:r>
        <w:rPr>
          <w:rFonts w:ascii="Arial"/>
          <w:b/>
          <w:color w:val="000000"/>
          <w:sz w:val="22"/>
        </w:rPr>
        <w:t>Definitions</w:t>
      </w:r>
      <w:r>
        <w:rPr>
          <w:rFonts w:ascii="Arial"/>
          <w:color w:val="000000"/>
          <w:sz w:val="22"/>
        </w:rPr>
        <w:t xml:space="preserve"> (</w:t>
      </w:r>
      <w:r>
        <w:rPr>
          <w:rFonts w:ascii="Arial"/>
          <w:color w:val="000000"/>
          <w:sz w:val="22"/>
        </w:rPr>
        <w:t>cf</w:t>
      </w:r>
      <w:r>
        <w:rPr>
          <w:rFonts w:ascii="Arial"/>
          <w:color w:val="000000"/>
          <w:sz w:val="22"/>
        </w:rPr>
        <w:t xml:space="preserve"> previous s 122)</w:t>
      </w:r>
    </w:p>
    <w:p>
      <w:pPr>
        <w:pStyle w:val="CaselawQuote"/>
        <w:spacing w:before="150" w:after="150"/>
        <w:ind w:left="1350"/>
        <w:jc w:val="left"/>
      </w:pPr>
      <w:r>
        <w:rPr>
          <w:rFonts w:ascii="Arial"/>
          <w:color w:val="000000"/>
          <w:sz w:val="22"/>
        </w:rPr>
        <w:t>In this Division—</w:t>
      </w:r>
    </w:p>
    <w:p>
      <w:pPr>
        <w:pStyle w:val="CaselawQuote"/>
        <w:spacing w:before="150" w:after="150"/>
        <w:ind w:left="1350"/>
        <w:jc w:val="left"/>
      </w:pPr>
      <w:r>
        <w:rPr>
          <w:rFonts w:ascii="Arial"/>
          <w:color w:val="000000"/>
          <w:sz w:val="22"/>
        </w:rPr>
        <w:t>(a)</w:t>
      </w:r>
      <w:r>
        <w:rPr>
          <w:rFonts w:ascii="Arial"/>
          <w:color w:val="000000"/>
          <w:sz w:val="22"/>
        </w:rPr>
        <w:t>   </w:t>
      </w:r>
      <w:r>
        <w:rPr>
          <w:rFonts w:ascii="Arial"/>
          <w:color w:val="000000"/>
          <w:sz w:val="22"/>
        </w:rPr>
        <w:t>a reference to a breach of this Act is a reference to—</w:t>
      </w:r>
    </w:p>
    <w:p>
      <w:pPr>
        <w:pStyle w:val="CaselawQuote0"/>
        <w:spacing w:before="150" w:after="150"/>
        <w:ind w:left="2100"/>
        <w:jc w:val="left"/>
      </w:pPr>
      <w:r>
        <w:rPr>
          <w:rFonts w:ascii="Arial"/>
          <w:color w:val="000000"/>
          <w:sz w:val="22"/>
        </w:rPr>
        <w:t>(i)</w:t>
      </w:r>
      <w:r>
        <w:rPr>
          <w:rFonts w:ascii="Arial"/>
          <w:color w:val="000000"/>
          <w:sz w:val="22"/>
        </w:rPr>
        <w:t>   </w:t>
      </w:r>
      <w:r>
        <w:rPr>
          <w:rFonts w:ascii="Arial"/>
          <w:color w:val="000000"/>
          <w:sz w:val="22"/>
        </w:rPr>
        <w:t>a contravention of or failure to comply with this Act, and</w:t>
      </w:r>
    </w:p>
    <w:p>
      <w:pPr>
        <w:pStyle w:val="CaselawQuote0"/>
        <w:spacing w:before="150" w:after="150"/>
        <w:ind w:left="2100"/>
        <w:jc w:val="left"/>
      </w:pPr>
      <w:r>
        <w:rPr>
          <w:rFonts w:ascii="Arial"/>
          <w:color w:val="000000"/>
          <w:sz w:val="22"/>
        </w:rPr>
        <w:t>(ii)</w:t>
      </w:r>
      <w:r>
        <w:rPr>
          <w:rFonts w:ascii="Arial"/>
          <w:color w:val="000000"/>
          <w:sz w:val="22"/>
        </w:rPr>
        <w:t>   </w:t>
      </w:r>
      <w:r>
        <w:rPr>
          <w:rFonts w:ascii="Arial"/>
          <w:color w:val="000000"/>
          <w:sz w:val="22"/>
        </w:rPr>
        <w:t>a threatened or an apprehended contravention of or a threatened or apprehended failure to comply with this Act, and</w:t>
      </w:r>
    </w:p>
    <w:p>
      <w:pPr>
        <w:pStyle w:val="CaselawQuote"/>
        <w:spacing w:before="150" w:after="150"/>
        <w:ind w:left="1350"/>
        <w:jc w:val="left"/>
      </w:pPr>
      <w:r>
        <w:rPr>
          <w:rFonts w:ascii="Arial"/>
          <w:color w:val="000000"/>
          <w:sz w:val="22"/>
        </w:rPr>
        <w:t>(b)</w:t>
      </w:r>
      <w:r>
        <w:rPr>
          <w:rFonts w:ascii="Arial"/>
          <w:color w:val="000000"/>
          <w:sz w:val="22"/>
        </w:rPr>
        <w:t>   </w:t>
      </w:r>
      <w:r>
        <w:rPr>
          <w:rFonts w:ascii="Arial"/>
          <w:color w:val="000000"/>
          <w:sz w:val="22"/>
        </w:rPr>
        <w:t>a reference to this Act includes a reference to the following—</w:t>
      </w:r>
    </w:p>
    <w:p>
      <w:pPr>
        <w:pStyle w:val="CaselawQuote0"/>
        <w:spacing w:before="150" w:after="150"/>
        <w:ind w:left="2100"/>
        <w:jc w:val="left"/>
      </w:pPr>
      <w:r>
        <w:rPr>
          <w:rFonts w:ascii="Arial"/>
          <w:color w:val="000000"/>
          <w:sz w:val="22"/>
        </w:rPr>
        <w:t>(i)</w:t>
      </w:r>
      <w:r>
        <w:rPr>
          <w:rFonts w:ascii="Arial"/>
          <w:color w:val="000000"/>
          <w:sz w:val="22"/>
        </w:rPr>
        <w:t>   </w:t>
      </w:r>
      <w:r>
        <w:rPr>
          <w:rFonts w:ascii="Arial"/>
          <w:color w:val="000000"/>
          <w:sz w:val="22"/>
        </w:rPr>
        <w:t>the regulations,</w:t>
      </w:r>
    </w:p>
    <w:p>
      <w:pPr>
        <w:pStyle w:val="CaselawQuote0"/>
        <w:spacing w:before="150" w:after="150"/>
        <w:ind w:left="2100"/>
        <w:jc w:val="left"/>
      </w:pPr>
      <w:r>
        <w:rPr>
          <w:rFonts w:ascii="Arial"/>
          <w:color w:val="000000"/>
          <w:sz w:val="22"/>
        </w:rPr>
        <w:t>(ii)</w:t>
      </w:r>
      <w:r>
        <w:rPr>
          <w:rFonts w:ascii="Arial"/>
          <w:color w:val="000000"/>
          <w:sz w:val="22"/>
        </w:rPr>
        <w:t>   </w:t>
      </w:r>
      <w:r>
        <w:rPr>
          <w:rFonts w:ascii="Arial"/>
          <w:color w:val="000000"/>
          <w:sz w:val="22"/>
        </w:rPr>
        <w:t>an environmental planning instrument,</w:t>
      </w:r>
    </w:p>
    <w:p>
      <w:pPr>
        <w:pStyle w:val="CaselawQuote0"/>
        <w:spacing w:before="150" w:after="150"/>
        <w:ind w:left="2100"/>
        <w:jc w:val="left"/>
      </w:pPr>
      <w:r>
        <w:rPr>
          <w:rFonts w:ascii="Arial"/>
          <w:color w:val="000000"/>
          <w:sz w:val="22"/>
        </w:rPr>
        <w:t>(iii)</w:t>
      </w:r>
      <w:r>
        <w:rPr>
          <w:rFonts w:ascii="Arial"/>
          <w:color w:val="000000"/>
          <w:sz w:val="22"/>
        </w:rPr>
        <w:t>   </w:t>
      </w:r>
      <w:r>
        <w:rPr>
          <w:rFonts w:ascii="Arial"/>
          <w:color w:val="000000"/>
          <w:sz w:val="22"/>
        </w:rPr>
        <w:t>a consent granted under this Act, including a condition subject to which a consent is granted,</w:t>
      </w:r>
    </w:p>
    <w:p>
      <w:pPr>
        <w:pStyle w:val="CaselawQuote0"/>
        <w:spacing w:before="150" w:after="150"/>
        <w:ind w:left="2100"/>
        <w:jc w:val="left"/>
      </w:pPr>
      <w:r>
        <w:rPr>
          <w:rFonts w:ascii="Arial"/>
          <w:color w:val="000000"/>
          <w:sz w:val="22"/>
        </w:rPr>
        <w:t>(iv)</w:t>
      </w:r>
      <w:r>
        <w:rPr>
          <w:rFonts w:ascii="Arial"/>
          <w:color w:val="000000"/>
          <w:sz w:val="22"/>
        </w:rPr>
        <w:t>   </w:t>
      </w:r>
      <w:r>
        <w:rPr>
          <w:rFonts w:ascii="Arial"/>
          <w:color w:val="000000"/>
          <w:sz w:val="22"/>
        </w:rPr>
        <w:t>a complying development certificate, including a condition subject to which a complying development certificate is granted,</w:t>
      </w:r>
    </w:p>
    <w:p>
      <w:pPr>
        <w:pStyle w:val="CaselawQuote0"/>
        <w:spacing w:before="150" w:after="150"/>
        <w:ind w:left="2100"/>
        <w:jc w:val="left"/>
      </w:pPr>
      <w:r>
        <w:rPr>
          <w:rFonts w:ascii="Arial"/>
          <w:color w:val="000000"/>
          <w:sz w:val="22"/>
        </w:rPr>
        <w:t>(v)</w:t>
      </w:r>
      <w:r>
        <w:rPr>
          <w:rFonts w:ascii="Arial"/>
          <w:color w:val="000000"/>
          <w:sz w:val="22"/>
        </w:rPr>
        <w:t>   </w:t>
      </w:r>
      <w:r>
        <w:rPr>
          <w:rFonts w:ascii="Arial"/>
          <w:color w:val="000000"/>
          <w:sz w:val="22"/>
        </w:rPr>
        <w:t>a development control order,</w:t>
      </w:r>
    </w:p>
    <w:p>
      <w:pPr>
        <w:pStyle w:val="CaselawQuote0"/>
        <w:spacing w:before="150" w:after="150"/>
        <w:ind w:left="2100"/>
        <w:jc w:val="left"/>
      </w:pPr>
      <w:r>
        <w:rPr>
          <w:rFonts w:ascii="Arial"/>
          <w:color w:val="000000"/>
          <w:sz w:val="22"/>
        </w:rPr>
        <w:t>(vi)</w:t>
      </w:r>
      <w:r>
        <w:rPr>
          <w:rFonts w:ascii="Arial"/>
          <w:color w:val="000000"/>
          <w:sz w:val="22"/>
        </w:rPr>
        <w:t>   </w:t>
      </w:r>
      <w:r>
        <w:rPr>
          <w:rFonts w:ascii="Arial"/>
          <w:color w:val="000000"/>
          <w:sz w:val="22"/>
        </w:rPr>
        <w:t>a planning agreement referred to in section 7.4.</w:t>
      </w:r>
    </w:p>
    <w:p>
      <w:pPr>
        <w:pStyle w:val="CaselawNumbered10"/>
        <w:numPr>
          <w:ilvl w:val="0"/>
          <w:numId w:val="69"/>
        </w:numPr>
        <w:spacing w:before="150" w:after="0"/>
        <w:ind w:left="600" w:hanging="600"/>
      </w:pPr>
      <w:r>
        <w:rPr>
          <w:rFonts w:ascii="Arial"/>
          <w:color w:val="000000"/>
          <w:sz w:val="24"/>
        </w:rPr>
        <w:t xml:space="preserve">Key provisions are </w:t>
      </w:r>
      <w:r>
        <w:rPr>
          <w:rFonts w:ascii="Arial"/>
          <w:color w:val="000000"/>
          <w:sz w:val="24"/>
        </w:rPr>
        <w:t>ss</w:t>
      </w:r>
      <w:r>
        <w:rPr>
          <w:rFonts w:ascii="Arial"/>
          <w:color w:val="000000"/>
          <w:sz w:val="24"/>
        </w:rPr>
        <w:t xml:space="preserve"> </w:t>
      </w:r>
      <w:r>
        <w:rPr>
          <w:rFonts w:ascii="Arial"/>
          <w:color w:val="000000"/>
          <w:sz w:val="24"/>
        </w:rPr>
        <w:t xml:space="preserve">9.45 and 9.46 of the </w:t>
      </w:r>
      <w:r>
        <w:rPr>
          <w:rFonts w:ascii="Arial"/>
          <w:color w:val="000000"/>
          <w:sz w:val="24"/>
        </w:rPr>
        <w:t xml:space="preserve">EPA Act </w:t>
      </w:r>
      <w:r>
        <w:rPr>
          <w:rFonts w:ascii="Arial"/>
          <w:color w:val="000000"/>
          <w:sz w:val="24"/>
        </w:rPr>
        <w:t xml:space="preserve">which </w:t>
      </w:r>
      <w:r>
        <w:rPr>
          <w:rFonts w:ascii="Arial"/>
          <w:color w:val="000000"/>
          <w:sz w:val="24"/>
        </w:rPr>
        <w:t>provide:</w:t>
      </w:r>
      <w:r>
        <w:rPr>
          <w:rFonts w:ascii="Arial"/>
          <w:color w:val="000000"/>
          <w:sz w:val="24"/>
        </w:rPr>
        <w:t xml:space="preserve"> </w:t>
      </w:r>
    </w:p>
    <w:p>
      <w:pPr>
        <w:pStyle w:val="CaselawQuote"/>
        <w:spacing w:before="150" w:after="150"/>
        <w:ind w:left="1350"/>
        <w:jc w:val="left"/>
      </w:pPr>
      <w:r>
        <w:rPr>
          <w:rFonts w:ascii="Arial"/>
          <w:b/>
          <w:color w:val="000000"/>
          <w:sz w:val="22"/>
        </w:rPr>
        <w:t>9.45</w:t>
      </w:r>
      <w:r>
        <w:rPr>
          <w:rFonts w:ascii="Arial"/>
          <w:color w:val="000000"/>
          <w:sz w:val="22"/>
        </w:rPr>
        <w:t xml:space="preserve"> </w:t>
      </w:r>
      <w:r>
        <w:rPr>
          <w:rFonts w:ascii="Arial"/>
          <w:b/>
          <w:color w:val="000000"/>
          <w:sz w:val="22"/>
        </w:rPr>
        <w:t>Restraint etc of breaches of this Act</w:t>
      </w:r>
      <w:r>
        <w:rPr>
          <w:rFonts w:ascii="Arial"/>
          <w:color w:val="000000"/>
          <w:sz w:val="22"/>
        </w:rPr>
        <w:t xml:space="preserve"> (</w:t>
      </w:r>
      <w:r>
        <w:rPr>
          <w:rFonts w:ascii="Arial"/>
          <w:color w:val="000000"/>
          <w:sz w:val="22"/>
        </w:rPr>
        <w:t>cf</w:t>
      </w:r>
      <w:r>
        <w:rPr>
          <w:rFonts w:ascii="Arial"/>
          <w:color w:val="000000"/>
          <w:sz w:val="22"/>
        </w:rPr>
        <w:t xml:space="preserve"> previous s 123)</w:t>
      </w:r>
    </w:p>
    <w:p>
      <w:pPr>
        <w:pStyle w:val="CaselawQuote"/>
        <w:spacing w:before="150" w:after="150"/>
        <w:ind w:left="1350"/>
        <w:jc w:val="left"/>
      </w:pPr>
      <w:r>
        <w:rPr>
          <w:rFonts w:ascii="Arial"/>
          <w:color w:val="000000"/>
          <w:sz w:val="22"/>
        </w:rPr>
        <w:t>(1)</w:t>
      </w:r>
      <w:r>
        <w:rPr>
          <w:rFonts w:ascii="Arial"/>
          <w:color w:val="000000"/>
          <w:sz w:val="22"/>
        </w:rPr>
        <w:t>   </w:t>
      </w:r>
      <w:r>
        <w:rPr>
          <w:rFonts w:ascii="Arial"/>
          <w:color w:val="000000"/>
          <w:sz w:val="22"/>
        </w:rPr>
        <w:t>Any person may bring proceedings in the Court for an order to remedy or restrain a breach of this Act, whether or not any right of that person has been or may be infringed by or as a consequence of that breach.</w:t>
      </w:r>
    </w:p>
    <w:p>
      <w:pPr>
        <w:pStyle w:val="CaselawQuote"/>
        <w:spacing w:before="150" w:after="150"/>
        <w:ind w:left="1350"/>
        <w:jc w:val="left"/>
      </w:pPr>
      <w:r>
        <w:rPr>
          <w:rFonts w:ascii="Arial"/>
          <w:color w:val="000000"/>
          <w:sz w:val="22"/>
        </w:rPr>
        <w:t>(2)</w:t>
      </w:r>
      <w:r>
        <w:rPr>
          <w:rFonts w:ascii="Arial"/>
          <w:color w:val="000000"/>
          <w:sz w:val="22"/>
        </w:rPr>
        <w:t>   </w:t>
      </w:r>
      <w:r>
        <w:rPr>
          <w:rFonts w:ascii="Arial"/>
          <w:color w:val="000000"/>
          <w:sz w:val="22"/>
        </w:rPr>
        <w:t>Proceedings under this section may be brought by a person on his or her own behalf or on behalf of himself or herself and on behalf of other persons (with their consent), or a body corporate or unincorporated (with the consent of its committee or other controlling or governing body), having like or common interests in those proceedings.</w:t>
      </w:r>
    </w:p>
    <w:p>
      <w:pPr>
        <w:pStyle w:val="CaselawQuote"/>
        <w:spacing w:before="150" w:after="150"/>
        <w:ind w:left="1350"/>
        <w:jc w:val="left"/>
      </w:pPr>
      <w:r>
        <w:rPr>
          <w:rFonts w:ascii="Arial"/>
          <w:color w:val="000000"/>
          <w:sz w:val="22"/>
        </w:rPr>
        <w:t>(3)</w:t>
      </w:r>
      <w:r>
        <w:rPr>
          <w:rFonts w:ascii="Arial"/>
          <w:color w:val="000000"/>
          <w:sz w:val="22"/>
        </w:rPr>
        <w:t>   </w:t>
      </w:r>
      <w:r>
        <w:rPr>
          <w:rFonts w:ascii="Arial"/>
          <w:color w:val="000000"/>
          <w:sz w:val="22"/>
        </w:rPr>
        <w:t>Any person on whose behalf proceedings are brought is entitled to contribute to or provide for the payment of the legal costs and expenses incurred by the person bringing the proceedings.</w:t>
      </w:r>
    </w:p>
    <w:p>
      <w:pPr>
        <w:pStyle w:val="CaselawQuote"/>
        <w:spacing w:before="150" w:after="150"/>
        <w:ind w:left="1350"/>
        <w:jc w:val="left"/>
      </w:pPr>
      <w:r>
        <w:rPr>
          <w:rFonts w:ascii="Arial"/>
          <w:color w:val="000000"/>
          <w:sz w:val="22"/>
        </w:rPr>
        <w:t>(4)</w:t>
      </w:r>
      <w:r>
        <w:rPr>
          <w:rFonts w:ascii="Arial"/>
          <w:color w:val="000000"/>
          <w:sz w:val="22"/>
        </w:rPr>
        <w:t>      </w:t>
      </w:r>
      <w:r>
        <w:rPr>
          <w:rFonts w:ascii="Arial"/>
          <w:color w:val="000000"/>
          <w:sz w:val="22"/>
        </w:rPr>
        <w:t>(Repealed)</w:t>
      </w:r>
    </w:p>
    <w:p>
      <w:pPr>
        <w:pStyle w:val="CaselawQuote"/>
        <w:spacing w:before="150" w:after="150"/>
        <w:ind w:left="1350"/>
        <w:jc w:val="left"/>
      </w:pPr>
      <w:r>
        <w:rPr>
          <w:rFonts w:ascii="Arial"/>
          <w:b/>
          <w:color w:val="000000"/>
          <w:sz w:val="22"/>
        </w:rPr>
        <w:t>9.46</w:t>
      </w:r>
      <w:r>
        <w:rPr>
          <w:rFonts w:ascii="Arial"/>
          <w:color w:val="000000"/>
          <w:sz w:val="22"/>
        </w:rPr>
        <w:t xml:space="preserve"> </w:t>
      </w:r>
      <w:r>
        <w:rPr>
          <w:rFonts w:ascii="Arial"/>
          <w:b/>
          <w:color w:val="000000"/>
          <w:sz w:val="22"/>
        </w:rPr>
        <w:t>Orders of the Court</w:t>
      </w:r>
      <w:r>
        <w:rPr>
          <w:rFonts w:ascii="Arial"/>
          <w:color w:val="000000"/>
          <w:sz w:val="22"/>
        </w:rPr>
        <w:t xml:space="preserve"> (</w:t>
      </w:r>
      <w:r>
        <w:rPr>
          <w:rFonts w:ascii="Arial"/>
          <w:color w:val="000000"/>
          <w:sz w:val="22"/>
        </w:rPr>
        <w:t>cf</w:t>
      </w:r>
      <w:r>
        <w:rPr>
          <w:rFonts w:ascii="Arial"/>
          <w:color w:val="000000"/>
          <w:sz w:val="22"/>
        </w:rPr>
        <w:t xml:space="preserve"> previous s 124)</w:t>
      </w:r>
    </w:p>
    <w:p>
      <w:pPr>
        <w:pStyle w:val="CaselawQuote"/>
        <w:spacing w:before="150" w:after="150"/>
        <w:ind w:left="1350"/>
        <w:jc w:val="left"/>
      </w:pPr>
      <w:r>
        <w:rPr>
          <w:rFonts w:ascii="Arial"/>
          <w:color w:val="000000"/>
          <w:sz w:val="22"/>
        </w:rPr>
        <w:t>(1)</w:t>
      </w:r>
      <w:r>
        <w:rPr>
          <w:rFonts w:ascii="Arial"/>
          <w:color w:val="000000"/>
          <w:sz w:val="22"/>
        </w:rPr>
        <w:t>   </w:t>
      </w:r>
      <w:r>
        <w:rPr>
          <w:rFonts w:ascii="Arial"/>
          <w:color w:val="000000"/>
          <w:sz w:val="22"/>
        </w:rPr>
        <w:t>Where the Court is satisfied that a breach of this Act has been committed or that a breach of this Act will, unless restrained by order of the Court, be committed, it may make such order as it thinks fit to remedy or restrain the breach.</w:t>
      </w:r>
    </w:p>
    <w:p>
      <w:pPr>
        <w:pStyle w:val="CaselawQuote"/>
        <w:spacing w:before="150" w:after="150"/>
        <w:ind w:left="1350"/>
        <w:jc w:val="left"/>
      </w:pPr>
      <w:r>
        <w:rPr>
          <w:rFonts w:ascii="Arial"/>
          <w:color w:val="000000"/>
          <w:sz w:val="22"/>
        </w:rPr>
        <w:t>(2)</w:t>
      </w:r>
      <w:r>
        <w:rPr>
          <w:rFonts w:ascii="Arial"/>
          <w:color w:val="000000"/>
          <w:sz w:val="22"/>
        </w:rPr>
        <w:t>   </w:t>
      </w:r>
      <w:r>
        <w:rPr>
          <w:rFonts w:ascii="Arial"/>
          <w:color w:val="000000"/>
          <w:sz w:val="22"/>
        </w:rPr>
        <w:t>Without limiting the powers of the Court under subsection (1), an order made under that subsection may—</w:t>
      </w:r>
    </w:p>
    <w:p>
      <w:pPr>
        <w:pStyle w:val="CaselawQuote0"/>
        <w:spacing w:before="150" w:after="150"/>
        <w:ind w:left="2100"/>
        <w:jc w:val="left"/>
      </w:pPr>
      <w:r>
        <w:rPr>
          <w:rFonts w:ascii="Arial"/>
          <w:color w:val="000000"/>
          <w:sz w:val="22"/>
        </w:rPr>
        <w:t>(a)</w:t>
      </w:r>
      <w:r>
        <w:rPr>
          <w:rFonts w:ascii="Arial"/>
          <w:color w:val="000000"/>
          <w:sz w:val="22"/>
        </w:rPr>
        <w:t>   </w:t>
      </w:r>
      <w:r>
        <w:rPr>
          <w:rFonts w:ascii="Arial"/>
          <w:color w:val="000000"/>
          <w:sz w:val="22"/>
        </w:rPr>
        <w:t>where the breach of this Act comprises a use of any building, work or land—restrain that use,</w:t>
      </w:r>
    </w:p>
    <w:p>
      <w:pPr>
        <w:pStyle w:val="CaselawQuote0"/>
        <w:spacing w:before="150" w:after="150"/>
        <w:ind w:left="2100"/>
        <w:jc w:val="left"/>
      </w:pPr>
      <w:r>
        <w:rPr>
          <w:rFonts w:ascii="Arial"/>
          <w:color w:val="000000"/>
          <w:sz w:val="22"/>
        </w:rPr>
        <w:t>(b)</w:t>
      </w:r>
      <w:r>
        <w:rPr>
          <w:rFonts w:ascii="Arial"/>
          <w:color w:val="000000"/>
          <w:sz w:val="22"/>
        </w:rPr>
        <w:t>   </w:t>
      </w:r>
      <w:r>
        <w:rPr>
          <w:rFonts w:ascii="Arial"/>
          <w:color w:val="000000"/>
          <w:sz w:val="22"/>
        </w:rPr>
        <w:t>where the breach of this Act comprises the erection of a building or the carrying out of a work—require the demolition or removal of that building or work, or</w:t>
      </w:r>
    </w:p>
    <w:p>
      <w:pPr>
        <w:pStyle w:val="CaselawQuote0"/>
        <w:spacing w:before="150" w:after="150"/>
        <w:ind w:left="2100"/>
        <w:jc w:val="left"/>
      </w:pPr>
      <w:r>
        <w:rPr>
          <w:rFonts w:ascii="Arial"/>
          <w:color w:val="000000"/>
          <w:sz w:val="22"/>
        </w:rPr>
        <w:t>(c)</w:t>
      </w:r>
      <w:r>
        <w:rPr>
          <w:rFonts w:ascii="Arial"/>
          <w:color w:val="000000"/>
          <w:sz w:val="22"/>
        </w:rPr>
        <w:t>   </w:t>
      </w:r>
      <w:r>
        <w:rPr>
          <w:rFonts w:ascii="Arial"/>
          <w:color w:val="000000"/>
          <w:sz w:val="22"/>
        </w:rPr>
        <w:t>where the breach of this Act has the effect of altering the condition or state of any building, work or land—require the reinstatement, so far as is practicable, of that building, work or land to the condition or state the building, work or land was in immediately before the breach was committed.</w:t>
      </w:r>
    </w:p>
    <w:p>
      <w:pPr>
        <w:pStyle w:val="CaselawQuote"/>
        <w:spacing w:before="150" w:after="150"/>
        <w:ind w:left="1350"/>
        <w:jc w:val="left"/>
      </w:pPr>
      <w:r>
        <w:rPr>
          <w:rFonts w:ascii="Arial"/>
          <w:color w:val="000000"/>
          <w:sz w:val="22"/>
        </w:rPr>
        <w:t>(3)</w:t>
      </w:r>
      <w:r>
        <w:rPr>
          <w:rFonts w:ascii="Arial"/>
          <w:color w:val="000000"/>
          <w:sz w:val="22"/>
        </w:rPr>
        <w:t>   </w:t>
      </w:r>
      <w:r>
        <w:rPr>
          <w:rFonts w:ascii="Arial"/>
          <w:color w:val="000000"/>
          <w:sz w:val="22"/>
        </w:rPr>
        <w:t>Where a breach of this Act would not have been committed but for the failure to obtain a consent under Part 4, the Court, upon application being made by the defendant, may—</w:t>
      </w:r>
    </w:p>
    <w:p>
      <w:pPr>
        <w:pStyle w:val="CaselawQuote0"/>
        <w:spacing w:before="150" w:after="150"/>
        <w:ind w:left="2100"/>
        <w:jc w:val="left"/>
      </w:pPr>
      <w:r>
        <w:rPr>
          <w:rFonts w:ascii="Arial"/>
          <w:color w:val="000000"/>
          <w:sz w:val="22"/>
        </w:rPr>
        <w:t>(a)</w:t>
      </w:r>
      <w:r>
        <w:rPr>
          <w:rFonts w:ascii="Arial"/>
          <w:color w:val="000000"/>
          <w:sz w:val="22"/>
        </w:rPr>
        <w:t>   </w:t>
      </w:r>
      <w:r>
        <w:rPr>
          <w:rFonts w:ascii="Arial"/>
          <w:color w:val="000000"/>
          <w:sz w:val="22"/>
        </w:rPr>
        <w:t>adjourn the proceedings to enable a development application to be made under Part 4 to obtain that consent, and</w:t>
      </w:r>
    </w:p>
    <w:p>
      <w:pPr>
        <w:pStyle w:val="CaselawQuote0"/>
        <w:spacing w:before="150" w:after="150"/>
        <w:ind w:left="2100"/>
        <w:jc w:val="left"/>
      </w:pPr>
      <w:r>
        <w:rPr>
          <w:rFonts w:ascii="Arial"/>
          <w:color w:val="000000"/>
          <w:sz w:val="22"/>
        </w:rPr>
        <w:t>(b)</w:t>
      </w:r>
      <w:r>
        <w:rPr>
          <w:rFonts w:ascii="Arial"/>
          <w:color w:val="000000"/>
          <w:sz w:val="22"/>
        </w:rPr>
        <w:t>   </w:t>
      </w:r>
      <w:r>
        <w:rPr>
          <w:rFonts w:ascii="Arial"/>
          <w:color w:val="000000"/>
          <w:sz w:val="22"/>
        </w:rPr>
        <w:t>in its discretion, by interlocutory order, restrain the continuance of the commission of the breach while the proceedings are adjourned.</w:t>
      </w:r>
    </w:p>
    <w:p>
      <w:pPr>
        <w:pStyle w:val="CaselawQuote"/>
        <w:spacing w:before="150" w:after="150"/>
        <w:ind w:left="1350"/>
        <w:jc w:val="left"/>
      </w:pPr>
      <w:r>
        <w:rPr>
          <w:rFonts w:ascii="Arial"/>
          <w:color w:val="000000"/>
          <w:sz w:val="22"/>
        </w:rPr>
        <w:t>(4)</w:t>
      </w:r>
      <w:r>
        <w:rPr>
          <w:rFonts w:ascii="Arial"/>
          <w:color w:val="000000"/>
          <w:sz w:val="22"/>
        </w:rPr>
        <w:t>   </w:t>
      </w:r>
      <w:r>
        <w:rPr>
          <w:rFonts w:ascii="Arial"/>
          <w:color w:val="000000"/>
          <w:sz w:val="22"/>
        </w:rPr>
        <w:t>The functions of the Court under this Division are in addition to and not in derogation from any other functions of the Court.</w:t>
      </w:r>
    </w:p>
    <w:p>
      <w:pPr>
        <w:pStyle w:val="CaselawQuote"/>
        <w:spacing w:before="150" w:after="150"/>
        <w:ind w:left="1350"/>
        <w:jc w:val="left"/>
      </w:pPr>
      <w:r>
        <w:rPr>
          <w:rFonts w:ascii="Arial"/>
          <w:color w:val="000000"/>
          <w:sz w:val="22"/>
        </w:rPr>
        <w:t>(5)</w:t>
      </w:r>
      <w:r>
        <w:rPr>
          <w:rFonts w:ascii="Arial"/>
          <w:color w:val="000000"/>
          <w:sz w:val="22"/>
        </w:rPr>
        <w:t>   </w:t>
      </w:r>
      <w:r>
        <w:rPr>
          <w:rFonts w:ascii="Arial"/>
          <w:color w:val="000000"/>
          <w:sz w:val="22"/>
        </w:rPr>
        <w:t>Nothing in this section affects the provisions of Division 3 of Part 3 of the</w:t>
      </w:r>
      <w:r>
        <w:rPr>
          <w:rFonts w:ascii="Arial"/>
          <w:color w:val="000000"/>
          <w:sz w:val="22"/>
        </w:rPr>
        <w:t xml:space="preserve"> </w:t>
      </w:r>
      <w:r>
        <w:rPr>
          <w:rFonts w:ascii="Arial"/>
          <w:i/>
          <w:color w:val="000000"/>
          <w:sz w:val="22"/>
        </w:rPr>
        <w:t>Land and Environment Court Act 1979</w:t>
      </w:r>
      <w:r>
        <w:rPr>
          <w:rFonts w:ascii="Arial"/>
          <w:color w:val="000000"/>
          <w:sz w:val="22"/>
        </w:rPr>
        <w:t>.</w:t>
      </w:r>
    </w:p>
    <w:p>
      <w:pPr>
        <w:pStyle w:val="CaselawNumbered10"/>
        <w:numPr>
          <w:ilvl w:val="0"/>
          <w:numId w:val="70"/>
        </w:numPr>
        <w:spacing w:before="150" w:after="0"/>
        <w:ind w:left="600" w:hanging="600"/>
      </w:pPr>
      <w:r>
        <w:rPr>
          <w:rFonts w:ascii="Arial"/>
          <w:color w:val="000000"/>
          <w:sz w:val="24"/>
        </w:rPr>
        <w:t>A</w:t>
      </w:r>
      <w:r>
        <w:rPr>
          <w:rFonts w:ascii="Arial"/>
          <w:color w:val="000000"/>
          <w:sz w:val="24"/>
        </w:rPr>
        <w:t>s</w:t>
      </w:r>
      <w:r>
        <w:rPr>
          <w:rFonts w:ascii="Arial"/>
          <w:color w:val="000000"/>
          <w:sz w:val="24"/>
        </w:rPr>
        <w:t xml:space="preserve"> </w:t>
      </w:r>
      <w:r>
        <w:rPr>
          <w:rFonts w:ascii="Arial"/>
          <w:color w:val="000000"/>
          <w:sz w:val="24"/>
        </w:rPr>
        <w:t>B</w:t>
      </w:r>
      <w:r>
        <w:rPr>
          <w:rFonts w:ascii="Arial"/>
          <w:color w:val="000000"/>
          <w:sz w:val="24"/>
        </w:rPr>
        <w:t>as</w:t>
      </w:r>
      <w:r>
        <w:rPr>
          <w:rFonts w:ascii="Arial"/>
          <w:color w:val="000000"/>
          <w:sz w:val="24"/>
        </w:rPr>
        <w:t>ten</w:t>
      </w:r>
      <w:r>
        <w:rPr>
          <w:rFonts w:ascii="Arial"/>
          <w:color w:val="000000"/>
          <w:sz w:val="24"/>
        </w:rPr>
        <w:t xml:space="preserve"> </w:t>
      </w:r>
      <w:r>
        <w:rPr>
          <w:rFonts w:ascii="Arial"/>
          <w:color w:val="000000"/>
          <w:sz w:val="24"/>
        </w:rPr>
        <w:t xml:space="preserve">JA explained in </w:t>
      </w:r>
      <w:r>
        <w:rPr>
          <w:rFonts w:ascii="Arial"/>
          <w:i/>
          <w:color w:val="000000"/>
          <w:sz w:val="24"/>
        </w:rPr>
        <w:t xml:space="preserve">Moorebank Recyclers Pty Ltd v </w:t>
      </w:r>
      <w:r>
        <w:rPr>
          <w:rFonts w:ascii="Arial"/>
          <w:i/>
          <w:color w:val="000000"/>
          <w:sz w:val="24"/>
        </w:rPr>
        <w:t>T</w:t>
      </w:r>
      <w:r>
        <w:rPr>
          <w:rFonts w:ascii="Arial"/>
          <w:i/>
          <w:color w:val="000000"/>
          <w:sz w:val="24"/>
        </w:rPr>
        <w:t>a</w:t>
      </w:r>
      <w:r>
        <w:rPr>
          <w:rFonts w:ascii="Arial"/>
          <w:i/>
          <w:color w:val="000000"/>
          <w:sz w:val="24"/>
        </w:rPr>
        <w:t>nlane</w:t>
      </w:r>
      <w:r>
        <w:rPr>
          <w:rFonts w:ascii="Arial"/>
          <w:i/>
          <w:color w:val="000000"/>
          <w:sz w:val="24"/>
        </w:rPr>
        <w:t xml:space="preserve"> Pty Ltd </w:t>
      </w:r>
      <w:r>
        <w:rPr>
          <w:rFonts w:ascii="Arial"/>
          <w:color w:val="000000"/>
          <w:sz w:val="24"/>
        </w:rPr>
        <w:t>[2018] NSWCA 304</w:t>
      </w:r>
      <w:r>
        <w:rPr>
          <w:rFonts w:ascii="Arial"/>
          <w:color w:val="000000"/>
          <w:sz w:val="24"/>
        </w:rPr>
        <w:t xml:space="preserve">, s </w:t>
      </w:r>
      <w:r>
        <w:rPr>
          <w:rFonts w:ascii="Arial"/>
          <w:color w:val="000000"/>
          <w:sz w:val="24"/>
        </w:rPr>
        <w:t xml:space="preserve">9.45 (which was s </w:t>
      </w:r>
      <w:r>
        <w:rPr>
          <w:rFonts w:ascii="Arial"/>
          <w:color w:val="000000"/>
          <w:sz w:val="24"/>
        </w:rPr>
        <w:t>123</w:t>
      </w:r>
      <w:r>
        <w:rPr>
          <w:rFonts w:ascii="Arial"/>
          <w:color w:val="000000"/>
          <w:sz w:val="24"/>
        </w:rPr>
        <w:t xml:space="preserve"> </w:t>
      </w:r>
      <w:r>
        <w:rPr>
          <w:rFonts w:ascii="Arial"/>
          <w:color w:val="000000"/>
          <w:sz w:val="24"/>
        </w:rPr>
        <w:t xml:space="preserve">before it was renumbered) </w:t>
      </w:r>
      <w:r>
        <w:rPr>
          <w:rFonts w:ascii="Arial"/>
          <w:color w:val="000000"/>
          <w:sz w:val="24"/>
        </w:rPr>
        <w:t xml:space="preserve">has two purposes: first, it is an open standing provision which permits </w:t>
      </w:r>
      <w:r>
        <w:rPr>
          <w:rFonts w:ascii="Arial"/>
          <w:color w:val="000000"/>
          <w:sz w:val="24"/>
        </w:rPr>
        <w:t>“</w:t>
      </w:r>
      <w:r>
        <w:rPr>
          <w:rFonts w:ascii="Arial"/>
          <w:color w:val="000000"/>
          <w:sz w:val="24"/>
        </w:rPr>
        <w:t>[a]</w:t>
      </w:r>
      <w:r>
        <w:rPr>
          <w:rFonts w:ascii="Arial"/>
          <w:color w:val="000000"/>
          <w:sz w:val="24"/>
        </w:rPr>
        <w:t>ny</w:t>
      </w:r>
      <w:r>
        <w:rPr>
          <w:rFonts w:ascii="Arial"/>
          <w:color w:val="000000"/>
          <w:sz w:val="24"/>
        </w:rPr>
        <w:t xml:space="preserve"> </w:t>
      </w:r>
      <w:r>
        <w:rPr>
          <w:rFonts w:ascii="Arial"/>
          <w:color w:val="000000"/>
          <w:sz w:val="24"/>
        </w:rPr>
        <w:t>person</w:t>
      </w:r>
      <w:r>
        <w:rPr>
          <w:rFonts w:ascii="Arial"/>
          <w:color w:val="000000"/>
          <w:sz w:val="24"/>
        </w:rPr>
        <w:t>”</w:t>
      </w:r>
      <w:r>
        <w:rPr>
          <w:rFonts w:ascii="Arial"/>
          <w:color w:val="000000"/>
          <w:sz w:val="24"/>
        </w:rPr>
        <w:t xml:space="preserve"> </w:t>
      </w:r>
      <w:r>
        <w:rPr>
          <w:rFonts w:ascii="Arial"/>
          <w:color w:val="000000"/>
          <w:sz w:val="24"/>
        </w:rPr>
        <w:t xml:space="preserve">to bring proceedings to remedy or restrain a breach of the </w:t>
      </w:r>
      <w:r>
        <w:rPr>
          <w:rFonts w:ascii="Arial"/>
          <w:color w:val="000000"/>
          <w:sz w:val="24"/>
        </w:rPr>
        <w:t xml:space="preserve">EPA </w:t>
      </w:r>
      <w:r>
        <w:rPr>
          <w:rFonts w:ascii="Arial"/>
          <w:color w:val="000000"/>
          <w:sz w:val="24"/>
        </w:rPr>
        <w:t xml:space="preserve">Act, whether or not that person has a right which has been infringed. Secondly, it confers jurisdiction on the Land and Environment Court to hear and determine such proceedings. Section </w:t>
      </w:r>
      <w:r>
        <w:rPr>
          <w:rFonts w:ascii="Arial"/>
          <w:color w:val="000000"/>
          <w:sz w:val="24"/>
        </w:rPr>
        <w:t>9.46 (which was s 124 before it was renumbered)</w:t>
      </w:r>
      <w:r>
        <w:rPr>
          <w:rFonts w:ascii="Arial"/>
          <w:color w:val="000000"/>
          <w:sz w:val="24"/>
        </w:rPr>
        <w:t xml:space="preserve"> </w:t>
      </w:r>
      <w:r>
        <w:rPr>
          <w:rFonts w:ascii="Arial"/>
          <w:color w:val="000000"/>
          <w:sz w:val="24"/>
        </w:rPr>
        <w:t xml:space="preserve">confers power on the Land and Environment Court to provide relief </w:t>
      </w:r>
      <w:r>
        <w:rPr>
          <w:rFonts w:ascii="Arial"/>
          <w:color w:val="000000"/>
          <w:sz w:val="24"/>
        </w:rPr>
        <w:t xml:space="preserve">no </w:t>
      </w:r>
      <w:r>
        <w:rPr>
          <w:rFonts w:ascii="Arial"/>
          <w:color w:val="000000"/>
          <w:sz w:val="24"/>
        </w:rPr>
        <w:t xml:space="preserve">more particularly identified than simply by reference to </w:t>
      </w:r>
      <w:r>
        <w:rPr>
          <w:rFonts w:ascii="Arial"/>
          <w:color w:val="000000"/>
          <w:sz w:val="24"/>
        </w:rPr>
        <w:t>“</w:t>
      </w:r>
      <w:r>
        <w:rPr>
          <w:rFonts w:ascii="Arial"/>
          <w:color w:val="000000"/>
          <w:sz w:val="24"/>
        </w:rPr>
        <w:t>an order to remedy or restrain a breach</w:t>
      </w:r>
      <w:r>
        <w:rPr>
          <w:rFonts w:ascii="Arial"/>
          <w:color w:val="000000"/>
          <w:sz w:val="24"/>
        </w:rPr>
        <w:t>”</w:t>
      </w:r>
      <w:r>
        <w:rPr>
          <w:rFonts w:ascii="Arial"/>
          <w:color w:val="000000"/>
          <w:sz w:val="24"/>
        </w:rPr>
        <w:t xml:space="preserve">, which had been the submission made in that case. His Honour was not, contrary to a submission made by the Council in the present case, stating that orders under s 9.46 could be made </w:t>
      </w:r>
      <w:r>
        <w:rPr>
          <w:rFonts w:ascii="Arial"/>
          <w:color w:val="000000"/>
          <w:sz w:val="24"/>
        </w:rPr>
        <w:t xml:space="preserve">to address the jurisdiction conferred by </w:t>
      </w:r>
      <w:r>
        <w:rPr>
          <w:rFonts w:ascii="Arial"/>
          <w:color w:val="000000"/>
          <w:sz w:val="24"/>
        </w:rPr>
        <w:t xml:space="preserve">s 20(2) of the </w:t>
      </w:r>
      <w:r>
        <w:rPr>
          <w:rFonts w:ascii="Arial"/>
          <w:i/>
          <w:color w:val="000000"/>
          <w:sz w:val="24"/>
        </w:rPr>
        <w:t>Land and Environment Court Act</w:t>
      </w:r>
      <w:r>
        <w:rPr>
          <w:rFonts w:ascii="Arial"/>
          <w:color w:val="000000"/>
          <w:sz w:val="24"/>
        </w:rPr>
        <w:t>.</w:t>
      </w:r>
      <w:r>
        <w:rPr>
          <w:rFonts w:ascii="Arial"/>
          <w:color w:val="000000"/>
          <w:sz w:val="24"/>
        </w:rPr>
        <w:t xml:space="preserve"> </w:t>
      </w:r>
    </w:p>
    <w:p>
      <w:pPr>
        <w:pStyle w:val="CaselawNumbered10"/>
        <w:numPr>
          <w:ilvl w:val="0"/>
          <w:numId w:val="70"/>
        </w:numPr>
        <w:spacing w:before="150" w:after="0"/>
        <w:ind w:left="600" w:hanging="600"/>
      </w:pPr>
      <w:r>
        <w:rPr>
          <w:rFonts w:ascii="Arial"/>
          <w:color w:val="000000"/>
          <w:sz w:val="24"/>
        </w:rPr>
        <w:t xml:space="preserve">Section 20(2) </w:t>
      </w:r>
      <w:r>
        <w:rPr>
          <w:rFonts w:ascii="Arial"/>
          <w:color w:val="000000"/>
          <w:sz w:val="24"/>
        </w:rPr>
        <w:t xml:space="preserve">of the </w:t>
      </w:r>
      <w:r>
        <w:rPr>
          <w:rFonts w:ascii="Arial"/>
          <w:i/>
          <w:color w:val="000000"/>
          <w:sz w:val="24"/>
        </w:rPr>
        <w:t xml:space="preserve">Land and Environment Court Act </w:t>
      </w:r>
      <w:r>
        <w:rPr>
          <w:rFonts w:ascii="Arial"/>
          <w:color w:val="000000"/>
          <w:sz w:val="24"/>
        </w:rPr>
        <w:t>provides</w:t>
      </w:r>
      <w:r>
        <w:rPr>
          <w:rFonts w:ascii="Arial"/>
          <w:color w:val="000000"/>
          <w:sz w:val="24"/>
        </w:rPr>
        <w:t>:</w:t>
      </w:r>
    </w:p>
    <w:p>
      <w:pPr>
        <w:pStyle w:val="CaselawQuote"/>
        <w:spacing w:before="150" w:after="150"/>
        <w:ind w:left="1350"/>
        <w:jc w:val="left"/>
      </w:pPr>
      <w:r>
        <w:rPr>
          <w:rFonts w:ascii="Arial"/>
          <w:color w:val="000000"/>
          <w:sz w:val="22"/>
        </w:rPr>
        <w:t>The Court has the same civil jurisdiction as the Supreme Court would, but for section 71, have to hear and dispose of the following proceedings—</w:t>
      </w:r>
    </w:p>
    <w:p>
      <w:pPr>
        <w:pStyle w:val="CaselawQuote"/>
        <w:spacing w:before="150" w:after="150"/>
        <w:ind w:left="1350"/>
        <w:jc w:val="left"/>
      </w:pPr>
      <w:r>
        <w:rPr>
          <w:rFonts w:ascii="Arial"/>
          <w:color w:val="000000"/>
          <w:sz w:val="22"/>
        </w:rPr>
        <w:t>(a)</w:t>
      </w:r>
      <w:r>
        <w:rPr>
          <w:rFonts w:ascii="Arial"/>
          <w:color w:val="000000"/>
          <w:sz w:val="22"/>
        </w:rPr>
        <w:t>   </w:t>
      </w:r>
      <w:r>
        <w:rPr>
          <w:rFonts w:ascii="Arial"/>
          <w:color w:val="000000"/>
          <w:sz w:val="22"/>
        </w:rPr>
        <w:t>to enforce any right, obligation or duty conferred or imposed by a planning or environmental law, a development contract or a strata renewal plan,</w:t>
      </w:r>
    </w:p>
    <w:p>
      <w:pPr>
        <w:pStyle w:val="CaselawQuote"/>
        <w:spacing w:before="150" w:after="150"/>
        <w:ind w:left="1350"/>
        <w:jc w:val="left"/>
      </w:pPr>
      <w:r>
        <w:rPr>
          <w:rFonts w:ascii="Arial"/>
          <w:color w:val="000000"/>
          <w:sz w:val="22"/>
        </w:rPr>
        <w:t>(b)</w:t>
      </w:r>
      <w:r>
        <w:rPr>
          <w:rFonts w:ascii="Arial"/>
          <w:color w:val="000000"/>
          <w:sz w:val="22"/>
        </w:rPr>
        <w:t>   </w:t>
      </w:r>
      <w:r>
        <w:rPr>
          <w:rFonts w:ascii="Arial"/>
          <w:color w:val="000000"/>
          <w:sz w:val="22"/>
        </w:rPr>
        <w:t>to review, or command, the exercise of a function conferred or imposed by a planning or environmental law, a development contract or a strata renewal plan,</w:t>
      </w:r>
    </w:p>
    <w:p>
      <w:pPr>
        <w:pStyle w:val="CaselawQuote"/>
        <w:spacing w:before="150" w:after="150"/>
        <w:ind w:left="1350"/>
        <w:jc w:val="left"/>
      </w:pPr>
      <w:r>
        <w:rPr>
          <w:rFonts w:ascii="Arial"/>
          <w:color w:val="000000"/>
          <w:sz w:val="22"/>
        </w:rPr>
        <w:t>(c)</w:t>
      </w:r>
      <w:r>
        <w:rPr>
          <w:rFonts w:ascii="Arial"/>
          <w:color w:val="000000"/>
          <w:sz w:val="22"/>
        </w:rPr>
        <w:t>   </w:t>
      </w:r>
      <w:r>
        <w:rPr>
          <w:rFonts w:ascii="Arial"/>
          <w:color w:val="000000"/>
          <w:sz w:val="22"/>
        </w:rPr>
        <w:t>to make declarations of right in relation to any such right, obligation or duty or the exercise of any such function,</w:t>
      </w:r>
    </w:p>
    <w:p>
      <w:pPr>
        <w:pStyle w:val="CaselawQuote"/>
        <w:spacing w:before="150" w:after="150"/>
        <w:ind w:left="1350"/>
        <w:jc w:val="left"/>
      </w:pPr>
      <w:r>
        <w:rPr>
          <w:rFonts w:ascii="Arial"/>
          <w:color w:val="000000"/>
          <w:sz w:val="22"/>
        </w:rPr>
        <w:t>(d)</w:t>
      </w:r>
      <w:r>
        <w:rPr>
          <w:rFonts w:ascii="Arial"/>
          <w:color w:val="000000"/>
          <w:sz w:val="22"/>
        </w:rPr>
        <w:t>   </w:t>
      </w:r>
      <w:r>
        <w:rPr>
          <w:rFonts w:ascii="Arial"/>
          <w:color w:val="000000"/>
          <w:sz w:val="22"/>
        </w:rPr>
        <w:t>whether or not as provided by section 68 of the Supreme Court Act 1970—to award damages for a breach of a development contract.</w:t>
      </w:r>
    </w:p>
    <w:p>
      <w:pPr>
        <w:pStyle w:val="CaselawNumbered10"/>
        <w:numPr>
          <w:ilvl w:val="0"/>
          <w:numId w:val="71"/>
        </w:numPr>
        <w:spacing w:before="150" w:after="0"/>
        <w:ind w:left="600" w:hanging="600"/>
      </w:pPr>
      <w:r>
        <w:rPr>
          <w:rFonts w:ascii="Arial"/>
          <w:color w:val="000000"/>
          <w:sz w:val="24"/>
        </w:rPr>
        <w:t xml:space="preserve">Section 20(2) </w:t>
      </w:r>
      <w:r>
        <w:rPr>
          <w:rFonts w:ascii="Arial"/>
          <w:color w:val="000000"/>
          <w:sz w:val="24"/>
        </w:rPr>
        <w:t xml:space="preserve">of the </w:t>
      </w:r>
      <w:r>
        <w:rPr>
          <w:rFonts w:ascii="Arial"/>
          <w:i/>
          <w:color w:val="000000"/>
          <w:sz w:val="24"/>
        </w:rPr>
        <w:t>Land and Environment Court Act</w:t>
      </w:r>
      <w:r>
        <w:rPr>
          <w:rFonts w:ascii="Arial"/>
          <w:color w:val="000000"/>
          <w:sz w:val="24"/>
        </w:rPr>
        <w:t xml:space="preserve"> </w:t>
      </w:r>
      <w:r>
        <w:rPr>
          <w:rFonts w:ascii="Arial"/>
          <w:color w:val="000000"/>
          <w:sz w:val="24"/>
        </w:rPr>
        <w:t xml:space="preserve">provides a judicial review jurisdiction </w:t>
      </w:r>
      <w:r>
        <w:rPr>
          <w:rFonts w:ascii="Arial"/>
          <w:color w:val="000000"/>
          <w:sz w:val="24"/>
        </w:rPr>
        <w:t xml:space="preserve">in relation to </w:t>
      </w:r>
      <w:r>
        <w:rPr>
          <w:rFonts w:ascii="Arial"/>
          <w:color w:val="000000"/>
          <w:sz w:val="24"/>
        </w:rPr>
        <w:t xml:space="preserve">rights and functions </w:t>
      </w:r>
      <w:r>
        <w:rPr>
          <w:rFonts w:ascii="Arial"/>
          <w:color w:val="000000"/>
          <w:sz w:val="24"/>
        </w:rPr>
        <w:t>“</w:t>
      </w:r>
      <w:r>
        <w:rPr>
          <w:rFonts w:ascii="Arial"/>
          <w:color w:val="000000"/>
          <w:sz w:val="24"/>
        </w:rPr>
        <w:t>conferred or imposed by a planning or environmental law, a development contract or a strata renewal plan</w:t>
      </w:r>
      <w:r>
        <w:rPr>
          <w:rFonts w:ascii="Arial"/>
          <w:color w:val="000000"/>
          <w:sz w:val="24"/>
        </w:rPr>
        <w:t>”</w:t>
      </w:r>
      <w:r>
        <w:rPr>
          <w:rFonts w:ascii="Arial"/>
          <w:color w:val="000000"/>
          <w:sz w:val="24"/>
        </w:rPr>
        <w:t xml:space="preserve">. This jurisdiction </w:t>
      </w:r>
      <w:r>
        <w:rPr>
          <w:rFonts w:ascii="Arial"/>
          <w:color w:val="000000"/>
          <w:sz w:val="24"/>
        </w:rPr>
        <w:t xml:space="preserve">engages </w:t>
      </w:r>
      <w:r>
        <w:rPr>
          <w:rFonts w:ascii="Arial"/>
          <w:color w:val="000000"/>
          <w:sz w:val="24"/>
        </w:rPr>
        <w:t xml:space="preserve">an equivalent jurisdiction to that </w:t>
      </w:r>
      <w:r>
        <w:rPr>
          <w:rFonts w:ascii="Arial"/>
          <w:color w:val="000000"/>
          <w:sz w:val="24"/>
        </w:rPr>
        <w:t>conferred by</w:t>
      </w:r>
      <w:r>
        <w:rPr>
          <w:rFonts w:ascii="Arial"/>
          <w:color w:val="000000"/>
          <w:sz w:val="24"/>
        </w:rPr>
        <w:t xml:space="preserve"> </w:t>
      </w:r>
      <w:r>
        <w:rPr>
          <w:rFonts w:ascii="Arial"/>
          <w:color w:val="000000"/>
          <w:sz w:val="24"/>
        </w:rPr>
        <w:t xml:space="preserve">s 69 of the </w:t>
      </w:r>
      <w:r>
        <w:rPr>
          <w:rFonts w:ascii="Arial"/>
          <w:i/>
          <w:color w:val="000000"/>
          <w:sz w:val="24"/>
        </w:rPr>
        <w:t>Supreme Court Act 1970</w:t>
      </w:r>
      <w:r>
        <w:rPr>
          <w:rFonts w:ascii="Arial"/>
          <w:color w:val="000000"/>
          <w:sz w:val="24"/>
        </w:rPr>
        <w:t xml:space="preserve"> </w:t>
      </w:r>
      <w:r>
        <w:rPr>
          <w:rFonts w:ascii="Arial"/>
          <w:color w:val="000000"/>
          <w:sz w:val="24"/>
        </w:rPr>
        <w:t>(NSW)</w:t>
      </w:r>
      <w:r>
        <w:rPr>
          <w:rFonts w:ascii="Arial"/>
          <w:color w:val="000000"/>
          <w:sz w:val="24"/>
        </w:rPr>
        <w:t xml:space="preserve"> </w:t>
      </w:r>
      <w:r>
        <w:rPr>
          <w:rFonts w:ascii="Arial"/>
          <w:color w:val="000000"/>
          <w:sz w:val="24"/>
        </w:rPr>
        <w:t xml:space="preserve">to those </w:t>
      </w:r>
      <w:r>
        <w:rPr>
          <w:rFonts w:ascii="Arial"/>
          <w:color w:val="000000"/>
          <w:sz w:val="24"/>
        </w:rPr>
        <w:t>rights and functions</w:t>
      </w:r>
      <w:r>
        <w:rPr>
          <w:rFonts w:ascii="Arial"/>
          <w:color w:val="000000"/>
          <w:sz w:val="24"/>
        </w:rPr>
        <w:t xml:space="preserve"> </w:t>
      </w:r>
      <w:r>
        <w:rPr>
          <w:rFonts w:ascii="Arial"/>
          <w:color w:val="000000"/>
          <w:sz w:val="24"/>
        </w:rPr>
        <w:t>to which it applies.</w:t>
      </w:r>
    </w:p>
    <w:p>
      <w:pPr>
        <w:pStyle w:val="CaselawHeading2"/>
        <w:keepNext/>
        <w:spacing w:before="150" w:after="150" w:line="264"/>
        <w:ind w:left="0"/>
        <w:jc w:val="left"/>
      </w:pPr>
      <w:r>
        <w:rPr>
          <w:rFonts w:ascii="Arial"/>
        </w:rPr>
        <w:t>Ground 1</w:t>
      </w:r>
    </w:p>
    <w:p>
      <w:pPr>
        <w:pStyle w:val="CaselawHeading3"/>
        <w:keepNext/>
        <w:spacing w:before="150" w:after="150" w:line="264"/>
        <w:ind w:left="0"/>
        <w:jc w:val="left"/>
      </w:pPr>
      <w:r>
        <w:rPr>
          <w:rFonts w:ascii="Arial"/>
        </w:rPr>
        <w:t>Submissions on ground 1</w:t>
      </w:r>
    </w:p>
    <w:p>
      <w:pPr>
        <w:pStyle w:val="CaselawNumbered10"/>
        <w:numPr>
          <w:ilvl w:val="0"/>
          <w:numId w:val="72"/>
        </w:numPr>
        <w:spacing w:before="150" w:after="0"/>
        <w:ind w:left="600" w:hanging="600"/>
      </w:pPr>
      <w:r>
        <w:rPr>
          <w:rFonts w:ascii="Arial"/>
          <w:color w:val="000000"/>
          <w:sz w:val="24"/>
        </w:rPr>
        <w:t>Although the appellants</w:t>
      </w:r>
      <w:r>
        <w:rPr>
          <w:rFonts w:ascii="Arial"/>
          <w:color w:val="000000"/>
          <w:sz w:val="24"/>
        </w:rPr>
        <w:t>’</w:t>
      </w:r>
      <w:r>
        <w:rPr>
          <w:rFonts w:ascii="Arial"/>
          <w:color w:val="000000"/>
          <w:sz w:val="24"/>
        </w:rPr>
        <w:t xml:space="preserve"> </w:t>
      </w:r>
      <w:r>
        <w:rPr>
          <w:rFonts w:ascii="Arial"/>
          <w:color w:val="000000"/>
          <w:sz w:val="24"/>
        </w:rPr>
        <w:t xml:space="preserve">written submissions stated that because the appeal is brought pursuant to s 58 of the </w:t>
      </w:r>
      <w:r>
        <w:rPr>
          <w:rFonts w:ascii="Arial"/>
          <w:i/>
          <w:color w:val="000000"/>
          <w:sz w:val="24"/>
        </w:rPr>
        <w:t>Land and Environment Court Act 1979</w:t>
      </w:r>
      <w:r>
        <w:rPr>
          <w:rFonts w:ascii="Arial"/>
          <w:i/>
          <w:color w:val="000000"/>
          <w:sz w:val="24"/>
        </w:rPr>
        <w:t xml:space="preserve"> </w:t>
      </w:r>
      <w:r>
        <w:rPr>
          <w:rFonts w:ascii="Arial"/>
          <w:color w:val="000000"/>
          <w:sz w:val="24"/>
        </w:rPr>
        <w:t>(NSW)</w:t>
      </w:r>
      <w:r>
        <w:rPr>
          <w:rFonts w:ascii="Arial"/>
          <w:color w:val="000000"/>
          <w:sz w:val="24"/>
        </w:rPr>
        <w:t xml:space="preserve">, it is not necessary to demonstrate a </w:t>
      </w:r>
      <w:r>
        <w:rPr>
          <w:rFonts w:ascii="Arial"/>
          <w:i/>
          <w:color w:val="000000"/>
          <w:sz w:val="24"/>
        </w:rPr>
        <w:t xml:space="preserve">House v </w:t>
      </w:r>
      <w:r>
        <w:rPr>
          <w:rFonts w:ascii="Arial"/>
          <w:i/>
          <w:color w:val="000000"/>
          <w:sz w:val="24"/>
        </w:rPr>
        <w:t xml:space="preserve">The </w:t>
      </w:r>
      <w:r>
        <w:rPr>
          <w:rFonts w:ascii="Arial"/>
          <w:i/>
          <w:color w:val="000000"/>
          <w:sz w:val="24"/>
        </w:rPr>
        <w:t>King</w:t>
      </w:r>
      <w:r>
        <w:rPr>
          <w:rFonts w:ascii="Arial"/>
          <w:i/>
          <w:color w:val="000000"/>
          <w:sz w:val="24"/>
        </w:rPr>
        <w:t xml:space="preserve"> </w:t>
      </w:r>
      <w:r>
        <w:rPr>
          <w:rFonts w:ascii="Arial"/>
          <w:color w:val="000000"/>
          <w:sz w:val="24"/>
        </w:rPr>
        <w:t>(1936) 55 CLR 499</w:t>
      </w:r>
      <w:r>
        <w:rPr>
          <w:rFonts w:ascii="Arial"/>
          <w:i/>
          <w:color w:val="000000"/>
          <w:sz w:val="24"/>
        </w:rPr>
        <w:t xml:space="preserve"> </w:t>
      </w:r>
      <w:r>
        <w:rPr>
          <w:rFonts w:ascii="Arial"/>
          <w:color w:val="000000"/>
          <w:sz w:val="24"/>
        </w:rPr>
        <w:t xml:space="preserve">error to establish ground 1, it was conceded </w:t>
      </w:r>
      <w:r>
        <w:rPr>
          <w:rFonts w:ascii="Arial"/>
          <w:color w:val="000000"/>
          <w:sz w:val="24"/>
        </w:rPr>
        <w:t>b</w:t>
      </w:r>
      <w:r>
        <w:rPr>
          <w:rFonts w:ascii="Arial"/>
          <w:color w:val="000000"/>
          <w:sz w:val="24"/>
        </w:rPr>
        <w:t xml:space="preserve">y Mr Hemmings SC, Senior Counsel for the appellants </w:t>
      </w:r>
      <w:r>
        <w:rPr>
          <w:rFonts w:ascii="Arial"/>
          <w:color w:val="000000"/>
          <w:sz w:val="24"/>
        </w:rPr>
        <w:t xml:space="preserve">at </w:t>
      </w:r>
      <w:r>
        <w:rPr>
          <w:rFonts w:ascii="Arial"/>
          <w:color w:val="000000"/>
          <w:sz w:val="24"/>
        </w:rPr>
        <w:t xml:space="preserve">the </w:t>
      </w:r>
      <w:r>
        <w:rPr>
          <w:rFonts w:ascii="Arial"/>
          <w:color w:val="000000"/>
          <w:sz w:val="24"/>
        </w:rPr>
        <w:t>hearing</w:t>
      </w:r>
      <w:r>
        <w:rPr>
          <w:rFonts w:ascii="Arial"/>
          <w:color w:val="000000"/>
          <w:sz w:val="24"/>
        </w:rPr>
        <w:t>,</w:t>
      </w:r>
      <w:r>
        <w:rPr>
          <w:rFonts w:ascii="Arial"/>
          <w:color w:val="000000"/>
          <w:sz w:val="24"/>
        </w:rPr>
        <w:t xml:space="preserve"> </w:t>
      </w:r>
      <w:r>
        <w:rPr>
          <w:rFonts w:ascii="Arial"/>
          <w:color w:val="000000"/>
          <w:sz w:val="24"/>
        </w:rPr>
        <w:t xml:space="preserve">that </w:t>
      </w:r>
      <w:r>
        <w:rPr>
          <w:rFonts w:ascii="Arial"/>
          <w:i/>
          <w:color w:val="000000"/>
          <w:sz w:val="24"/>
        </w:rPr>
        <w:t>House v The King</w:t>
      </w:r>
      <w:r>
        <w:rPr>
          <w:rFonts w:ascii="Arial"/>
          <w:color w:val="000000"/>
          <w:sz w:val="24"/>
        </w:rPr>
        <w:t xml:space="preserve"> </w:t>
      </w:r>
      <w:r>
        <w:rPr>
          <w:rFonts w:ascii="Arial"/>
          <w:color w:val="000000"/>
          <w:sz w:val="24"/>
        </w:rPr>
        <w:t xml:space="preserve">error needed to be shown. </w:t>
      </w:r>
    </w:p>
    <w:p>
      <w:pPr>
        <w:pStyle w:val="CaselawNumbered10"/>
        <w:numPr>
          <w:ilvl w:val="0"/>
          <w:numId w:val="72"/>
        </w:numPr>
        <w:spacing w:before="150" w:after="0"/>
        <w:ind w:left="600" w:hanging="600"/>
      </w:pPr>
      <w:r>
        <w:rPr>
          <w:rFonts w:ascii="Arial"/>
          <w:color w:val="000000"/>
          <w:sz w:val="24"/>
        </w:rPr>
        <w:t xml:space="preserve">The appellants submitted that the </w:t>
      </w:r>
      <w:r>
        <w:rPr>
          <w:rFonts w:ascii="Arial"/>
          <w:i/>
          <w:color w:val="000000"/>
          <w:sz w:val="24"/>
        </w:rPr>
        <w:t xml:space="preserve">House v </w:t>
      </w:r>
      <w:r>
        <w:rPr>
          <w:rFonts w:ascii="Arial"/>
          <w:i/>
          <w:color w:val="000000"/>
          <w:sz w:val="24"/>
        </w:rPr>
        <w:t xml:space="preserve">The </w:t>
      </w:r>
      <w:r>
        <w:rPr>
          <w:rFonts w:ascii="Arial"/>
          <w:i/>
          <w:color w:val="000000"/>
          <w:sz w:val="24"/>
        </w:rPr>
        <w:t xml:space="preserve">King </w:t>
      </w:r>
      <w:r>
        <w:rPr>
          <w:rFonts w:ascii="Arial"/>
          <w:color w:val="000000"/>
          <w:sz w:val="24"/>
        </w:rPr>
        <w:t>error arose from the primary judge</w:t>
      </w:r>
      <w:r>
        <w:rPr>
          <w:rFonts w:ascii="Arial"/>
          <w:color w:val="000000"/>
          <w:sz w:val="24"/>
        </w:rPr>
        <w:t>’</w:t>
      </w:r>
      <w:r>
        <w:rPr>
          <w:rFonts w:ascii="Arial"/>
          <w:color w:val="000000"/>
          <w:sz w:val="24"/>
        </w:rPr>
        <w:t>s failure properly to recognise the statutory scheme which provides for a three</w:t>
      </w:r>
      <w:r>
        <w:rPr>
          <w:rFonts w:ascii="Arial"/>
          <w:color w:val="000000"/>
          <w:sz w:val="24"/>
        </w:rPr>
        <w:t xml:space="preserve"> </w:t>
      </w:r>
      <w:r>
        <w:rPr>
          <w:rFonts w:ascii="Arial"/>
          <w:color w:val="000000"/>
          <w:sz w:val="24"/>
        </w:rPr>
        <w:t>month limitation</w:t>
      </w:r>
      <w:r>
        <w:rPr>
          <w:rFonts w:ascii="Arial"/>
          <w:color w:val="000000"/>
          <w:sz w:val="24"/>
        </w:rPr>
        <w:t xml:space="preserve"> </w:t>
      </w:r>
      <w:r>
        <w:rPr>
          <w:rFonts w:ascii="Arial"/>
          <w:color w:val="000000"/>
          <w:sz w:val="24"/>
        </w:rPr>
        <w:t xml:space="preserve">to commence cases seeking orders of invalidity of a construction certificate </w:t>
      </w:r>
      <w:r>
        <w:rPr>
          <w:rFonts w:ascii="Arial"/>
          <w:color w:val="000000"/>
          <w:sz w:val="24"/>
        </w:rPr>
        <w:t xml:space="preserve">under s 6.32 </w:t>
      </w:r>
      <w:r>
        <w:rPr>
          <w:rFonts w:ascii="Arial"/>
          <w:color w:val="000000"/>
          <w:sz w:val="24"/>
        </w:rPr>
        <w:t>of</w:t>
      </w:r>
      <w:r>
        <w:rPr>
          <w:rFonts w:ascii="Arial"/>
          <w:color w:val="000000"/>
          <w:sz w:val="24"/>
        </w:rPr>
        <w:t xml:space="preserve"> </w:t>
      </w:r>
      <w:r>
        <w:rPr>
          <w:rFonts w:ascii="Arial"/>
          <w:color w:val="000000"/>
          <w:sz w:val="24"/>
        </w:rPr>
        <w:t>the EPA Act</w:t>
      </w:r>
      <w:r>
        <w:rPr>
          <w:rFonts w:ascii="Arial"/>
          <w:color w:val="000000"/>
          <w:sz w:val="24"/>
        </w:rPr>
        <w:t xml:space="preserve">. </w:t>
      </w:r>
    </w:p>
    <w:p>
      <w:pPr>
        <w:pStyle w:val="CaselawNumbered10"/>
        <w:numPr>
          <w:ilvl w:val="0"/>
          <w:numId w:val="72"/>
        </w:numPr>
        <w:spacing w:before="150" w:after="0"/>
        <w:ind w:left="600" w:hanging="600"/>
      </w:pPr>
      <w:r>
        <w:rPr>
          <w:rFonts w:ascii="Arial"/>
          <w:color w:val="000000"/>
          <w:sz w:val="24"/>
        </w:rPr>
        <w:t>The</w:t>
      </w:r>
      <w:r>
        <w:rPr>
          <w:rFonts w:ascii="Arial"/>
          <w:color w:val="000000"/>
          <w:sz w:val="24"/>
        </w:rPr>
        <w:t xml:space="preserve"> </w:t>
      </w:r>
      <w:r>
        <w:rPr>
          <w:rFonts w:ascii="Arial"/>
          <w:color w:val="000000"/>
          <w:sz w:val="24"/>
        </w:rPr>
        <w:t>appellants submitted that there</w:t>
      </w:r>
      <w:r>
        <w:rPr>
          <w:rFonts w:ascii="Arial"/>
          <w:color w:val="000000"/>
          <w:sz w:val="24"/>
        </w:rPr>
        <w:t xml:space="preserve"> </w:t>
      </w:r>
      <w:r>
        <w:rPr>
          <w:rFonts w:ascii="Arial"/>
          <w:color w:val="000000"/>
          <w:sz w:val="24"/>
        </w:rPr>
        <w:t xml:space="preserve">were two main reasons </w:t>
      </w:r>
      <w:r>
        <w:rPr>
          <w:rFonts w:ascii="Arial"/>
          <w:color w:val="000000"/>
          <w:sz w:val="24"/>
        </w:rPr>
        <w:t>tending</w:t>
      </w:r>
      <w:r>
        <w:rPr>
          <w:rFonts w:ascii="Arial"/>
          <w:color w:val="000000"/>
          <w:sz w:val="24"/>
        </w:rPr>
        <w:t xml:space="preserve"> </w:t>
      </w:r>
      <w:r>
        <w:rPr>
          <w:rFonts w:ascii="Arial"/>
          <w:color w:val="000000"/>
          <w:sz w:val="24"/>
        </w:rPr>
        <w:t>against the extension of time</w:t>
      </w:r>
      <w:r>
        <w:rPr>
          <w:rFonts w:ascii="Arial"/>
          <w:color w:val="000000"/>
          <w:sz w:val="24"/>
        </w:rPr>
        <w:t xml:space="preserve"> </w:t>
      </w:r>
      <w:r>
        <w:rPr>
          <w:rFonts w:ascii="Arial"/>
          <w:color w:val="000000"/>
          <w:sz w:val="24"/>
        </w:rPr>
        <w:t>to commence judicial review proceedings here</w:t>
      </w:r>
      <w:r>
        <w:rPr>
          <w:rFonts w:ascii="Arial"/>
          <w:color w:val="000000"/>
          <w:sz w:val="24"/>
        </w:rPr>
        <w:t xml:space="preserve">. First, </w:t>
      </w:r>
      <w:r>
        <w:rPr>
          <w:rFonts w:ascii="Arial"/>
          <w:color w:val="000000"/>
          <w:sz w:val="24"/>
        </w:rPr>
        <w:t>it was submitted</w:t>
      </w:r>
      <w:r>
        <w:rPr>
          <w:rFonts w:ascii="Arial"/>
          <w:color w:val="000000"/>
          <w:sz w:val="24"/>
        </w:rPr>
        <w:t xml:space="preserve"> </w:t>
      </w:r>
      <w:r>
        <w:rPr>
          <w:rFonts w:ascii="Arial"/>
          <w:color w:val="000000"/>
          <w:sz w:val="24"/>
        </w:rPr>
        <w:t>that the Council was in a position to commence proceedings within time. Second</w:t>
      </w:r>
      <w:r>
        <w:rPr>
          <w:rFonts w:ascii="Arial"/>
          <w:color w:val="000000"/>
          <w:sz w:val="24"/>
        </w:rPr>
        <w:t>ly</w:t>
      </w:r>
      <w:r>
        <w:rPr>
          <w:rFonts w:ascii="Arial"/>
          <w:color w:val="000000"/>
          <w:sz w:val="24"/>
        </w:rPr>
        <w:t xml:space="preserve">, </w:t>
      </w:r>
      <w:r>
        <w:rPr>
          <w:rFonts w:ascii="Arial"/>
          <w:color w:val="000000"/>
          <w:sz w:val="24"/>
        </w:rPr>
        <w:t>it was</w:t>
      </w:r>
      <w:r>
        <w:rPr>
          <w:rFonts w:ascii="Arial"/>
          <w:color w:val="000000"/>
          <w:sz w:val="24"/>
        </w:rPr>
        <w:t xml:space="preserve"> </w:t>
      </w:r>
      <w:r>
        <w:rPr>
          <w:rFonts w:ascii="Arial"/>
          <w:color w:val="000000"/>
          <w:sz w:val="24"/>
        </w:rPr>
        <w:t xml:space="preserve">submitted that there was </w:t>
      </w:r>
      <w:r>
        <w:rPr>
          <w:rFonts w:ascii="Arial"/>
          <w:color w:val="000000"/>
          <w:sz w:val="24"/>
        </w:rPr>
        <w:t xml:space="preserve">public interest in the certainty and finality of decisions made by certifiers in relation to </w:t>
      </w:r>
      <w:r>
        <w:rPr>
          <w:rFonts w:ascii="Arial"/>
          <w:color w:val="000000"/>
          <w:sz w:val="24"/>
        </w:rPr>
        <w:t xml:space="preserve">construction </w:t>
      </w:r>
      <w:r>
        <w:rPr>
          <w:rFonts w:ascii="Arial"/>
          <w:color w:val="000000"/>
          <w:sz w:val="24"/>
        </w:rPr>
        <w:t>certificates</w:t>
      </w:r>
      <w:r>
        <w:rPr>
          <w:rFonts w:ascii="Arial"/>
          <w:color w:val="000000"/>
          <w:sz w:val="24"/>
        </w:rPr>
        <w:t xml:space="preserve">. </w:t>
      </w:r>
    </w:p>
    <w:p>
      <w:pPr>
        <w:pStyle w:val="CaselawNumbered10"/>
        <w:numPr>
          <w:ilvl w:val="0"/>
          <w:numId w:val="72"/>
        </w:numPr>
        <w:spacing w:before="150" w:after="0"/>
        <w:ind w:left="600" w:hanging="600"/>
      </w:pPr>
      <w:r>
        <w:rPr>
          <w:rFonts w:ascii="Arial"/>
          <w:color w:val="000000"/>
          <w:sz w:val="24"/>
        </w:rPr>
        <w:t>The appellant</w:t>
      </w:r>
      <w:r>
        <w:rPr>
          <w:rFonts w:ascii="Arial"/>
          <w:color w:val="000000"/>
          <w:sz w:val="24"/>
        </w:rPr>
        <w:t>s</w:t>
      </w:r>
      <w:r>
        <w:rPr>
          <w:rFonts w:ascii="Arial"/>
          <w:color w:val="000000"/>
          <w:sz w:val="24"/>
        </w:rPr>
        <w:t xml:space="preserve"> </w:t>
      </w:r>
      <w:r>
        <w:rPr>
          <w:rFonts w:ascii="Arial"/>
          <w:color w:val="000000"/>
          <w:sz w:val="24"/>
        </w:rPr>
        <w:t xml:space="preserve">submitted that the primary judge failed properly </w:t>
      </w:r>
      <w:r>
        <w:rPr>
          <w:rFonts w:ascii="Arial"/>
          <w:color w:val="000000"/>
          <w:sz w:val="24"/>
        </w:rPr>
        <w:t xml:space="preserve">to </w:t>
      </w:r>
      <w:r>
        <w:rPr>
          <w:rFonts w:ascii="Arial"/>
          <w:color w:val="000000"/>
          <w:sz w:val="24"/>
        </w:rPr>
        <w:t xml:space="preserve">take into account a material consideration being the time at which the Council became </w:t>
      </w:r>
      <w:r>
        <w:rPr>
          <w:rFonts w:ascii="Arial"/>
          <w:color w:val="000000"/>
          <w:sz w:val="24"/>
        </w:rPr>
        <w:t xml:space="preserve">aware </w:t>
      </w:r>
      <w:r>
        <w:rPr>
          <w:rFonts w:ascii="Arial"/>
          <w:color w:val="000000"/>
          <w:sz w:val="24"/>
        </w:rPr>
        <w:t xml:space="preserve">or, by exercising reasonable diligence, should have become aware that the </w:t>
      </w:r>
      <w:r>
        <w:rPr>
          <w:rFonts w:ascii="Arial"/>
          <w:color w:val="000000"/>
          <w:sz w:val="24"/>
        </w:rPr>
        <w:t xml:space="preserve">construction certificate </w:t>
      </w:r>
      <w:r>
        <w:rPr>
          <w:rFonts w:ascii="Arial"/>
          <w:color w:val="000000"/>
          <w:sz w:val="24"/>
        </w:rPr>
        <w:t>was issued. The appellant</w:t>
      </w:r>
      <w:r>
        <w:rPr>
          <w:rFonts w:ascii="Arial"/>
          <w:color w:val="000000"/>
          <w:sz w:val="24"/>
        </w:rPr>
        <w:t>s</w:t>
      </w:r>
      <w:r>
        <w:rPr>
          <w:rFonts w:ascii="Arial"/>
          <w:color w:val="000000"/>
          <w:sz w:val="24"/>
        </w:rPr>
        <w:t xml:space="preserve"> </w:t>
      </w:r>
      <w:r>
        <w:rPr>
          <w:rFonts w:ascii="Arial"/>
          <w:color w:val="000000"/>
          <w:sz w:val="24"/>
        </w:rPr>
        <w:t xml:space="preserve">highlighted the mandatory notification provisions in the Certification Regulation which are triggered by the decision-making process. </w:t>
      </w:r>
      <w:r>
        <w:rPr>
          <w:rFonts w:ascii="Arial"/>
          <w:color w:val="000000"/>
          <w:sz w:val="24"/>
        </w:rPr>
        <w:t xml:space="preserve">Clause </w:t>
      </w:r>
      <w:r>
        <w:rPr>
          <w:rFonts w:ascii="Arial"/>
          <w:color w:val="000000"/>
          <w:sz w:val="24"/>
        </w:rPr>
        <w:t xml:space="preserve">13(2) of the Certification </w:t>
      </w:r>
      <w:r>
        <w:rPr>
          <w:rFonts w:ascii="Arial"/>
          <w:color w:val="000000"/>
          <w:sz w:val="24"/>
        </w:rPr>
        <w:t xml:space="preserve">Regulation requires that within 2 days after determining the application, the certifier use the NSW planning portal to give a copy of the determination and the </w:t>
      </w:r>
      <w:r>
        <w:rPr>
          <w:rFonts w:ascii="Arial"/>
          <w:color w:val="000000"/>
          <w:sz w:val="24"/>
        </w:rPr>
        <w:t xml:space="preserve">construction certificate </w:t>
      </w:r>
      <w:r>
        <w:rPr>
          <w:rFonts w:ascii="Arial"/>
          <w:color w:val="000000"/>
          <w:sz w:val="24"/>
        </w:rPr>
        <w:t xml:space="preserve">to the </w:t>
      </w:r>
      <w:r>
        <w:rPr>
          <w:rFonts w:ascii="Arial"/>
          <w:color w:val="000000"/>
          <w:sz w:val="24"/>
        </w:rPr>
        <w:t>C</w:t>
      </w:r>
      <w:r>
        <w:rPr>
          <w:rFonts w:ascii="Arial"/>
          <w:color w:val="000000"/>
          <w:sz w:val="24"/>
        </w:rPr>
        <w:t xml:space="preserve">ouncil as well as other materials necessary to scrutinise the construction certificate to determine whether there is a departure from the development consent or a risk to public safety that might warrant intervention: </w:t>
      </w:r>
      <w:r>
        <w:rPr>
          <w:rFonts w:ascii="Arial"/>
          <w:i/>
          <w:color w:val="000000"/>
          <w:sz w:val="24"/>
        </w:rPr>
        <w:t>Ralan</w:t>
      </w:r>
      <w:r>
        <w:rPr>
          <w:rFonts w:ascii="Arial"/>
          <w:color w:val="000000"/>
          <w:sz w:val="24"/>
        </w:rPr>
        <w:t xml:space="preserve"> </w:t>
      </w:r>
      <w:r>
        <w:rPr>
          <w:rFonts w:ascii="Arial"/>
          <w:color w:val="000000"/>
          <w:sz w:val="24"/>
        </w:rPr>
        <w:t>at [184]. Such scrutiny may occur within a three month window: s 6.32</w:t>
      </w:r>
      <w:r>
        <w:rPr>
          <w:rFonts w:ascii="Arial"/>
          <w:color w:val="000000"/>
          <w:sz w:val="24"/>
        </w:rPr>
        <w:t xml:space="preserve"> </w:t>
      </w:r>
      <w:r>
        <w:rPr>
          <w:rFonts w:ascii="Arial"/>
          <w:color w:val="000000"/>
          <w:sz w:val="24"/>
        </w:rPr>
        <w:t>of the EPA Act</w:t>
      </w:r>
      <w:r>
        <w:rPr>
          <w:rFonts w:ascii="Arial"/>
          <w:color w:val="000000"/>
          <w:sz w:val="24"/>
        </w:rPr>
        <w:t xml:space="preserve">. While </w:t>
      </w:r>
      <w:r>
        <w:rPr>
          <w:rFonts w:ascii="Arial"/>
          <w:color w:val="000000"/>
          <w:sz w:val="24"/>
        </w:rPr>
        <w:t xml:space="preserve">the </w:t>
      </w:r>
      <w:r>
        <w:rPr>
          <w:rFonts w:ascii="Arial"/>
          <w:color w:val="000000"/>
          <w:sz w:val="24"/>
        </w:rPr>
        <w:t xml:space="preserve">Council was not </w:t>
      </w:r>
      <w:r>
        <w:rPr>
          <w:rFonts w:ascii="Arial"/>
          <w:color w:val="000000"/>
          <w:sz w:val="24"/>
        </w:rPr>
        <w:t xml:space="preserve">actually </w:t>
      </w:r>
      <w:r>
        <w:rPr>
          <w:rFonts w:ascii="Arial"/>
          <w:color w:val="000000"/>
          <w:sz w:val="24"/>
        </w:rPr>
        <w:t xml:space="preserve">aware of the inconsistency </w:t>
      </w:r>
      <w:r>
        <w:rPr>
          <w:rFonts w:ascii="Arial"/>
          <w:color w:val="000000"/>
          <w:sz w:val="24"/>
        </w:rPr>
        <w:t xml:space="preserve">between the </w:t>
      </w:r>
      <w:r>
        <w:rPr>
          <w:rFonts w:ascii="Arial"/>
          <w:color w:val="000000"/>
          <w:sz w:val="24"/>
        </w:rPr>
        <w:t xml:space="preserve">construction certificate </w:t>
      </w:r>
      <w:r>
        <w:rPr>
          <w:rFonts w:ascii="Arial"/>
          <w:color w:val="000000"/>
          <w:sz w:val="24"/>
        </w:rPr>
        <w:t xml:space="preserve">and the </w:t>
      </w:r>
      <w:r>
        <w:rPr>
          <w:rFonts w:ascii="Arial"/>
          <w:color w:val="000000"/>
          <w:sz w:val="24"/>
        </w:rPr>
        <w:t xml:space="preserve">development consent </w:t>
      </w:r>
      <w:r>
        <w:rPr>
          <w:rFonts w:ascii="Arial"/>
          <w:color w:val="000000"/>
          <w:sz w:val="24"/>
        </w:rPr>
        <w:t xml:space="preserve">until it received a complaint on 31 January 2023, </w:t>
      </w:r>
      <w:r>
        <w:rPr>
          <w:rFonts w:ascii="Arial"/>
          <w:color w:val="000000"/>
          <w:sz w:val="24"/>
        </w:rPr>
        <w:t>the</w:t>
      </w:r>
      <w:r>
        <w:rPr>
          <w:rFonts w:ascii="Arial"/>
          <w:color w:val="000000"/>
          <w:sz w:val="24"/>
        </w:rPr>
        <w:t xml:space="preserve"> </w:t>
      </w:r>
      <w:r>
        <w:rPr>
          <w:rFonts w:ascii="Arial"/>
          <w:color w:val="000000"/>
          <w:sz w:val="24"/>
        </w:rPr>
        <w:t>appellants</w:t>
      </w:r>
      <w:r>
        <w:rPr>
          <w:rFonts w:ascii="Arial"/>
          <w:color w:val="000000"/>
          <w:sz w:val="24"/>
        </w:rPr>
        <w:t xml:space="preserve"> </w:t>
      </w:r>
      <w:r>
        <w:rPr>
          <w:rFonts w:ascii="Arial"/>
          <w:color w:val="000000"/>
          <w:sz w:val="24"/>
        </w:rPr>
        <w:t xml:space="preserve">submitted that this was because </w:t>
      </w:r>
      <w:r>
        <w:rPr>
          <w:rFonts w:ascii="Arial"/>
          <w:color w:val="000000"/>
          <w:sz w:val="24"/>
        </w:rPr>
        <w:t xml:space="preserve">the </w:t>
      </w:r>
      <w:r>
        <w:rPr>
          <w:rFonts w:ascii="Arial"/>
          <w:color w:val="000000"/>
          <w:sz w:val="24"/>
        </w:rPr>
        <w:t xml:space="preserve">Council had elected to take a reactive approach. </w:t>
      </w:r>
    </w:p>
    <w:p>
      <w:pPr>
        <w:pStyle w:val="CaselawNumbered10"/>
        <w:numPr>
          <w:ilvl w:val="0"/>
          <w:numId w:val="72"/>
        </w:numPr>
        <w:spacing w:before="150" w:after="0"/>
        <w:ind w:left="600" w:hanging="600"/>
      </w:pPr>
      <w:r>
        <w:rPr>
          <w:rFonts w:ascii="Arial"/>
          <w:color w:val="000000"/>
          <w:sz w:val="24"/>
        </w:rPr>
        <w:t xml:space="preserve">The appellants submitted that the argument that the Council has limited resources is unpersuasive given specific legislation limiting challenges to relevant time periods citing </w:t>
      </w:r>
      <w:r>
        <w:rPr>
          <w:rFonts w:ascii="Arial"/>
          <w:i/>
          <w:color w:val="000000"/>
          <w:sz w:val="24"/>
        </w:rPr>
        <w:t>Drenovac</w:t>
      </w:r>
      <w:r>
        <w:rPr>
          <w:rFonts w:ascii="Arial"/>
          <w:i/>
          <w:color w:val="000000"/>
          <w:sz w:val="24"/>
        </w:rPr>
        <w:t xml:space="preserve"> </w:t>
      </w:r>
      <w:r>
        <w:rPr>
          <w:rFonts w:ascii="Arial"/>
          <w:color w:val="000000"/>
          <w:sz w:val="24"/>
        </w:rPr>
        <w:t xml:space="preserve">[2022] at [180] and </w:t>
      </w:r>
      <w:r>
        <w:rPr>
          <w:rFonts w:ascii="Arial"/>
          <w:i/>
          <w:color w:val="000000"/>
          <w:sz w:val="24"/>
        </w:rPr>
        <w:t>Gindurra</w:t>
      </w:r>
      <w:r>
        <w:rPr>
          <w:rFonts w:ascii="Arial"/>
          <w:i/>
          <w:color w:val="000000"/>
          <w:sz w:val="24"/>
        </w:rPr>
        <w:t xml:space="preserve"> </w:t>
      </w:r>
      <w:r>
        <w:rPr>
          <w:rFonts w:ascii="Arial"/>
          <w:color w:val="000000"/>
          <w:sz w:val="24"/>
        </w:rPr>
        <w:t xml:space="preserve">at [233] and [234]. It was argued that a contrary finding would mean that the statutory time limit </w:t>
      </w:r>
      <w:r>
        <w:rPr>
          <w:rFonts w:ascii="Arial"/>
          <w:color w:val="000000"/>
          <w:sz w:val="24"/>
        </w:rPr>
        <w:t xml:space="preserve">in s 6.32 of the EPA Act </w:t>
      </w:r>
      <w:r>
        <w:rPr>
          <w:rFonts w:ascii="Arial"/>
          <w:color w:val="000000"/>
          <w:sz w:val="24"/>
        </w:rPr>
        <w:t>serves no purpose.</w:t>
      </w:r>
    </w:p>
    <w:p>
      <w:pPr>
        <w:pStyle w:val="CaselawNumbered10"/>
        <w:numPr>
          <w:ilvl w:val="0"/>
          <w:numId w:val="72"/>
        </w:numPr>
        <w:spacing w:before="150" w:after="0"/>
        <w:ind w:left="600" w:hanging="600"/>
      </w:pPr>
      <w:r>
        <w:rPr>
          <w:rFonts w:ascii="Arial"/>
          <w:color w:val="000000"/>
          <w:sz w:val="24"/>
        </w:rPr>
        <w:t xml:space="preserve">The </w:t>
      </w:r>
      <w:r>
        <w:rPr>
          <w:rFonts w:ascii="Arial"/>
          <w:color w:val="000000"/>
          <w:sz w:val="24"/>
        </w:rPr>
        <w:t>Council</w:t>
      </w:r>
      <w:r>
        <w:rPr>
          <w:rFonts w:ascii="Arial"/>
          <w:color w:val="000000"/>
          <w:sz w:val="24"/>
        </w:rPr>
        <w:t xml:space="preserve"> </w:t>
      </w:r>
      <w:r>
        <w:rPr>
          <w:rFonts w:ascii="Arial"/>
          <w:color w:val="000000"/>
          <w:sz w:val="24"/>
        </w:rPr>
        <w:t xml:space="preserve">submitted that </w:t>
      </w:r>
      <w:r>
        <w:rPr>
          <w:rFonts w:ascii="Arial"/>
          <w:color w:val="000000"/>
          <w:sz w:val="24"/>
        </w:rPr>
        <w:t xml:space="preserve">it </w:t>
      </w:r>
      <w:r>
        <w:rPr>
          <w:rFonts w:ascii="Arial"/>
          <w:color w:val="000000"/>
          <w:sz w:val="24"/>
        </w:rPr>
        <w:t>was</w:t>
      </w:r>
      <w:r>
        <w:rPr>
          <w:rFonts w:ascii="Arial"/>
          <w:color w:val="000000"/>
          <w:sz w:val="24"/>
        </w:rPr>
        <w:t xml:space="preserve"> </w:t>
      </w:r>
      <w:r>
        <w:rPr>
          <w:rFonts w:ascii="Arial"/>
          <w:color w:val="000000"/>
          <w:sz w:val="24"/>
        </w:rPr>
        <w:t>not part of the Council</w:t>
      </w:r>
      <w:r>
        <w:rPr>
          <w:rFonts w:ascii="Arial"/>
          <w:color w:val="000000"/>
          <w:sz w:val="24"/>
        </w:rPr>
        <w:t>’</w:t>
      </w:r>
      <w:r>
        <w:rPr>
          <w:rFonts w:ascii="Arial"/>
          <w:color w:val="000000"/>
          <w:sz w:val="24"/>
        </w:rPr>
        <w:t xml:space="preserve">s statutory functions or duties to be a supervising body over certifiers. </w:t>
      </w:r>
      <w:r>
        <w:rPr>
          <w:rFonts w:ascii="Arial"/>
          <w:color w:val="000000"/>
          <w:sz w:val="24"/>
        </w:rPr>
        <w:t>The Council, it said,</w:t>
      </w:r>
      <w:r>
        <w:rPr>
          <w:rFonts w:ascii="Arial"/>
          <w:color w:val="000000"/>
          <w:sz w:val="24"/>
        </w:rPr>
        <w:t xml:space="preserve"> </w:t>
      </w:r>
      <w:r>
        <w:rPr>
          <w:rFonts w:ascii="Arial"/>
          <w:color w:val="000000"/>
          <w:sz w:val="24"/>
        </w:rPr>
        <w:t>receive</w:t>
      </w:r>
      <w:r>
        <w:rPr>
          <w:rFonts w:ascii="Arial"/>
          <w:color w:val="000000"/>
          <w:sz w:val="24"/>
        </w:rPr>
        <w:t>d</w:t>
      </w:r>
      <w:r>
        <w:rPr>
          <w:rFonts w:ascii="Arial"/>
          <w:color w:val="000000"/>
          <w:sz w:val="24"/>
        </w:rPr>
        <w:t xml:space="preserve"> </w:t>
      </w:r>
      <w:r>
        <w:rPr>
          <w:rFonts w:ascii="Arial"/>
          <w:color w:val="000000"/>
          <w:sz w:val="24"/>
        </w:rPr>
        <w:t xml:space="preserve">the documentation as a record keeper. </w:t>
      </w:r>
      <w:r>
        <w:rPr>
          <w:rFonts w:ascii="Arial"/>
          <w:color w:val="000000"/>
          <w:sz w:val="24"/>
        </w:rPr>
        <w:t xml:space="preserve">The primary judge noted the number of construction certificates and complying development certificates issued in the Woollahra Local Government Area each year. </w:t>
      </w:r>
      <w:r>
        <w:rPr>
          <w:rFonts w:ascii="Arial"/>
          <w:b/>
          <w:color w:val="000000"/>
          <w:sz w:val="24"/>
        </w:rPr>
        <w:t xml:space="preserve"> </w:t>
      </w:r>
      <w:r>
        <w:rPr>
          <w:rFonts w:ascii="Arial"/>
          <w:color w:val="000000"/>
          <w:sz w:val="24"/>
        </w:rPr>
        <w:t>T</w:t>
      </w:r>
      <w:r>
        <w:rPr>
          <w:rFonts w:ascii="Arial"/>
          <w:color w:val="000000"/>
          <w:sz w:val="24"/>
        </w:rPr>
        <w:t xml:space="preserve">he </w:t>
      </w:r>
      <w:r>
        <w:rPr>
          <w:rFonts w:ascii="Arial"/>
          <w:color w:val="000000"/>
          <w:sz w:val="24"/>
        </w:rPr>
        <w:t>C</w:t>
      </w:r>
      <w:r>
        <w:rPr>
          <w:rFonts w:ascii="Arial"/>
          <w:color w:val="000000"/>
          <w:sz w:val="24"/>
        </w:rPr>
        <w:t xml:space="preserve">ouncil has a responsibility to ensure compliance with planning law and </w:t>
      </w:r>
      <w:r>
        <w:rPr>
          <w:rFonts w:ascii="Arial"/>
          <w:color w:val="000000"/>
          <w:sz w:val="24"/>
        </w:rPr>
        <w:t xml:space="preserve">thus had </w:t>
      </w:r>
      <w:r>
        <w:rPr>
          <w:rFonts w:ascii="Arial"/>
          <w:color w:val="000000"/>
          <w:sz w:val="24"/>
        </w:rPr>
        <w:t xml:space="preserve">an interest in these proceedings. </w:t>
      </w:r>
      <w:r>
        <w:rPr>
          <w:rFonts w:ascii="Arial"/>
          <w:color w:val="000000"/>
          <w:sz w:val="24"/>
        </w:rPr>
        <w:t xml:space="preserve">The </w:t>
      </w:r>
      <w:r>
        <w:rPr>
          <w:rFonts w:ascii="Arial"/>
          <w:color w:val="000000"/>
          <w:sz w:val="24"/>
        </w:rPr>
        <w:t>Council</w:t>
      </w:r>
      <w:r>
        <w:rPr>
          <w:rFonts w:ascii="Arial"/>
          <w:color w:val="000000"/>
          <w:sz w:val="24"/>
        </w:rPr>
        <w:t xml:space="preserve"> </w:t>
      </w:r>
      <w:r>
        <w:rPr>
          <w:rFonts w:ascii="Arial"/>
          <w:color w:val="000000"/>
          <w:sz w:val="24"/>
        </w:rPr>
        <w:t xml:space="preserve">submitted that the Council was </w:t>
      </w:r>
      <w:r>
        <w:rPr>
          <w:rFonts w:ascii="Arial"/>
          <w:color w:val="000000"/>
          <w:sz w:val="24"/>
        </w:rPr>
        <w:t>entitled to presume that certifiers will comply with their statutory obligations</w:t>
      </w:r>
      <w:r>
        <w:rPr>
          <w:rFonts w:ascii="Arial"/>
          <w:color w:val="000000"/>
          <w:sz w:val="24"/>
        </w:rPr>
        <w:t>:</w:t>
      </w:r>
      <w:r>
        <w:rPr>
          <w:rFonts w:ascii="Arial"/>
          <w:color w:val="000000"/>
          <w:sz w:val="24"/>
        </w:rPr>
        <w:t xml:space="preserve"> </w:t>
      </w:r>
      <w:r>
        <w:rPr>
          <w:rFonts w:ascii="Arial"/>
          <w:i/>
          <w:color w:val="000000"/>
          <w:sz w:val="24"/>
        </w:rPr>
        <w:t>Ramahi</w:t>
      </w:r>
      <w:r>
        <w:rPr>
          <w:rFonts w:ascii="Arial"/>
          <w:i/>
          <w:color w:val="000000"/>
          <w:sz w:val="24"/>
        </w:rPr>
        <w:t xml:space="preserve"> </w:t>
      </w:r>
      <w:r>
        <w:rPr>
          <w:rFonts w:ascii="Arial"/>
          <w:color w:val="000000"/>
          <w:sz w:val="24"/>
        </w:rPr>
        <w:t xml:space="preserve">at [95]. </w:t>
      </w:r>
    </w:p>
    <w:p>
      <w:pPr>
        <w:pStyle w:val="CaselawHeading3"/>
        <w:keepNext/>
        <w:spacing w:before="150" w:after="150" w:line="264"/>
        <w:ind w:left="0"/>
        <w:jc w:val="left"/>
      </w:pPr>
      <w:r>
        <w:rPr>
          <w:rFonts w:ascii="Arial"/>
        </w:rPr>
        <w:t>Consideration of ground 1</w:t>
      </w:r>
    </w:p>
    <w:p>
      <w:pPr>
        <w:pStyle w:val="CaselawNumbered10"/>
        <w:numPr>
          <w:ilvl w:val="0"/>
          <w:numId w:val="73"/>
        </w:numPr>
        <w:spacing w:before="150" w:after="0"/>
        <w:ind w:left="600" w:hanging="600"/>
      </w:pPr>
      <w:r>
        <w:rPr>
          <w:rFonts w:ascii="Arial"/>
          <w:color w:val="000000"/>
          <w:sz w:val="24"/>
        </w:rPr>
        <w:t xml:space="preserve">UCPR r 59.10 provides: </w:t>
      </w:r>
    </w:p>
    <w:p>
      <w:pPr>
        <w:pStyle w:val="CaselawQuote"/>
        <w:spacing w:before="150" w:after="150"/>
        <w:ind w:left="1350"/>
        <w:jc w:val="left"/>
      </w:pPr>
      <w:r>
        <w:rPr>
          <w:rFonts w:ascii="Arial"/>
          <w:b/>
          <w:color w:val="000000"/>
          <w:sz w:val="22"/>
        </w:rPr>
        <w:t>59.10</w:t>
      </w:r>
      <w:r>
        <w:rPr>
          <w:rFonts w:ascii="Arial"/>
          <w:color w:val="000000"/>
          <w:sz w:val="22"/>
        </w:rPr>
        <w:t xml:space="preserve"> </w:t>
      </w:r>
      <w:r>
        <w:rPr>
          <w:rFonts w:ascii="Arial"/>
          <w:b/>
          <w:color w:val="000000"/>
          <w:sz w:val="22"/>
        </w:rPr>
        <w:t>Time for commencing proceedings</w:t>
      </w:r>
    </w:p>
    <w:p>
      <w:pPr>
        <w:pStyle w:val="CaselawQuote"/>
        <w:spacing w:before="150" w:after="150"/>
        <w:ind w:left="1350"/>
        <w:jc w:val="left"/>
      </w:pPr>
      <w:r>
        <w:rPr>
          <w:rFonts w:ascii="Arial"/>
          <w:color w:val="000000"/>
          <w:sz w:val="22"/>
        </w:rPr>
        <w:t>(1)</w:t>
      </w:r>
      <w:r>
        <w:rPr>
          <w:rFonts w:ascii="Arial"/>
          <w:color w:val="000000"/>
          <w:sz w:val="22"/>
        </w:rPr>
        <w:t>   </w:t>
      </w:r>
      <w:r>
        <w:rPr>
          <w:rFonts w:ascii="Arial"/>
          <w:color w:val="000000"/>
          <w:sz w:val="22"/>
        </w:rPr>
        <w:t>Proceedings for judicial review of a decision must be commenced within 3 months of the date of the decision.</w:t>
      </w:r>
    </w:p>
    <w:p>
      <w:pPr>
        <w:pStyle w:val="CaselawQuote"/>
        <w:spacing w:before="150" w:after="150"/>
        <w:ind w:left="1350"/>
        <w:jc w:val="left"/>
      </w:pPr>
      <w:r>
        <w:rPr>
          <w:rFonts w:ascii="Arial"/>
          <w:color w:val="000000"/>
          <w:sz w:val="22"/>
        </w:rPr>
        <w:t>(2)</w:t>
      </w:r>
      <w:r>
        <w:rPr>
          <w:rFonts w:ascii="Arial"/>
          <w:color w:val="000000"/>
          <w:sz w:val="22"/>
        </w:rPr>
        <w:t>   </w:t>
      </w:r>
      <w:r>
        <w:rPr>
          <w:rFonts w:ascii="Arial"/>
          <w:color w:val="000000"/>
          <w:sz w:val="22"/>
        </w:rPr>
        <w:t>The court may, at any time, extend the time for commencing proceedings fixed by subrule (1).</w:t>
      </w:r>
    </w:p>
    <w:p>
      <w:pPr>
        <w:pStyle w:val="CaselawQuote"/>
        <w:spacing w:before="150" w:after="150"/>
        <w:ind w:left="1350"/>
        <w:jc w:val="left"/>
      </w:pPr>
      <w:r>
        <w:rPr>
          <w:rFonts w:ascii="Arial"/>
          <w:color w:val="000000"/>
          <w:sz w:val="22"/>
        </w:rPr>
        <w:t>(3)</w:t>
      </w:r>
      <w:r>
        <w:rPr>
          <w:rFonts w:ascii="Arial"/>
          <w:color w:val="000000"/>
          <w:sz w:val="22"/>
        </w:rPr>
        <w:t>   </w:t>
      </w:r>
      <w:r>
        <w:rPr>
          <w:rFonts w:ascii="Arial"/>
          <w:color w:val="000000"/>
          <w:sz w:val="22"/>
        </w:rPr>
        <w:t>In considering whether to extend time under subrule (2), the court should take account of such factors as are relevant in the circumstances of the particular case, including the following—</w:t>
      </w:r>
    </w:p>
    <w:p>
      <w:pPr>
        <w:pStyle w:val="CaselawQuote0"/>
        <w:spacing w:before="150" w:after="150"/>
        <w:ind w:left="2100"/>
        <w:jc w:val="left"/>
      </w:pPr>
      <w:r>
        <w:rPr>
          <w:rFonts w:ascii="Arial"/>
          <w:color w:val="000000"/>
          <w:sz w:val="22"/>
        </w:rPr>
        <w:t>(a)</w:t>
      </w:r>
      <w:r>
        <w:rPr>
          <w:rFonts w:ascii="Arial"/>
          <w:color w:val="000000"/>
          <w:sz w:val="22"/>
        </w:rPr>
        <w:t>   </w:t>
      </w:r>
      <w:r>
        <w:rPr>
          <w:rFonts w:ascii="Arial"/>
          <w:color w:val="000000"/>
          <w:sz w:val="22"/>
        </w:rPr>
        <w:t>any particular interest of the plaintiff in challenging the decision,</w:t>
      </w:r>
    </w:p>
    <w:p>
      <w:pPr>
        <w:pStyle w:val="CaselawQuote0"/>
        <w:spacing w:before="150" w:after="150"/>
        <w:ind w:left="2100"/>
        <w:jc w:val="left"/>
      </w:pPr>
      <w:r>
        <w:rPr>
          <w:rFonts w:ascii="Arial"/>
          <w:color w:val="000000"/>
          <w:sz w:val="22"/>
        </w:rPr>
        <w:t>(b)</w:t>
      </w:r>
      <w:r>
        <w:rPr>
          <w:rFonts w:ascii="Arial"/>
          <w:color w:val="000000"/>
          <w:sz w:val="22"/>
        </w:rPr>
        <w:t>   </w:t>
      </w:r>
      <w:r>
        <w:rPr>
          <w:rFonts w:ascii="Arial"/>
          <w:color w:val="000000"/>
          <w:sz w:val="22"/>
        </w:rPr>
        <w:t>possible prejudice to other persons caused by the passage of time, if the relief were to be granted, including but not limited to prejudice to parties to the proceedings,</w:t>
      </w:r>
    </w:p>
    <w:p>
      <w:pPr>
        <w:pStyle w:val="CaselawQuote0"/>
        <w:spacing w:before="150" w:after="150"/>
        <w:ind w:left="2100"/>
        <w:jc w:val="left"/>
      </w:pPr>
      <w:r>
        <w:rPr>
          <w:rFonts w:ascii="Arial"/>
          <w:color w:val="000000"/>
          <w:sz w:val="22"/>
        </w:rPr>
        <w:t>(c)</w:t>
      </w:r>
      <w:r>
        <w:rPr>
          <w:rFonts w:ascii="Arial"/>
          <w:color w:val="000000"/>
          <w:sz w:val="22"/>
        </w:rPr>
        <w:t>   </w:t>
      </w:r>
      <w:r>
        <w:rPr>
          <w:rFonts w:ascii="Arial"/>
          <w:color w:val="000000"/>
          <w:sz w:val="22"/>
        </w:rPr>
        <w:t>the time at which the plaintiff became or, by exercising reasonable diligence, should have become aware of the decision,</w:t>
      </w:r>
    </w:p>
    <w:p>
      <w:pPr>
        <w:pStyle w:val="CaselawQuote0"/>
        <w:spacing w:before="150" w:after="150"/>
        <w:ind w:left="2100"/>
        <w:jc w:val="left"/>
      </w:pPr>
      <w:r>
        <w:rPr>
          <w:rFonts w:ascii="Arial"/>
          <w:color w:val="000000"/>
          <w:sz w:val="22"/>
        </w:rPr>
        <w:t>(d)</w:t>
      </w:r>
      <w:r>
        <w:rPr>
          <w:rFonts w:ascii="Arial"/>
          <w:color w:val="000000"/>
          <w:sz w:val="22"/>
        </w:rPr>
        <w:t>   </w:t>
      </w:r>
      <w:r>
        <w:rPr>
          <w:rFonts w:ascii="Arial"/>
          <w:color w:val="000000"/>
          <w:sz w:val="22"/>
        </w:rPr>
        <w:t>any relevant public interest.</w:t>
      </w:r>
    </w:p>
    <w:p>
      <w:pPr>
        <w:pStyle w:val="CaselawQuote"/>
        <w:spacing w:before="150" w:after="150"/>
        <w:ind w:left="1350"/>
        <w:jc w:val="left"/>
      </w:pPr>
      <w:r>
        <w:rPr>
          <w:rFonts w:ascii="Arial"/>
          <w:color w:val="000000"/>
          <w:sz w:val="22"/>
        </w:rPr>
        <w:t>(4)</w:t>
      </w:r>
      <w:r>
        <w:rPr>
          <w:rFonts w:ascii="Arial"/>
          <w:color w:val="000000"/>
          <w:sz w:val="22"/>
        </w:rPr>
        <w:t>   </w:t>
      </w:r>
      <w:r>
        <w:rPr>
          <w:rFonts w:ascii="Arial"/>
          <w:color w:val="000000"/>
          <w:sz w:val="22"/>
        </w:rPr>
        <w:t>This rule does not apply to proceedings in which there is a statutory limitation period for commencing the proceedings.</w:t>
      </w:r>
    </w:p>
    <w:p>
      <w:pPr>
        <w:pStyle w:val="CaselawQuote"/>
        <w:spacing w:before="150" w:after="150"/>
        <w:ind w:left="1350"/>
        <w:jc w:val="left"/>
      </w:pPr>
      <w:r>
        <w:rPr>
          <w:rFonts w:ascii="Arial"/>
          <w:color w:val="000000"/>
          <w:sz w:val="22"/>
        </w:rPr>
        <w:t>(5)</w:t>
      </w:r>
      <w:r>
        <w:rPr>
          <w:rFonts w:ascii="Arial"/>
          <w:color w:val="000000"/>
          <w:sz w:val="22"/>
        </w:rPr>
        <w:t>   </w:t>
      </w:r>
      <w:r>
        <w:rPr>
          <w:rFonts w:ascii="Arial"/>
          <w:color w:val="000000"/>
          <w:sz w:val="22"/>
        </w:rPr>
        <w:t>This rule does not apply to any proceedings in which the setting aside of a decision is not required.</w:t>
      </w:r>
    </w:p>
    <w:p>
      <w:pPr>
        <w:pStyle w:val="CaselawNumbered10"/>
        <w:numPr>
          <w:ilvl w:val="0"/>
          <w:numId w:val="74"/>
        </w:numPr>
        <w:spacing w:before="150" w:after="0"/>
        <w:ind w:left="600" w:hanging="600"/>
      </w:pPr>
      <w:r>
        <w:rPr>
          <w:rFonts w:ascii="Arial"/>
          <w:color w:val="000000"/>
          <w:sz w:val="24"/>
        </w:rPr>
        <w:t>I</w:t>
      </w:r>
      <w:r>
        <w:rPr>
          <w:rFonts w:ascii="Arial"/>
          <w:color w:val="000000"/>
          <w:sz w:val="24"/>
        </w:rPr>
        <w:t xml:space="preserve">n </w:t>
      </w:r>
      <w:r>
        <w:rPr>
          <w:rFonts w:ascii="Arial"/>
          <w:i/>
          <w:color w:val="000000"/>
          <w:sz w:val="24"/>
        </w:rPr>
        <w:t>Ramahi</w:t>
      </w:r>
      <w:r>
        <w:rPr>
          <w:rFonts w:ascii="Arial"/>
          <w:color w:val="000000"/>
          <w:sz w:val="24"/>
        </w:rPr>
        <w:t xml:space="preserve">, </w:t>
      </w:r>
      <w:r>
        <w:rPr>
          <w:rFonts w:ascii="Arial"/>
          <w:color w:val="000000"/>
          <w:sz w:val="24"/>
        </w:rPr>
        <w:t xml:space="preserve">Preston </w:t>
      </w:r>
      <w:r>
        <w:rPr>
          <w:rFonts w:ascii="Arial"/>
          <w:color w:val="000000"/>
          <w:sz w:val="24"/>
        </w:rPr>
        <w:t>CJ</w:t>
      </w:r>
      <w:r>
        <w:rPr>
          <w:rFonts w:ascii="Arial"/>
          <w:color w:val="000000"/>
          <w:sz w:val="24"/>
        </w:rPr>
        <w:t xml:space="preserve"> </w:t>
      </w:r>
      <w:r>
        <w:rPr>
          <w:rFonts w:ascii="Arial"/>
          <w:color w:val="000000"/>
          <w:sz w:val="24"/>
        </w:rPr>
        <w:t xml:space="preserve">of LEC </w:t>
      </w:r>
      <w:r>
        <w:rPr>
          <w:rFonts w:ascii="Arial"/>
          <w:color w:val="000000"/>
          <w:sz w:val="24"/>
        </w:rPr>
        <w:t>dealt with a case involving a complying development certificate issued by a private certifier. Despite the apparent similarity o</w:t>
      </w:r>
      <w:r>
        <w:rPr>
          <w:rFonts w:ascii="Arial"/>
          <w:color w:val="000000"/>
          <w:sz w:val="24"/>
        </w:rPr>
        <w:t>f</w:t>
      </w:r>
      <w:r>
        <w:rPr>
          <w:rFonts w:ascii="Arial"/>
          <w:color w:val="000000"/>
          <w:sz w:val="24"/>
        </w:rPr>
        <w:t xml:space="preserve"> </w:t>
      </w:r>
      <w:r>
        <w:rPr>
          <w:rFonts w:ascii="Arial"/>
          <w:color w:val="000000"/>
          <w:sz w:val="24"/>
        </w:rPr>
        <w:t>the issues involved</w:t>
      </w:r>
      <w:r>
        <w:rPr>
          <w:rFonts w:ascii="Arial"/>
          <w:color w:val="000000"/>
          <w:sz w:val="24"/>
        </w:rPr>
        <w:t xml:space="preserve"> </w:t>
      </w:r>
      <w:r>
        <w:rPr>
          <w:rFonts w:ascii="Arial"/>
          <w:color w:val="000000"/>
          <w:sz w:val="24"/>
        </w:rPr>
        <w:t>here</w:t>
      </w:r>
      <w:r>
        <w:rPr>
          <w:rFonts w:ascii="Arial"/>
          <w:color w:val="000000"/>
          <w:sz w:val="24"/>
        </w:rPr>
        <w:t xml:space="preserve">, </w:t>
      </w:r>
      <w:r>
        <w:rPr>
          <w:rFonts w:ascii="Arial"/>
          <w:i/>
          <w:color w:val="000000"/>
          <w:sz w:val="24"/>
        </w:rPr>
        <w:t>Ramahi</w:t>
      </w:r>
      <w:r>
        <w:rPr>
          <w:rFonts w:ascii="Arial"/>
          <w:i/>
          <w:color w:val="000000"/>
          <w:sz w:val="24"/>
        </w:rPr>
        <w:t xml:space="preserve"> </w:t>
      </w:r>
      <w:r>
        <w:rPr>
          <w:rFonts w:ascii="Arial"/>
          <w:color w:val="000000"/>
          <w:sz w:val="24"/>
        </w:rPr>
        <w:t>is quite different to the present case.</w:t>
      </w:r>
      <w:r>
        <w:rPr>
          <w:rFonts w:ascii="Arial"/>
          <w:color w:val="000000"/>
          <w:sz w:val="24"/>
        </w:rPr>
        <w:t xml:space="preserve"> </w:t>
      </w:r>
      <w:r>
        <w:rPr>
          <w:rFonts w:ascii="Arial"/>
          <w:i/>
          <w:color w:val="000000"/>
          <w:sz w:val="24"/>
        </w:rPr>
        <w:t>Ramahi</w:t>
      </w:r>
      <w:r>
        <w:rPr>
          <w:rFonts w:ascii="Arial"/>
          <w:color w:val="000000"/>
          <w:sz w:val="24"/>
        </w:rPr>
        <w:t xml:space="preserve"> </w:t>
      </w:r>
      <w:r>
        <w:rPr>
          <w:rFonts w:ascii="Arial"/>
          <w:color w:val="000000"/>
          <w:sz w:val="24"/>
        </w:rPr>
        <w:t>was a case where there was no right of appeal against the determination of, or a failure or refusal to determine, an application for a complying development certificate by a council or accredited certifier (</w:t>
      </w:r>
      <w:r>
        <w:rPr>
          <w:rFonts w:ascii="Arial"/>
          <w:color w:val="000000"/>
          <w:sz w:val="24"/>
        </w:rPr>
        <w:t xml:space="preserve">then </w:t>
      </w:r>
      <w:r>
        <w:rPr>
          <w:rFonts w:ascii="Arial"/>
          <w:color w:val="000000"/>
          <w:sz w:val="24"/>
        </w:rPr>
        <w:t>s 85A(10) of the EPA Act</w:t>
      </w:r>
      <w:r>
        <w:rPr>
          <w:rFonts w:ascii="Arial"/>
          <w:color w:val="000000"/>
          <w:sz w:val="24"/>
        </w:rPr>
        <w:t>, now repealed, see s 4.28 EPA Act</w:t>
      </w:r>
      <w:r>
        <w:rPr>
          <w:rFonts w:ascii="Arial"/>
          <w:color w:val="000000"/>
          <w:sz w:val="24"/>
        </w:rPr>
        <w:t>). However,</w:t>
      </w:r>
      <w:r>
        <w:rPr>
          <w:rFonts w:ascii="Arial"/>
          <w:color w:val="000000"/>
          <w:sz w:val="24"/>
        </w:rPr>
        <w:t xml:space="preserve"> </w:t>
      </w:r>
      <w:r>
        <w:rPr>
          <w:rFonts w:ascii="Arial"/>
          <w:color w:val="000000"/>
          <w:sz w:val="24"/>
        </w:rPr>
        <w:t xml:space="preserve">as Preston CJ of LEC recognised, </w:t>
      </w:r>
      <w:r>
        <w:rPr>
          <w:rFonts w:ascii="Arial"/>
          <w:color w:val="000000"/>
          <w:sz w:val="24"/>
        </w:rPr>
        <w:t xml:space="preserve">there was still available the right </w:t>
      </w:r>
      <w:r>
        <w:rPr>
          <w:rFonts w:ascii="Arial"/>
          <w:color w:val="000000"/>
          <w:sz w:val="24"/>
        </w:rPr>
        <w:t xml:space="preserve">conferred by s 20(2) of the </w:t>
      </w:r>
      <w:r>
        <w:rPr>
          <w:rFonts w:ascii="Arial"/>
          <w:i/>
          <w:color w:val="000000"/>
          <w:sz w:val="24"/>
        </w:rPr>
        <w:t>Land and Environment Court Act</w:t>
      </w:r>
      <w:r>
        <w:rPr>
          <w:rFonts w:ascii="Arial"/>
          <w:color w:val="000000"/>
          <w:sz w:val="24"/>
        </w:rPr>
        <w:t xml:space="preserve"> </w:t>
      </w:r>
      <w:r>
        <w:rPr>
          <w:rFonts w:ascii="Arial"/>
          <w:color w:val="000000"/>
          <w:sz w:val="24"/>
        </w:rPr>
        <w:t xml:space="preserve">to bring proceedings for judicial review of </w:t>
      </w:r>
      <w:r>
        <w:rPr>
          <w:rFonts w:ascii="Arial"/>
          <w:color w:val="000000"/>
          <w:sz w:val="24"/>
        </w:rPr>
        <w:t>a determination of, or a failure or refusal to determine, an application for a complying development certificate</w:t>
      </w:r>
      <w:r>
        <w:rPr>
          <w:rFonts w:ascii="Arial"/>
          <w:color w:val="000000"/>
          <w:sz w:val="24"/>
        </w:rPr>
        <w:t>.</w:t>
      </w:r>
    </w:p>
    <w:p>
      <w:pPr>
        <w:pStyle w:val="CaselawNumbered10"/>
        <w:numPr>
          <w:ilvl w:val="0"/>
          <w:numId w:val="74"/>
        </w:numPr>
        <w:spacing w:before="150" w:after="0"/>
        <w:ind w:left="600" w:hanging="600"/>
      </w:pPr>
      <w:r>
        <w:rPr>
          <w:rFonts w:ascii="Arial"/>
          <w:color w:val="000000"/>
          <w:sz w:val="24"/>
        </w:rPr>
        <w:t xml:space="preserve">There was a privative provision, then </w:t>
      </w:r>
      <w:r>
        <w:rPr>
          <w:rFonts w:ascii="Arial"/>
          <w:color w:val="000000"/>
          <w:sz w:val="24"/>
        </w:rPr>
        <w:t xml:space="preserve">numbered </w:t>
      </w:r>
      <w:r>
        <w:rPr>
          <w:rFonts w:ascii="Arial"/>
          <w:color w:val="000000"/>
          <w:sz w:val="24"/>
        </w:rPr>
        <w:t>s 101</w:t>
      </w:r>
      <w:r>
        <w:rPr>
          <w:rFonts w:ascii="Arial"/>
          <w:color w:val="000000"/>
          <w:sz w:val="24"/>
        </w:rPr>
        <w:t xml:space="preserve"> </w:t>
      </w:r>
      <w:r>
        <w:rPr>
          <w:rFonts w:ascii="Arial"/>
          <w:color w:val="000000"/>
          <w:sz w:val="24"/>
        </w:rPr>
        <w:t>of the EPA Act</w:t>
      </w:r>
      <w:r>
        <w:rPr>
          <w:rFonts w:ascii="Arial"/>
          <w:color w:val="000000"/>
          <w:sz w:val="24"/>
        </w:rPr>
        <w:t>, now s 4.59 of the EPA Act</w:t>
      </w:r>
      <w:r>
        <w:rPr>
          <w:rFonts w:ascii="Arial"/>
          <w:color w:val="000000"/>
          <w:sz w:val="24"/>
        </w:rPr>
        <w:t xml:space="preserve">, which forbade judicial review of a determination of an application for a complying development certificate save where </w:t>
      </w:r>
      <w:r>
        <w:rPr>
          <w:rFonts w:ascii="Arial"/>
          <w:color w:val="000000"/>
          <w:sz w:val="24"/>
        </w:rPr>
        <w:t>proceedings were commenced within three months after the occurrence of identified procedural steps. Section 101 provided:</w:t>
      </w:r>
    </w:p>
    <w:p>
      <w:pPr>
        <w:pStyle w:val="CaselawQuote"/>
        <w:spacing w:before="150" w:after="150"/>
        <w:ind w:left="1350"/>
        <w:jc w:val="left"/>
      </w:pPr>
      <w:r>
        <w:rPr>
          <w:rFonts w:ascii="Arial"/>
          <w:color w:val="000000"/>
          <w:sz w:val="22"/>
        </w:rPr>
        <w:t xml:space="preserve">If public notice of the granting of a consent or a complying development certificate is given in accordance with the regulations by a consent authority or </w:t>
      </w:r>
      <w:r>
        <w:rPr>
          <w:rFonts w:ascii="Arial"/>
          <w:color w:val="000000"/>
          <w:sz w:val="22"/>
        </w:rPr>
        <w:t>an accredited certifier, the validity of the consent or certificate cannot be questioned in any legal proceedings except those commenced in the Court by any person at any time before the expiration of 3 months from the date on which public notice was so given.</w:t>
      </w:r>
    </w:p>
    <w:p>
      <w:pPr>
        <w:pStyle w:val="CaselawNumbered10"/>
        <w:numPr>
          <w:ilvl w:val="0"/>
          <w:numId w:val="75"/>
        </w:numPr>
        <w:spacing w:before="150" w:after="0"/>
        <w:ind w:left="600" w:hanging="600"/>
      </w:pPr>
      <w:r>
        <w:rPr>
          <w:rFonts w:ascii="Arial"/>
          <w:color w:val="000000"/>
          <w:sz w:val="24"/>
        </w:rPr>
        <w:t>Preston CJ of LEC explained that the public notification of a complying development certificate operate</w:t>
      </w:r>
      <w:r>
        <w:rPr>
          <w:rFonts w:ascii="Arial"/>
          <w:color w:val="000000"/>
          <w:sz w:val="24"/>
        </w:rPr>
        <w:t>d</w:t>
      </w:r>
      <w:r>
        <w:rPr>
          <w:rFonts w:ascii="Arial"/>
          <w:color w:val="000000"/>
          <w:sz w:val="24"/>
        </w:rPr>
        <w:t xml:space="preserve"> </w:t>
      </w:r>
      <w:r>
        <w:rPr>
          <w:rFonts w:ascii="Arial"/>
          <w:color w:val="000000"/>
          <w:sz w:val="24"/>
        </w:rPr>
        <w:t>to commence the three</w:t>
      </w:r>
      <w:r>
        <w:rPr>
          <w:rFonts w:ascii="Arial"/>
          <w:color w:val="000000"/>
          <w:sz w:val="24"/>
        </w:rPr>
        <w:t xml:space="preserve"> </w:t>
      </w:r>
      <w:r>
        <w:rPr>
          <w:rFonts w:ascii="Arial"/>
          <w:color w:val="000000"/>
          <w:sz w:val="24"/>
        </w:rPr>
        <w:t>month time limitation period for commencing proceedings questioning the validity of the complying development certificate for the purposes of s 101</w:t>
      </w:r>
      <w:r>
        <w:rPr>
          <w:rFonts w:ascii="Arial"/>
          <w:color w:val="000000"/>
          <w:sz w:val="24"/>
        </w:rPr>
        <w:t>.</w:t>
      </w:r>
      <w:r>
        <w:rPr>
          <w:rFonts w:ascii="Arial"/>
          <w:color w:val="000000"/>
          <w:sz w:val="24"/>
        </w:rPr>
        <w:t xml:space="preserve"> </w:t>
      </w:r>
      <w:r>
        <w:rPr>
          <w:rFonts w:ascii="Arial"/>
          <w:color w:val="000000"/>
          <w:sz w:val="24"/>
        </w:rPr>
        <w:t xml:space="preserve">The ratio of </w:t>
      </w:r>
      <w:r>
        <w:rPr>
          <w:rFonts w:ascii="Arial"/>
          <w:i/>
          <w:color w:val="000000"/>
          <w:sz w:val="24"/>
        </w:rPr>
        <w:t>Ram</w:t>
      </w:r>
      <w:r>
        <w:rPr>
          <w:rFonts w:ascii="Arial"/>
          <w:i/>
          <w:color w:val="000000"/>
          <w:sz w:val="24"/>
        </w:rPr>
        <w:t>ah</w:t>
      </w:r>
      <w:r>
        <w:rPr>
          <w:rFonts w:ascii="Arial"/>
          <w:i/>
          <w:color w:val="000000"/>
          <w:sz w:val="24"/>
        </w:rPr>
        <w:t>i</w:t>
      </w:r>
      <w:r>
        <w:rPr>
          <w:rFonts w:ascii="Arial"/>
          <w:color w:val="000000"/>
          <w:sz w:val="24"/>
        </w:rPr>
        <w:t xml:space="preserve"> </w:t>
      </w:r>
      <w:r>
        <w:rPr>
          <w:rFonts w:ascii="Arial"/>
          <w:color w:val="000000"/>
          <w:sz w:val="24"/>
        </w:rPr>
        <w:t>is:</w:t>
      </w:r>
    </w:p>
    <w:p>
      <w:pPr>
        <w:pStyle w:val="CaselawQuote"/>
        <w:spacing w:before="150" w:after="150"/>
        <w:ind w:left="1350"/>
        <w:jc w:val="left"/>
      </w:pPr>
      <w:r>
        <w:rPr>
          <w:rFonts w:ascii="Arial"/>
          <w:color w:val="000000"/>
          <w:sz w:val="22"/>
        </w:rPr>
        <w:t>“[73] In this case, because no public notice has been given for the purposes of s 101 of the EPA Act of the decisions to issue the complying development certificates, s 101 of the EPA Act does not operate to establish a three month limitation period for commencing proceedings for judicial review of those decisions. This means, for the purposes of r 59.10(4), there will only be a statutory limitation period for commencing proceedings for judicial review of decisions to grant development consent or a complying development certificate if and when public notice of the decisions is given for the purposes of s 101 of the EPA Act.”</w:t>
      </w:r>
    </w:p>
    <w:p>
      <w:pPr>
        <w:pStyle w:val="CaselawNumbered10"/>
        <w:numPr>
          <w:ilvl w:val="0"/>
          <w:numId w:val="76"/>
        </w:numPr>
        <w:spacing w:before="150" w:after="0"/>
        <w:ind w:left="600" w:hanging="600"/>
      </w:pPr>
      <w:r>
        <w:rPr>
          <w:rFonts w:ascii="Arial"/>
          <w:color w:val="000000"/>
          <w:sz w:val="24"/>
        </w:rPr>
        <w:t xml:space="preserve">In the present case </w:t>
      </w:r>
      <w:r>
        <w:rPr>
          <w:rFonts w:ascii="Arial"/>
          <w:color w:val="000000"/>
          <w:sz w:val="24"/>
        </w:rPr>
        <w:t>the provision engaged</w:t>
      </w:r>
      <w:r>
        <w:rPr>
          <w:rFonts w:ascii="Arial"/>
          <w:color w:val="000000"/>
          <w:sz w:val="24"/>
        </w:rPr>
        <w:t>, s</w:t>
      </w:r>
      <w:r>
        <w:rPr>
          <w:rFonts w:ascii="Arial"/>
          <w:color w:val="000000"/>
          <w:sz w:val="24"/>
        </w:rPr>
        <w:t xml:space="preserve"> </w:t>
      </w:r>
      <w:r>
        <w:rPr>
          <w:rFonts w:ascii="Arial"/>
          <w:color w:val="000000"/>
          <w:sz w:val="24"/>
        </w:rPr>
        <w:t>6.32 of the EPA Act</w:t>
      </w:r>
      <w:r>
        <w:rPr>
          <w:rFonts w:ascii="Arial"/>
          <w:color w:val="000000"/>
          <w:sz w:val="24"/>
        </w:rPr>
        <w:t>,</w:t>
      </w:r>
      <w:r>
        <w:rPr>
          <w:rFonts w:ascii="Arial"/>
          <w:color w:val="000000"/>
          <w:sz w:val="24"/>
        </w:rPr>
        <w:t xml:space="preserve"> </w:t>
      </w:r>
      <w:r>
        <w:rPr>
          <w:rFonts w:ascii="Arial"/>
          <w:color w:val="000000"/>
          <w:sz w:val="24"/>
        </w:rPr>
        <w:t>is different to s 101</w:t>
      </w:r>
      <w:r>
        <w:rPr>
          <w:rFonts w:ascii="Arial"/>
          <w:color w:val="000000"/>
          <w:sz w:val="24"/>
        </w:rPr>
        <w:t xml:space="preserve"> </w:t>
      </w:r>
      <w:r>
        <w:rPr>
          <w:rFonts w:ascii="Arial"/>
          <w:color w:val="000000"/>
          <w:sz w:val="24"/>
        </w:rPr>
        <w:t>(</w:t>
      </w:r>
      <w:r>
        <w:rPr>
          <w:rFonts w:ascii="Arial"/>
          <w:color w:val="000000"/>
          <w:sz w:val="24"/>
        </w:rPr>
        <w:t>which is now s 4.59</w:t>
      </w:r>
      <w:r>
        <w:rPr>
          <w:rFonts w:ascii="Arial"/>
          <w:color w:val="000000"/>
          <w:sz w:val="24"/>
        </w:rPr>
        <w:t>)</w:t>
      </w:r>
      <w:r>
        <w:rPr>
          <w:rFonts w:ascii="Arial"/>
          <w:color w:val="000000"/>
          <w:sz w:val="24"/>
        </w:rPr>
        <w:t>. The section</w:t>
      </w:r>
      <w:r>
        <w:rPr>
          <w:rFonts w:ascii="Arial"/>
          <w:color w:val="000000"/>
          <w:sz w:val="24"/>
        </w:rPr>
        <w:t xml:space="preserve"> </w:t>
      </w:r>
      <w:r>
        <w:rPr>
          <w:rFonts w:ascii="Arial"/>
          <w:color w:val="000000"/>
          <w:sz w:val="24"/>
        </w:rPr>
        <w:t xml:space="preserve">does not on its face forbid judicial review of a determination of an application for a </w:t>
      </w:r>
      <w:r>
        <w:rPr>
          <w:rFonts w:ascii="Arial"/>
          <w:color w:val="000000"/>
          <w:sz w:val="24"/>
        </w:rPr>
        <w:t>construction</w:t>
      </w:r>
      <w:r>
        <w:rPr>
          <w:rFonts w:ascii="Arial"/>
          <w:color w:val="000000"/>
          <w:sz w:val="24"/>
        </w:rPr>
        <w:t xml:space="preserve"> </w:t>
      </w:r>
      <w:r>
        <w:rPr>
          <w:rFonts w:ascii="Arial"/>
          <w:color w:val="000000"/>
          <w:sz w:val="24"/>
        </w:rPr>
        <w:t xml:space="preserve">certificate </w:t>
      </w:r>
      <w:r>
        <w:rPr>
          <w:rFonts w:ascii="Arial"/>
          <w:color w:val="000000"/>
          <w:sz w:val="24"/>
        </w:rPr>
        <w:t>if the</w:t>
      </w:r>
      <w:r>
        <w:rPr>
          <w:rFonts w:ascii="Arial"/>
          <w:color w:val="000000"/>
          <w:sz w:val="24"/>
        </w:rPr>
        <w:t xml:space="preserve"> </w:t>
      </w:r>
      <w:r>
        <w:rPr>
          <w:rFonts w:ascii="Arial"/>
          <w:color w:val="000000"/>
          <w:sz w:val="24"/>
        </w:rPr>
        <w:t>identified procedural steps</w:t>
      </w:r>
      <w:r>
        <w:rPr>
          <w:rFonts w:ascii="Arial"/>
          <w:color w:val="000000"/>
          <w:sz w:val="24"/>
        </w:rPr>
        <w:t xml:space="preserve"> </w:t>
      </w:r>
      <w:r>
        <w:rPr>
          <w:rFonts w:ascii="Arial"/>
          <w:color w:val="000000"/>
          <w:sz w:val="24"/>
        </w:rPr>
        <w:t xml:space="preserve">in </w:t>
      </w:r>
      <w:r>
        <w:rPr>
          <w:rFonts w:ascii="Arial"/>
          <w:color w:val="000000"/>
          <w:sz w:val="24"/>
        </w:rPr>
        <w:t xml:space="preserve">s </w:t>
      </w:r>
      <w:r>
        <w:rPr>
          <w:rFonts w:ascii="Arial"/>
          <w:color w:val="000000"/>
          <w:sz w:val="24"/>
        </w:rPr>
        <w:t>6.32 are not complied with</w:t>
      </w:r>
      <w:r>
        <w:rPr>
          <w:rFonts w:ascii="Arial"/>
          <w:color w:val="000000"/>
          <w:sz w:val="24"/>
        </w:rPr>
        <w:t xml:space="preserve">. Rather, s 6.32 is a </w:t>
      </w:r>
      <w:r>
        <w:rPr>
          <w:rFonts w:ascii="Arial"/>
          <w:color w:val="000000"/>
          <w:sz w:val="24"/>
        </w:rPr>
        <w:t xml:space="preserve">merits review provision </w:t>
      </w:r>
      <w:r>
        <w:rPr>
          <w:rFonts w:ascii="Arial"/>
          <w:color w:val="000000"/>
          <w:sz w:val="24"/>
        </w:rPr>
        <w:t>which must be exercise</w:t>
      </w:r>
      <w:r>
        <w:rPr>
          <w:rFonts w:ascii="Arial"/>
          <w:color w:val="000000"/>
          <w:sz w:val="24"/>
        </w:rPr>
        <w:t>d</w:t>
      </w:r>
      <w:r>
        <w:rPr>
          <w:rFonts w:ascii="Arial"/>
          <w:color w:val="000000"/>
          <w:sz w:val="24"/>
        </w:rPr>
        <w:t>, if at all</w:t>
      </w:r>
      <w:r>
        <w:rPr>
          <w:rFonts w:ascii="Arial"/>
          <w:color w:val="000000"/>
          <w:sz w:val="24"/>
        </w:rPr>
        <w:t>,</w:t>
      </w:r>
      <w:r>
        <w:rPr>
          <w:rFonts w:ascii="Arial"/>
          <w:color w:val="000000"/>
          <w:sz w:val="24"/>
        </w:rPr>
        <w:t xml:space="preserve"> </w:t>
      </w:r>
      <w:r>
        <w:rPr>
          <w:rFonts w:ascii="Arial"/>
          <w:color w:val="000000"/>
          <w:sz w:val="24"/>
        </w:rPr>
        <w:t>by commencing proceedings within a</w:t>
      </w:r>
      <w:r>
        <w:rPr>
          <w:rFonts w:ascii="Arial"/>
          <w:color w:val="000000"/>
          <w:sz w:val="24"/>
        </w:rPr>
        <w:t xml:space="preserve"> </w:t>
      </w:r>
      <w:r>
        <w:rPr>
          <w:rFonts w:ascii="Arial"/>
          <w:color w:val="000000"/>
          <w:sz w:val="24"/>
        </w:rPr>
        <w:t>strict three</w:t>
      </w:r>
      <w:r>
        <w:rPr>
          <w:rFonts w:ascii="Arial"/>
          <w:color w:val="000000"/>
          <w:sz w:val="24"/>
        </w:rPr>
        <w:t xml:space="preserve"> </w:t>
      </w:r>
      <w:r>
        <w:rPr>
          <w:rFonts w:ascii="Arial"/>
          <w:color w:val="000000"/>
          <w:sz w:val="24"/>
        </w:rPr>
        <w:t xml:space="preserve">month time limit. </w:t>
      </w:r>
    </w:p>
    <w:p>
      <w:pPr>
        <w:pStyle w:val="CaselawNumbered10"/>
        <w:numPr>
          <w:ilvl w:val="0"/>
          <w:numId w:val="76"/>
        </w:numPr>
        <w:spacing w:before="150" w:after="0"/>
        <w:ind w:left="600" w:hanging="600"/>
      </w:pPr>
      <w:r>
        <w:rPr>
          <w:rFonts w:ascii="Arial"/>
          <w:color w:val="000000"/>
          <w:sz w:val="24"/>
        </w:rPr>
        <w:t xml:space="preserve">No case was advanced, by any party, that </w:t>
      </w:r>
      <w:r>
        <w:rPr>
          <w:rFonts w:ascii="Arial"/>
          <w:color w:val="000000"/>
          <w:sz w:val="24"/>
        </w:rPr>
        <w:t xml:space="preserve">in context </w:t>
      </w:r>
      <w:r>
        <w:rPr>
          <w:rFonts w:ascii="Arial"/>
          <w:color w:val="000000"/>
          <w:sz w:val="24"/>
        </w:rPr>
        <w:t>s 6.32 of the EPA Act</w:t>
      </w:r>
      <w:r>
        <w:rPr>
          <w:rFonts w:ascii="Arial"/>
          <w:color w:val="000000"/>
          <w:sz w:val="24"/>
        </w:rPr>
        <w:t xml:space="preserve"> </w:t>
      </w:r>
      <w:r>
        <w:rPr>
          <w:rFonts w:ascii="Arial"/>
          <w:color w:val="000000"/>
          <w:sz w:val="24"/>
        </w:rPr>
        <w:t xml:space="preserve">should be understood as </w:t>
      </w:r>
      <w:r>
        <w:rPr>
          <w:rFonts w:ascii="Arial"/>
          <w:color w:val="000000"/>
          <w:sz w:val="24"/>
        </w:rPr>
        <w:t>a privat</w:t>
      </w:r>
      <w:r>
        <w:rPr>
          <w:rFonts w:ascii="Arial"/>
          <w:color w:val="000000"/>
          <w:sz w:val="24"/>
        </w:rPr>
        <w:t>iv</w:t>
      </w:r>
      <w:r>
        <w:rPr>
          <w:rFonts w:ascii="Arial"/>
          <w:color w:val="000000"/>
          <w:sz w:val="24"/>
        </w:rPr>
        <w:t>e provision</w:t>
      </w:r>
      <w:r>
        <w:rPr>
          <w:rFonts w:ascii="Arial"/>
          <w:color w:val="000000"/>
          <w:sz w:val="24"/>
        </w:rPr>
        <w:t xml:space="preserve"> </w:t>
      </w:r>
      <w:r>
        <w:rPr>
          <w:rFonts w:ascii="Arial"/>
          <w:color w:val="000000"/>
          <w:sz w:val="24"/>
        </w:rPr>
        <w:t>of the kind addressed by the former s 101</w:t>
      </w:r>
      <w:r>
        <w:rPr>
          <w:rFonts w:ascii="Arial"/>
          <w:color w:val="000000"/>
          <w:sz w:val="24"/>
        </w:rPr>
        <w:t>. As I will explain, in addressing ground 3, there is a potentially large question, expressly disavowed by the appellant</w:t>
      </w:r>
      <w:r>
        <w:rPr>
          <w:rFonts w:ascii="Arial"/>
          <w:color w:val="000000"/>
          <w:sz w:val="24"/>
        </w:rPr>
        <w:t>s</w:t>
      </w:r>
      <w:r>
        <w:rPr>
          <w:rFonts w:ascii="Arial"/>
          <w:color w:val="000000"/>
          <w:sz w:val="24"/>
        </w:rPr>
        <w:t xml:space="preserve"> </w:t>
      </w:r>
      <w:r>
        <w:rPr>
          <w:rFonts w:ascii="Arial"/>
          <w:color w:val="000000"/>
          <w:sz w:val="24"/>
        </w:rPr>
        <w:t xml:space="preserve">here, about the availability of judicial review for jurisdictional error of a decision to grant a </w:t>
      </w:r>
      <w:r>
        <w:rPr>
          <w:rFonts w:ascii="Arial"/>
          <w:color w:val="000000"/>
          <w:sz w:val="24"/>
        </w:rPr>
        <w:t>construction certificate</w:t>
      </w:r>
      <w:r>
        <w:rPr>
          <w:rFonts w:ascii="Arial"/>
          <w:color w:val="000000"/>
          <w:sz w:val="24"/>
        </w:rPr>
        <w:t>.</w:t>
      </w:r>
      <w:r>
        <w:rPr>
          <w:rFonts w:ascii="Arial"/>
          <w:color w:val="000000"/>
          <w:sz w:val="24"/>
        </w:rPr>
        <w:t xml:space="preserve"> </w:t>
      </w:r>
      <w:r>
        <w:rPr>
          <w:rFonts w:ascii="Arial"/>
          <w:color w:val="000000"/>
          <w:sz w:val="24"/>
        </w:rPr>
        <w:t xml:space="preserve">Any suggestion that the </w:t>
      </w:r>
      <w:r>
        <w:rPr>
          <w:rFonts w:ascii="Arial"/>
          <w:color w:val="000000"/>
          <w:sz w:val="24"/>
        </w:rPr>
        <w:t>availability of judicial review for jurisdictional error</w:t>
      </w:r>
      <w:r>
        <w:rPr>
          <w:rFonts w:ascii="Arial"/>
          <w:color w:val="000000"/>
          <w:sz w:val="24"/>
        </w:rPr>
        <w:t xml:space="preserve"> </w:t>
      </w:r>
      <w:r>
        <w:rPr>
          <w:rFonts w:ascii="Arial"/>
          <w:color w:val="000000"/>
          <w:sz w:val="24"/>
        </w:rPr>
        <w:t>of a decision to grant a construction certificate was in any way limited was also expressly disavowed</w:t>
      </w:r>
      <w:r>
        <w:rPr>
          <w:rFonts w:ascii="Arial"/>
          <w:color w:val="000000"/>
          <w:sz w:val="24"/>
        </w:rPr>
        <w:t xml:space="preserve"> </w:t>
      </w:r>
      <w:r>
        <w:rPr>
          <w:rFonts w:ascii="Arial"/>
          <w:color w:val="000000"/>
          <w:sz w:val="24"/>
        </w:rPr>
        <w:t>by the appellants</w:t>
      </w:r>
      <w:r>
        <w:rPr>
          <w:rFonts w:ascii="Arial"/>
          <w:color w:val="000000"/>
          <w:sz w:val="24"/>
        </w:rPr>
        <w:t>:</w:t>
      </w:r>
      <w:r>
        <w:rPr>
          <w:rFonts w:ascii="Arial"/>
          <w:color w:val="000000"/>
          <w:sz w:val="24"/>
        </w:rPr>
        <w:t xml:space="preserve"> </w:t>
      </w:r>
      <w:r>
        <w:rPr>
          <w:rFonts w:ascii="Arial"/>
          <w:color w:val="000000"/>
          <w:sz w:val="24"/>
        </w:rPr>
        <w:t xml:space="preserve">as an example of possible limits </w:t>
      </w:r>
      <w:r>
        <w:rPr>
          <w:rFonts w:ascii="Arial"/>
          <w:color w:val="000000"/>
          <w:sz w:val="24"/>
        </w:rPr>
        <w:t xml:space="preserve">to the availability of judicial review for jurisdictional error </w:t>
      </w:r>
      <w:r>
        <w:rPr>
          <w:rFonts w:ascii="Arial"/>
          <w:color w:val="000000"/>
          <w:sz w:val="24"/>
        </w:rPr>
        <w:t xml:space="preserve">see </w:t>
      </w:r>
      <w:r>
        <w:rPr>
          <w:rFonts w:ascii="Arial"/>
          <w:i/>
          <w:color w:val="000000"/>
          <w:sz w:val="24"/>
        </w:rPr>
        <w:t xml:space="preserve">Commissioner of Taxation v </w:t>
      </w:r>
      <w:r>
        <w:rPr>
          <w:rFonts w:ascii="Arial"/>
          <w:i/>
          <w:color w:val="000000"/>
          <w:sz w:val="24"/>
        </w:rPr>
        <w:t>Futuris</w:t>
      </w:r>
      <w:r>
        <w:rPr>
          <w:rFonts w:ascii="Arial"/>
          <w:i/>
          <w:color w:val="000000"/>
          <w:sz w:val="24"/>
        </w:rPr>
        <w:t xml:space="preserve"> Corporation Limited</w:t>
      </w:r>
      <w:r>
        <w:rPr>
          <w:rFonts w:ascii="Arial"/>
          <w:color w:val="000000"/>
          <w:sz w:val="24"/>
        </w:rPr>
        <w:t xml:space="preserve"> </w:t>
      </w:r>
      <w:r>
        <w:rPr>
          <w:rFonts w:ascii="Arial"/>
          <w:color w:val="000000"/>
          <w:sz w:val="24"/>
        </w:rPr>
        <w:t>(2008) 237 CLR 146; [2008] HCA 32</w:t>
      </w:r>
      <w:r>
        <w:rPr>
          <w:rFonts w:ascii="Arial"/>
          <w:color w:val="000000"/>
          <w:sz w:val="24"/>
        </w:rPr>
        <w:t xml:space="preserve">. </w:t>
      </w:r>
    </w:p>
    <w:p>
      <w:pPr>
        <w:pStyle w:val="CaselawNumbered10"/>
        <w:numPr>
          <w:ilvl w:val="0"/>
          <w:numId w:val="76"/>
        </w:numPr>
        <w:spacing w:before="150" w:after="0"/>
        <w:ind w:left="600" w:hanging="600"/>
      </w:pPr>
      <w:r>
        <w:rPr>
          <w:rFonts w:ascii="Arial"/>
          <w:color w:val="000000"/>
          <w:sz w:val="24"/>
        </w:rPr>
        <w:t xml:space="preserve">There was also an issue in </w:t>
      </w:r>
      <w:r>
        <w:rPr>
          <w:rFonts w:ascii="Arial"/>
          <w:i/>
          <w:color w:val="000000"/>
          <w:sz w:val="24"/>
        </w:rPr>
        <w:t>Ram</w:t>
      </w:r>
      <w:r>
        <w:rPr>
          <w:rFonts w:ascii="Arial"/>
          <w:i/>
          <w:color w:val="000000"/>
          <w:sz w:val="24"/>
        </w:rPr>
        <w:t>ah</w:t>
      </w:r>
      <w:r>
        <w:rPr>
          <w:rFonts w:ascii="Arial"/>
          <w:i/>
          <w:color w:val="000000"/>
          <w:sz w:val="24"/>
        </w:rPr>
        <w:t>i</w:t>
      </w:r>
      <w:r>
        <w:rPr>
          <w:rFonts w:ascii="Arial"/>
          <w:color w:val="000000"/>
          <w:sz w:val="24"/>
        </w:rPr>
        <w:t xml:space="preserve"> </w:t>
      </w:r>
      <w:r>
        <w:rPr>
          <w:rFonts w:ascii="Arial"/>
          <w:color w:val="000000"/>
          <w:sz w:val="24"/>
        </w:rPr>
        <w:t>about the potential application of UCPR</w:t>
      </w:r>
      <w:r>
        <w:rPr>
          <w:rFonts w:ascii="Arial"/>
          <w:color w:val="000000"/>
          <w:sz w:val="24"/>
        </w:rPr>
        <w:t xml:space="preserve"> </w:t>
      </w:r>
      <w:r>
        <w:rPr>
          <w:rFonts w:ascii="Arial"/>
          <w:color w:val="000000"/>
          <w:sz w:val="24"/>
        </w:rPr>
        <w:t xml:space="preserve">r 59.10(4), </w:t>
      </w:r>
      <w:r>
        <w:rPr>
          <w:rFonts w:ascii="Arial"/>
          <w:color w:val="000000"/>
          <w:sz w:val="24"/>
        </w:rPr>
        <w:t xml:space="preserve">which </w:t>
      </w:r>
      <w:r>
        <w:rPr>
          <w:rFonts w:ascii="Arial"/>
          <w:color w:val="000000"/>
          <w:sz w:val="24"/>
        </w:rPr>
        <w:t xml:space="preserve">it will be recalled </w:t>
      </w:r>
      <w:r>
        <w:rPr>
          <w:rFonts w:ascii="Arial"/>
          <w:color w:val="000000"/>
          <w:sz w:val="24"/>
        </w:rPr>
        <w:t>provided</w:t>
      </w:r>
      <w:r>
        <w:rPr>
          <w:rFonts w:ascii="Arial"/>
          <w:color w:val="000000"/>
          <w:sz w:val="24"/>
        </w:rPr>
        <w:t xml:space="preserve"> </w:t>
      </w:r>
      <w:r>
        <w:rPr>
          <w:rFonts w:ascii="Arial"/>
          <w:color w:val="000000"/>
          <w:sz w:val="24"/>
        </w:rPr>
        <w:t>“</w:t>
      </w:r>
      <w:r>
        <w:rPr>
          <w:rFonts w:ascii="Arial"/>
          <w:color w:val="000000"/>
          <w:sz w:val="24"/>
        </w:rPr>
        <w:t>[t]</w:t>
      </w:r>
      <w:r>
        <w:rPr>
          <w:rFonts w:ascii="Arial"/>
          <w:color w:val="000000"/>
          <w:sz w:val="24"/>
        </w:rPr>
        <w:t>his rule does not apply to proceedings in which there is a statutory limitation period for commencing the proceedings</w:t>
      </w:r>
      <w:r>
        <w:rPr>
          <w:rFonts w:ascii="Arial"/>
          <w:color w:val="000000"/>
          <w:sz w:val="24"/>
        </w:rPr>
        <w:t>”</w:t>
      </w:r>
      <w:r>
        <w:rPr>
          <w:rFonts w:ascii="Arial"/>
          <w:color w:val="000000"/>
          <w:sz w:val="24"/>
        </w:rPr>
        <w:t>.</w:t>
      </w:r>
      <w:r>
        <w:rPr>
          <w:rFonts w:ascii="Arial"/>
          <w:color w:val="000000"/>
          <w:sz w:val="24"/>
        </w:rPr>
        <w:t xml:space="preserve"> </w:t>
      </w:r>
      <w:r>
        <w:rPr>
          <w:rFonts w:ascii="Arial"/>
          <w:color w:val="000000"/>
          <w:sz w:val="24"/>
        </w:rPr>
        <w:t>The appellant</w:t>
      </w:r>
      <w:r>
        <w:rPr>
          <w:rFonts w:ascii="Arial"/>
          <w:color w:val="000000"/>
          <w:sz w:val="24"/>
        </w:rPr>
        <w:t>s</w:t>
      </w:r>
      <w:r>
        <w:rPr>
          <w:rFonts w:ascii="Arial"/>
          <w:color w:val="000000"/>
          <w:sz w:val="24"/>
        </w:rPr>
        <w:t xml:space="preserve">, however, made no submission that the time limit in s 6.32 of the EPA Act was relevant to UCPR r </w:t>
      </w:r>
      <w:r>
        <w:rPr>
          <w:rFonts w:ascii="Arial"/>
          <w:color w:val="000000"/>
          <w:sz w:val="24"/>
        </w:rPr>
        <w:t>59</w:t>
      </w:r>
      <w:r>
        <w:rPr>
          <w:rFonts w:ascii="Arial"/>
          <w:color w:val="000000"/>
          <w:sz w:val="24"/>
        </w:rPr>
        <w:t xml:space="preserve">.10(4). </w:t>
      </w:r>
    </w:p>
    <w:p>
      <w:pPr>
        <w:pStyle w:val="CaselawNumbered10"/>
        <w:numPr>
          <w:ilvl w:val="0"/>
          <w:numId w:val="76"/>
        </w:numPr>
        <w:spacing w:before="150" w:after="0"/>
        <w:ind w:left="600" w:hanging="600"/>
      </w:pPr>
      <w:r>
        <w:rPr>
          <w:rFonts w:ascii="Arial"/>
          <w:color w:val="000000"/>
          <w:sz w:val="24"/>
        </w:rPr>
        <w:t xml:space="preserve">The </w:t>
      </w:r>
      <w:r>
        <w:rPr>
          <w:rFonts w:ascii="Arial"/>
          <w:color w:val="000000"/>
          <w:sz w:val="24"/>
        </w:rPr>
        <w:t>appellant</w:t>
      </w:r>
      <w:r>
        <w:rPr>
          <w:rFonts w:ascii="Arial"/>
          <w:color w:val="000000"/>
          <w:sz w:val="24"/>
        </w:rPr>
        <w:t>s</w:t>
      </w:r>
      <w:r>
        <w:rPr>
          <w:rFonts w:ascii="Arial"/>
          <w:color w:val="000000"/>
          <w:sz w:val="24"/>
        </w:rPr>
        <w:t xml:space="preserve"> </w:t>
      </w:r>
      <w:r>
        <w:rPr>
          <w:rFonts w:ascii="Arial"/>
          <w:color w:val="000000"/>
          <w:sz w:val="24"/>
        </w:rPr>
        <w:t>accepted that t</w:t>
      </w:r>
      <w:r>
        <w:rPr>
          <w:rFonts w:ascii="Arial"/>
          <w:color w:val="000000"/>
          <w:sz w:val="24"/>
        </w:rPr>
        <w:t xml:space="preserve">he Land and Environment Court </w:t>
      </w:r>
      <w:r>
        <w:rPr>
          <w:rFonts w:ascii="Arial"/>
          <w:color w:val="000000"/>
          <w:sz w:val="24"/>
        </w:rPr>
        <w:t>had</w:t>
      </w:r>
      <w:r>
        <w:rPr>
          <w:rFonts w:ascii="Arial"/>
          <w:color w:val="000000"/>
          <w:sz w:val="24"/>
        </w:rPr>
        <w:t xml:space="preserve"> </w:t>
      </w:r>
      <w:r>
        <w:rPr>
          <w:rFonts w:ascii="Arial"/>
          <w:color w:val="000000"/>
          <w:sz w:val="24"/>
        </w:rPr>
        <w:t xml:space="preserve">jurisdiction to </w:t>
      </w:r>
      <w:r>
        <w:rPr>
          <w:rFonts w:ascii="Arial"/>
          <w:color w:val="000000"/>
          <w:sz w:val="24"/>
        </w:rPr>
        <w:t xml:space="preserve">judicially review the grant of the </w:t>
      </w:r>
      <w:r>
        <w:rPr>
          <w:rFonts w:ascii="Arial"/>
          <w:color w:val="000000"/>
          <w:sz w:val="24"/>
        </w:rPr>
        <w:t xml:space="preserve">construction certificate </w:t>
      </w:r>
      <w:r>
        <w:rPr>
          <w:rFonts w:ascii="Arial"/>
          <w:color w:val="000000"/>
          <w:sz w:val="24"/>
        </w:rPr>
        <w:t>for jurisdictional error.</w:t>
      </w:r>
      <w:r>
        <w:rPr>
          <w:rFonts w:ascii="Arial"/>
          <w:color w:val="000000"/>
          <w:sz w:val="24"/>
        </w:rPr>
        <w:t xml:space="preserve"> </w:t>
      </w:r>
      <w:r>
        <w:rPr>
          <w:rFonts w:ascii="Arial"/>
          <w:color w:val="000000"/>
          <w:sz w:val="24"/>
        </w:rPr>
        <w:t xml:space="preserve">That </w:t>
      </w:r>
      <w:r>
        <w:rPr>
          <w:rFonts w:ascii="Arial"/>
          <w:color w:val="000000"/>
          <w:sz w:val="24"/>
        </w:rPr>
        <w:t>is because, in</w:t>
      </w:r>
      <w:r>
        <w:rPr>
          <w:rFonts w:ascii="Arial"/>
          <w:color w:val="000000"/>
          <w:sz w:val="24"/>
        </w:rPr>
        <w:t xml:space="preserve"> </w:t>
      </w:r>
      <w:r>
        <w:rPr>
          <w:rFonts w:ascii="Arial"/>
          <w:color w:val="000000"/>
          <w:sz w:val="24"/>
        </w:rPr>
        <w:t>20(2)</w:t>
      </w:r>
      <w:r>
        <w:rPr>
          <w:rFonts w:ascii="Arial"/>
          <w:color w:val="000000"/>
          <w:sz w:val="24"/>
        </w:rPr>
        <w:t xml:space="preserve"> </w:t>
      </w:r>
      <w:r>
        <w:rPr>
          <w:rFonts w:ascii="Arial"/>
          <w:color w:val="000000"/>
          <w:sz w:val="24"/>
        </w:rPr>
        <w:t xml:space="preserve">of </w:t>
      </w:r>
      <w:r>
        <w:rPr>
          <w:rFonts w:ascii="Arial"/>
          <w:color w:val="000000"/>
          <w:sz w:val="24"/>
        </w:rPr>
        <w:t xml:space="preserve">the </w:t>
      </w:r>
      <w:r>
        <w:rPr>
          <w:rFonts w:ascii="Arial"/>
          <w:i/>
          <w:color w:val="000000"/>
          <w:sz w:val="24"/>
        </w:rPr>
        <w:t>Land and Environment Court</w:t>
      </w:r>
      <w:r>
        <w:rPr>
          <w:rFonts w:ascii="Arial"/>
          <w:i/>
          <w:color w:val="000000"/>
          <w:sz w:val="24"/>
        </w:rPr>
        <w:t xml:space="preserve"> Act, </w:t>
      </w:r>
      <w:r>
        <w:rPr>
          <w:rFonts w:ascii="Arial"/>
          <w:color w:val="000000"/>
          <w:sz w:val="24"/>
        </w:rPr>
        <w:t>that</w:t>
      </w:r>
      <w:r>
        <w:rPr>
          <w:rFonts w:ascii="Arial"/>
          <w:i/>
          <w:color w:val="000000"/>
          <w:sz w:val="24"/>
        </w:rPr>
        <w:t xml:space="preserve"> </w:t>
      </w:r>
      <w:r>
        <w:rPr>
          <w:rFonts w:ascii="Arial"/>
          <w:color w:val="000000"/>
          <w:sz w:val="24"/>
        </w:rPr>
        <w:t>Court</w:t>
      </w:r>
      <w:r>
        <w:rPr>
          <w:rFonts w:ascii="Arial"/>
          <w:color w:val="000000"/>
          <w:sz w:val="24"/>
        </w:rPr>
        <w:t xml:space="preserve"> </w:t>
      </w:r>
      <w:r>
        <w:rPr>
          <w:rFonts w:ascii="Arial"/>
          <w:color w:val="000000"/>
          <w:sz w:val="24"/>
        </w:rPr>
        <w:t xml:space="preserve">is granted the same civil jurisdiction as the Supreme Court would </w:t>
      </w:r>
      <w:r>
        <w:rPr>
          <w:rFonts w:ascii="Arial"/>
          <w:color w:val="000000"/>
          <w:sz w:val="24"/>
        </w:rPr>
        <w:t xml:space="preserve">have </w:t>
      </w:r>
      <w:r>
        <w:rPr>
          <w:rFonts w:ascii="Arial"/>
          <w:color w:val="000000"/>
          <w:sz w:val="24"/>
        </w:rPr>
        <w:t>(</w:t>
      </w:r>
      <w:r>
        <w:rPr>
          <w:rFonts w:ascii="Arial"/>
          <w:color w:val="000000"/>
          <w:sz w:val="24"/>
        </w:rPr>
        <w:t>but for s</w:t>
      </w:r>
      <w:r>
        <w:rPr>
          <w:rFonts w:ascii="Arial"/>
          <w:color w:val="000000"/>
          <w:sz w:val="24"/>
        </w:rPr>
        <w:t> </w:t>
      </w:r>
      <w:r>
        <w:rPr>
          <w:rFonts w:ascii="Arial"/>
          <w:color w:val="000000"/>
          <w:sz w:val="24"/>
        </w:rPr>
        <w:t>71</w:t>
      </w:r>
      <w:r>
        <w:rPr>
          <w:rFonts w:ascii="Arial"/>
          <w:color w:val="000000"/>
          <w:sz w:val="24"/>
        </w:rPr>
        <w:t>)</w:t>
      </w:r>
      <w:r>
        <w:rPr>
          <w:rStyle w:val="FootnoteReference"/>
          <w:color w:val="000000"/>
        </w:rPr>
        <w:footnoteReference w:id="1"/>
      </w:r>
      <w:r>
        <w:rPr>
          <w:rFonts w:ascii="Arial"/>
          <w:color w:val="000000"/>
          <w:sz w:val="24"/>
        </w:rPr>
        <w:t xml:space="preserve"> </w:t>
      </w:r>
      <w:r>
        <w:rPr>
          <w:rFonts w:ascii="Arial"/>
          <w:color w:val="000000"/>
          <w:sz w:val="24"/>
        </w:rPr>
        <w:t xml:space="preserve">to hear and dispose of proceedings </w:t>
      </w:r>
      <w:r>
        <w:rPr>
          <w:rFonts w:ascii="Arial"/>
          <w:color w:val="000000"/>
          <w:sz w:val="24"/>
        </w:rPr>
        <w:t xml:space="preserve">including the present proceedings </w:t>
      </w:r>
      <w:r>
        <w:rPr>
          <w:rFonts w:ascii="Arial"/>
          <w:color w:val="000000"/>
          <w:sz w:val="24"/>
        </w:rPr>
        <w:t xml:space="preserve">and, relevantly, </w:t>
      </w:r>
      <w:r>
        <w:rPr>
          <w:rFonts w:ascii="Arial"/>
          <w:color w:val="000000"/>
          <w:sz w:val="24"/>
        </w:rPr>
        <w:t xml:space="preserve">to </w:t>
      </w:r>
      <w:r>
        <w:rPr>
          <w:rFonts w:ascii="Arial"/>
          <w:color w:val="000000"/>
          <w:sz w:val="24"/>
        </w:rPr>
        <w:t>make declarations of right or to review or command the exercise of a function.</w:t>
      </w:r>
      <w:r>
        <w:rPr>
          <w:rFonts w:ascii="Arial"/>
          <w:color w:val="000000"/>
          <w:sz w:val="24"/>
        </w:rPr>
        <w:t xml:space="preserve"> </w:t>
      </w:r>
    </w:p>
    <w:p>
      <w:pPr>
        <w:pStyle w:val="CaselawNumbered10"/>
        <w:numPr>
          <w:ilvl w:val="0"/>
          <w:numId w:val="76"/>
        </w:numPr>
        <w:spacing w:before="150" w:after="0"/>
        <w:ind w:left="600" w:hanging="600"/>
      </w:pPr>
      <w:r>
        <w:rPr>
          <w:rFonts w:ascii="Arial"/>
          <w:color w:val="000000"/>
          <w:sz w:val="24"/>
        </w:rPr>
        <w:t xml:space="preserve">Section 20(2) </w:t>
      </w:r>
      <w:r>
        <w:rPr>
          <w:rFonts w:ascii="Arial"/>
          <w:color w:val="000000"/>
          <w:sz w:val="24"/>
        </w:rPr>
        <w:t xml:space="preserve">has been set out above </w:t>
      </w:r>
      <w:r>
        <w:rPr>
          <w:rFonts w:ascii="Arial"/>
          <w:color w:val="000000"/>
          <w:sz w:val="24"/>
        </w:rPr>
        <w:t xml:space="preserve">at </w:t>
      </w:r>
      <w:r>
        <w:rPr>
          <w:rFonts w:ascii="Arial"/>
          <w:color w:val="000000"/>
          <w:sz w:val="24"/>
        </w:rPr>
        <w:t>[</w:t>
      </w:r>
      <w:hyperlink r:id="rId20">
        <w:r>
          <w:rPr>
            <w:rFonts w:ascii="Arial"/>
            <w:color w:val="000000"/>
            <w:sz w:val="24"/>
            <w:u w:val="single"/>
          </w:rPr>
          <w:t/>
        </w:r>
        <w:r>
          <w:rPr>
            <w:rFonts w:ascii="Arial"/>
            <w:color w:val="000000"/>
            <w:sz w:val="24"/>
          </w:rPr>
          <w:t>55</w:t>
        </w:r>
      </w:hyperlink>
      <w:hyperlink r:id="rId21">
        <w:r>
          <w:rPr>
            <w:rFonts w:ascii="Arial"/>
            <w:color w:val="000000"/>
            <w:sz w:val="24"/>
          </w:rPr>
          <w:t/>
        </w:r>
      </w:hyperlink>
      <w:r>
        <w:rPr>
          <w:rFonts w:ascii="Arial"/>
          <w:color w:val="000000"/>
          <w:sz w:val="24"/>
        </w:rPr>
        <w:t>]</w:t>
      </w:r>
      <w:r>
        <w:rPr>
          <w:rFonts w:ascii="Arial"/>
          <w:color w:val="000000"/>
          <w:sz w:val="24"/>
        </w:rPr>
        <w:t xml:space="preserve">. </w:t>
      </w:r>
      <w:r>
        <w:rPr>
          <w:rFonts w:ascii="Arial"/>
          <w:color w:val="000000"/>
          <w:sz w:val="24"/>
        </w:rPr>
        <w:t xml:space="preserve">It is common ground that all relevant Acts and Regulations </w:t>
      </w:r>
      <w:r>
        <w:rPr>
          <w:rFonts w:ascii="Arial"/>
          <w:color w:val="000000"/>
          <w:sz w:val="24"/>
        </w:rPr>
        <w:t xml:space="preserve">engaged in this case </w:t>
      </w:r>
      <w:r>
        <w:rPr>
          <w:rFonts w:ascii="Arial"/>
          <w:color w:val="000000"/>
          <w:sz w:val="24"/>
        </w:rPr>
        <w:t xml:space="preserve">are </w:t>
      </w:r>
      <w:r>
        <w:rPr>
          <w:rFonts w:ascii="Arial"/>
          <w:color w:val="000000"/>
          <w:sz w:val="24"/>
        </w:rPr>
        <w:t>“</w:t>
      </w:r>
      <w:r>
        <w:rPr>
          <w:rFonts w:ascii="Arial"/>
          <w:color w:val="000000"/>
          <w:sz w:val="24"/>
        </w:rPr>
        <w:t>a planning or environmental law</w:t>
      </w:r>
      <w:r>
        <w:rPr>
          <w:rFonts w:ascii="Arial"/>
          <w:color w:val="000000"/>
          <w:sz w:val="24"/>
        </w:rPr>
        <w:t>”</w:t>
      </w:r>
      <w:r>
        <w:rPr>
          <w:rFonts w:ascii="Arial"/>
          <w:color w:val="000000"/>
          <w:sz w:val="24"/>
        </w:rPr>
        <w:t xml:space="preserve"> </w:t>
      </w:r>
      <w:r>
        <w:rPr>
          <w:rFonts w:ascii="Arial"/>
          <w:color w:val="000000"/>
          <w:sz w:val="24"/>
        </w:rPr>
        <w:t>within the meaning of s 20(2).</w:t>
      </w:r>
      <w:r>
        <w:rPr>
          <w:rFonts w:ascii="Arial"/>
          <w:color w:val="000000"/>
          <w:sz w:val="24"/>
        </w:rPr>
        <w:t xml:space="preserve"> </w:t>
      </w:r>
      <w:r>
        <w:rPr>
          <w:rFonts w:ascii="Arial"/>
          <w:color w:val="000000"/>
          <w:sz w:val="24"/>
        </w:rPr>
        <w:t xml:space="preserve">As Leeming JA explained in </w:t>
      </w:r>
      <w:r>
        <w:rPr>
          <w:rFonts w:ascii="Arial"/>
          <w:i/>
          <w:color w:val="000000"/>
          <w:sz w:val="24"/>
        </w:rPr>
        <w:t xml:space="preserve">Community Housing Limited v Clarence Valley Council </w:t>
      </w:r>
      <w:r>
        <w:rPr>
          <w:rFonts w:ascii="Arial"/>
          <w:color w:val="000000"/>
          <w:sz w:val="24"/>
        </w:rPr>
        <w:t xml:space="preserve">(2015) 90 NSWLR 292; </w:t>
      </w:r>
      <w:r>
        <w:rPr>
          <w:rFonts w:ascii="Arial"/>
          <w:color w:val="000000"/>
          <w:sz w:val="24"/>
        </w:rPr>
        <w:t xml:space="preserve">[2015] NSWCA 327, a case where it was submitted that there was a conflict between limited statutory right of appeal and the general right to invoke the supervisory jurisdiction of the Land and Environment Court </w:t>
      </w:r>
      <w:r>
        <w:rPr>
          <w:rFonts w:ascii="Arial"/>
          <w:color w:val="000000"/>
          <w:sz w:val="24"/>
        </w:rPr>
        <w:t xml:space="preserve">conferred by s 20(2) of the </w:t>
      </w:r>
      <w:r>
        <w:rPr>
          <w:rFonts w:ascii="Arial"/>
          <w:i/>
          <w:color w:val="000000"/>
          <w:sz w:val="24"/>
        </w:rPr>
        <w:t>Land and Environment Court Act</w:t>
      </w:r>
      <w:r>
        <w:rPr>
          <w:rFonts w:ascii="Arial"/>
          <w:color w:val="000000"/>
          <w:sz w:val="24"/>
        </w:rPr>
        <w:t>:</w:t>
      </w:r>
    </w:p>
    <w:p>
      <w:pPr>
        <w:pStyle w:val="CaselawQuote"/>
        <w:spacing w:before="150" w:after="150"/>
        <w:ind w:left="1350"/>
        <w:jc w:val="left"/>
      </w:pPr>
      <w:r>
        <w:rPr>
          <w:rFonts w:ascii="Arial"/>
          <w:color w:val="000000"/>
          <w:sz w:val="22"/>
        </w:rPr>
        <w:t>“</w:t>
      </w:r>
      <w:r>
        <w:rPr>
          <w:rFonts w:ascii="Arial"/>
          <w:color w:val="000000"/>
          <w:sz w:val="22"/>
        </w:rPr>
        <w:t xml:space="preserve">[32] The direct answer to this issue is that there is, in truth, no conflict between the limited statutory right of appeal and the general right to invoke the supervisory jurisdiction of the Land and Environment Court by way of judicial review. A recurring feature of litigation within the Australian legal system is the overlap between judicial review and statutory rights of appeal. Typically, the existence of a right of appeal will give rise to discretionary considerations attending judicial review. See for example </w:t>
      </w:r>
      <w:r>
        <w:rPr>
          <w:rFonts w:ascii="Arial"/>
          <w:i/>
          <w:color w:val="000000"/>
          <w:sz w:val="22"/>
        </w:rPr>
        <w:t>Brennan v New South Wales Land and Housing Corporation</w:t>
      </w:r>
      <w:r>
        <w:rPr>
          <w:rFonts w:ascii="Arial"/>
          <w:color w:val="000000"/>
          <w:sz w:val="22"/>
        </w:rPr>
        <w:t xml:space="preserve"> [2011] NSWCA 298; 83 NSWLR 23 at [101]; recent examples may be seen in </w:t>
      </w:r>
      <w:r>
        <w:rPr>
          <w:rFonts w:ascii="Arial"/>
          <w:i/>
          <w:color w:val="000000"/>
          <w:sz w:val="22"/>
        </w:rPr>
        <w:t>Navazi</w:t>
      </w:r>
      <w:r>
        <w:rPr>
          <w:rFonts w:ascii="Arial"/>
          <w:i/>
          <w:color w:val="000000"/>
          <w:sz w:val="22"/>
        </w:rPr>
        <w:t xml:space="preserve"> v New South Wales Land and Housing Corporation</w:t>
      </w:r>
      <w:r>
        <w:rPr>
          <w:rFonts w:ascii="Arial"/>
          <w:color w:val="000000"/>
          <w:sz w:val="22"/>
        </w:rPr>
        <w:t xml:space="preserve"> [2015] NSWCA 308 and </w:t>
      </w:r>
      <w:r>
        <w:rPr>
          <w:rFonts w:ascii="Arial"/>
          <w:i/>
          <w:color w:val="000000"/>
          <w:sz w:val="22"/>
        </w:rPr>
        <w:t>Day v Sanders</w:t>
      </w:r>
      <w:r>
        <w:rPr>
          <w:rFonts w:ascii="Arial"/>
          <w:color w:val="000000"/>
          <w:sz w:val="22"/>
        </w:rPr>
        <w:t xml:space="preserve"> [2015] NSWCA 324.</w:t>
      </w:r>
      <w:r>
        <w:rPr>
          <w:rFonts w:ascii="Arial"/>
          <w:color w:val="000000"/>
          <w:sz w:val="22"/>
        </w:rPr>
        <w:t>”</w:t>
      </w:r>
    </w:p>
    <w:p>
      <w:pPr>
        <w:pStyle w:val="CaselawNumbered10"/>
        <w:numPr>
          <w:ilvl w:val="0"/>
          <w:numId w:val="77"/>
        </w:numPr>
        <w:spacing w:before="150" w:after="0"/>
        <w:ind w:left="600" w:hanging="600"/>
      </w:pPr>
      <w:r>
        <w:rPr>
          <w:rFonts w:ascii="Arial"/>
          <w:color w:val="000000"/>
          <w:sz w:val="24"/>
        </w:rPr>
        <w:t>I</w:t>
      </w:r>
      <w:r>
        <w:rPr>
          <w:rFonts w:ascii="Arial"/>
          <w:color w:val="000000"/>
          <w:sz w:val="24"/>
        </w:rPr>
        <w:t>n exercising the discretion to extend time</w:t>
      </w:r>
      <w:r>
        <w:rPr>
          <w:rFonts w:ascii="Arial"/>
          <w:color w:val="000000"/>
          <w:sz w:val="24"/>
        </w:rPr>
        <w:t xml:space="preserve"> </w:t>
      </w:r>
      <w:r>
        <w:rPr>
          <w:rFonts w:ascii="Arial"/>
          <w:color w:val="000000"/>
          <w:sz w:val="24"/>
        </w:rPr>
        <w:t>pursuant to UCPR r 59.10</w:t>
      </w:r>
      <w:r>
        <w:rPr>
          <w:rFonts w:ascii="Arial"/>
          <w:color w:val="000000"/>
          <w:sz w:val="24"/>
        </w:rPr>
        <w:t xml:space="preserve">, the Court takes into account the factors in </w:t>
      </w:r>
      <w:r>
        <w:rPr>
          <w:rFonts w:ascii="Arial"/>
          <w:color w:val="000000"/>
          <w:sz w:val="24"/>
        </w:rPr>
        <w:t>the rule</w:t>
      </w:r>
      <w:r>
        <w:rPr>
          <w:rFonts w:ascii="Arial"/>
          <w:color w:val="000000"/>
          <w:sz w:val="24"/>
        </w:rPr>
        <w:t xml:space="preserve"> </w:t>
      </w:r>
      <w:r>
        <w:rPr>
          <w:rFonts w:ascii="Arial"/>
          <w:color w:val="000000"/>
          <w:sz w:val="24"/>
        </w:rPr>
        <w:t xml:space="preserve">where they are relevant. Time will not be extended unless there is both a sufficient explanation for the delay and it is in the interest of justice to grant an extension: </w:t>
      </w:r>
      <w:r>
        <w:rPr>
          <w:rFonts w:ascii="Arial"/>
          <w:i/>
          <w:color w:val="000000"/>
          <w:sz w:val="24"/>
        </w:rPr>
        <w:t>Clancy v Director of Public Prosecutions</w:t>
      </w:r>
      <w:r>
        <w:rPr>
          <w:rFonts w:ascii="Arial"/>
          <w:color w:val="000000"/>
          <w:sz w:val="24"/>
        </w:rPr>
        <w:t xml:space="preserve"> </w:t>
      </w:r>
      <w:r>
        <w:rPr>
          <w:rFonts w:ascii="Arial"/>
          <w:color w:val="000000"/>
          <w:sz w:val="24"/>
        </w:rPr>
        <w:t>[2018] NSWCA 102 at [7] (</w:t>
      </w:r>
      <w:r>
        <w:rPr>
          <w:rFonts w:ascii="Arial"/>
          <w:color w:val="000000"/>
          <w:sz w:val="24"/>
        </w:rPr>
        <w:t>Basten</w:t>
      </w:r>
      <w:r>
        <w:rPr>
          <w:rFonts w:ascii="Arial"/>
          <w:color w:val="000000"/>
          <w:sz w:val="24"/>
        </w:rPr>
        <w:t xml:space="preserve"> </w:t>
      </w:r>
      <w:r>
        <w:rPr>
          <w:rFonts w:ascii="Arial"/>
          <w:color w:val="000000"/>
          <w:sz w:val="24"/>
        </w:rPr>
        <w:t xml:space="preserve">JA, </w:t>
      </w:r>
      <w:r>
        <w:rPr>
          <w:rFonts w:ascii="Arial"/>
          <w:color w:val="000000"/>
          <w:sz w:val="24"/>
        </w:rPr>
        <w:t>Macfarlan</w:t>
      </w:r>
      <w:r>
        <w:rPr>
          <w:rFonts w:ascii="Arial"/>
          <w:color w:val="000000"/>
          <w:sz w:val="24"/>
        </w:rPr>
        <w:t xml:space="preserve"> </w:t>
      </w:r>
      <w:r>
        <w:rPr>
          <w:rFonts w:ascii="Arial"/>
          <w:color w:val="000000"/>
          <w:sz w:val="24"/>
        </w:rPr>
        <w:t xml:space="preserve">and Meagher JJA agreeing). </w:t>
      </w:r>
      <w:r>
        <w:rPr>
          <w:rFonts w:ascii="Arial"/>
          <w:color w:val="000000"/>
          <w:sz w:val="24"/>
        </w:rPr>
        <w:t xml:space="preserve">The four considerations in UCPR r 59.10(3) are inclusive rather than exhaustive: </w:t>
      </w:r>
      <w:r>
        <w:rPr>
          <w:rFonts w:ascii="Arial"/>
          <w:i/>
          <w:color w:val="000000"/>
          <w:sz w:val="24"/>
        </w:rPr>
        <w:t>Toth v Director of Public Prosecutions (NSW)</w:t>
      </w:r>
      <w:r>
        <w:rPr>
          <w:rFonts w:ascii="Arial"/>
          <w:color w:val="000000"/>
          <w:sz w:val="24"/>
        </w:rPr>
        <w:t xml:space="preserve"> </w:t>
      </w:r>
      <w:r>
        <w:rPr>
          <w:rFonts w:ascii="Arial"/>
          <w:color w:val="000000"/>
          <w:sz w:val="24"/>
        </w:rPr>
        <w:t>[</w:t>
      </w:r>
      <w:r>
        <w:rPr>
          <w:rFonts w:ascii="Arial"/>
          <w:color w:val="000000"/>
          <w:sz w:val="24"/>
        </w:rPr>
        <w:t>2014</w:t>
      </w:r>
      <w:r>
        <w:rPr>
          <w:rFonts w:ascii="Arial"/>
          <w:color w:val="000000"/>
          <w:sz w:val="24"/>
        </w:rPr>
        <w:t>]</w:t>
      </w:r>
      <w:r>
        <w:rPr>
          <w:rFonts w:ascii="Arial"/>
          <w:color w:val="000000"/>
          <w:sz w:val="24"/>
        </w:rPr>
        <w:t xml:space="preserve"> </w:t>
      </w:r>
      <w:r>
        <w:rPr>
          <w:rFonts w:ascii="Arial"/>
          <w:color w:val="000000"/>
          <w:sz w:val="24"/>
        </w:rPr>
        <w:t xml:space="preserve">NSWCA 133. </w:t>
      </w:r>
      <w:r>
        <w:rPr>
          <w:rFonts w:ascii="Arial"/>
          <w:color w:val="000000"/>
          <w:sz w:val="24"/>
        </w:rPr>
        <w:t xml:space="preserve">From </w:t>
      </w:r>
      <w:r>
        <w:rPr>
          <w:rFonts w:ascii="Arial"/>
          <w:i/>
          <w:color w:val="000000"/>
          <w:sz w:val="24"/>
        </w:rPr>
        <w:t>Toth</w:t>
      </w:r>
      <w:r>
        <w:rPr>
          <w:rFonts w:ascii="Arial"/>
          <w:color w:val="000000"/>
          <w:sz w:val="24"/>
        </w:rPr>
        <w:t xml:space="preserve">, (at [9]) and </w:t>
      </w:r>
      <w:r>
        <w:rPr>
          <w:rFonts w:ascii="Arial"/>
          <w:i/>
          <w:color w:val="000000"/>
          <w:sz w:val="24"/>
        </w:rPr>
        <w:t xml:space="preserve">Tomko v </w:t>
      </w:r>
      <w:r>
        <w:rPr>
          <w:rFonts w:ascii="Arial"/>
          <w:i/>
          <w:color w:val="000000"/>
          <w:sz w:val="24"/>
        </w:rPr>
        <w:t>Palasty</w:t>
      </w:r>
      <w:r>
        <w:rPr>
          <w:rFonts w:ascii="Arial"/>
          <w:i/>
          <w:color w:val="000000"/>
          <w:sz w:val="24"/>
        </w:rPr>
        <w:t xml:space="preserve"> (No 2)</w:t>
      </w:r>
      <w:r>
        <w:rPr>
          <w:rFonts w:ascii="Arial"/>
          <w:color w:val="000000"/>
          <w:sz w:val="24"/>
        </w:rPr>
        <w:t xml:space="preserve"> </w:t>
      </w:r>
      <w:r>
        <w:rPr>
          <w:rFonts w:ascii="Arial"/>
          <w:color w:val="000000"/>
          <w:sz w:val="24"/>
        </w:rPr>
        <w:t>(2007) 71 NSWLR 61</w:t>
      </w:r>
      <w:r>
        <w:rPr>
          <w:rFonts w:ascii="Arial"/>
          <w:color w:val="000000"/>
          <w:sz w:val="24"/>
        </w:rPr>
        <w:t>; [2007] NSWCA 369</w:t>
      </w:r>
      <w:r>
        <w:rPr>
          <w:rFonts w:ascii="Arial"/>
          <w:color w:val="000000"/>
          <w:sz w:val="24"/>
        </w:rPr>
        <w:t xml:space="preserve"> </w:t>
      </w:r>
      <w:r>
        <w:rPr>
          <w:rFonts w:ascii="Arial"/>
          <w:color w:val="000000"/>
          <w:sz w:val="24"/>
        </w:rPr>
        <w:t>the following matters as being important to the exercise of the discretion to exten</w:t>
      </w:r>
      <w:r>
        <w:rPr>
          <w:rFonts w:ascii="Arial"/>
          <w:color w:val="000000"/>
          <w:sz w:val="24"/>
        </w:rPr>
        <w:t>d</w:t>
      </w:r>
      <w:r>
        <w:rPr>
          <w:rFonts w:ascii="Arial"/>
          <w:color w:val="000000"/>
          <w:sz w:val="24"/>
        </w:rPr>
        <w:t xml:space="preserve"> </w:t>
      </w:r>
      <w:r>
        <w:rPr>
          <w:rFonts w:ascii="Arial"/>
          <w:color w:val="000000"/>
          <w:sz w:val="24"/>
        </w:rPr>
        <w:t>time</w:t>
      </w:r>
      <w:r>
        <w:rPr>
          <w:rFonts w:ascii="Arial"/>
          <w:color w:val="000000"/>
          <w:sz w:val="24"/>
        </w:rPr>
        <w:t xml:space="preserve"> </w:t>
      </w:r>
      <w:r>
        <w:rPr>
          <w:rFonts w:ascii="Arial"/>
          <w:color w:val="000000"/>
          <w:sz w:val="24"/>
        </w:rPr>
        <w:t>may be derived</w:t>
      </w:r>
      <w:r>
        <w:rPr>
          <w:rFonts w:ascii="Arial"/>
          <w:color w:val="000000"/>
          <w:sz w:val="24"/>
        </w:rPr>
        <w:t>:</w:t>
      </w:r>
    </w:p>
    <w:p>
      <w:pPr>
        <w:pStyle w:val="CaselawNumbered1"/>
        <w:numPr>
          <w:ilvl w:val="0"/>
          <w:numId w:val="78"/>
        </w:numPr>
        <w:spacing w:before="150" w:after="0"/>
        <w:ind w:left="1350" w:hanging="750"/>
      </w:pPr>
      <w:r>
        <w:rPr>
          <w:rFonts w:ascii="Arial"/>
          <w:color w:val="000000"/>
          <w:sz w:val="24"/>
        </w:rPr>
        <w:t>the delay in bringing the application for an extension of time;</w:t>
      </w:r>
    </w:p>
    <w:p>
      <w:pPr>
        <w:pStyle w:val="CaselawNumbered1"/>
        <w:numPr>
          <w:ilvl w:val="0"/>
          <w:numId w:val="78"/>
        </w:numPr>
        <w:spacing w:before="150" w:after="0"/>
        <w:ind w:left="1350" w:hanging="750"/>
      </w:pPr>
      <w:r>
        <w:rPr>
          <w:rFonts w:ascii="Arial"/>
          <w:color w:val="000000"/>
          <w:sz w:val="24"/>
        </w:rPr>
        <w:t>the practical consequence of a successful judicial review of the relevant decision</w:t>
      </w:r>
      <w:r>
        <w:rPr>
          <w:rFonts w:ascii="Arial"/>
          <w:color w:val="000000"/>
          <w:sz w:val="24"/>
        </w:rPr>
        <w:t>;</w:t>
      </w:r>
    </w:p>
    <w:p>
      <w:pPr>
        <w:pStyle w:val="CaselawNumbered1"/>
        <w:numPr>
          <w:ilvl w:val="0"/>
          <w:numId w:val="78"/>
        </w:numPr>
        <w:spacing w:before="150" w:after="0"/>
        <w:ind w:left="1350" w:hanging="750"/>
      </w:pPr>
      <w:r>
        <w:rPr>
          <w:rFonts w:ascii="Arial"/>
          <w:color w:val="000000"/>
          <w:sz w:val="24"/>
        </w:rPr>
        <w:t>the explanation of the delay in bringing the proceedings</w:t>
      </w:r>
      <w:r>
        <w:rPr>
          <w:rFonts w:ascii="Arial"/>
          <w:color w:val="000000"/>
          <w:sz w:val="24"/>
        </w:rPr>
        <w:t xml:space="preserve">; </w:t>
      </w:r>
    </w:p>
    <w:p>
      <w:pPr>
        <w:pStyle w:val="CaselawNumbered1"/>
        <w:numPr>
          <w:ilvl w:val="0"/>
          <w:numId w:val="78"/>
        </w:numPr>
        <w:spacing w:before="150" w:after="0"/>
        <w:ind w:left="1350" w:hanging="750"/>
      </w:pPr>
      <w:r>
        <w:rPr>
          <w:rFonts w:ascii="Arial"/>
          <w:color w:val="000000"/>
          <w:sz w:val="24"/>
        </w:rPr>
        <w:t xml:space="preserve">the </w:t>
      </w:r>
      <w:r>
        <w:rPr>
          <w:rFonts w:ascii="Arial"/>
          <w:color w:val="000000"/>
          <w:sz w:val="24"/>
        </w:rPr>
        <w:t xml:space="preserve">apparent </w:t>
      </w:r>
      <w:r>
        <w:rPr>
          <w:rFonts w:ascii="Arial"/>
          <w:color w:val="000000"/>
          <w:sz w:val="24"/>
        </w:rPr>
        <w:t>merit of the proceedings</w:t>
      </w:r>
      <w:r>
        <w:rPr>
          <w:rFonts w:ascii="Arial"/>
          <w:color w:val="000000"/>
          <w:sz w:val="24"/>
        </w:rPr>
        <w:t xml:space="preserve"> </w:t>
      </w:r>
      <w:r>
        <w:rPr>
          <w:rFonts w:ascii="Arial"/>
          <w:color w:val="000000"/>
          <w:sz w:val="24"/>
        </w:rPr>
        <w:t>(which requires at least the demonstration of a fairly arguable case); and</w:t>
      </w:r>
    </w:p>
    <w:p>
      <w:pPr>
        <w:pStyle w:val="CaselawNumbered1"/>
        <w:numPr>
          <w:ilvl w:val="0"/>
          <w:numId w:val="78"/>
        </w:numPr>
        <w:spacing w:before="150" w:after="0"/>
        <w:ind w:left="1350" w:hanging="750"/>
      </w:pPr>
      <w:r>
        <w:rPr>
          <w:rFonts w:ascii="Arial"/>
          <w:color w:val="000000"/>
          <w:sz w:val="24"/>
        </w:rPr>
        <w:t>the extent of any prejudice suffered by the respondent to the application</w:t>
      </w:r>
      <w:r>
        <w:rPr>
          <w:rFonts w:ascii="Arial"/>
          <w:color w:val="000000"/>
          <w:sz w:val="24"/>
        </w:rPr>
        <w:t>.</w:t>
      </w:r>
    </w:p>
    <w:p>
      <w:pPr>
        <w:pStyle w:val="CaselawNumbered10"/>
        <w:numPr>
          <w:ilvl w:val="0"/>
          <w:numId w:val="79"/>
        </w:numPr>
        <w:spacing w:before="150" w:after="0"/>
        <w:ind w:left="600" w:hanging="600"/>
      </w:pPr>
      <w:r>
        <w:rPr>
          <w:rFonts w:ascii="Arial"/>
          <w:color w:val="000000"/>
          <w:sz w:val="24"/>
        </w:rPr>
        <w:t xml:space="preserve">It was common ground that in order to disturb the decision of the primary judge granting an extension of time </w:t>
      </w:r>
      <w:r>
        <w:rPr>
          <w:rFonts w:ascii="Arial"/>
          <w:i/>
          <w:color w:val="000000"/>
          <w:sz w:val="24"/>
        </w:rPr>
        <w:t>House v The King</w:t>
      </w:r>
      <w:r>
        <w:rPr>
          <w:rFonts w:ascii="Arial"/>
          <w:color w:val="000000"/>
          <w:sz w:val="24"/>
        </w:rPr>
        <w:t xml:space="preserve"> </w:t>
      </w:r>
      <w:r>
        <w:rPr>
          <w:rFonts w:ascii="Arial"/>
          <w:color w:val="000000"/>
          <w:sz w:val="24"/>
        </w:rPr>
        <w:t>error needs be shown.</w:t>
      </w:r>
    </w:p>
    <w:p>
      <w:pPr>
        <w:pStyle w:val="CaselawNumbered10"/>
        <w:numPr>
          <w:ilvl w:val="0"/>
          <w:numId w:val="79"/>
        </w:numPr>
        <w:spacing w:before="150" w:after="0"/>
        <w:ind w:left="600" w:hanging="600"/>
      </w:pPr>
      <w:r>
        <w:rPr>
          <w:rFonts w:ascii="Arial"/>
          <w:color w:val="000000"/>
          <w:sz w:val="24"/>
        </w:rPr>
        <w:t>T</w:t>
      </w:r>
      <w:r>
        <w:rPr>
          <w:rFonts w:ascii="Arial"/>
          <w:color w:val="000000"/>
          <w:sz w:val="24"/>
        </w:rPr>
        <w:t xml:space="preserve">he statutory context, </w:t>
      </w:r>
      <w:r>
        <w:rPr>
          <w:rFonts w:ascii="Arial"/>
          <w:color w:val="000000"/>
          <w:sz w:val="24"/>
        </w:rPr>
        <w:t xml:space="preserve">residential </w:t>
      </w:r>
      <w:r>
        <w:rPr>
          <w:rFonts w:ascii="Arial"/>
          <w:color w:val="000000"/>
          <w:sz w:val="24"/>
        </w:rPr>
        <w:t xml:space="preserve">building pursuant to a </w:t>
      </w:r>
      <w:r>
        <w:rPr>
          <w:rFonts w:ascii="Arial"/>
          <w:color w:val="000000"/>
          <w:sz w:val="24"/>
        </w:rPr>
        <w:t xml:space="preserve">construction </w:t>
      </w:r>
      <w:r>
        <w:rPr>
          <w:rFonts w:ascii="Arial"/>
          <w:color w:val="000000"/>
          <w:sz w:val="24"/>
        </w:rPr>
        <w:t>certificate issued after an extensive development application process, suggests that a tight rein should be kept on application</w:t>
      </w:r>
      <w:r>
        <w:rPr>
          <w:rFonts w:ascii="Arial"/>
          <w:color w:val="000000"/>
          <w:sz w:val="24"/>
        </w:rPr>
        <w:t>s</w:t>
      </w:r>
      <w:r>
        <w:rPr>
          <w:rFonts w:ascii="Arial"/>
          <w:color w:val="000000"/>
          <w:sz w:val="24"/>
        </w:rPr>
        <w:t xml:space="preserve"> </w:t>
      </w:r>
      <w:r>
        <w:rPr>
          <w:rFonts w:ascii="Arial"/>
          <w:color w:val="000000"/>
          <w:sz w:val="24"/>
        </w:rPr>
        <w:t>to extend time for judicial review lodged after expiry of the three</w:t>
      </w:r>
      <w:r>
        <w:rPr>
          <w:rFonts w:ascii="Arial"/>
          <w:color w:val="000000"/>
          <w:sz w:val="24"/>
        </w:rPr>
        <w:t xml:space="preserve"> </w:t>
      </w:r>
      <w:r>
        <w:rPr>
          <w:rFonts w:ascii="Arial"/>
          <w:color w:val="000000"/>
          <w:sz w:val="24"/>
        </w:rPr>
        <w:t>month limit</w:t>
      </w:r>
      <w:r>
        <w:rPr>
          <w:rFonts w:ascii="Arial"/>
          <w:color w:val="000000"/>
          <w:sz w:val="24"/>
        </w:rPr>
        <w:t>.</w:t>
      </w:r>
      <w:r>
        <w:rPr>
          <w:rFonts w:ascii="Arial"/>
          <w:color w:val="000000"/>
          <w:sz w:val="24"/>
        </w:rPr>
        <w:t xml:space="preserve"> </w:t>
      </w:r>
      <w:r>
        <w:rPr>
          <w:rFonts w:ascii="Arial"/>
          <w:color w:val="000000"/>
          <w:sz w:val="24"/>
        </w:rPr>
        <w:t>I am not</w:t>
      </w:r>
      <w:r>
        <w:rPr>
          <w:rFonts w:ascii="Arial"/>
          <w:color w:val="000000"/>
          <w:sz w:val="24"/>
        </w:rPr>
        <w:t>, however,</w:t>
      </w:r>
      <w:r>
        <w:rPr>
          <w:rFonts w:ascii="Arial"/>
          <w:color w:val="000000"/>
          <w:sz w:val="24"/>
        </w:rPr>
        <w:t xml:space="preserve"> </w:t>
      </w:r>
      <w:r>
        <w:rPr>
          <w:rFonts w:ascii="Arial"/>
          <w:color w:val="000000"/>
          <w:sz w:val="24"/>
        </w:rPr>
        <w:t xml:space="preserve">satisfied that </w:t>
      </w:r>
      <w:r>
        <w:rPr>
          <w:rFonts w:ascii="Arial"/>
          <w:color w:val="000000"/>
          <w:sz w:val="24"/>
        </w:rPr>
        <w:t>the</w:t>
      </w:r>
      <w:r>
        <w:rPr>
          <w:rFonts w:ascii="Arial"/>
          <w:color w:val="000000"/>
          <w:sz w:val="24"/>
        </w:rPr>
        <w:t xml:space="preserve"> </w:t>
      </w:r>
      <w:r>
        <w:rPr>
          <w:rFonts w:ascii="Arial"/>
          <w:color w:val="000000"/>
          <w:sz w:val="24"/>
        </w:rPr>
        <w:t>primary judge erred in extending time to commence proceedings</w:t>
      </w:r>
      <w:r>
        <w:rPr>
          <w:rFonts w:ascii="Arial"/>
          <w:color w:val="000000"/>
          <w:sz w:val="24"/>
        </w:rPr>
        <w:t xml:space="preserve"> </w:t>
      </w:r>
      <w:r>
        <w:rPr>
          <w:rFonts w:ascii="Arial"/>
          <w:color w:val="000000"/>
          <w:sz w:val="24"/>
        </w:rPr>
        <w:t>in the present case</w:t>
      </w:r>
      <w:r>
        <w:rPr>
          <w:rFonts w:ascii="Arial"/>
          <w:color w:val="000000"/>
          <w:sz w:val="24"/>
        </w:rPr>
        <w:t>.</w:t>
      </w:r>
      <w:r>
        <w:rPr>
          <w:rFonts w:ascii="Arial"/>
          <w:color w:val="000000"/>
          <w:sz w:val="24"/>
        </w:rPr>
        <w:t xml:space="preserve"> </w:t>
      </w:r>
      <w:r>
        <w:rPr>
          <w:rFonts w:ascii="Arial"/>
          <w:color w:val="000000"/>
          <w:sz w:val="24"/>
        </w:rPr>
        <w:t>This is for the following reasons:</w:t>
      </w:r>
    </w:p>
    <w:p>
      <w:pPr>
        <w:pStyle w:val="CaselawNumbered1"/>
        <w:numPr>
          <w:ilvl w:val="0"/>
          <w:numId w:val="80"/>
        </w:numPr>
        <w:spacing w:before="150" w:after="0"/>
        <w:ind w:left="1350" w:hanging="750"/>
      </w:pPr>
      <w:r>
        <w:rPr>
          <w:rFonts w:ascii="Arial"/>
          <w:color w:val="000000"/>
          <w:sz w:val="24"/>
        </w:rPr>
        <w:t>The appellants</w:t>
      </w:r>
      <w:r>
        <w:rPr>
          <w:rFonts w:ascii="Arial"/>
          <w:color w:val="000000"/>
          <w:sz w:val="24"/>
        </w:rPr>
        <w:t>’</w:t>
      </w:r>
      <w:r>
        <w:rPr>
          <w:rFonts w:ascii="Arial"/>
          <w:color w:val="000000"/>
          <w:sz w:val="24"/>
        </w:rPr>
        <w:t xml:space="preserve"> </w:t>
      </w:r>
      <w:r>
        <w:rPr>
          <w:rFonts w:ascii="Arial"/>
          <w:color w:val="000000"/>
          <w:sz w:val="24"/>
        </w:rPr>
        <w:t xml:space="preserve">submission that the primary judge failed to afford sufficient weight to the public interest in the certainty and finality of </w:t>
      </w:r>
      <w:r>
        <w:rPr>
          <w:rFonts w:ascii="Arial"/>
          <w:color w:val="000000"/>
          <w:sz w:val="24"/>
        </w:rPr>
        <w:t xml:space="preserve">decisions made by certifiers in relation to </w:t>
      </w:r>
      <w:r>
        <w:rPr>
          <w:rFonts w:ascii="Arial"/>
          <w:color w:val="000000"/>
          <w:sz w:val="24"/>
        </w:rPr>
        <w:t xml:space="preserve">construction certificates </w:t>
      </w:r>
      <w:r>
        <w:rPr>
          <w:rFonts w:ascii="Arial"/>
          <w:color w:val="000000"/>
          <w:sz w:val="24"/>
        </w:rPr>
        <w:t>must be seen in that light; that is, the appellant</w:t>
      </w:r>
      <w:r>
        <w:rPr>
          <w:rFonts w:ascii="Arial"/>
          <w:color w:val="000000"/>
          <w:sz w:val="24"/>
        </w:rPr>
        <w:t>s</w:t>
      </w:r>
      <w:r>
        <w:rPr>
          <w:rFonts w:ascii="Arial"/>
          <w:color w:val="000000"/>
          <w:sz w:val="24"/>
        </w:rPr>
        <w:t xml:space="preserve"> </w:t>
      </w:r>
      <w:r>
        <w:rPr>
          <w:rFonts w:ascii="Arial"/>
          <w:color w:val="000000"/>
          <w:sz w:val="24"/>
        </w:rPr>
        <w:t xml:space="preserve">did not submit that in this statutory scheme a decision by a certifier to grant a </w:t>
      </w:r>
      <w:r>
        <w:rPr>
          <w:rFonts w:ascii="Arial"/>
          <w:color w:val="000000"/>
          <w:sz w:val="24"/>
        </w:rPr>
        <w:t xml:space="preserve">construction certificate </w:t>
      </w:r>
      <w:r>
        <w:rPr>
          <w:rFonts w:ascii="Arial"/>
          <w:color w:val="000000"/>
          <w:sz w:val="24"/>
        </w:rPr>
        <w:t>was certain or final after three months.</w:t>
      </w:r>
    </w:p>
    <w:p>
      <w:pPr>
        <w:pStyle w:val="CaselawNumbered1"/>
        <w:numPr>
          <w:ilvl w:val="0"/>
          <w:numId w:val="80"/>
        </w:numPr>
        <w:spacing w:before="150" w:after="0"/>
        <w:ind w:left="1350" w:hanging="750"/>
      </w:pPr>
      <w:r>
        <w:rPr>
          <w:rFonts w:ascii="Arial"/>
          <w:color w:val="000000"/>
          <w:sz w:val="24"/>
        </w:rPr>
        <w:t xml:space="preserve">The delay in bring proceedings in this case, of </w:t>
      </w:r>
      <w:r>
        <w:rPr>
          <w:rFonts w:ascii="Arial"/>
          <w:color w:val="000000"/>
          <w:sz w:val="24"/>
        </w:rPr>
        <w:t>(</w:t>
      </w:r>
      <w:r>
        <w:rPr>
          <w:rFonts w:ascii="Arial"/>
          <w:color w:val="000000"/>
          <w:sz w:val="24"/>
        </w:rPr>
        <w:t>approximately 6 months</w:t>
      </w:r>
      <w:r>
        <w:rPr>
          <w:rFonts w:ascii="Arial"/>
          <w:color w:val="000000"/>
          <w:sz w:val="24"/>
        </w:rPr>
        <w:t xml:space="preserve"> </w:t>
      </w:r>
      <w:r>
        <w:rPr>
          <w:rFonts w:ascii="Arial"/>
          <w:color w:val="000000"/>
          <w:sz w:val="24"/>
        </w:rPr>
        <w:t>from the issue of the construction certificate and 3 months from the expiry of the time limit for merits review</w:t>
      </w:r>
      <w:r>
        <w:rPr>
          <w:rFonts w:ascii="Arial"/>
          <w:color w:val="000000"/>
          <w:sz w:val="24"/>
        </w:rPr>
        <w:t xml:space="preserve">) </w:t>
      </w:r>
      <w:r>
        <w:rPr>
          <w:rFonts w:ascii="Arial"/>
          <w:color w:val="000000"/>
          <w:sz w:val="24"/>
        </w:rPr>
        <w:t>is a fairly neutral factor in the deci</w:t>
      </w:r>
      <w:r>
        <w:rPr>
          <w:rFonts w:ascii="Arial"/>
          <w:color w:val="000000"/>
          <w:sz w:val="24"/>
        </w:rPr>
        <w:t>si</w:t>
      </w:r>
      <w:r>
        <w:rPr>
          <w:rFonts w:ascii="Arial"/>
          <w:color w:val="000000"/>
          <w:sz w:val="24"/>
        </w:rPr>
        <w:t xml:space="preserve">on to extend time to </w:t>
      </w:r>
      <w:r>
        <w:rPr>
          <w:rFonts w:ascii="Arial"/>
          <w:color w:val="000000"/>
          <w:sz w:val="24"/>
        </w:rPr>
        <w:t>commence</w:t>
      </w:r>
      <w:r>
        <w:rPr>
          <w:rFonts w:ascii="Arial"/>
          <w:color w:val="000000"/>
          <w:sz w:val="24"/>
        </w:rPr>
        <w:t xml:space="preserve"> </w:t>
      </w:r>
      <w:r>
        <w:rPr>
          <w:rFonts w:ascii="Arial"/>
          <w:color w:val="000000"/>
          <w:sz w:val="24"/>
        </w:rPr>
        <w:t xml:space="preserve">judicial review </w:t>
      </w:r>
      <w:r>
        <w:rPr>
          <w:rFonts w:ascii="Arial"/>
          <w:color w:val="000000"/>
          <w:sz w:val="24"/>
        </w:rPr>
        <w:t>proceedings</w:t>
      </w:r>
      <w:r>
        <w:rPr>
          <w:rFonts w:ascii="Arial"/>
          <w:color w:val="000000"/>
          <w:sz w:val="24"/>
        </w:rPr>
        <w:t>.</w:t>
      </w:r>
      <w:r>
        <w:rPr>
          <w:rFonts w:ascii="Arial"/>
          <w:color w:val="000000"/>
          <w:sz w:val="24"/>
        </w:rPr>
        <w:t xml:space="preserve"> </w:t>
      </w:r>
      <w:r>
        <w:rPr>
          <w:rFonts w:ascii="Arial"/>
          <w:color w:val="000000"/>
          <w:sz w:val="24"/>
        </w:rPr>
        <w:t xml:space="preserve">It </w:t>
      </w:r>
      <w:r>
        <w:rPr>
          <w:rFonts w:ascii="Arial"/>
          <w:color w:val="000000"/>
          <w:sz w:val="24"/>
        </w:rPr>
        <w:t>i</w:t>
      </w:r>
      <w:r>
        <w:rPr>
          <w:rFonts w:ascii="Arial"/>
          <w:color w:val="000000"/>
          <w:sz w:val="24"/>
        </w:rPr>
        <w:t xml:space="preserve">s certainly not the kind of gross </w:t>
      </w:r>
      <w:r>
        <w:rPr>
          <w:rFonts w:ascii="Arial"/>
          <w:color w:val="000000"/>
          <w:sz w:val="24"/>
        </w:rPr>
        <w:t>delay</w:t>
      </w:r>
      <w:r>
        <w:rPr>
          <w:rFonts w:ascii="Arial"/>
          <w:color w:val="000000"/>
          <w:sz w:val="24"/>
        </w:rPr>
        <w:t xml:space="preserve"> </w:t>
      </w:r>
      <w:r>
        <w:rPr>
          <w:rFonts w:ascii="Arial"/>
          <w:color w:val="000000"/>
          <w:sz w:val="24"/>
        </w:rPr>
        <w:t xml:space="preserve">which is itself </w:t>
      </w:r>
      <w:r>
        <w:rPr>
          <w:rFonts w:ascii="Arial"/>
          <w:color w:val="000000"/>
          <w:sz w:val="24"/>
        </w:rPr>
        <w:t>disentitling</w:t>
      </w:r>
      <w:r>
        <w:rPr>
          <w:rFonts w:ascii="Arial"/>
          <w:color w:val="000000"/>
          <w:sz w:val="24"/>
        </w:rPr>
        <w:t>.</w:t>
      </w:r>
    </w:p>
    <w:p>
      <w:pPr>
        <w:pStyle w:val="CaselawNumbered1"/>
        <w:numPr>
          <w:ilvl w:val="0"/>
          <w:numId w:val="80"/>
        </w:numPr>
        <w:spacing w:before="150" w:after="0"/>
        <w:ind w:left="1350" w:hanging="750"/>
      </w:pPr>
      <w:r>
        <w:rPr>
          <w:rFonts w:ascii="Arial"/>
          <w:color w:val="000000"/>
          <w:sz w:val="24"/>
        </w:rPr>
        <w:t xml:space="preserve">The </w:t>
      </w:r>
      <w:r>
        <w:rPr>
          <w:rFonts w:ascii="Arial"/>
          <w:color w:val="000000"/>
          <w:sz w:val="24"/>
        </w:rPr>
        <w:t xml:space="preserve">potential </w:t>
      </w:r>
      <w:r>
        <w:rPr>
          <w:rFonts w:ascii="Arial"/>
          <w:color w:val="000000"/>
          <w:sz w:val="24"/>
        </w:rPr>
        <w:t>practical consequence</w:t>
      </w:r>
      <w:r>
        <w:rPr>
          <w:rFonts w:ascii="Arial"/>
          <w:color w:val="000000"/>
          <w:sz w:val="24"/>
        </w:rPr>
        <w:t>s</w:t>
      </w:r>
      <w:r>
        <w:rPr>
          <w:rFonts w:ascii="Arial"/>
          <w:color w:val="000000"/>
          <w:sz w:val="24"/>
        </w:rPr>
        <w:t xml:space="preserve"> </w:t>
      </w:r>
      <w:r>
        <w:rPr>
          <w:rFonts w:ascii="Arial"/>
          <w:color w:val="000000"/>
          <w:sz w:val="24"/>
        </w:rPr>
        <w:t>of a successful judicial review application in the present case are significant</w:t>
      </w:r>
      <w:r>
        <w:rPr>
          <w:rFonts w:ascii="Arial"/>
          <w:color w:val="000000"/>
          <w:sz w:val="24"/>
        </w:rPr>
        <w:t xml:space="preserve">. </w:t>
      </w:r>
    </w:p>
    <w:p>
      <w:pPr>
        <w:pStyle w:val="CaselawNumbered1"/>
        <w:numPr>
          <w:ilvl w:val="0"/>
          <w:numId w:val="80"/>
        </w:numPr>
        <w:spacing w:before="150" w:after="0"/>
        <w:ind w:left="1350" w:hanging="750"/>
      </w:pPr>
      <w:r>
        <w:rPr>
          <w:rFonts w:ascii="Arial"/>
          <w:color w:val="000000"/>
          <w:sz w:val="24"/>
        </w:rPr>
        <w:t xml:space="preserve">The </w:t>
      </w:r>
      <w:r>
        <w:rPr>
          <w:rFonts w:ascii="Arial"/>
          <w:color w:val="000000"/>
          <w:sz w:val="24"/>
        </w:rPr>
        <w:t>primary judge accepted the Council</w:t>
      </w:r>
      <w:r>
        <w:rPr>
          <w:rFonts w:ascii="Arial"/>
          <w:color w:val="000000"/>
          <w:sz w:val="24"/>
        </w:rPr>
        <w:t>’</w:t>
      </w:r>
      <w:r>
        <w:rPr>
          <w:rFonts w:ascii="Arial"/>
          <w:color w:val="000000"/>
          <w:sz w:val="24"/>
        </w:rPr>
        <w:t>s explanation of the delay in bringing the proceedings</w:t>
      </w:r>
      <w:r>
        <w:rPr>
          <w:rFonts w:ascii="Arial"/>
          <w:color w:val="000000"/>
          <w:sz w:val="24"/>
        </w:rPr>
        <w:t xml:space="preserve"> </w:t>
      </w:r>
      <w:r>
        <w:rPr>
          <w:rFonts w:ascii="Arial"/>
          <w:color w:val="000000"/>
          <w:sz w:val="24"/>
        </w:rPr>
        <w:t xml:space="preserve">as being, essentially, that there are </w:t>
      </w:r>
      <w:r>
        <w:rPr>
          <w:rFonts w:ascii="Arial"/>
          <w:color w:val="000000"/>
          <w:sz w:val="24"/>
        </w:rPr>
        <w:t>hundreds</w:t>
      </w:r>
      <w:r>
        <w:rPr>
          <w:rFonts w:ascii="Arial"/>
          <w:color w:val="000000"/>
          <w:sz w:val="24"/>
        </w:rPr>
        <w:t xml:space="preserve"> </w:t>
      </w:r>
      <w:r>
        <w:rPr>
          <w:rFonts w:ascii="Arial"/>
          <w:color w:val="000000"/>
          <w:sz w:val="24"/>
        </w:rPr>
        <w:t xml:space="preserve">of </w:t>
      </w:r>
      <w:r>
        <w:rPr>
          <w:rFonts w:ascii="Arial"/>
          <w:color w:val="000000"/>
          <w:sz w:val="24"/>
        </w:rPr>
        <w:t xml:space="preserve">construction certificates </w:t>
      </w:r>
      <w:r>
        <w:rPr>
          <w:rFonts w:ascii="Arial"/>
          <w:color w:val="000000"/>
          <w:sz w:val="24"/>
        </w:rPr>
        <w:t>issued each year and the Council</w:t>
      </w:r>
      <w:r>
        <w:rPr>
          <w:rFonts w:ascii="Arial"/>
          <w:color w:val="000000"/>
          <w:sz w:val="24"/>
        </w:rPr>
        <w:t>’</w:t>
      </w:r>
      <w:r>
        <w:rPr>
          <w:rFonts w:ascii="Arial"/>
          <w:color w:val="000000"/>
          <w:sz w:val="24"/>
        </w:rPr>
        <w:t xml:space="preserve">s resources </w:t>
      </w:r>
      <w:r>
        <w:rPr>
          <w:rFonts w:ascii="Arial"/>
          <w:color w:val="000000"/>
          <w:sz w:val="24"/>
        </w:rPr>
        <w:t>were</w:t>
      </w:r>
      <w:r>
        <w:rPr>
          <w:rFonts w:ascii="Arial"/>
          <w:color w:val="000000"/>
          <w:sz w:val="24"/>
        </w:rPr>
        <w:t xml:space="preserve"> </w:t>
      </w:r>
      <w:r>
        <w:rPr>
          <w:rFonts w:ascii="Arial"/>
          <w:color w:val="000000"/>
          <w:sz w:val="24"/>
        </w:rPr>
        <w:t xml:space="preserve">insufficient properly to monitor those </w:t>
      </w:r>
      <w:r>
        <w:rPr>
          <w:rFonts w:ascii="Arial"/>
          <w:color w:val="000000"/>
          <w:sz w:val="24"/>
        </w:rPr>
        <w:t xml:space="preserve">construction certificates </w:t>
      </w:r>
      <w:r>
        <w:rPr>
          <w:rFonts w:ascii="Arial"/>
          <w:color w:val="000000"/>
          <w:sz w:val="24"/>
        </w:rPr>
        <w:t xml:space="preserve">for consistency with </w:t>
      </w:r>
      <w:r>
        <w:rPr>
          <w:rFonts w:ascii="Arial"/>
          <w:color w:val="000000"/>
          <w:sz w:val="24"/>
        </w:rPr>
        <w:t>development approvals</w:t>
      </w:r>
      <w:r>
        <w:rPr>
          <w:rFonts w:ascii="Arial"/>
          <w:color w:val="000000"/>
          <w:sz w:val="24"/>
        </w:rPr>
        <w:t xml:space="preserve">. </w:t>
      </w:r>
      <w:r>
        <w:rPr>
          <w:rFonts w:ascii="Arial"/>
          <w:color w:val="000000"/>
          <w:sz w:val="24"/>
        </w:rPr>
        <w:t>I do not think her Honour erred in so concluding. I do not accept, ho</w:t>
      </w:r>
      <w:r>
        <w:rPr>
          <w:rFonts w:ascii="Arial"/>
          <w:color w:val="000000"/>
          <w:sz w:val="24"/>
        </w:rPr>
        <w:t>we</w:t>
      </w:r>
      <w:r>
        <w:rPr>
          <w:rFonts w:ascii="Arial"/>
          <w:color w:val="000000"/>
          <w:sz w:val="24"/>
        </w:rPr>
        <w:t>ver, the Council</w:t>
      </w:r>
      <w:r>
        <w:rPr>
          <w:rFonts w:ascii="Arial"/>
          <w:color w:val="000000"/>
          <w:sz w:val="24"/>
        </w:rPr>
        <w:t>’</w:t>
      </w:r>
      <w:r>
        <w:rPr>
          <w:rFonts w:ascii="Arial"/>
          <w:color w:val="000000"/>
          <w:sz w:val="24"/>
        </w:rPr>
        <w:t xml:space="preserve">s submission that it has no statutory role in monitoring compliance of construction </w:t>
      </w:r>
      <w:r>
        <w:rPr>
          <w:rFonts w:ascii="Arial"/>
          <w:color w:val="000000"/>
          <w:sz w:val="24"/>
        </w:rPr>
        <w:t xml:space="preserve">certificates </w:t>
      </w:r>
      <w:r>
        <w:rPr>
          <w:rFonts w:ascii="Arial"/>
          <w:color w:val="000000"/>
          <w:sz w:val="24"/>
        </w:rPr>
        <w:t xml:space="preserve">with the statutory scheme. The requirement (here complied with) imposed on a certifier to file a </w:t>
      </w:r>
      <w:r>
        <w:rPr>
          <w:rFonts w:ascii="Arial"/>
          <w:color w:val="000000"/>
          <w:sz w:val="24"/>
        </w:rPr>
        <w:t xml:space="preserve">construction certificate </w:t>
      </w:r>
      <w:r>
        <w:rPr>
          <w:rFonts w:ascii="Arial"/>
          <w:color w:val="000000"/>
          <w:sz w:val="24"/>
        </w:rPr>
        <w:t xml:space="preserve">with the Council within two days of its making is inconsistent with any such conclusion. A </w:t>
      </w:r>
      <w:r>
        <w:rPr>
          <w:rFonts w:ascii="Arial"/>
          <w:color w:val="000000"/>
          <w:sz w:val="24"/>
        </w:rPr>
        <w:t xml:space="preserve">Council who acts as this Council did runs the risk that the respondent to the judicial review application can successfully </w:t>
      </w:r>
      <w:r>
        <w:rPr>
          <w:rFonts w:ascii="Arial"/>
          <w:color w:val="000000"/>
          <w:sz w:val="24"/>
        </w:rPr>
        <w:t>resist an application for extension of time by demonstrating</w:t>
      </w:r>
      <w:r>
        <w:rPr>
          <w:rFonts w:ascii="Arial"/>
          <w:color w:val="000000"/>
          <w:sz w:val="24"/>
        </w:rPr>
        <w:t xml:space="preserve"> </w:t>
      </w:r>
      <w:r>
        <w:rPr>
          <w:rFonts w:ascii="Arial"/>
          <w:color w:val="000000"/>
          <w:sz w:val="24"/>
        </w:rPr>
        <w:t>prejudice. For example, in the present case if excavation of the construction void had been completed or substantially completed, that would likely have been fatal to</w:t>
      </w:r>
      <w:r>
        <w:rPr>
          <w:rFonts w:ascii="Arial"/>
          <w:color w:val="000000"/>
          <w:sz w:val="24"/>
        </w:rPr>
        <w:t xml:space="preserve"> </w:t>
      </w:r>
      <w:r>
        <w:rPr>
          <w:rFonts w:ascii="Arial"/>
          <w:color w:val="000000"/>
          <w:sz w:val="24"/>
        </w:rPr>
        <w:t>the</w:t>
      </w:r>
      <w:r>
        <w:rPr>
          <w:rFonts w:ascii="Arial"/>
          <w:color w:val="000000"/>
          <w:sz w:val="24"/>
        </w:rPr>
        <w:t xml:space="preserve"> </w:t>
      </w:r>
      <w:r>
        <w:rPr>
          <w:rFonts w:ascii="Arial"/>
          <w:color w:val="000000"/>
          <w:sz w:val="24"/>
        </w:rPr>
        <w:t>Council</w:t>
      </w:r>
      <w:r>
        <w:rPr>
          <w:rFonts w:ascii="Arial"/>
          <w:color w:val="000000"/>
          <w:sz w:val="24"/>
        </w:rPr>
        <w:t>’</w:t>
      </w:r>
      <w:r>
        <w:rPr>
          <w:rFonts w:ascii="Arial"/>
          <w:color w:val="000000"/>
          <w:sz w:val="24"/>
        </w:rPr>
        <w:t>s application to extend time</w:t>
      </w:r>
      <w:r>
        <w:rPr>
          <w:rFonts w:ascii="Arial"/>
          <w:color w:val="000000"/>
          <w:sz w:val="24"/>
        </w:rPr>
        <w:t xml:space="preserve"> </w:t>
      </w:r>
      <w:r>
        <w:rPr>
          <w:rFonts w:ascii="Arial"/>
          <w:color w:val="000000"/>
          <w:sz w:val="24"/>
        </w:rPr>
        <w:t>to commence a judicial review application</w:t>
      </w:r>
      <w:r>
        <w:rPr>
          <w:rFonts w:ascii="Arial"/>
          <w:color w:val="000000"/>
          <w:sz w:val="24"/>
        </w:rPr>
        <w:t>.</w:t>
      </w:r>
    </w:p>
    <w:p>
      <w:pPr>
        <w:pStyle w:val="CaselawNumbered1"/>
        <w:numPr>
          <w:ilvl w:val="0"/>
          <w:numId w:val="80"/>
        </w:numPr>
        <w:spacing w:before="150" w:after="0"/>
        <w:ind w:left="1350" w:hanging="750"/>
      </w:pPr>
      <w:r>
        <w:rPr>
          <w:rFonts w:ascii="Arial"/>
          <w:color w:val="000000"/>
          <w:sz w:val="24"/>
        </w:rPr>
        <w:t xml:space="preserve">The </w:t>
      </w:r>
      <w:r>
        <w:rPr>
          <w:rFonts w:ascii="Arial"/>
          <w:color w:val="000000"/>
          <w:sz w:val="24"/>
        </w:rPr>
        <w:t>need to demonstrate the apparent merit of the proceedings, which requires at least the demonstration of a fairly arguable case, was satisfied here.</w:t>
      </w:r>
    </w:p>
    <w:p>
      <w:pPr>
        <w:pStyle w:val="CaselawNumbered1"/>
        <w:numPr>
          <w:ilvl w:val="0"/>
          <w:numId w:val="80"/>
        </w:numPr>
        <w:spacing w:before="150" w:after="0"/>
        <w:ind w:left="1350" w:hanging="750"/>
      </w:pPr>
      <w:r>
        <w:rPr>
          <w:rFonts w:ascii="Arial"/>
          <w:color w:val="000000"/>
          <w:sz w:val="24"/>
        </w:rPr>
        <w:t xml:space="preserve">The </w:t>
      </w:r>
      <w:r>
        <w:rPr>
          <w:rFonts w:ascii="Arial"/>
          <w:color w:val="000000"/>
          <w:sz w:val="24"/>
        </w:rPr>
        <w:t>absence of any evidence of prejudice to the appellant</w:t>
      </w:r>
      <w:r>
        <w:rPr>
          <w:rFonts w:ascii="Arial"/>
          <w:color w:val="000000"/>
          <w:sz w:val="24"/>
        </w:rPr>
        <w:t>s</w:t>
      </w:r>
      <w:r>
        <w:rPr>
          <w:rFonts w:ascii="Arial"/>
          <w:color w:val="000000"/>
          <w:sz w:val="24"/>
        </w:rPr>
        <w:t xml:space="preserve"> </w:t>
      </w:r>
      <w:r>
        <w:rPr>
          <w:rFonts w:ascii="Arial"/>
          <w:color w:val="000000"/>
          <w:sz w:val="24"/>
        </w:rPr>
        <w:t xml:space="preserve">by the extension of time </w:t>
      </w:r>
      <w:r>
        <w:rPr>
          <w:rFonts w:ascii="Arial"/>
          <w:color w:val="000000"/>
          <w:sz w:val="24"/>
        </w:rPr>
        <w:t>in the present case was</w:t>
      </w:r>
      <w:r>
        <w:rPr>
          <w:rFonts w:ascii="Arial"/>
          <w:color w:val="000000"/>
          <w:sz w:val="24"/>
        </w:rPr>
        <w:t xml:space="preserve"> </w:t>
      </w:r>
      <w:r>
        <w:rPr>
          <w:rFonts w:ascii="Arial"/>
          <w:color w:val="000000"/>
          <w:sz w:val="24"/>
        </w:rPr>
        <w:t xml:space="preserve">striking. </w:t>
      </w:r>
      <w:r>
        <w:rPr>
          <w:rFonts w:ascii="Arial"/>
          <w:color w:val="000000"/>
          <w:sz w:val="24"/>
        </w:rPr>
        <w:t>T</w:t>
      </w:r>
      <w:r>
        <w:rPr>
          <w:rFonts w:ascii="Arial"/>
          <w:color w:val="000000"/>
          <w:sz w:val="24"/>
        </w:rPr>
        <w:t>here was no evidence as to what other works (if any) were carried out during the period, nor the potential costs of any such works, to enable a quantification of Council</w:t>
      </w:r>
      <w:r>
        <w:rPr>
          <w:rFonts w:ascii="Arial"/>
          <w:color w:val="000000"/>
          <w:sz w:val="24"/>
        </w:rPr>
        <w:t>’</w:t>
      </w:r>
      <w:r>
        <w:rPr>
          <w:rFonts w:ascii="Arial"/>
          <w:color w:val="000000"/>
          <w:sz w:val="24"/>
        </w:rPr>
        <w:t>s delay.</w:t>
      </w:r>
      <w:r>
        <w:rPr>
          <w:rFonts w:ascii="Arial"/>
          <w:color w:val="000000"/>
          <w:sz w:val="24"/>
        </w:rPr>
        <w:t xml:space="preserve"> </w:t>
      </w:r>
      <w:r>
        <w:rPr>
          <w:rFonts w:ascii="Arial"/>
          <w:color w:val="000000"/>
          <w:sz w:val="24"/>
        </w:rPr>
        <w:t xml:space="preserve">No evidence was led of difficulties in the already commenced construction or even any additional costs likely to be incurred if the application </w:t>
      </w:r>
      <w:r>
        <w:rPr>
          <w:rFonts w:ascii="Arial"/>
          <w:color w:val="000000"/>
          <w:sz w:val="24"/>
        </w:rPr>
        <w:t xml:space="preserve">for judicial review was permitted to be commenced out of time. </w:t>
      </w:r>
      <w:r>
        <w:rPr>
          <w:rFonts w:ascii="Arial"/>
          <w:color w:val="000000"/>
          <w:sz w:val="24"/>
        </w:rPr>
        <w:t>H</w:t>
      </w:r>
      <w:r>
        <w:rPr>
          <w:rFonts w:ascii="Arial"/>
          <w:color w:val="000000"/>
          <w:sz w:val="24"/>
        </w:rPr>
        <w:t xml:space="preserve">ad there been any evidence of </w:t>
      </w:r>
      <w:r>
        <w:rPr>
          <w:rFonts w:ascii="Arial"/>
          <w:color w:val="000000"/>
          <w:sz w:val="24"/>
        </w:rPr>
        <w:t xml:space="preserve">real </w:t>
      </w:r>
      <w:r>
        <w:rPr>
          <w:rFonts w:ascii="Arial"/>
          <w:color w:val="000000"/>
          <w:sz w:val="24"/>
        </w:rPr>
        <w:t>prejudice to the appellants</w:t>
      </w:r>
      <w:r>
        <w:rPr>
          <w:rFonts w:ascii="Arial"/>
          <w:color w:val="000000"/>
          <w:sz w:val="24"/>
        </w:rPr>
        <w:t>, an extension of time application may have faced real difficulties.</w:t>
      </w:r>
      <w:r>
        <w:rPr>
          <w:rFonts w:ascii="Arial"/>
          <w:color w:val="000000"/>
          <w:sz w:val="24"/>
        </w:rPr>
        <w:t xml:space="preserve"> </w:t>
      </w:r>
      <w:r>
        <w:rPr>
          <w:rFonts w:ascii="Arial"/>
          <w:color w:val="000000"/>
          <w:sz w:val="24"/>
        </w:rPr>
        <w:t>But there was no</w:t>
      </w:r>
      <w:r>
        <w:rPr>
          <w:rFonts w:ascii="Arial"/>
          <w:color w:val="000000"/>
          <w:sz w:val="24"/>
        </w:rPr>
        <w:t xml:space="preserve"> </w:t>
      </w:r>
      <w:r>
        <w:rPr>
          <w:rFonts w:ascii="Arial"/>
          <w:color w:val="000000"/>
          <w:sz w:val="24"/>
        </w:rPr>
        <w:t>relevant evidence led</w:t>
      </w:r>
      <w:r>
        <w:rPr>
          <w:rFonts w:ascii="Arial"/>
          <w:color w:val="000000"/>
          <w:sz w:val="24"/>
        </w:rPr>
        <w:t>.</w:t>
      </w:r>
    </w:p>
    <w:p>
      <w:pPr>
        <w:pStyle w:val="CaselawNumbered10"/>
        <w:numPr>
          <w:ilvl w:val="0"/>
          <w:numId w:val="81"/>
        </w:numPr>
        <w:spacing w:before="150" w:after="0"/>
        <w:ind w:left="600" w:hanging="600"/>
      </w:pPr>
      <w:r>
        <w:rPr>
          <w:rFonts w:ascii="Arial"/>
          <w:color w:val="000000"/>
          <w:sz w:val="24"/>
        </w:rPr>
        <w:t xml:space="preserve">The primary judge did not err in extending time pursuant to UCPR r 59.10 to commence judicial review proceedings for jurisdictional error of the decision to </w:t>
      </w:r>
      <w:r>
        <w:rPr>
          <w:rFonts w:ascii="Arial"/>
          <w:color w:val="000000"/>
          <w:sz w:val="24"/>
        </w:rPr>
        <w:t>issue</w:t>
      </w:r>
      <w:r>
        <w:rPr>
          <w:rFonts w:ascii="Arial"/>
          <w:color w:val="000000"/>
          <w:sz w:val="24"/>
        </w:rPr>
        <w:t xml:space="preserve"> </w:t>
      </w:r>
      <w:r>
        <w:rPr>
          <w:rFonts w:ascii="Arial"/>
          <w:color w:val="000000"/>
          <w:sz w:val="24"/>
        </w:rPr>
        <w:t xml:space="preserve">a </w:t>
      </w:r>
      <w:r>
        <w:rPr>
          <w:rFonts w:ascii="Arial"/>
          <w:color w:val="000000"/>
          <w:sz w:val="24"/>
        </w:rPr>
        <w:t xml:space="preserve">construction certificate </w:t>
      </w:r>
      <w:r>
        <w:rPr>
          <w:rFonts w:ascii="Arial"/>
          <w:color w:val="000000"/>
          <w:sz w:val="24"/>
        </w:rPr>
        <w:t>in the form it took</w:t>
      </w:r>
      <w:r>
        <w:rPr>
          <w:rFonts w:ascii="Arial"/>
          <w:color w:val="000000"/>
          <w:sz w:val="24"/>
        </w:rPr>
        <w:t xml:space="preserve">. </w:t>
      </w:r>
      <w:r>
        <w:rPr>
          <w:rFonts w:ascii="Arial"/>
          <w:color w:val="000000"/>
          <w:sz w:val="24"/>
        </w:rPr>
        <w:t>I would reject ground 1.</w:t>
      </w:r>
    </w:p>
    <w:p>
      <w:pPr>
        <w:pStyle w:val="CaselawHeading2"/>
        <w:keepNext/>
        <w:spacing w:before="150" w:after="150" w:line="264"/>
        <w:ind w:left="0"/>
        <w:jc w:val="left"/>
      </w:pPr>
      <w:r>
        <w:rPr>
          <w:rFonts w:ascii="Arial"/>
        </w:rPr>
        <w:t>Ground 2</w:t>
      </w:r>
    </w:p>
    <w:p>
      <w:pPr>
        <w:pStyle w:val="CaselawHeading3"/>
        <w:keepNext/>
        <w:spacing w:before="150" w:after="150" w:line="264"/>
        <w:ind w:left="0"/>
        <w:jc w:val="left"/>
      </w:pPr>
      <w:r>
        <w:rPr>
          <w:rFonts w:ascii="Arial"/>
        </w:rPr>
        <w:t>Appellants’</w:t>
      </w:r>
      <w:r>
        <w:rPr>
          <w:rFonts w:ascii="Arial"/>
        </w:rPr>
        <w:t xml:space="preserve"> submissions</w:t>
      </w:r>
    </w:p>
    <w:p>
      <w:pPr>
        <w:pStyle w:val="CaselawNumbered10"/>
        <w:numPr>
          <w:ilvl w:val="0"/>
          <w:numId w:val="82"/>
        </w:numPr>
        <w:spacing w:before="150" w:after="0"/>
        <w:ind w:left="600" w:hanging="600"/>
      </w:pPr>
      <w:r>
        <w:rPr>
          <w:rFonts w:ascii="Arial"/>
          <w:color w:val="000000"/>
          <w:sz w:val="24"/>
        </w:rPr>
        <w:t xml:space="preserve">By ground 2, the appellants argued that the primary judge erred in finding that it was legally unreasonable for the certifier to determine that the plans, specifications and standards of building work in the certificate were consistent with the </w:t>
      </w:r>
      <w:r>
        <w:rPr>
          <w:rFonts w:ascii="Arial"/>
          <w:color w:val="000000"/>
          <w:sz w:val="24"/>
        </w:rPr>
        <w:t>development c</w:t>
      </w:r>
      <w:r>
        <w:rPr>
          <w:rFonts w:ascii="Arial"/>
          <w:color w:val="000000"/>
          <w:sz w:val="24"/>
        </w:rPr>
        <w:t xml:space="preserve">onsent. </w:t>
      </w:r>
    </w:p>
    <w:p>
      <w:pPr>
        <w:pStyle w:val="CaselawNumbered10"/>
        <w:numPr>
          <w:ilvl w:val="0"/>
          <w:numId w:val="82"/>
        </w:numPr>
        <w:spacing w:before="150" w:after="0"/>
        <w:ind w:left="600" w:hanging="600"/>
      </w:pPr>
      <w:r>
        <w:rPr>
          <w:rFonts w:ascii="Arial"/>
          <w:color w:val="000000"/>
          <w:sz w:val="24"/>
        </w:rPr>
        <w:t>T</w:t>
      </w:r>
      <w:r>
        <w:rPr>
          <w:rFonts w:ascii="Arial"/>
          <w:color w:val="000000"/>
          <w:sz w:val="24"/>
        </w:rPr>
        <w:t xml:space="preserve">he appellants argued that the text and context of the EPA Act support a high bar of legal unreasonableness which mere inconsistency between the development consent and construction certificate would not ordinarily suffice. They </w:t>
      </w:r>
      <w:r>
        <w:rPr>
          <w:rFonts w:ascii="Arial"/>
          <w:color w:val="000000"/>
          <w:sz w:val="24"/>
        </w:rPr>
        <w:t>gave</w:t>
      </w:r>
      <w:r>
        <w:rPr>
          <w:rFonts w:ascii="Arial"/>
          <w:color w:val="000000"/>
          <w:sz w:val="24"/>
        </w:rPr>
        <w:t xml:space="preserve"> </w:t>
      </w:r>
      <w:r>
        <w:rPr>
          <w:rFonts w:ascii="Arial"/>
          <w:color w:val="000000"/>
          <w:sz w:val="24"/>
        </w:rPr>
        <w:t xml:space="preserve">the following </w:t>
      </w:r>
      <w:r>
        <w:rPr>
          <w:rFonts w:ascii="Arial"/>
          <w:color w:val="000000"/>
          <w:sz w:val="24"/>
        </w:rPr>
        <w:t>reasons</w:t>
      </w:r>
      <w:r>
        <w:rPr>
          <w:rFonts w:ascii="Arial"/>
          <w:color w:val="000000"/>
          <w:sz w:val="24"/>
        </w:rPr>
        <w:t>:</w:t>
      </w:r>
    </w:p>
    <w:p>
      <w:pPr>
        <w:pStyle w:val="CaselawNumbered1"/>
        <w:numPr>
          <w:ilvl w:val="0"/>
          <w:numId w:val="83"/>
        </w:numPr>
        <w:spacing w:before="150" w:after="0"/>
        <w:ind w:left="1350" w:hanging="750"/>
      </w:pPr>
      <w:r>
        <w:rPr>
          <w:rFonts w:ascii="Arial"/>
          <w:color w:val="000000"/>
          <w:sz w:val="24"/>
        </w:rPr>
        <w:t xml:space="preserve">The starting point is section 4.16(12) of the EPA Act, extracted above at </w:t>
      </w:r>
      <w:r>
        <w:rPr>
          <w:rFonts w:ascii="Arial"/>
          <w:color w:val="000000"/>
          <w:sz w:val="24"/>
        </w:rPr>
        <w:t>[</w:t>
      </w:r>
      <w:hyperlink r:id="rId22">
        <w:r>
          <w:rPr>
            <w:rFonts w:ascii="Arial"/>
            <w:color w:val="000000"/>
            <w:sz w:val="24"/>
            <w:u w:val="single"/>
          </w:rPr>
          <w:t/>
        </w:r>
        <w:r>
          <w:rPr>
            <w:rFonts w:ascii="Arial"/>
            <w:color w:val="000000"/>
            <w:sz w:val="24"/>
          </w:rPr>
          <w:t>37</w:t>
        </w:r>
      </w:hyperlink>
      <w:hyperlink r:id="rId23">
        <w:r>
          <w:rPr>
            <w:rFonts w:ascii="Arial"/>
            <w:color w:val="000000"/>
            <w:sz w:val="24"/>
          </w:rPr>
          <w:t/>
        </w:r>
      </w:hyperlink>
      <w:r>
        <w:rPr>
          <w:rFonts w:ascii="Arial"/>
          <w:color w:val="000000"/>
          <w:sz w:val="24"/>
        </w:rPr>
        <w:t>]</w:t>
      </w:r>
      <w:r>
        <w:rPr>
          <w:rFonts w:ascii="Arial"/>
          <w:color w:val="000000"/>
          <w:sz w:val="24"/>
        </w:rPr>
        <w:t>.</w:t>
      </w:r>
    </w:p>
    <w:p>
      <w:pPr>
        <w:pStyle w:val="CaselawNumbered1"/>
        <w:numPr>
          <w:ilvl w:val="0"/>
          <w:numId w:val="83"/>
        </w:numPr>
        <w:spacing w:before="150" w:after="0"/>
        <w:ind w:left="1350" w:hanging="750"/>
      </w:pPr>
      <w:r>
        <w:rPr>
          <w:rFonts w:ascii="Arial"/>
          <w:color w:val="000000"/>
          <w:sz w:val="24"/>
        </w:rPr>
        <w:t>Section 6.32 expands</w:t>
      </w:r>
      <w:r>
        <w:rPr>
          <w:rFonts w:ascii="Arial"/>
          <w:color w:val="000000"/>
          <w:sz w:val="24"/>
        </w:rPr>
        <w:t xml:space="preserve"> </w:t>
      </w:r>
      <w:r>
        <w:rPr>
          <w:rFonts w:ascii="Arial"/>
          <w:color w:val="000000"/>
          <w:sz w:val="24"/>
        </w:rPr>
        <w:t>the scope of</w:t>
      </w:r>
      <w:r>
        <w:rPr>
          <w:rFonts w:ascii="Arial"/>
          <w:color w:val="000000"/>
          <w:sz w:val="24"/>
        </w:rPr>
        <w:t xml:space="preserve"> </w:t>
      </w:r>
      <w:r>
        <w:rPr>
          <w:rFonts w:ascii="Arial"/>
          <w:color w:val="000000"/>
          <w:sz w:val="24"/>
        </w:rPr>
        <w:t>merits</w:t>
      </w:r>
      <w:r>
        <w:rPr>
          <w:rFonts w:ascii="Arial"/>
          <w:color w:val="000000"/>
          <w:sz w:val="24"/>
        </w:rPr>
        <w:t xml:space="preserve"> </w:t>
      </w:r>
      <w:r>
        <w:rPr>
          <w:rFonts w:ascii="Arial"/>
          <w:color w:val="000000"/>
          <w:sz w:val="24"/>
        </w:rPr>
        <w:t xml:space="preserve">review </w:t>
      </w:r>
      <w:r>
        <w:rPr>
          <w:rFonts w:ascii="Arial"/>
          <w:color w:val="000000"/>
          <w:sz w:val="24"/>
        </w:rPr>
        <w:t xml:space="preserve">but limits it </w:t>
      </w:r>
      <w:r>
        <w:rPr>
          <w:rFonts w:ascii="Arial"/>
          <w:color w:val="000000"/>
          <w:sz w:val="24"/>
        </w:rPr>
        <w:t>to a three</w:t>
      </w:r>
      <w:r>
        <w:rPr>
          <w:rFonts w:ascii="Arial"/>
          <w:color w:val="000000"/>
          <w:sz w:val="24"/>
        </w:rPr>
        <w:t xml:space="preserve"> </w:t>
      </w:r>
      <w:r>
        <w:rPr>
          <w:rFonts w:ascii="Arial"/>
          <w:color w:val="000000"/>
          <w:sz w:val="24"/>
        </w:rPr>
        <w:t xml:space="preserve">month period, </w:t>
      </w:r>
      <w:r>
        <w:rPr>
          <w:rFonts w:ascii="Arial"/>
          <w:color w:val="000000"/>
          <w:sz w:val="24"/>
        </w:rPr>
        <w:t xml:space="preserve">recognising </w:t>
      </w:r>
      <w:r>
        <w:rPr>
          <w:rFonts w:ascii="Arial"/>
          <w:color w:val="000000"/>
          <w:sz w:val="24"/>
        </w:rPr>
        <w:t>public interest in the finality of certificates. After this period, a challenge based solely on inconsistency is not enough.</w:t>
      </w:r>
    </w:p>
    <w:p>
      <w:pPr>
        <w:pStyle w:val="CaselawNumbered1"/>
        <w:numPr>
          <w:ilvl w:val="0"/>
          <w:numId w:val="83"/>
        </w:numPr>
        <w:spacing w:before="150" w:after="0"/>
        <w:ind w:left="1350" w:hanging="750"/>
      </w:pPr>
      <w:r>
        <w:rPr>
          <w:rFonts w:ascii="Arial"/>
          <w:color w:val="000000"/>
          <w:sz w:val="24"/>
        </w:rPr>
        <w:t xml:space="preserve">The prohibition in s 6.8 of the EPA Act targets the authority issuing a construction certificate, such as a council or an accredited certifier, rather than the person benefiting from the development consent. But the developer may suffer adverse consequences if they rely in good faith on a certificate that is later deemed invalid due to inconsistency with the development consent. </w:t>
      </w:r>
    </w:p>
    <w:p>
      <w:pPr>
        <w:pStyle w:val="CaselawNumbered10"/>
        <w:numPr>
          <w:ilvl w:val="0"/>
          <w:numId w:val="84"/>
        </w:numPr>
        <w:spacing w:before="150" w:after="0"/>
        <w:ind w:left="600" w:hanging="600"/>
      </w:pPr>
      <w:r>
        <w:rPr>
          <w:rFonts w:ascii="Arial"/>
          <w:color w:val="000000"/>
          <w:sz w:val="24"/>
        </w:rPr>
        <w:t xml:space="preserve">The appellants observed that this high bar has </w:t>
      </w:r>
      <w:r>
        <w:rPr>
          <w:rFonts w:ascii="Arial"/>
          <w:color w:val="000000"/>
          <w:sz w:val="24"/>
        </w:rPr>
        <w:t>“</w:t>
      </w:r>
      <w:r>
        <w:rPr>
          <w:rFonts w:ascii="Arial"/>
          <w:color w:val="000000"/>
          <w:sz w:val="24"/>
        </w:rPr>
        <w:t>led the Courts to remark that judicial review on the basis of manifest unreasonableness is rare</w:t>
      </w:r>
      <w:r>
        <w:rPr>
          <w:rFonts w:ascii="Arial"/>
          <w:color w:val="000000"/>
          <w:sz w:val="24"/>
        </w:rPr>
        <w:t>”</w:t>
      </w:r>
      <w:r>
        <w:rPr>
          <w:rFonts w:ascii="Arial"/>
          <w:color w:val="000000"/>
          <w:sz w:val="24"/>
        </w:rPr>
        <w:t xml:space="preserve">. </w:t>
      </w:r>
    </w:p>
    <w:p>
      <w:pPr>
        <w:pStyle w:val="CaselawNumbered10"/>
        <w:numPr>
          <w:ilvl w:val="0"/>
          <w:numId w:val="84"/>
        </w:numPr>
        <w:spacing w:before="150" w:after="0"/>
        <w:ind w:left="600" w:hanging="600"/>
      </w:pPr>
      <w:r>
        <w:rPr>
          <w:rFonts w:ascii="Arial"/>
          <w:color w:val="000000"/>
          <w:sz w:val="24"/>
        </w:rPr>
        <w:t xml:space="preserve">The appellants argued that the inquiry </w:t>
      </w:r>
      <w:r>
        <w:rPr>
          <w:rFonts w:ascii="Arial"/>
          <w:color w:val="000000"/>
          <w:sz w:val="24"/>
        </w:rPr>
        <w:t xml:space="preserve">into </w:t>
      </w:r>
      <w:r>
        <w:rPr>
          <w:rFonts w:ascii="Arial"/>
          <w:color w:val="000000"/>
          <w:sz w:val="24"/>
        </w:rPr>
        <w:t>whether a decision is legal</w:t>
      </w:r>
      <w:r>
        <w:rPr>
          <w:rFonts w:ascii="Arial"/>
          <w:color w:val="000000"/>
          <w:sz w:val="24"/>
        </w:rPr>
        <w:t>ly</w:t>
      </w:r>
      <w:r>
        <w:rPr>
          <w:rFonts w:ascii="Arial"/>
          <w:color w:val="000000"/>
          <w:sz w:val="24"/>
        </w:rPr>
        <w:t xml:space="preserve"> </w:t>
      </w:r>
      <w:r>
        <w:rPr>
          <w:rFonts w:ascii="Arial"/>
          <w:color w:val="000000"/>
          <w:sz w:val="24"/>
        </w:rPr>
        <w:t xml:space="preserve">unreasonable is </w:t>
      </w:r>
      <w:r>
        <w:rPr>
          <w:rFonts w:ascii="Arial"/>
          <w:color w:val="000000"/>
          <w:sz w:val="24"/>
        </w:rPr>
        <w:t>“</w:t>
      </w:r>
      <w:r>
        <w:rPr>
          <w:rFonts w:ascii="Arial"/>
          <w:color w:val="000000"/>
          <w:sz w:val="24"/>
        </w:rPr>
        <w:t>outcome-focused</w:t>
      </w:r>
      <w:r>
        <w:rPr>
          <w:rFonts w:ascii="Arial"/>
          <w:color w:val="000000"/>
          <w:sz w:val="24"/>
        </w:rPr>
        <w:t>”</w:t>
      </w:r>
      <w:r>
        <w:rPr>
          <w:rFonts w:ascii="Arial"/>
          <w:color w:val="000000"/>
          <w:sz w:val="24"/>
        </w:rPr>
        <w:t xml:space="preserve">, </w:t>
      </w:r>
      <w:r>
        <w:rPr>
          <w:rFonts w:ascii="Arial"/>
          <w:color w:val="000000"/>
          <w:sz w:val="24"/>
        </w:rPr>
        <w:t>“</w:t>
      </w:r>
      <w:r>
        <w:rPr>
          <w:rFonts w:ascii="Arial"/>
          <w:color w:val="000000"/>
          <w:sz w:val="24"/>
        </w:rPr>
        <w:t>asking whether the decision ultimately reached by the decision-maker can be supported by a hypothetical decision-maker undertaking logical analysis on the evidence available</w:t>
      </w:r>
      <w:r>
        <w:rPr>
          <w:rFonts w:ascii="Arial"/>
          <w:color w:val="000000"/>
          <w:sz w:val="24"/>
        </w:rPr>
        <w:t>”</w:t>
      </w:r>
      <w:r>
        <w:rPr>
          <w:rFonts w:ascii="Arial"/>
          <w:color w:val="000000"/>
          <w:sz w:val="24"/>
        </w:rPr>
        <w:t>:</w:t>
      </w:r>
      <w:r>
        <w:rPr>
          <w:rFonts w:ascii="Arial"/>
          <w:color w:val="000000"/>
          <w:sz w:val="24"/>
        </w:rPr>
        <w:t xml:space="preserve"> </w:t>
      </w:r>
      <w:r>
        <w:rPr>
          <w:rFonts w:ascii="Arial"/>
          <w:i/>
          <w:color w:val="000000"/>
          <w:sz w:val="24"/>
        </w:rPr>
        <w:t xml:space="preserve">Minister for Immigration and Citizenship v </w:t>
      </w:r>
      <w:r>
        <w:rPr>
          <w:rFonts w:ascii="Arial"/>
          <w:i/>
          <w:color w:val="000000"/>
          <w:sz w:val="24"/>
        </w:rPr>
        <w:t>SZMDS</w:t>
      </w:r>
      <w:r>
        <w:rPr>
          <w:rFonts w:ascii="Arial"/>
          <w:i/>
          <w:color w:val="000000"/>
          <w:sz w:val="24"/>
        </w:rPr>
        <w:t xml:space="preserve"> </w:t>
      </w:r>
      <w:r>
        <w:rPr>
          <w:rFonts w:ascii="Arial"/>
          <w:color w:val="000000"/>
          <w:sz w:val="24"/>
        </w:rPr>
        <w:t>(2010) 240 CLR 611; [2010] HCA 16</w:t>
      </w:r>
      <w:r>
        <w:rPr>
          <w:rFonts w:ascii="Arial"/>
          <w:color w:val="000000"/>
          <w:sz w:val="24"/>
        </w:rPr>
        <w:t xml:space="preserve"> </w:t>
      </w:r>
      <w:r>
        <w:rPr>
          <w:rFonts w:ascii="Arial"/>
          <w:color w:val="000000"/>
          <w:sz w:val="24"/>
        </w:rPr>
        <w:t>(</w:t>
      </w:r>
      <w:r>
        <w:rPr>
          <w:rFonts w:ascii="Arial"/>
          <w:color w:val="000000"/>
          <w:sz w:val="24"/>
        </w:rPr>
        <w:t>Crennan</w:t>
      </w:r>
      <w:r>
        <w:rPr>
          <w:rFonts w:ascii="Arial"/>
          <w:color w:val="000000"/>
          <w:sz w:val="24"/>
        </w:rPr>
        <w:t xml:space="preserve"> </w:t>
      </w:r>
      <w:r>
        <w:rPr>
          <w:rFonts w:ascii="Arial"/>
          <w:color w:val="000000"/>
          <w:sz w:val="24"/>
        </w:rPr>
        <w:t xml:space="preserve">and Bell JJ at [130]) and </w:t>
      </w:r>
      <w:r>
        <w:rPr>
          <w:rFonts w:ascii="Arial"/>
          <w:i/>
          <w:color w:val="000000"/>
          <w:sz w:val="24"/>
        </w:rPr>
        <w:t>Masi-</w:t>
      </w:r>
      <w:r>
        <w:rPr>
          <w:rFonts w:ascii="Arial"/>
          <w:i/>
          <w:color w:val="000000"/>
          <w:sz w:val="24"/>
        </w:rPr>
        <w:t>Haini</w:t>
      </w:r>
      <w:r>
        <w:rPr>
          <w:rFonts w:ascii="Arial"/>
          <w:i/>
          <w:color w:val="000000"/>
          <w:sz w:val="24"/>
        </w:rPr>
        <w:t xml:space="preserve"> v Minister for Home Affairs </w:t>
      </w:r>
      <w:r>
        <w:rPr>
          <w:rFonts w:ascii="Arial"/>
          <w:color w:val="000000"/>
          <w:sz w:val="24"/>
        </w:rPr>
        <w:t xml:space="preserve">(2023) 298 FCR 277; </w:t>
      </w:r>
      <w:r>
        <w:rPr>
          <w:rFonts w:ascii="Arial"/>
          <w:color w:val="000000"/>
          <w:sz w:val="24"/>
        </w:rPr>
        <w:t xml:space="preserve">[2023] FCAFC 126 at [51]. The appellants argued that the </w:t>
      </w:r>
      <w:r>
        <w:rPr>
          <w:rFonts w:ascii="Arial"/>
          <w:color w:val="000000"/>
          <w:sz w:val="24"/>
        </w:rPr>
        <w:t>“</w:t>
      </w:r>
      <w:r>
        <w:rPr>
          <w:rFonts w:ascii="Arial"/>
          <w:color w:val="000000"/>
          <w:sz w:val="24"/>
        </w:rPr>
        <w:t>outcome-focused</w:t>
      </w:r>
      <w:r>
        <w:rPr>
          <w:rFonts w:ascii="Arial"/>
          <w:color w:val="000000"/>
          <w:sz w:val="24"/>
        </w:rPr>
        <w:t>”</w:t>
      </w:r>
      <w:r>
        <w:rPr>
          <w:rFonts w:ascii="Arial"/>
          <w:color w:val="000000"/>
          <w:sz w:val="24"/>
        </w:rPr>
        <w:t xml:space="preserve"> </w:t>
      </w:r>
      <w:r>
        <w:rPr>
          <w:rFonts w:ascii="Arial"/>
          <w:color w:val="000000"/>
          <w:sz w:val="24"/>
        </w:rPr>
        <w:t>approach is the appropriate approach in this case because the certifier did not give reasons for the issue of the certificate.</w:t>
      </w:r>
      <w:r>
        <w:rPr>
          <w:rFonts w:ascii="Arial"/>
          <w:b/>
          <w:color w:val="000000"/>
          <w:sz w:val="24"/>
        </w:rPr>
        <w:t xml:space="preserve"> </w:t>
      </w:r>
    </w:p>
    <w:p>
      <w:pPr>
        <w:pStyle w:val="CaselawNumbered10"/>
        <w:numPr>
          <w:ilvl w:val="0"/>
          <w:numId w:val="84"/>
        </w:numPr>
        <w:spacing w:before="150" w:after="0"/>
        <w:ind w:left="600" w:hanging="600"/>
      </w:pPr>
      <w:r>
        <w:rPr>
          <w:rFonts w:ascii="Arial"/>
          <w:color w:val="000000"/>
          <w:sz w:val="24"/>
        </w:rPr>
        <w:t xml:space="preserve">As to the standard of unreasonableness, the appellants said that </w:t>
      </w:r>
      <w:r>
        <w:rPr>
          <w:rFonts w:ascii="Arial"/>
          <w:color w:val="000000"/>
          <w:sz w:val="24"/>
        </w:rPr>
        <w:t>“</w:t>
      </w:r>
      <w:r>
        <w:rPr>
          <w:rFonts w:ascii="Arial"/>
          <w:color w:val="000000"/>
          <w:sz w:val="24"/>
        </w:rPr>
        <w:t>[a] decision may be unreasonable if it lacks an evident and intelligible justification or is so devoid of plausible justification that no reasonable person could have taken that course</w:t>
      </w:r>
      <w:r>
        <w:rPr>
          <w:rFonts w:ascii="Arial"/>
          <w:color w:val="000000"/>
          <w:sz w:val="24"/>
        </w:rPr>
        <w:t>”</w:t>
      </w:r>
      <w:r>
        <w:rPr>
          <w:rFonts w:ascii="Arial"/>
          <w:color w:val="000000"/>
          <w:sz w:val="24"/>
        </w:rPr>
        <w:t>.</w:t>
      </w:r>
      <w:r>
        <w:rPr>
          <w:rFonts w:ascii="Arial"/>
          <w:color w:val="000000"/>
          <w:sz w:val="24"/>
        </w:rPr>
        <w:t xml:space="preserve"> </w:t>
      </w:r>
    </w:p>
    <w:p>
      <w:pPr>
        <w:pStyle w:val="CaselawNumbered10"/>
        <w:numPr>
          <w:ilvl w:val="0"/>
          <w:numId w:val="84"/>
        </w:numPr>
        <w:spacing w:before="150" w:after="0"/>
        <w:ind w:left="600" w:hanging="600"/>
      </w:pPr>
      <w:r>
        <w:rPr>
          <w:rFonts w:ascii="Arial"/>
          <w:color w:val="000000"/>
          <w:sz w:val="24"/>
        </w:rPr>
        <w:t>In particular, the appellants argued that</w:t>
      </w:r>
      <w:r>
        <w:rPr>
          <w:rFonts w:ascii="Arial"/>
          <w:color w:val="000000"/>
          <w:sz w:val="24"/>
        </w:rPr>
        <w:t xml:space="preserve"> </w:t>
      </w:r>
      <w:r>
        <w:rPr>
          <w:rFonts w:ascii="Arial"/>
          <w:color w:val="000000"/>
          <w:sz w:val="24"/>
        </w:rPr>
        <w:t xml:space="preserve">a certifier may issue a construction certificate that breaches a consent condition, making it inconsistent but not necessarily irrational or manifestly unreasonable, especially if there is a clear justification for the decision. Whether issuing the certificate was irrational or </w:t>
      </w:r>
      <w:r>
        <w:rPr>
          <w:rFonts w:ascii="Arial"/>
          <w:color w:val="000000"/>
          <w:sz w:val="24"/>
        </w:rPr>
        <w:t>“</w:t>
      </w:r>
      <w:r>
        <w:rPr>
          <w:rFonts w:ascii="Arial"/>
          <w:color w:val="000000"/>
          <w:sz w:val="24"/>
        </w:rPr>
        <w:t>manifestly unreasonable</w:t>
      </w:r>
      <w:r>
        <w:rPr>
          <w:rFonts w:ascii="Arial"/>
          <w:color w:val="000000"/>
          <w:sz w:val="24"/>
        </w:rPr>
        <w:t>”</w:t>
      </w:r>
      <w:r>
        <w:rPr>
          <w:rFonts w:ascii="Arial"/>
          <w:color w:val="000000"/>
          <w:sz w:val="24"/>
        </w:rPr>
        <w:t xml:space="preserve"> </w:t>
      </w:r>
      <w:r>
        <w:rPr>
          <w:rFonts w:ascii="Arial"/>
          <w:color w:val="000000"/>
          <w:sz w:val="24"/>
        </w:rPr>
        <w:t xml:space="preserve">depends on the specific facts in the consent conditions. </w:t>
      </w:r>
    </w:p>
    <w:p>
      <w:pPr>
        <w:pStyle w:val="CaselawNumbered10"/>
        <w:numPr>
          <w:ilvl w:val="0"/>
          <w:numId w:val="84"/>
        </w:numPr>
        <w:spacing w:before="150" w:after="0"/>
        <w:ind w:left="600" w:hanging="600"/>
      </w:pPr>
      <w:r>
        <w:rPr>
          <w:rFonts w:ascii="Arial"/>
          <w:color w:val="000000"/>
          <w:sz w:val="24"/>
        </w:rPr>
        <w:t xml:space="preserve">Applying this standard to the facts, the appellants argued that while the matters identified by the primary judge may </w:t>
      </w:r>
      <w:r>
        <w:rPr>
          <w:rFonts w:ascii="Arial"/>
          <w:color w:val="000000"/>
          <w:sz w:val="24"/>
        </w:rPr>
        <w:t xml:space="preserve">give </w:t>
      </w:r>
      <w:r>
        <w:rPr>
          <w:rFonts w:ascii="Arial"/>
          <w:color w:val="000000"/>
          <w:sz w:val="24"/>
        </w:rPr>
        <w:t xml:space="preserve">rise to a finding of inconsistency, they do not yield a finding which is inconceivable, irrational or perverse when the conditions of </w:t>
      </w:r>
      <w:r>
        <w:rPr>
          <w:rFonts w:ascii="Arial"/>
          <w:color w:val="000000"/>
          <w:sz w:val="24"/>
        </w:rPr>
        <w:t>the c</w:t>
      </w:r>
      <w:r>
        <w:rPr>
          <w:rFonts w:ascii="Arial"/>
          <w:color w:val="000000"/>
          <w:sz w:val="24"/>
        </w:rPr>
        <w:t>onsent are read as a whole. The appellants</w:t>
      </w:r>
      <w:r>
        <w:rPr>
          <w:rFonts w:ascii="Arial"/>
          <w:color w:val="000000"/>
          <w:sz w:val="24"/>
        </w:rPr>
        <w:t>’</w:t>
      </w:r>
      <w:r>
        <w:rPr>
          <w:rFonts w:ascii="Arial"/>
          <w:color w:val="000000"/>
          <w:sz w:val="24"/>
        </w:rPr>
        <w:t xml:space="preserve"> </w:t>
      </w:r>
      <w:r>
        <w:rPr>
          <w:rFonts w:ascii="Arial"/>
          <w:color w:val="000000"/>
          <w:sz w:val="24"/>
        </w:rPr>
        <w:t>reasoning was as follows.</w:t>
      </w:r>
    </w:p>
    <w:p>
      <w:pPr>
        <w:pStyle w:val="CaselawNumbered10"/>
        <w:numPr>
          <w:ilvl w:val="0"/>
          <w:numId w:val="84"/>
        </w:numPr>
        <w:spacing w:before="150" w:after="0"/>
        <w:ind w:left="600" w:hanging="600"/>
      </w:pPr>
      <w:r>
        <w:rPr>
          <w:rFonts w:ascii="Arial"/>
          <w:color w:val="000000"/>
          <w:sz w:val="24"/>
        </w:rPr>
        <w:t xml:space="preserve">First, the appellants construed </w:t>
      </w:r>
      <w:r>
        <w:rPr>
          <w:rFonts w:ascii="Arial"/>
          <w:color w:val="000000"/>
          <w:sz w:val="24"/>
        </w:rPr>
        <w:t>c</w:t>
      </w:r>
      <w:r>
        <w:rPr>
          <w:rFonts w:ascii="Arial"/>
          <w:color w:val="000000"/>
          <w:sz w:val="24"/>
        </w:rPr>
        <w:t xml:space="preserve">ondition C.1(d) of the development consent which they said </w:t>
      </w:r>
      <w:r>
        <w:rPr>
          <w:rFonts w:ascii="Arial"/>
          <w:color w:val="000000"/>
          <w:sz w:val="24"/>
        </w:rPr>
        <w:t>“</w:t>
      </w:r>
      <w:r>
        <w:rPr>
          <w:rFonts w:ascii="Arial"/>
          <w:color w:val="000000"/>
          <w:sz w:val="24"/>
        </w:rPr>
        <w:t>must be read with other conditions. A development consent must be read as a whole and the ordinary rules of construction and principles of interpretation apply as with any other statutory instrument</w:t>
      </w:r>
      <w:r>
        <w:rPr>
          <w:rFonts w:ascii="Arial"/>
          <w:color w:val="000000"/>
          <w:sz w:val="24"/>
        </w:rPr>
        <w:t>”</w:t>
      </w:r>
      <w:r>
        <w:rPr>
          <w:rFonts w:ascii="Arial"/>
          <w:color w:val="000000"/>
          <w:sz w:val="24"/>
        </w:rPr>
        <w:t>.</w:t>
      </w:r>
      <w:r>
        <w:rPr>
          <w:rFonts w:ascii="Arial"/>
          <w:color w:val="000000"/>
          <w:sz w:val="24"/>
        </w:rPr>
        <w:t xml:space="preserve"> </w:t>
      </w:r>
      <w:r>
        <w:rPr>
          <w:rFonts w:ascii="Arial"/>
          <w:color w:val="000000"/>
          <w:sz w:val="24"/>
        </w:rPr>
        <w:t xml:space="preserve"> </w:t>
      </w:r>
    </w:p>
    <w:p>
      <w:pPr>
        <w:pStyle w:val="CaselawNumbered10"/>
        <w:numPr>
          <w:ilvl w:val="0"/>
          <w:numId w:val="84"/>
        </w:numPr>
        <w:spacing w:before="150" w:after="0"/>
        <w:ind w:left="600" w:hanging="600"/>
      </w:pPr>
      <w:r>
        <w:rPr>
          <w:rFonts w:ascii="Arial"/>
          <w:color w:val="000000"/>
          <w:sz w:val="24"/>
        </w:rPr>
        <w:t xml:space="preserve">Secondly, the appellants argued that the excavation and shoring and piling works were required to be carried out by reference to the structural plans and details. The construction certificate documentation contains detailed written directions of a professional engineer and </w:t>
      </w:r>
      <w:r>
        <w:rPr>
          <w:rFonts w:ascii="Arial"/>
          <w:color w:val="000000"/>
          <w:sz w:val="24"/>
        </w:rPr>
        <w:t>“</w:t>
      </w:r>
      <w:r>
        <w:rPr>
          <w:rFonts w:ascii="Arial"/>
          <w:color w:val="000000"/>
          <w:sz w:val="24"/>
        </w:rPr>
        <w:t>[u]</w:t>
      </w:r>
      <w:r>
        <w:rPr>
          <w:rFonts w:ascii="Arial"/>
          <w:color w:val="000000"/>
          <w:sz w:val="24"/>
        </w:rPr>
        <w:t>ltimately</w:t>
      </w:r>
      <w:r>
        <w:rPr>
          <w:rFonts w:ascii="Arial"/>
          <w:color w:val="000000"/>
          <w:sz w:val="24"/>
        </w:rPr>
        <w:t xml:space="preserve">, it does not matter whether upon close review of the plans there was a staircase or </w:t>
      </w:r>
      <w:r>
        <w:rPr>
          <w:rFonts w:ascii="Arial"/>
          <w:color w:val="000000"/>
          <w:sz w:val="24"/>
        </w:rPr>
        <w:t>liftwell</w:t>
      </w:r>
      <w:r>
        <w:rPr>
          <w:rFonts w:ascii="Arial"/>
          <w:color w:val="000000"/>
          <w:sz w:val="24"/>
        </w:rPr>
        <w:t xml:space="preserve"> </w:t>
      </w:r>
      <w:r>
        <w:rPr>
          <w:rFonts w:ascii="Arial"/>
          <w:color w:val="000000"/>
          <w:sz w:val="24"/>
        </w:rPr>
        <w:t>at the base of the construction void to the crane base, because this was in accordance with the written directions of the engineer</w:t>
      </w:r>
      <w:r>
        <w:rPr>
          <w:rFonts w:ascii="Arial"/>
          <w:color w:val="000000"/>
          <w:sz w:val="24"/>
        </w:rPr>
        <w:t>”</w:t>
      </w:r>
      <w:r>
        <w:rPr>
          <w:rFonts w:ascii="Arial"/>
          <w:color w:val="000000"/>
          <w:sz w:val="24"/>
        </w:rPr>
        <w:t xml:space="preserve">. </w:t>
      </w:r>
    </w:p>
    <w:p>
      <w:pPr>
        <w:pStyle w:val="CaselawNumbered10"/>
        <w:numPr>
          <w:ilvl w:val="0"/>
          <w:numId w:val="84"/>
        </w:numPr>
        <w:spacing w:before="150" w:after="0"/>
        <w:ind w:left="600" w:hanging="600"/>
      </w:pPr>
      <w:r>
        <w:rPr>
          <w:rFonts w:ascii="Arial"/>
          <w:color w:val="000000"/>
          <w:sz w:val="24"/>
        </w:rPr>
        <w:t xml:space="preserve">In relation to the issue of stairs and lifts being installed, the appellants </w:t>
      </w:r>
      <w:r>
        <w:rPr>
          <w:rFonts w:ascii="Arial"/>
          <w:color w:val="000000"/>
          <w:sz w:val="24"/>
        </w:rPr>
        <w:t xml:space="preserve">submitted </w:t>
      </w:r>
      <w:r>
        <w:rPr>
          <w:rFonts w:ascii="Arial"/>
          <w:color w:val="000000"/>
          <w:sz w:val="24"/>
        </w:rPr>
        <w:t xml:space="preserve">that the level was not </w:t>
      </w:r>
      <w:r>
        <w:rPr>
          <w:rFonts w:ascii="Arial"/>
          <w:color w:val="000000"/>
          <w:sz w:val="24"/>
        </w:rPr>
        <w:t xml:space="preserve">to be </w:t>
      </w:r>
      <w:r>
        <w:rPr>
          <w:rFonts w:ascii="Arial"/>
          <w:color w:val="000000"/>
          <w:sz w:val="24"/>
        </w:rPr>
        <w:t xml:space="preserve">used </w:t>
      </w:r>
      <w:r>
        <w:rPr>
          <w:rFonts w:ascii="Arial"/>
          <w:color w:val="000000"/>
          <w:sz w:val="24"/>
        </w:rPr>
        <w:t>as</w:t>
      </w:r>
      <w:r>
        <w:rPr>
          <w:rFonts w:ascii="Arial"/>
          <w:color w:val="000000"/>
          <w:sz w:val="24"/>
        </w:rPr>
        <w:t xml:space="preserve"> </w:t>
      </w:r>
      <w:r>
        <w:rPr>
          <w:rFonts w:ascii="Arial"/>
          <w:color w:val="000000"/>
          <w:sz w:val="24"/>
        </w:rPr>
        <w:t>a cellar but for construction purposes</w:t>
      </w:r>
      <w:r>
        <w:rPr>
          <w:rFonts w:ascii="Arial"/>
          <w:color w:val="000000"/>
          <w:sz w:val="24"/>
        </w:rPr>
        <w:t xml:space="preserve">. </w:t>
      </w:r>
    </w:p>
    <w:p>
      <w:pPr>
        <w:pStyle w:val="CaselawNumbered10"/>
        <w:numPr>
          <w:ilvl w:val="0"/>
          <w:numId w:val="84"/>
        </w:numPr>
        <w:spacing w:before="150" w:after="0"/>
        <w:ind w:left="600" w:hanging="600"/>
      </w:pPr>
      <w:r>
        <w:rPr>
          <w:rFonts w:ascii="Arial"/>
          <w:color w:val="000000"/>
          <w:sz w:val="24"/>
        </w:rPr>
        <w:t xml:space="preserve">Thirdly, the appellants argued that in installing the crane base, being a substantial slab of concrete, </w:t>
      </w:r>
      <w:r>
        <w:rPr>
          <w:rFonts w:ascii="Arial"/>
          <w:color w:val="000000"/>
          <w:sz w:val="24"/>
        </w:rPr>
        <w:t>“</w:t>
      </w:r>
      <w:r>
        <w:rPr>
          <w:rFonts w:ascii="Arial"/>
          <w:color w:val="000000"/>
          <w:sz w:val="24"/>
        </w:rPr>
        <w:t>it is logical that it would be located at the deepest part of the development so that the development could be constructed above it</w:t>
      </w:r>
      <w:r>
        <w:rPr>
          <w:rFonts w:ascii="Arial"/>
          <w:color w:val="000000"/>
          <w:sz w:val="24"/>
        </w:rPr>
        <w:t>”</w:t>
      </w:r>
      <w:r>
        <w:rPr>
          <w:rFonts w:ascii="Arial"/>
          <w:color w:val="000000"/>
          <w:sz w:val="24"/>
        </w:rPr>
        <w:t xml:space="preserve">. Again, they argued that </w:t>
      </w:r>
      <w:r>
        <w:rPr>
          <w:rFonts w:ascii="Arial"/>
          <w:color w:val="000000"/>
          <w:sz w:val="24"/>
        </w:rPr>
        <w:t>“</w:t>
      </w:r>
      <w:r>
        <w:rPr>
          <w:rFonts w:ascii="Arial"/>
          <w:color w:val="000000"/>
          <w:sz w:val="24"/>
        </w:rPr>
        <w:t>it was not the proper role of the certifier to critically analyse the structural engineer</w:t>
      </w:r>
      <w:r>
        <w:rPr>
          <w:rFonts w:ascii="Arial"/>
          <w:color w:val="000000"/>
          <w:sz w:val="24"/>
        </w:rPr>
        <w:t>’</w:t>
      </w:r>
      <w:r>
        <w:rPr>
          <w:rFonts w:ascii="Arial"/>
          <w:color w:val="000000"/>
          <w:sz w:val="24"/>
        </w:rPr>
        <w:t>s approach to the structural engineering and construction of the building</w:t>
      </w:r>
      <w:r>
        <w:rPr>
          <w:rFonts w:ascii="Arial"/>
          <w:color w:val="000000"/>
          <w:sz w:val="24"/>
        </w:rPr>
        <w:t>”</w:t>
      </w:r>
      <w:r>
        <w:rPr>
          <w:rFonts w:ascii="Arial"/>
          <w:color w:val="000000"/>
          <w:sz w:val="24"/>
        </w:rPr>
        <w:t xml:space="preserve">. </w:t>
      </w:r>
    </w:p>
    <w:p>
      <w:pPr>
        <w:pStyle w:val="CaselawNumbered10"/>
        <w:numPr>
          <w:ilvl w:val="0"/>
          <w:numId w:val="84"/>
        </w:numPr>
        <w:spacing w:before="150" w:after="0"/>
        <w:ind w:left="600" w:hanging="600"/>
      </w:pPr>
      <w:r>
        <w:rPr>
          <w:rFonts w:ascii="Arial"/>
          <w:color w:val="000000"/>
          <w:sz w:val="24"/>
        </w:rPr>
        <w:t xml:space="preserve">Fourthly, the appellants argued that </w:t>
      </w:r>
      <w:r>
        <w:rPr>
          <w:rFonts w:ascii="Arial"/>
          <w:color w:val="000000"/>
          <w:sz w:val="24"/>
        </w:rPr>
        <w:t>“</w:t>
      </w:r>
      <w:r>
        <w:rPr>
          <w:rFonts w:ascii="Arial"/>
          <w:color w:val="000000"/>
          <w:sz w:val="24"/>
        </w:rPr>
        <w:t xml:space="preserve">assuming that the development was finally completed in accordance with the architectural plans, at the completion of the </w:t>
      </w:r>
      <w:r>
        <w:rPr>
          <w:rFonts w:ascii="Arial"/>
          <w:color w:val="000000"/>
          <w:sz w:val="24"/>
        </w:rPr>
        <w:t xml:space="preserve">development it would be possible to say that the cellar </w:t>
      </w:r>
      <w:r>
        <w:rPr>
          <w:rFonts w:ascii="Arial"/>
          <w:color w:val="000000"/>
          <w:sz w:val="24"/>
        </w:rPr>
        <w:t>‘</w:t>
      </w:r>
      <w:r>
        <w:rPr>
          <w:rFonts w:ascii="Arial"/>
          <w:color w:val="000000"/>
          <w:sz w:val="24"/>
        </w:rPr>
        <w:t>level</w:t>
      </w:r>
      <w:r>
        <w:rPr>
          <w:rFonts w:ascii="Arial"/>
          <w:color w:val="000000"/>
          <w:sz w:val="24"/>
        </w:rPr>
        <w:t>’</w:t>
      </w:r>
      <w:r>
        <w:rPr>
          <w:rFonts w:ascii="Arial"/>
          <w:color w:val="000000"/>
          <w:sz w:val="24"/>
        </w:rPr>
        <w:t xml:space="preserve"> </w:t>
      </w:r>
      <w:r>
        <w:rPr>
          <w:rFonts w:ascii="Arial"/>
          <w:color w:val="000000"/>
          <w:sz w:val="24"/>
        </w:rPr>
        <w:t xml:space="preserve">would </w:t>
      </w:r>
      <w:r>
        <w:rPr>
          <w:rFonts w:ascii="Arial"/>
          <w:color w:val="000000"/>
          <w:sz w:val="24"/>
        </w:rPr>
        <w:t>‘</w:t>
      </w:r>
      <w:r>
        <w:rPr>
          <w:rFonts w:ascii="Arial"/>
          <w:color w:val="000000"/>
          <w:sz w:val="24"/>
        </w:rPr>
        <w:t>remain unexcavated</w:t>
      </w:r>
      <w:r>
        <w:rPr>
          <w:rFonts w:ascii="Arial"/>
          <w:color w:val="000000"/>
          <w:sz w:val="24"/>
        </w:rPr>
        <w:t>’</w:t>
      </w:r>
      <w:r>
        <w:rPr>
          <w:rFonts w:ascii="Arial"/>
          <w:color w:val="000000"/>
          <w:sz w:val="24"/>
        </w:rPr>
        <w:t xml:space="preserve"> </w:t>
      </w:r>
      <w:r>
        <w:rPr>
          <w:rFonts w:ascii="Arial"/>
          <w:color w:val="000000"/>
          <w:sz w:val="24"/>
        </w:rPr>
        <w:t xml:space="preserve">for the purposes of condition </w:t>
      </w:r>
      <w:r>
        <w:rPr>
          <w:rFonts w:ascii="Arial"/>
          <w:color w:val="000000"/>
          <w:sz w:val="24"/>
        </w:rPr>
        <w:t>C</w:t>
      </w:r>
      <w:r>
        <w:rPr>
          <w:rFonts w:ascii="Arial"/>
          <w:color w:val="000000"/>
          <w:sz w:val="24"/>
        </w:rPr>
        <w:t>.1(d) as the void is depicted as being filled</w:t>
      </w:r>
      <w:r>
        <w:rPr>
          <w:rFonts w:ascii="Arial"/>
          <w:color w:val="000000"/>
          <w:sz w:val="24"/>
        </w:rPr>
        <w:t>”</w:t>
      </w:r>
      <w:r>
        <w:rPr>
          <w:rFonts w:ascii="Arial"/>
          <w:color w:val="000000"/>
          <w:sz w:val="24"/>
        </w:rPr>
        <w:t xml:space="preserve">. As such, </w:t>
      </w:r>
      <w:r>
        <w:rPr>
          <w:rFonts w:ascii="Arial"/>
          <w:color w:val="000000"/>
          <w:sz w:val="24"/>
        </w:rPr>
        <w:t>“</w:t>
      </w:r>
      <w:r>
        <w:rPr>
          <w:rFonts w:ascii="Arial"/>
          <w:color w:val="000000"/>
          <w:sz w:val="24"/>
        </w:rPr>
        <w:t xml:space="preserve">the justification for the construction void was that it was for construction purposes, was temporary and in accordance with condition </w:t>
      </w:r>
      <w:r>
        <w:rPr>
          <w:rFonts w:ascii="Arial"/>
          <w:color w:val="000000"/>
          <w:sz w:val="24"/>
        </w:rPr>
        <w:t>[E</w:t>
      </w:r>
      <w:r>
        <w:rPr>
          <w:rFonts w:ascii="Arial"/>
          <w:color w:val="000000"/>
          <w:sz w:val="24"/>
        </w:rPr>
        <w:t>.8</w:t>
      </w:r>
      <w:r>
        <w:rPr>
          <w:rFonts w:ascii="Arial"/>
          <w:color w:val="000000"/>
          <w:sz w:val="24"/>
        </w:rPr>
        <w:t>]</w:t>
      </w:r>
      <w:r>
        <w:rPr>
          <w:rFonts w:ascii="Arial"/>
          <w:color w:val="000000"/>
          <w:sz w:val="24"/>
        </w:rPr>
        <w:t>”</w:t>
      </w:r>
      <w:r>
        <w:rPr>
          <w:rFonts w:ascii="Arial"/>
          <w:color w:val="000000"/>
          <w:sz w:val="24"/>
        </w:rPr>
        <w:t>.</w:t>
      </w:r>
      <w:r>
        <w:rPr>
          <w:rFonts w:ascii="Arial"/>
          <w:color w:val="000000"/>
          <w:sz w:val="24"/>
        </w:rPr>
        <w:t xml:space="preserve"> </w:t>
      </w:r>
      <w:r>
        <w:rPr>
          <w:rFonts w:ascii="Arial"/>
          <w:color w:val="000000"/>
          <w:sz w:val="24"/>
        </w:rPr>
        <w:t xml:space="preserve">Condition E.8 </w:t>
      </w:r>
      <w:r>
        <w:rPr>
          <w:rFonts w:ascii="Arial"/>
          <w:color w:val="000000"/>
          <w:sz w:val="24"/>
        </w:rPr>
        <w:t>provided:</w:t>
      </w:r>
      <w:r>
        <w:rPr>
          <w:rFonts w:ascii="Arial"/>
          <w:color w:val="000000"/>
          <w:sz w:val="24"/>
        </w:rPr>
        <w:t xml:space="preserve"> </w:t>
      </w:r>
    </w:p>
    <w:p>
      <w:pPr>
        <w:pStyle w:val="CaselawQuote"/>
        <w:spacing w:before="150" w:after="150"/>
        <w:ind w:left="1350"/>
        <w:jc w:val="left"/>
      </w:pPr>
      <w:r>
        <w:rPr>
          <w:rFonts w:ascii="Arial"/>
          <w:color w:val="000000"/>
          <w:sz w:val="22"/>
        </w:rPr>
        <w:t>“Excavation must be undertaken in accordance with the recommendations of the Geotechnical/Hydrogeological Monitoring Program and any oral or written direction of the supervising professional engineer …”</w:t>
      </w:r>
    </w:p>
    <w:p>
      <w:pPr>
        <w:pStyle w:val="CaselawNumbered10"/>
        <w:numPr>
          <w:ilvl w:val="0"/>
          <w:numId w:val="85"/>
        </w:numPr>
        <w:spacing w:before="150" w:after="0"/>
        <w:ind w:left="600" w:hanging="600"/>
      </w:pPr>
      <w:r>
        <w:rPr>
          <w:rFonts w:ascii="Arial"/>
          <w:color w:val="000000"/>
          <w:sz w:val="24"/>
        </w:rPr>
        <w:t>Fifthly, t</w:t>
      </w:r>
      <w:r>
        <w:rPr>
          <w:rFonts w:ascii="Arial"/>
          <w:color w:val="000000"/>
          <w:sz w:val="24"/>
        </w:rPr>
        <w:t>he appellants</w:t>
      </w:r>
      <w:r>
        <w:rPr>
          <w:rFonts w:ascii="Arial"/>
          <w:color w:val="000000"/>
          <w:sz w:val="24"/>
        </w:rPr>
        <w:t>’</w:t>
      </w:r>
      <w:r>
        <w:rPr>
          <w:rFonts w:ascii="Arial"/>
          <w:color w:val="000000"/>
          <w:sz w:val="24"/>
        </w:rPr>
        <w:t xml:space="preserve"> </w:t>
      </w:r>
      <w:r>
        <w:rPr>
          <w:rFonts w:ascii="Arial"/>
          <w:color w:val="000000"/>
          <w:sz w:val="24"/>
        </w:rPr>
        <w:t xml:space="preserve">submitted that </w:t>
      </w:r>
      <w:r>
        <w:rPr>
          <w:rFonts w:ascii="Arial"/>
          <w:color w:val="000000"/>
          <w:sz w:val="24"/>
        </w:rPr>
        <w:t xml:space="preserve">the development </w:t>
      </w:r>
      <w:r>
        <w:rPr>
          <w:rFonts w:ascii="Arial"/>
          <w:color w:val="000000"/>
          <w:sz w:val="24"/>
        </w:rPr>
        <w:t xml:space="preserve">consent </w:t>
      </w:r>
      <w:r>
        <w:rPr>
          <w:rFonts w:ascii="Arial"/>
          <w:color w:val="000000"/>
          <w:sz w:val="24"/>
        </w:rPr>
        <w:t xml:space="preserve">must be construed </w:t>
      </w:r>
      <w:r>
        <w:rPr>
          <w:rFonts w:ascii="Arial"/>
          <w:color w:val="000000"/>
          <w:sz w:val="24"/>
        </w:rPr>
        <w:t>as a whole</w:t>
      </w:r>
      <w:r>
        <w:rPr>
          <w:rFonts w:ascii="Arial"/>
          <w:color w:val="000000"/>
          <w:sz w:val="24"/>
        </w:rPr>
        <w:t xml:space="preserve"> </w:t>
      </w:r>
      <w:r>
        <w:rPr>
          <w:rFonts w:ascii="Arial"/>
          <w:color w:val="000000"/>
          <w:sz w:val="24"/>
        </w:rPr>
        <w:t>to determine whether there was an evident justification for a conclusion</w:t>
      </w:r>
      <w:r>
        <w:rPr>
          <w:rFonts w:ascii="Arial"/>
          <w:color w:val="000000"/>
          <w:sz w:val="24"/>
        </w:rPr>
        <w:t xml:space="preserve"> </w:t>
      </w:r>
      <w:r>
        <w:rPr>
          <w:rFonts w:ascii="Arial"/>
          <w:color w:val="000000"/>
          <w:sz w:val="24"/>
        </w:rPr>
        <w:t xml:space="preserve">that the </w:t>
      </w:r>
      <w:r>
        <w:rPr>
          <w:rFonts w:ascii="Arial"/>
          <w:color w:val="000000"/>
          <w:sz w:val="24"/>
        </w:rPr>
        <w:t>c</w:t>
      </w:r>
      <w:r>
        <w:rPr>
          <w:rFonts w:ascii="Arial"/>
          <w:color w:val="000000"/>
          <w:sz w:val="24"/>
        </w:rPr>
        <w:t xml:space="preserve">onstruction </w:t>
      </w:r>
      <w:r>
        <w:rPr>
          <w:rFonts w:ascii="Arial"/>
          <w:color w:val="000000"/>
          <w:sz w:val="24"/>
        </w:rPr>
        <w:t>c</w:t>
      </w:r>
      <w:r>
        <w:rPr>
          <w:rFonts w:ascii="Arial"/>
          <w:color w:val="000000"/>
          <w:sz w:val="24"/>
        </w:rPr>
        <w:t xml:space="preserve">ertificate was consistent with the </w:t>
      </w:r>
      <w:r>
        <w:rPr>
          <w:rFonts w:ascii="Arial"/>
          <w:color w:val="000000"/>
          <w:sz w:val="24"/>
        </w:rPr>
        <w:t>d</w:t>
      </w:r>
      <w:r>
        <w:rPr>
          <w:rFonts w:ascii="Arial"/>
          <w:color w:val="000000"/>
          <w:sz w:val="24"/>
        </w:rPr>
        <w:t xml:space="preserve">evelopment </w:t>
      </w:r>
      <w:r>
        <w:rPr>
          <w:rFonts w:ascii="Arial"/>
          <w:color w:val="000000"/>
          <w:sz w:val="24"/>
        </w:rPr>
        <w:t>c</w:t>
      </w:r>
      <w:r>
        <w:rPr>
          <w:rFonts w:ascii="Arial"/>
          <w:color w:val="000000"/>
          <w:sz w:val="24"/>
        </w:rPr>
        <w:t>onsent. As Mr Hemmings SC said</w:t>
      </w:r>
      <w:r>
        <w:rPr>
          <w:rFonts w:ascii="Arial"/>
          <w:color w:val="000000"/>
          <w:sz w:val="24"/>
        </w:rPr>
        <w:t>,</w:t>
      </w:r>
      <w:r>
        <w:rPr>
          <w:rFonts w:ascii="Arial"/>
          <w:color w:val="000000"/>
          <w:sz w:val="24"/>
        </w:rPr>
        <w:t xml:space="preserve"> </w:t>
      </w:r>
      <w:r>
        <w:rPr>
          <w:rFonts w:ascii="Arial"/>
          <w:color w:val="000000"/>
          <w:sz w:val="24"/>
        </w:rPr>
        <w:t>“</w:t>
      </w:r>
      <w:r>
        <w:rPr>
          <w:rFonts w:ascii="Arial"/>
          <w:color w:val="000000"/>
          <w:sz w:val="24"/>
        </w:rPr>
        <w:t>We say that the evident justification that the certifier has is by looking at the materials that have been provided to him by the professional engineer</w:t>
      </w:r>
      <w:r>
        <w:rPr>
          <w:rFonts w:ascii="Arial"/>
          <w:color w:val="000000"/>
          <w:sz w:val="24"/>
        </w:rPr>
        <w:t>”</w:t>
      </w:r>
      <w:r>
        <w:rPr>
          <w:rFonts w:ascii="Arial"/>
          <w:color w:val="000000"/>
          <w:sz w:val="24"/>
        </w:rPr>
        <w:t>.</w:t>
      </w:r>
      <w:r>
        <w:rPr>
          <w:rFonts w:ascii="Arial"/>
          <w:color w:val="000000"/>
          <w:sz w:val="24"/>
        </w:rPr>
        <w:t xml:space="preserve"> </w:t>
      </w:r>
      <w:r>
        <w:rPr>
          <w:rFonts w:ascii="Arial"/>
          <w:color w:val="000000"/>
          <w:sz w:val="24"/>
        </w:rPr>
        <w:t xml:space="preserve">These materials include the </w:t>
      </w:r>
      <w:r>
        <w:rPr>
          <w:rFonts w:ascii="Arial"/>
          <w:color w:val="000000"/>
          <w:sz w:val="24"/>
        </w:rPr>
        <w:t>“</w:t>
      </w:r>
      <w:r>
        <w:rPr>
          <w:rFonts w:ascii="Arial"/>
          <w:color w:val="000000"/>
          <w:sz w:val="24"/>
        </w:rPr>
        <w:t>written directions of the supervising professional engineer in respect of excavation for the purposes of condition E.8</w:t>
      </w:r>
      <w:r>
        <w:rPr>
          <w:rFonts w:ascii="Arial"/>
          <w:color w:val="000000"/>
          <w:sz w:val="24"/>
        </w:rPr>
        <w:t>”</w:t>
      </w:r>
      <w:r>
        <w:rPr>
          <w:rFonts w:ascii="Arial"/>
          <w:color w:val="000000"/>
          <w:sz w:val="24"/>
        </w:rPr>
        <w:t>.</w:t>
      </w:r>
      <w:r>
        <w:rPr>
          <w:rFonts w:ascii="Arial"/>
          <w:color w:val="000000"/>
          <w:sz w:val="24"/>
        </w:rPr>
        <w:t xml:space="preserve"> </w:t>
      </w:r>
    </w:p>
    <w:p>
      <w:pPr>
        <w:pStyle w:val="CaselawNumbered10"/>
        <w:numPr>
          <w:ilvl w:val="0"/>
          <w:numId w:val="85"/>
        </w:numPr>
        <w:spacing w:before="150" w:after="0"/>
        <w:ind w:left="600" w:hanging="600"/>
      </w:pPr>
      <w:r>
        <w:rPr>
          <w:rFonts w:ascii="Arial"/>
          <w:color w:val="000000"/>
          <w:sz w:val="24"/>
        </w:rPr>
        <w:t>T</w:t>
      </w:r>
      <w:r>
        <w:rPr>
          <w:rFonts w:ascii="Arial"/>
          <w:color w:val="000000"/>
          <w:sz w:val="24"/>
        </w:rPr>
        <w:t xml:space="preserve">he appellants </w:t>
      </w:r>
      <w:r>
        <w:rPr>
          <w:rFonts w:ascii="Arial"/>
          <w:color w:val="000000"/>
          <w:sz w:val="24"/>
        </w:rPr>
        <w:t>submitted</w:t>
      </w:r>
      <w:r>
        <w:rPr>
          <w:rFonts w:ascii="Arial"/>
          <w:color w:val="000000"/>
          <w:sz w:val="24"/>
        </w:rPr>
        <w:t xml:space="preserve"> </w:t>
      </w:r>
      <w:r>
        <w:rPr>
          <w:rFonts w:ascii="Arial"/>
          <w:color w:val="000000"/>
          <w:sz w:val="24"/>
        </w:rPr>
        <w:t>that the primary judge erred in finding that the certifier</w:t>
      </w:r>
      <w:r>
        <w:rPr>
          <w:rFonts w:ascii="Arial"/>
          <w:color w:val="000000"/>
          <w:sz w:val="24"/>
        </w:rPr>
        <w:t>’</w:t>
      </w:r>
      <w:r>
        <w:rPr>
          <w:rFonts w:ascii="Arial"/>
          <w:color w:val="000000"/>
          <w:sz w:val="24"/>
        </w:rPr>
        <w:t>s decision was unreasonable because:</w:t>
      </w:r>
    </w:p>
    <w:p>
      <w:pPr>
        <w:pStyle w:val="CaselawNumbered1"/>
        <w:numPr>
          <w:ilvl w:val="0"/>
          <w:numId w:val="86"/>
        </w:numPr>
        <w:spacing w:before="150" w:after="0"/>
        <w:ind w:left="1350" w:hanging="750"/>
      </w:pPr>
      <w:r>
        <w:rPr>
          <w:rFonts w:ascii="Arial"/>
          <w:color w:val="000000"/>
          <w:sz w:val="24"/>
        </w:rPr>
        <w:t xml:space="preserve">The primary </w:t>
      </w:r>
      <w:r>
        <w:rPr>
          <w:rFonts w:ascii="Arial"/>
          <w:color w:val="000000"/>
          <w:sz w:val="24"/>
        </w:rPr>
        <w:t xml:space="preserve">judge </w:t>
      </w:r>
      <w:r>
        <w:rPr>
          <w:rFonts w:ascii="Arial"/>
          <w:color w:val="000000"/>
          <w:sz w:val="24"/>
        </w:rPr>
        <w:t>ought to have found that there was</w:t>
      </w:r>
      <w:r>
        <w:rPr>
          <w:rFonts w:ascii="Arial"/>
          <w:color w:val="000000"/>
          <w:sz w:val="24"/>
        </w:rPr>
        <w:t xml:space="preserve"> </w:t>
      </w:r>
      <w:r>
        <w:rPr>
          <w:rFonts w:ascii="Arial"/>
          <w:color w:val="000000"/>
          <w:sz w:val="24"/>
        </w:rPr>
        <w:t xml:space="preserve">an evident or intelligible basis for the certifier to conclude that the design and the construction of the building in the </w:t>
      </w:r>
      <w:r>
        <w:rPr>
          <w:rFonts w:ascii="Arial"/>
          <w:color w:val="000000"/>
          <w:sz w:val="24"/>
        </w:rPr>
        <w:t>c</w:t>
      </w:r>
      <w:r>
        <w:rPr>
          <w:rFonts w:ascii="Arial"/>
          <w:color w:val="000000"/>
          <w:sz w:val="24"/>
        </w:rPr>
        <w:t xml:space="preserve">onstruction </w:t>
      </w:r>
      <w:r>
        <w:rPr>
          <w:rFonts w:ascii="Arial"/>
          <w:color w:val="000000"/>
          <w:sz w:val="24"/>
        </w:rPr>
        <w:t>c</w:t>
      </w:r>
      <w:r>
        <w:rPr>
          <w:rFonts w:ascii="Arial"/>
          <w:color w:val="000000"/>
          <w:sz w:val="24"/>
        </w:rPr>
        <w:t xml:space="preserve">ertificate was consistent with the </w:t>
      </w:r>
      <w:r>
        <w:rPr>
          <w:rFonts w:ascii="Arial"/>
          <w:color w:val="000000"/>
          <w:sz w:val="24"/>
        </w:rPr>
        <w:t>d</w:t>
      </w:r>
      <w:r>
        <w:rPr>
          <w:rFonts w:ascii="Arial"/>
          <w:color w:val="000000"/>
          <w:sz w:val="24"/>
        </w:rPr>
        <w:t xml:space="preserve">evelopment </w:t>
      </w:r>
      <w:r>
        <w:rPr>
          <w:rFonts w:ascii="Arial"/>
          <w:color w:val="000000"/>
          <w:sz w:val="24"/>
        </w:rPr>
        <w:t>c</w:t>
      </w:r>
      <w:r>
        <w:rPr>
          <w:rFonts w:ascii="Arial"/>
          <w:color w:val="000000"/>
          <w:sz w:val="24"/>
        </w:rPr>
        <w:t>onsent. That included reliance on the conditions of consent as a whole, including the conditions contemplating the use of a crane and condition E</w:t>
      </w:r>
      <w:r>
        <w:rPr>
          <w:rFonts w:ascii="Arial"/>
          <w:color w:val="000000"/>
          <w:sz w:val="24"/>
        </w:rPr>
        <w:t>.</w:t>
      </w:r>
      <w:r>
        <w:rPr>
          <w:rFonts w:ascii="Arial"/>
          <w:color w:val="000000"/>
          <w:sz w:val="24"/>
        </w:rPr>
        <w:t>8 which required that excavation must be undertaken in accordance with written direction of the supervising professional engineer.</w:t>
      </w:r>
    </w:p>
    <w:p>
      <w:pPr>
        <w:pStyle w:val="CaselawNumbered1"/>
        <w:numPr>
          <w:ilvl w:val="0"/>
          <w:numId w:val="86"/>
        </w:numPr>
        <w:spacing w:before="150" w:after="0"/>
        <w:ind w:left="1350" w:hanging="750"/>
      </w:pPr>
      <w:r>
        <w:rPr>
          <w:rFonts w:ascii="Arial"/>
          <w:i/>
          <w:color w:val="000000"/>
          <w:sz w:val="24"/>
        </w:rPr>
        <w:t>Ramahi</w:t>
      </w:r>
      <w:r>
        <w:rPr>
          <w:rFonts w:ascii="Arial"/>
          <w:i/>
          <w:color w:val="000000"/>
          <w:sz w:val="24"/>
        </w:rPr>
        <w:t xml:space="preserve"> (No 2)</w:t>
      </w:r>
      <w:r>
        <w:rPr>
          <w:rFonts w:ascii="Arial"/>
          <w:i/>
          <w:color w:val="000000"/>
          <w:sz w:val="24"/>
        </w:rPr>
        <w:t xml:space="preserve"> </w:t>
      </w:r>
      <w:r>
        <w:rPr>
          <w:rFonts w:ascii="Arial"/>
          <w:color w:val="000000"/>
          <w:sz w:val="24"/>
        </w:rPr>
        <w:t xml:space="preserve">related to a different statutory regime, being </w:t>
      </w:r>
      <w:r>
        <w:rPr>
          <w:rFonts w:ascii="Arial"/>
          <w:color w:val="000000"/>
          <w:sz w:val="24"/>
        </w:rPr>
        <w:t xml:space="preserve">that pertaining to </w:t>
      </w:r>
      <w:r>
        <w:rPr>
          <w:rFonts w:ascii="Arial"/>
          <w:i/>
          <w:color w:val="000000"/>
          <w:sz w:val="24"/>
        </w:rPr>
        <w:t>complying</w:t>
      </w:r>
      <w:r>
        <w:rPr>
          <w:rFonts w:ascii="Arial"/>
          <w:color w:val="000000"/>
          <w:sz w:val="24"/>
        </w:rPr>
        <w:t xml:space="preserve"> </w:t>
      </w:r>
      <w:r>
        <w:rPr>
          <w:rFonts w:ascii="Arial"/>
          <w:i/>
          <w:color w:val="000000"/>
          <w:sz w:val="24"/>
        </w:rPr>
        <w:t>development</w:t>
      </w:r>
      <w:r>
        <w:rPr>
          <w:rFonts w:ascii="Arial"/>
          <w:color w:val="000000"/>
          <w:sz w:val="24"/>
        </w:rPr>
        <w:t xml:space="preserve"> </w:t>
      </w:r>
      <w:r>
        <w:rPr>
          <w:rFonts w:ascii="Arial"/>
          <w:color w:val="000000"/>
          <w:sz w:val="24"/>
        </w:rPr>
        <w:t>certificates</w:t>
      </w:r>
      <w:r>
        <w:rPr>
          <w:rFonts w:ascii="Arial"/>
          <w:color w:val="000000"/>
          <w:sz w:val="24"/>
        </w:rPr>
        <w:t xml:space="preserve">. The facts there involved a clear departure from the built form controls, including a </w:t>
      </w:r>
      <w:r>
        <w:rPr>
          <w:rFonts w:ascii="Arial"/>
          <w:color w:val="000000"/>
          <w:sz w:val="24"/>
        </w:rPr>
        <w:t>proposed rear setback of the secondary dwelling of 0.9m, when the required rear setback was of 8m.</w:t>
      </w:r>
    </w:p>
    <w:p>
      <w:pPr>
        <w:pStyle w:val="CaselawNumbered1"/>
        <w:numPr>
          <w:ilvl w:val="0"/>
          <w:numId w:val="86"/>
        </w:numPr>
        <w:spacing w:before="150" w:after="0"/>
        <w:ind w:left="1350" w:hanging="750"/>
      </w:pPr>
      <w:r>
        <w:rPr>
          <w:rFonts w:ascii="Arial"/>
          <w:i/>
          <w:color w:val="000000"/>
          <w:sz w:val="24"/>
        </w:rPr>
        <w:t>Sader</w:t>
      </w:r>
      <w:r>
        <w:rPr>
          <w:rFonts w:ascii="Arial"/>
          <w:i/>
          <w:color w:val="000000"/>
          <w:sz w:val="24"/>
        </w:rPr>
        <w:t xml:space="preserve"> </w:t>
      </w:r>
      <w:r>
        <w:rPr>
          <w:rFonts w:ascii="Arial"/>
          <w:color w:val="000000"/>
          <w:sz w:val="24"/>
        </w:rPr>
        <w:t xml:space="preserve">which was relied upon by the primary judge </w:t>
      </w:r>
      <w:r>
        <w:rPr>
          <w:rFonts w:ascii="Arial"/>
          <w:color w:val="000000"/>
          <w:sz w:val="24"/>
        </w:rPr>
        <w:t xml:space="preserve">was not a manifest unreasonableness challenge. Rather, it was a challenge brought within time </w:t>
      </w:r>
      <w:r>
        <w:rPr>
          <w:rFonts w:ascii="Arial"/>
          <w:color w:val="000000"/>
          <w:sz w:val="24"/>
        </w:rPr>
        <w:t>limited by</w:t>
      </w:r>
      <w:r>
        <w:rPr>
          <w:rFonts w:ascii="Arial"/>
          <w:color w:val="000000"/>
          <w:sz w:val="24"/>
        </w:rPr>
        <w:t xml:space="preserve"> </w:t>
      </w:r>
      <w:r>
        <w:rPr>
          <w:rFonts w:ascii="Arial"/>
          <w:color w:val="000000"/>
          <w:sz w:val="24"/>
        </w:rPr>
        <w:t>s</w:t>
      </w:r>
      <w:r>
        <w:rPr>
          <w:rFonts w:ascii="Arial"/>
          <w:color w:val="000000"/>
          <w:sz w:val="24"/>
        </w:rPr>
        <w:t xml:space="preserve"> </w:t>
      </w:r>
      <w:r>
        <w:rPr>
          <w:rFonts w:ascii="Arial"/>
          <w:color w:val="000000"/>
          <w:sz w:val="24"/>
        </w:rPr>
        <w:t xml:space="preserve">6.32, </w:t>
      </w:r>
      <w:r>
        <w:rPr>
          <w:rFonts w:ascii="Arial"/>
          <w:color w:val="000000"/>
          <w:sz w:val="24"/>
        </w:rPr>
        <w:t>and</w:t>
      </w:r>
      <w:r>
        <w:rPr>
          <w:rFonts w:ascii="Arial"/>
          <w:color w:val="000000"/>
          <w:sz w:val="24"/>
        </w:rPr>
        <w:t xml:space="preserve"> </w:t>
      </w:r>
      <w:r>
        <w:rPr>
          <w:rFonts w:ascii="Arial"/>
          <w:color w:val="000000"/>
          <w:sz w:val="24"/>
        </w:rPr>
        <w:t>merely found inconsistency.</w:t>
      </w:r>
    </w:p>
    <w:p>
      <w:pPr>
        <w:pStyle w:val="CaselawHeading3"/>
        <w:keepNext/>
        <w:spacing w:before="150" w:after="150" w:line="264"/>
        <w:ind w:left="0"/>
        <w:jc w:val="left"/>
      </w:pPr>
      <w:r>
        <w:rPr>
          <w:rFonts w:ascii="Arial"/>
        </w:rPr>
        <w:t>The Council’</w:t>
      </w:r>
      <w:r>
        <w:rPr>
          <w:rFonts w:ascii="Arial"/>
        </w:rPr>
        <w:t xml:space="preserve">s </w:t>
      </w:r>
      <w:r>
        <w:rPr>
          <w:rFonts w:ascii="Arial"/>
        </w:rPr>
        <w:t>submissions</w:t>
      </w:r>
    </w:p>
    <w:p>
      <w:pPr>
        <w:pStyle w:val="CaselawNumbered10"/>
        <w:numPr>
          <w:ilvl w:val="0"/>
          <w:numId w:val="87"/>
        </w:numPr>
        <w:spacing w:before="150" w:after="0"/>
        <w:ind w:left="600" w:hanging="600"/>
      </w:pPr>
      <w:r>
        <w:rPr>
          <w:rFonts w:ascii="Arial"/>
          <w:color w:val="000000"/>
          <w:sz w:val="24"/>
        </w:rPr>
        <w:t xml:space="preserve">The </w:t>
      </w:r>
      <w:r>
        <w:rPr>
          <w:rFonts w:ascii="Arial"/>
          <w:color w:val="000000"/>
          <w:sz w:val="24"/>
        </w:rPr>
        <w:t>Council</w:t>
      </w:r>
      <w:r>
        <w:rPr>
          <w:rFonts w:ascii="Arial"/>
          <w:color w:val="000000"/>
          <w:sz w:val="24"/>
        </w:rPr>
        <w:t xml:space="preserve"> </w:t>
      </w:r>
      <w:r>
        <w:rPr>
          <w:rFonts w:ascii="Arial"/>
          <w:color w:val="000000"/>
          <w:sz w:val="24"/>
        </w:rPr>
        <w:t xml:space="preserve">submitted that </w:t>
      </w:r>
      <w:r>
        <w:rPr>
          <w:rFonts w:ascii="Arial"/>
          <w:color w:val="000000"/>
          <w:sz w:val="24"/>
        </w:rPr>
        <w:t xml:space="preserve">any inference of unreasonableness is drawn from an objective consideration of the matters in issue before the certifier and the outcome. In other words, </w:t>
      </w:r>
      <w:r>
        <w:rPr>
          <w:rFonts w:ascii="Arial"/>
          <w:color w:val="000000"/>
          <w:sz w:val="24"/>
        </w:rPr>
        <w:t>“</w:t>
      </w:r>
      <w:r>
        <w:rPr>
          <w:rFonts w:ascii="Arial"/>
          <w:color w:val="000000"/>
          <w:sz w:val="24"/>
        </w:rPr>
        <w:t>[</w:t>
      </w:r>
      <w:r>
        <w:rPr>
          <w:rFonts w:ascii="Arial"/>
          <w:color w:val="000000"/>
          <w:sz w:val="24"/>
        </w:rPr>
        <w:t>i</w:t>
      </w:r>
      <w:r>
        <w:rPr>
          <w:rFonts w:ascii="Arial"/>
          <w:color w:val="000000"/>
          <w:sz w:val="24"/>
        </w:rPr>
        <w:t>]t is not incumbent upon an applicant for judicial review, nor the Court, to identify a particular error to ground a conclusion of unreasonableness. That would negate the results-focussed lens for assessing unreasonableness</w:t>
      </w:r>
      <w:r>
        <w:rPr>
          <w:rFonts w:ascii="Arial"/>
          <w:color w:val="000000"/>
          <w:sz w:val="24"/>
        </w:rPr>
        <w:t>”</w:t>
      </w:r>
      <w:r>
        <w:rPr>
          <w:rFonts w:ascii="Arial"/>
          <w:color w:val="000000"/>
          <w:sz w:val="24"/>
        </w:rPr>
        <w:t xml:space="preserve">. </w:t>
      </w:r>
      <w:r>
        <w:rPr>
          <w:rFonts w:ascii="Arial"/>
          <w:b/>
          <w:color w:val="000000"/>
          <w:sz w:val="24"/>
        </w:rPr>
        <w:t xml:space="preserve"> </w:t>
      </w:r>
    </w:p>
    <w:p>
      <w:pPr>
        <w:pStyle w:val="CaselawNumbered10"/>
        <w:numPr>
          <w:ilvl w:val="0"/>
          <w:numId w:val="87"/>
        </w:numPr>
        <w:spacing w:before="150" w:after="0"/>
        <w:ind w:left="600" w:hanging="600"/>
      </w:pPr>
      <w:r>
        <w:rPr>
          <w:rFonts w:ascii="Arial"/>
          <w:color w:val="000000"/>
          <w:sz w:val="24"/>
        </w:rPr>
        <w:t xml:space="preserve">The </w:t>
      </w:r>
      <w:r>
        <w:rPr>
          <w:rFonts w:ascii="Arial"/>
          <w:color w:val="000000"/>
          <w:sz w:val="24"/>
        </w:rPr>
        <w:t>Council</w:t>
      </w:r>
      <w:r>
        <w:rPr>
          <w:rFonts w:ascii="Arial"/>
          <w:color w:val="000000"/>
          <w:sz w:val="24"/>
        </w:rPr>
        <w:t xml:space="preserve"> </w:t>
      </w:r>
      <w:r>
        <w:rPr>
          <w:rFonts w:ascii="Arial"/>
          <w:color w:val="000000"/>
          <w:sz w:val="24"/>
        </w:rPr>
        <w:t>submitted</w:t>
      </w:r>
      <w:r>
        <w:rPr>
          <w:rFonts w:ascii="Arial"/>
          <w:color w:val="000000"/>
          <w:sz w:val="24"/>
        </w:rPr>
        <w:t xml:space="preserve"> </w:t>
      </w:r>
      <w:r>
        <w:rPr>
          <w:rFonts w:ascii="Arial"/>
          <w:color w:val="000000"/>
          <w:sz w:val="24"/>
        </w:rPr>
        <w:t xml:space="preserve">that </w:t>
      </w:r>
      <w:r>
        <w:rPr>
          <w:rFonts w:ascii="Arial"/>
          <w:color w:val="000000"/>
          <w:sz w:val="24"/>
        </w:rPr>
        <w:t>the certifier</w:t>
      </w:r>
      <w:r>
        <w:rPr>
          <w:rFonts w:ascii="Arial"/>
          <w:color w:val="000000"/>
          <w:sz w:val="24"/>
        </w:rPr>
        <w:t xml:space="preserve"> </w:t>
      </w:r>
      <w:r>
        <w:rPr>
          <w:rFonts w:ascii="Arial"/>
          <w:color w:val="000000"/>
          <w:sz w:val="24"/>
        </w:rPr>
        <w:t xml:space="preserve">had </w:t>
      </w:r>
      <w:r>
        <w:rPr>
          <w:rFonts w:ascii="Arial"/>
          <w:color w:val="000000"/>
          <w:sz w:val="24"/>
        </w:rPr>
        <w:t xml:space="preserve">no jurisdiction to misconstrue the law. </w:t>
      </w:r>
      <w:r>
        <w:rPr>
          <w:rFonts w:ascii="Arial"/>
          <w:color w:val="000000"/>
          <w:sz w:val="24"/>
        </w:rPr>
        <w:t>That is, the area of discretion given to the certifier was premised upon a single correct construction of the development consent. The question of how the development consent is construed is one for the Court.</w:t>
      </w:r>
      <w:r>
        <w:rPr>
          <w:rFonts w:ascii="Arial"/>
          <w:color w:val="000000"/>
          <w:sz w:val="24"/>
        </w:rPr>
        <w:t xml:space="preserve"> </w:t>
      </w:r>
      <w:r>
        <w:rPr>
          <w:rFonts w:ascii="Arial"/>
          <w:color w:val="000000"/>
          <w:sz w:val="24"/>
        </w:rPr>
        <w:t xml:space="preserve">The </w:t>
      </w:r>
      <w:r>
        <w:rPr>
          <w:rFonts w:ascii="Arial"/>
          <w:color w:val="000000"/>
          <w:sz w:val="24"/>
        </w:rPr>
        <w:t>Council</w:t>
      </w:r>
      <w:r>
        <w:rPr>
          <w:rFonts w:ascii="Arial"/>
          <w:color w:val="000000"/>
          <w:sz w:val="24"/>
        </w:rPr>
        <w:t xml:space="preserve"> </w:t>
      </w:r>
      <w:r>
        <w:rPr>
          <w:rFonts w:ascii="Arial"/>
          <w:color w:val="000000"/>
          <w:sz w:val="24"/>
        </w:rPr>
        <w:t xml:space="preserve">said that the appellants approach attempted to speculate that the certifier may have made a different legal error, most likely a jurisdictional error, by misconstruing the consent. </w:t>
      </w:r>
      <w:r>
        <w:rPr>
          <w:rFonts w:ascii="Arial"/>
          <w:color w:val="000000"/>
          <w:sz w:val="24"/>
        </w:rPr>
        <w:t>Thus, the relevant question is not whether another construction of the development consent was reasonably open to the certifier, but, given the Courts finding about the legal meaning of a legislative instrument such as a development consent</w:t>
      </w:r>
      <w:r>
        <w:rPr>
          <w:rFonts w:ascii="Arial"/>
          <w:color w:val="000000"/>
          <w:sz w:val="24"/>
        </w:rPr>
        <w:t>—</w:t>
      </w:r>
      <w:r>
        <w:rPr>
          <w:rFonts w:ascii="Arial"/>
          <w:color w:val="000000"/>
          <w:sz w:val="24"/>
        </w:rPr>
        <w:t>a question of law with only one correct answer</w:t>
      </w:r>
      <w:r>
        <w:rPr>
          <w:rFonts w:ascii="Arial"/>
          <w:color w:val="000000"/>
          <w:sz w:val="24"/>
        </w:rPr>
        <w:t>—</w:t>
      </w:r>
      <w:r>
        <w:rPr>
          <w:rFonts w:ascii="Arial"/>
          <w:color w:val="000000"/>
          <w:sz w:val="24"/>
        </w:rPr>
        <w:t>whether there was an evident and intelligible justification for the certifier</w:t>
      </w:r>
      <w:r>
        <w:rPr>
          <w:rFonts w:ascii="Arial"/>
          <w:color w:val="000000"/>
          <w:sz w:val="24"/>
        </w:rPr>
        <w:t>’</w:t>
      </w:r>
      <w:r>
        <w:rPr>
          <w:rFonts w:ascii="Arial"/>
          <w:color w:val="000000"/>
          <w:sz w:val="24"/>
        </w:rPr>
        <w:t xml:space="preserve">s conclusion that the plans and specifications shown in the plans were consistent with the </w:t>
      </w:r>
      <w:r>
        <w:rPr>
          <w:rFonts w:ascii="Arial"/>
          <w:color w:val="000000"/>
          <w:sz w:val="24"/>
        </w:rPr>
        <w:t xml:space="preserve">consent </w:t>
      </w:r>
      <w:r>
        <w:rPr>
          <w:rFonts w:ascii="Arial"/>
          <w:color w:val="000000"/>
          <w:sz w:val="24"/>
        </w:rPr>
        <w:t>(properly construed).</w:t>
      </w:r>
    </w:p>
    <w:p>
      <w:pPr>
        <w:pStyle w:val="CaselawNumbered10"/>
        <w:numPr>
          <w:ilvl w:val="0"/>
          <w:numId w:val="87"/>
        </w:numPr>
        <w:spacing w:before="150" w:after="0"/>
        <w:ind w:left="600" w:hanging="600"/>
      </w:pPr>
      <w:r>
        <w:rPr>
          <w:rFonts w:ascii="Arial"/>
          <w:color w:val="000000"/>
          <w:sz w:val="24"/>
        </w:rPr>
        <w:t xml:space="preserve">The </w:t>
      </w:r>
      <w:r>
        <w:rPr>
          <w:rFonts w:ascii="Arial"/>
          <w:color w:val="000000"/>
          <w:sz w:val="24"/>
        </w:rPr>
        <w:t>Council</w:t>
      </w:r>
      <w:r>
        <w:rPr>
          <w:rFonts w:ascii="Arial"/>
          <w:color w:val="000000"/>
          <w:sz w:val="24"/>
        </w:rPr>
        <w:t xml:space="preserve"> </w:t>
      </w:r>
      <w:r>
        <w:rPr>
          <w:rFonts w:ascii="Arial"/>
          <w:color w:val="000000"/>
          <w:sz w:val="24"/>
        </w:rPr>
        <w:t xml:space="preserve">also argued that the appellants </w:t>
      </w:r>
      <w:r>
        <w:rPr>
          <w:rFonts w:ascii="Arial"/>
          <w:color w:val="000000"/>
          <w:sz w:val="24"/>
        </w:rPr>
        <w:t>“</w:t>
      </w:r>
      <w:r>
        <w:rPr>
          <w:rFonts w:ascii="Arial"/>
          <w:color w:val="000000"/>
          <w:sz w:val="24"/>
        </w:rPr>
        <w:t>mischaracterise[d] the primary judge</w:t>
      </w:r>
      <w:r>
        <w:rPr>
          <w:rFonts w:ascii="Arial"/>
          <w:color w:val="000000"/>
          <w:sz w:val="24"/>
        </w:rPr>
        <w:t>’</w:t>
      </w:r>
      <w:r>
        <w:rPr>
          <w:rFonts w:ascii="Arial"/>
          <w:color w:val="000000"/>
          <w:sz w:val="24"/>
        </w:rPr>
        <w:t>s approach</w:t>
      </w:r>
      <w:r>
        <w:rPr>
          <w:rFonts w:ascii="Arial"/>
          <w:color w:val="000000"/>
          <w:sz w:val="24"/>
        </w:rPr>
        <w:t>”</w:t>
      </w:r>
      <w:r>
        <w:rPr>
          <w:rFonts w:ascii="Arial"/>
          <w:color w:val="000000"/>
          <w:sz w:val="24"/>
        </w:rPr>
        <w:t xml:space="preserve"> </w:t>
      </w:r>
      <w:r>
        <w:rPr>
          <w:rFonts w:ascii="Arial"/>
          <w:color w:val="000000"/>
          <w:sz w:val="24"/>
        </w:rPr>
        <w:t xml:space="preserve">by saying that the primary judge erroneously equated her finding that the development consent had one meaning with a finding that anything different to that single meaning was manifestly unreasonable. </w:t>
      </w:r>
      <w:r>
        <w:rPr>
          <w:rFonts w:ascii="Arial"/>
          <w:b/>
          <w:color w:val="000000"/>
          <w:sz w:val="24"/>
        </w:rPr>
        <w:t xml:space="preserve"> </w:t>
      </w:r>
      <w:r>
        <w:rPr>
          <w:rFonts w:ascii="Arial"/>
          <w:color w:val="000000"/>
          <w:sz w:val="24"/>
        </w:rPr>
        <w:t xml:space="preserve">The </w:t>
      </w:r>
      <w:r>
        <w:rPr>
          <w:rFonts w:ascii="Arial"/>
          <w:color w:val="000000"/>
          <w:sz w:val="24"/>
        </w:rPr>
        <w:t>Council</w:t>
      </w:r>
      <w:r>
        <w:rPr>
          <w:rFonts w:ascii="Arial"/>
          <w:color w:val="000000"/>
          <w:sz w:val="24"/>
        </w:rPr>
        <w:t xml:space="preserve"> </w:t>
      </w:r>
      <w:r>
        <w:rPr>
          <w:rFonts w:ascii="Arial"/>
          <w:color w:val="000000"/>
          <w:sz w:val="24"/>
        </w:rPr>
        <w:t xml:space="preserve">submitted that the primary judge was correct to find that the question </w:t>
      </w:r>
      <w:r>
        <w:rPr>
          <w:rFonts w:ascii="Arial"/>
          <w:color w:val="000000"/>
          <w:sz w:val="24"/>
        </w:rPr>
        <w:t>of consistency with the consent (after it was properly and objectively construed and given its one legal meaning) was not one on which reasonable minds could differ.</w:t>
      </w:r>
    </w:p>
    <w:p>
      <w:pPr>
        <w:pStyle w:val="CaselawNumbered10"/>
        <w:numPr>
          <w:ilvl w:val="0"/>
          <w:numId w:val="87"/>
        </w:numPr>
        <w:spacing w:before="150" w:after="0"/>
        <w:ind w:left="600" w:hanging="600"/>
      </w:pPr>
      <w:r>
        <w:rPr>
          <w:rFonts w:ascii="Arial"/>
          <w:color w:val="000000"/>
          <w:sz w:val="24"/>
        </w:rPr>
        <w:t xml:space="preserve">The </w:t>
      </w:r>
      <w:r>
        <w:rPr>
          <w:rFonts w:ascii="Arial"/>
          <w:color w:val="000000"/>
          <w:sz w:val="24"/>
        </w:rPr>
        <w:t>Council</w:t>
      </w:r>
      <w:r>
        <w:rPr>
          <w:rFonts w:ascii="Arial"/>
          <w:color w:val="000000"/>
          <w:sz w:val="24"/>
        </w:rPr>
        <w:t xml:space="preserve"> </w:t>
      </w:r>
      <w:r>
        <w:rPr>
          <w:rFonts w:ascii="Arial"/>
          <w:color w:val="000000"/>
          <w:sz w:val="24"/>
        </w:rPr>
        <w:t>argued that the primary judge</w:t>
      </w:r>
      <w:r>
        <w:rPr>
          <w:rFonts w:ascii="Arial"/>
          <w:color w:val="000000"/>
          <w:sz w:val="24"/>
        </w:rPr>
        <w:t>’</w:t>
      </w:r>
      <w:r>
        <w:rPr>
          <w:rFonts w:ascii="Arial"/>
          <w:color w:val="000000"/>
          <w:sz w:val="24"/>
        </w:rPr>
        <w:t xml:space="preserve">s approach was correct, that is, </w:t>
      </w:r>
      <w:r>
        <w:rPr>
          <w:rFonts w:ascii="Arial"/>
          <w:color w:val="000000"/>
          <w:sz w:val="24"/>
        </w:rPr>
        <w:t>“</w:t>
      </w:r>
      <w:r>
        <w:rPr>
          <w:rFonts w:ascii="Arial"/>
          <w:color w:val="000000"/>
          <w:sz w:val="24"/>
        </w:rPr>
        <w:t>any inference of unreasonableness is drawn from an objective consideration of the matters in issue before the certifier and the outcome</w:t>
      </w:r>
      <w:r>
        <w:rPr>
          <w:rFonts w:ascii="Arial"/>
          <w:color w:val="000000"/>
          <w:sz w:val="24"/>
        </w:rPr>
        <w:t>”</w:t>
      </w:r>
      <w:r>
        <w:rPr>
          <w:rFonts w:ascii="Arial"/>
          <w:color w:val="000000"/>
          <w:sz w:val="24"/>
        </w:rPr>
        <w:t>.</w:t>
      </w:r>
      <w:r>
        <w:rPr>
          <w:rFonts w:ascii="Arial"/>
          <w:color w:val="000000"/>
          <w:sz w:val="24"/>
        </w:rPr>
        <w:t xml:space="preserve"> </w:t>
      </w:r>
      <w:r>
        <w:rPr>
          <w:rFonts w:ascii="Arial"/>
          <w:color w:val="000000"/>
          <w:sz w:val="24"/>
        </w:rPr>
        <w:t xml:space="preserve">Applying these </w:t>
      </w:r>
      <w:r>
        <w:rPr>
          <w:rFonts w:ascii="Arial"/>
          <w:color w:val="000000"/>
          <w:sz w:val="24"/>
        </w:rPr>
        <w:t>considerations</w:t>
      </w:r>
      <w:r>
        <w:rPr>
          <w:rFonts w:ascii="Arial"/>
          <w:color w:val="000000"/>
          <w:sz w:val="24"/>
        </w:rPr>
        <w:t xml:space="preserve">, the </w:t>
      </w:r>
      <w:r>
        <w:rPr>
          <w:rFonts w:ascii="Arial"/>
          <w:color w:val="000000"/>
          <w:sz w:val="24"/>
        </w:rPr>
        <w:t>Council</w:t>
      </w:r>
      <w:r>
        <w:rPr>
          <w:rFonts w:ascii="Arial"/>
          <w:color w:val="000000"/>
          <w:sz w:val="24"/>
        </w:rPr>
        <w:t xml:space="preserve"> </w:t>
      </w:r>
      <w:r>
        <w:rPr>
          <w:rFonts w:ascii="Arial"/>
          <w:color w:val="000000"/>
          <w:sz w:val="24"/>
        </w:rPr>
        <w:t>argued that that the certifier</w:t>
      </w:r>
      <w:r>
        <w:rPr>
          <w:rFonts w:ascii="Arial"/>
          <w:color w:val="000000"/>
          <w:sz w:val="24"/>
        </w:rPr>
        <w:t>’</w:t>
      </w:r>
      <w:r>
        <w:rPr>
          <w:rFonts w:ascii="Arial"/>
          <w:color w:val="000000"/>
          <w:sz w:val="24"/>
        </w:rPr>
        <w:t xml:space="preserve">s decision </w:t>
      </w:r>
      <w:r>
        <w:rPr>
          <w:rFonts w:ascii="Arial"/>
          <w:color w:val="000000"/>
          <w:sz w:val="24"/>
        </w:rPr>
        <w:t xml:space="preserve">was </w:t>
      </w:r>
      <w:r>
        <w:rPr>
          <w:rFonts w:ascii="Arial"/>
          <w:color w:val="000000"/>
          <w:sz w:val="24"/>
        </w:rPr>
        <w:t>un</w:t>
      </w:r>
      <w:r>
        <w:rPr>
          <w:rFonts w:ascii="Arial"/>
          <w:color w:val="000000"/>
          <w:sz w:val="24"/>
        </w:rPr>
        <w:t>reasonable for several reasons.</w:t>
      </w:r>
    </w:p>
    <w:p>
      <w:pPr>
        <w:pStyle w:val="CaselawNumbered10"/>
        <w:numPr>
          <w:ilvl w:val="0"/>
          <w:numId w:val="87"/>
        </w:numPr>
        <w:spacing w:before="150" w:after="0"/>
        <w:ind w:left="600" w:hanging="600"/>
      </w:pPr>
      <w:r>
        <w:rPr>
          <w:rFonts w:ascii="Arial"/>
          <w:color w:val="000000"/>
          <w:sz w:val="24"/>
        </w:rPr>
        <w:t xml:space="preserve">First, as the primary judge found, the language of condition C.1(d) is clear. It is not expressed in </w:t>
      </w:r>
      <w:r>
        <w:rPr>
          <w:rFonts w:ascii="Arial"/>
          <w:color w:val="000000"/>
          <w:sz w:val="24"/>
        </w:rPr>
        <w:t xml:space="preserve">generic </w:t>
      </w:r>
      <w:r>
        <w:rPr>
          <w:rFonts w:ascii="Arial"/>
          <w:color w:val="000000"/>
          <w:sz w:val="24"/>
        </w:rPr>
        <w:t xml:space="preserve">language, but gave a specific direction as to what must occur with the plans (deletion of the cellar level), and what must not occur on the site (the area must remain unexcavated). </w:t>
      </w:r>
      <w:r>
        <w:rPr>
          <w:rFonts w:ascii="Arial"/>
          <w:color w:val="000000"/>
          <w:sz w:val="24"/>
        </w:rPr>
        <w:t xml:space="preserve">The </w:t>
      </w:r>
      <w:r>
        <w:rPr>
          <w:rFonts w:ascii="Arial"/>
          <w:color w:val="000000"/>
          <w:sz w:val="24"/>
        </w:rPr>
        <w:t>Council</w:t>
      </w:r>
      <w:r>
        <w:rPr>
          <w:rFonts w:ascii="Arial"/>
          <w:color w:val="000000"/>
          <w:sz w:val="24"/>
        </w:rPr>
        <w:t xml:space="preserve"> </w:t>
      </w:r>
      <w:r>
        <w:rPr>
          <w:rFonts w:ascii="Arial"/>
          <w:color w:val="000000"/>
          <w:sz w:val="24"/>
        </w:rPr>
        <w:t>submitted that t</w:t>
      </w:r>
      <w:r>
        <w:rPr>
          <w:rFonts w:ascii="Arial"/>
          <w:color w:val="000000"/>
          <w:sz w:val="24"/>
        </w:rPr>
        <w:t>here was no contestable evaluative element in this case.</w:t>
      </w:r>
      <w:r>
        <w:rPr>
          <w:rFonts w:ascii="Arial"/>
          <w:color w:val="000000"/>
          <w:sz w:val="24"/>
        </w:rPr>
        <w:t xml:space="preserve"> </w:t>
      </w:r>
      <w:r>
        <w:rPr>
          <w:rFonts w:ascii="Arial"/>
          <w:color w:val="000000"/>
          <w:sz w:val="24"/>
        </w:rPr>
        <w:t>C</w:t>
      </w:r>
      <w:r>
        <w:rPr>
          <w:rFonts w:ascii="Arial"/>
          <w:color w:val="000000"/>
          <w:sz w:val="24"/>
        </w:rPr>
        <w:t>ondition C.1(d) is unambiguous.</w:t>
      </w:r>
      <w:r>
        <w:rPr>
          <w:rFonts w:ascii="Arial"/>
          <w:color w:val="000000"/>
          <w:sz w:val="24"/>
        </w:rPr>
        <w:t xml:space="preserve"> </w:t>
      </w:r>
      <w:r>
        <w:rPr>
          <w:rFonts w:ascii="Arial"/>
          <w:color w:val="000000"/>
          <w:sz w:val="24"/>
        </w:rPr>
        <w:t>Secondly</w:t>
      </w:r>
      <w:r>
        <w:rPr>
          <w:rFonts w:ascii="Arial"/>
          <w:color w:val="000000"/>
          <w:sz w:val="24"/>
        </w:rPr>
        <w:t xml:space="preserve">, </w:t>
      </w:r>
      <w:r>
        <w:rPr>
          <w:rFonts w:ascii="Arial"/>
          <w:color w:val="000000"/>
          <w:sz w:val="24"/>
        </w:rPr>
        <w:t xml:space="preserve">the </w:t>
      </w:r>
      <w:r>
        <w:rPr>
          <w:rFonts w:ascii="Arial"/>
          <w:color w:val="000000"/>
          <w:sz w:val="24"/>
        </w:rPr>
        <w:t>Council</w:t>
      </w:r>
      <w:r>
        <w:rPr>
          <w:rFonts w:ascii="Arial"/>
          <w:color w:val="000000"/>
          <w:sz w:val="24"/>
        </w:rPr>
        <w:t xml:space="preserve"> </w:t>
      </w:r>
      <w:r>
        <w:rPr>
          <w:rFonts w:ascii="Arial"/>
          <w:color w:val="000000"/>
          <w:sz w:val="24"/>
        </w:rPr>
        <w:t xml:space="preserve">argued that none of </w:t>
      </w:r>
      <w:r>
        <w:rPr>
          <w:rFonts w:ascii="Arial"/>
          <w:color w:val="000000"/>
          <w:sz w:val="24"/>
        </w:rPr>
        <w:t xml:space="preserve">the </w:t>
      </w:r>
      <w:r>
        <w:rPr>
          <w:rFonts w:ascii="Arial"/>
          <w:color w:val="000000"/>
          <w:sz w:val="24"/>
        </w:rPr>
        <w:t>conditions</w:t>
      </w:r>
      <w:r>
        <w:rPr>
          <w:rFonts w:ascii="Arial"/>
          <w:color w:val="000000"/>
          <w:sz w:val="24"/>
        </w:rPr>
        <w:t xml:space="preserve"> </w:t>
      </w:r>
      <w:r>
        <w:rPr>
          <w:rFonts w:ascii="Arial"/>
          <w:color w:val="000000"/>
          <w:sz w:val="24"/>
        </w:rPr>
        <w:t>pointed to by the appellants</w:t>
      </w:r>
      <w:r>
        <w:rPr>
          <w:rFonts w:ascii="Arial"/>
          <w:color w:val="000000"/>
          <w:sz w:val="24"/>
        </w:rPr>
        <w:t xml:space="preserve"> </w:t>
      </w:r>
      <w:r>
        <w:rPr>
          <w:rFonts w:ascii="Arial"/>
          <w:i/>
          <w:color w:val="000000"/>
          <w:sz w:val="24"/>
        </w:rPr>
        <w:t>required</w:t>
      </w:r>
      <w:r>
        <w:rPr>
          <w:rFonts w:ascii="Arial"/>
          <w:color w:val="000000"/>
          <w:sz w:val="24"/>
        </w:rPr>
        <w:t xml:space="preserve"> </w:t>
      </w:r>
      <w:r>
        <w:rPr>
          <w:rFonts w:ascii="Arial"/>
          <w:color w:val="000000"/>
          <w:sz w:val="24"/>
        </w:rPr>
        <w:t xml:space="preserve">excavation or the installation of a crane, let alone in the area of the cellar level. </w:t>
      </w:r>
      <w:r>
        <w:rPr>
          <w:rFonts w:ascii="Arial"/>
          <w:color w:val="000000"/>
          <w:sz w:val="24"/>
        </w:rPr>
        <w:t>General conditions, such as that any excavation require</w:t>
      </w:r>
      <w:r>
        <w:rPr>
          <w:rFonts w:ascii="Arial"/>
          <w:color w:val="000000"/>
          <w:sz w:val="24"/>
        </w:rPr>
        <w:t>d</w:t>
      </w:r>
      <w:r>
        <w:rPr>
          <w:rFonts w:ascii="Arial"/>
          <w:color w:val="000000"/>
          <w:sz w:val="24"/>
        </w:rPr>
        <w:t xml:space="preserve"> </w:t>
      </w:r>
      <w:r>
        <w:rPr>
          <w:rFonts w:ascii="Arial"/>
          <w:color w:val="000000"/>
          <w:sz w:val="24"/>
        </w:rPr>
        <w:t>a monitoring program (</w:t>
      </w:r>
      <w:r>
        <w:rPr>
          <w:rFonts w:ascii="Arial"/>
          <w:color w:val="000000"/>
          <w:sz w:val="24"/>
        </w:rPr>
        <w:t>c</w:t>
      </w:r>
      <w:r>
        <w:rPr>
          <w:rFonts w:ascii="Arial"/>
          <w:color w:val="000000"/>
          <w:sz w:val="24"/>
        </w:rPr>
        <w:t xml:space="preserve">ondition </w:t>
      </w:r>
      <w:r>
        <w:rPr>
          <w:rFonts w:ascii="Arial"/>
          <w:color w:val="000000"/>
          <w:sz w:val="24"/>
        </w:rPr>
        <w:t>E</w:t>
      </w:r>
      <w:r>
        <w:rPr>
          <w:rFonts w:ascii="Arial"/>
          <w:color w:val="000000"/>
          <w:sz w:val="24"/>
        </w:rPr>
        <w:t>.</w:t>
      </w:r>
      <w:r>
        <w:rPr>
          <w:rFonts w:ascii="Arial"/>
          <w:color w:val="000000"/>
          <w:sz w:val="24"/>
        </w:rPr>
        <w:t>8) or that cranes may be erected (</w:t>
      </w:r>
      <w:r>
        <w:rPr>
          <w:rFonts w:ascii="Arial"/>
          <w:color w:val="000000"/>
          <w:sz w:val="24"/>
        </w:rPr>
        <w:t>c</w:t>
      </w:r>
      <w:r>
        <w:rPr>
          <w:rFonts w:ascii="Arial"/>
          <w:color w:val="000000"/>
          <w:sz w:val="24"/>
        </w:rPr>
        <w:t xml:space="preserve">ondition </w:t>
      </w:r>
      <w:r>
        <w:rPr>
          <w:rFonts w:ascii="Arial"/>
          <w:color w:val="000000"/>
          <w:sz w:val="24"/>
        </w:rPr>
        <w:t>E</w:t>
      </w:r>
      <w:r>
        <w:rPr>
          <w:rFonts w:ascii="Arial"/>
          <w:color w:val="000000"/>
          <w:sz w:val="24"/>
        </w:rPr>
        <w:t>.</w:t>
      </w:r>
      <w:r>
        <w:rPr>
          <w:rFonts w:ascii="Arial"/>
          <w:color w:val="000000"/>
          <w:sz w:val="24"/>
        </w:rPr>
        <w:t xml:space="preserve">13), </w:t>
      </w:r>
      <w:r>
        <w:rPr>
          <w:rFonts w:ascii="Arial"/>
          <w:color w:val="000000"/>
          <w:sz w:val="24"/>
        </w:rPr>
        <w:t>yield to the more specific condition that there be no excavation</w:t>
      </w:r>
      <w:r>
        <w:rPr>
          <w:rFonts w:ascii="Arial"/>
          <w:color w:val="000000"/>
          <w:sz w:val="24"/>
        </w:rPr>
        <w:t xml:space="preserve"> </w:t>
      </w:r>
      <w:r>
        <w:rPr>
          <w:rFonts w:ascii="Arial"/>
          <w:color w:val="000000"/>
          <w:sz w:val="24"/>
        </w:rPr>
        <w:t>in the cellar level</w:t>
      </w:r>
      <w:r>
        <w:rPr>
          <w:rFonts w:ascii="Arial"/>
          <w:color w:val="000000"/>
          <w:sz w:val="24"/>
        </w:rPr>
        <w:t xml:space="preserve"> </w:t>
      </w:r>
      <w:r>
        <w:rPr>
          <w:rFonts w:ascii="Arial"/>
          <w:color w:val="000000"/>
          <w:sz w:val="24"/>
        </w:rPr>
        <w:t>(</w:t>
      </w:r>
      <w:r>
        <w:rPr>
          <w:rFonts w:ascii="Arial"/>
          <w:color w:val="000000"/>
          <w:sz w:val="24"/>
        </w:rPr>
        <w:t>c</w:t>
      </w:r>
      <w:r>
        <w:rPr>
          <w:rFonts w:ascii="Arial"/>
          <w:color w:val="000000"/>
          <w:sz w:val="24"/>
        </w:rPr>
        <w:t xml:space="preserve">ondition </w:t>
      </w:r>
      <w:r>
        <w:rPr>
          <w:rFonts w:ascii="Arial"/>
          <w:color w:val="000000"/>
          <w:sz w:val="24"/>
        </w:rPr>
        <w:t>C.1(d)</w:t>
      </w:r>
      <w:r>
        <w:rPr>
          <w:rFonts w:ascii="Arial"/>
          <w:color w:val="000000"/>
          <w:sz w:val="24"/>
        </w:rPr>
        <w:t>)</w:t>
      </w:r>
      <w:r>
        <w:rPr>
          <w:rFonts w:ascii="Arial"/>
          <w:color w:val="000000"/>
          <w:sz w:val="24"/>
        </w:rPr>
        <w:t xml:space="preserve">. </w:t>
      </w:r>
    </w:p>
    <w:p>
      <w:pPr>
        <w:pStyle w:val="CaselawNumbered10"/>
        <w:numPr>
          <w:ilvl w:val="0"/>
          <w:numId w:val="87"/>
        </w:numPr>
        <w:spacing w:before="150" w:after="0"/>
        <w:ind w:left="600" w:hanging="600"/>
      </w:pPr>
      <w:r>
        <w:rPr>
          <w:rFonts w:ascii="Arial"/>
          <w:color w:val="000000"/>
          <w:sz w:val="24"/>
        </w:rPr>
        <w:t xml:space="preserve">In oral submissions, </w:t>
      </w:r>
      <w:r>
        <w:rPr>
          <w:rFonts w:ascii="Arial"/>
          <w:color w:val="000000"/>
          <w:sz w:val="24"/>
        </w:rPr>
        <w:t xml:space="preserve">Mr </w:t>
      </w:r>
      <w:r>
        <w:rPr>
          <w:rFonts w:ascii="Arial"/>
          <w:color w:val="000000"/>
          <w:sz w:val="24"/>
        </w:rPr>
        <w:t>Lazarus SC</w:t>
      </w:r>
      <w:r>
        <w:rPr>
          <w:rFonts w:ascii="Arial"/>
          <w:color w:val="000000"/>
          <w:sz w:val="24"/>
        </w:rPr>
        <w:t xml:space="preserve"> </w:t>
      </w:r>
      <w:r>
        <w:rPr>
          <w:rFonts w:ascii="Arial"/>
          <w:color w:val="000000"/>
          <w:sz w:val="24"/>
        </w:rPr>
        <w:t>for the Council</w:t>
      </w:r>
      <w:r>
        <w:rPr>
          <w:rFonts w:ascii="Arial"/>
          <w:color w:val="000000"/>
          <w:sz w:val="24"/>
        </w:rPr>
        <w:t xml:space="preserve"> </w:t>
      </w:r>
      <w:r>
        <w:rPr>
          <w:rFonts w:ascii="Arial"/>
          <w:color w:val="000000"/>
          <w:sz w:val="24"/>
        </w:rPr>
        <w:t>explained that:</w:t>
      </w:r>
    </w:p>
    <w:p>
      <w:pPr>
        <w:pStyle w:val="CaselawQuote"/>
        <w:spacing w:before="150" w:after="150"/>
        <w:ind w:left="1350"/>
        <w:jc w:val="left"/>
      </w:pPr>
      <w:r>
        <w:rPr>
          <w:rFonts w:ascii="Arial"/>
          <w:color w:val="000000"/>
          <w:sz w:val="22"/>
        </w:rPr>
        <w:t xml:space="preserve">[The other provisions] may contemplate, to use </w:t>
      </w:r>
      <w:r>
        <w:rPr>
          <w:rFonts w:ascii="Arial"/>
          <w:color w:val="000000"/>
          <w:sz w:val="22"/>
        </w:rPr>
        <w:t>Mr</w:t>
      </w:r>
      <w:r>
        <w:rPr>
          <w:rFonts w:ascii="Arial"/>
          <w:color w:val="000000"/>
          <w:sz w:val="22"/>
        </w:rPr>
        <w:t xml:space="preserve"> </w:t>
      </w:r>
      <w:r>
        <w:rPr>
          <w:rFonts w:ascii="Arial"/>
          <w:color w:val="000000"/>
          <w:sz w:val="22"/>
        </w:rPr>
        <w:t>Hemmings’</w:t>
      </w:r>
      <w:r>
        <w:rPr>
          <w:rFonts w:ascii="Arial"/>
          <w:color w:val="000000"/>
          <w:sz w:val="22"/>
        </w:rPr>
        <w:t xml:space="preserve"> </w:t>
      </w:r>
      <w:r>
        <w:rPr>
          <w:rFonts w:ascii="Arial"/>
          <w:color w:val="000000"/>
          <w:sz w:val="22"/>
        </w:rPr>
        <w:t>language, the use of a crane, but they certainly don’t contemplate or they don’t mandate the use of a crane and nor do they contemplate the use of a crane in this location.</w:t>
      </w:r>
      <w:r>
        <w:rPr>
          <w:rFonts w:ascii="Arial"/>
          <w:color w:val="000000"/>
          <w:sz w:val="22"/>
        </w:rPr>
        <w:t xml:space="preserve"> </w:t>
      </w:r>
      <w:r>
        <w:rPr>
          <w:rFonts w:ascii="Arial"/>
          <w:color w:val="000000"/>
          <w:sz w:val="22"/>
        </w:rPr>
        <w:t>The mere fact, as Mr</w:t>
      </w:r>
      <w:r>
        <w:rPr>
          <w:rFonts w:ascii="Arial"/>
          <w:color w:val="000000"/>
          <w:sz w:val="22"/>
        </w:rPr>
        <w:t xml:space="preserve"> </w:t>
      </w:r>
      <w:r>
        <w:rPr>
          <w:rFonts w:ascii="Arial"/>
          <w:color w:val="000000"/>
          <w:sz w:val="22"/>
        </w:rPr>
        <w:t>Hemmings said, that the structural engineers have come up with what he described as a solution, it may be a very clear solution to a problem; doesn’t obviate the need and doesn’</w:t>
      </w:r>
      <w:r>
        <w:rPr>
          <w:rFonts w:ascii="Arial"/>
          <w:color w:val="000000"/>
          <w:sz w:val="22"/>
        </w:rPr>
        <w:t xml:space="preserve">t excuse the certifier from forming a proper reasonable view about the consistency question, and that is important. </w:t>
      </w:r>
    </w:p>
    <w:p>
      <w:pPr>
        <w:pStyle w:val="CaselawNumbered10"/>
        <w:numPr>
          <w:ilvl w:val="0"/>
          <w:numId w:val="88"/>
        </w:numPr>
        <w:spacing w:before="150" w:after="0"/>
        <w:ind w:left="600" w:hanging="600"/>
      </w:pPr>
      <w:r>
        <w:rPr>
          <w:rFonts w:ascii="Arial"/>
          <w:color w:val="000000"/>
          <w:sz w:val="24"/>
        </w:rPr>
        <w:t>Thirdly</w:t>
      </w:r>
      <w:r>
        <w:rPr>
          <w:rFonts w:ascii="Arial"/>
          <w:color w:val="000000"/>
          <w:sz w:val="24"/>
        </w:rPr>
        <w:t xml:space="preserve">, the </w:t>
      </w:r>
      <w:r>
        <w:rPr>
          <w:rFonts w:ascii="Arial"/>
          <w:color w:val="000000"/>
          <w:sz w:val="24"/>
        </w:rPr>
        <w:t>Council</w:t>
      </w:r>
      <w:r>
        <w:rPr>
          <w:rFonts w:ascii="Arial"/>
          <w:color w:val="000000"/>
          <w:sz w:val="24"/>
        </w:rPr>
        <w:t xml:space="preserve"> </w:t>
      </w:r>
      <w:r>
        <w:rPr>
          <w:rFonts w:ascii="Arial"/>
          <w:color w:val="000000"/>
          <w:sz w:val="24"/>
        </w:rPr>
        <w:t xml:space="preserve">argued that documents created after the grant of a development consent, such as a construction management plan, cannot be relevant to construction of the </w:t>
      </w:r>
      <w:r>
        <w:rPr>
          <w:rFonts w:ascii="Arial"/>
          <w:color w:val="000000"/>
          <w:sz w:val="24"/>
        </w:rPr>
        <w:t>consent</w:t>
      </w:r>
      <w:r>
        <w:rPr>
          <w:rFonts w:ascii="Arial"/>
          <w:color w:val="000000"/>
          <w:sz w:val="24"/>
        </w:rPr>
        <w:t>. As such, they argued that the fact that an engineer may have prepared plans (or given a written direction) requiring a construction void and crane base after</w:t>
      </w:r>
      <w:r>
        <w:rPr>
          <w:rFonts w:ascii="Arial"/>
          <w:i/>
          <w:color w:val="000000"/>
          <w:sz w:val="24"/>
        </w:rPr>
        <w:t xml:space="preserve"> </w:t>
      </w:r>
      <w:r>
        <w:rPr>
          <w:rFonts w:ascii="Arial"/>
          <w:color w:val="000000"/>
          <w:sz w:val="24"/>
        </w:rPr>
        <w:t xml:space="preserve">the grant of the </w:t>
      </w:r>
      <w:r>
        <w:rPr>
          <w:rFonts w:ascii="Arial"/>
          <w:color w:val="000000"/>
          <w:sz w:val="24"/>
        </w:rPr>
        <w:t xml:space="preserve">consent </w:t>
      </w:r>
      <w:r>
        <w:rPr>
          <w:rFonts w:ascii="Arial"/>
          <w:color w:val="000000"/>
          <w:sz w:val="24"/>
        </w:rPr>
        <w:t xml:space="preserve">and the </w:t>
      </w:r>
      <w:r>
        <w:rPr>
          <w:rFonts w:ascii="Arial"/>
          <w:color w:val="000000"/>
          <w:sz w:val="24"/>
        </w:rPr>
        <w:t xml:space="preserve">imposition of condition C.1(d), cannot have any bearing on the construction of that </w:t>
      </w:r>
      <w:r>
        <w:rPr>
          <w:rFonts w:ascii="Arial"/>
          <w:color w:val="000000"/>
          <w:sz w:val="24"/>
        </w:rPr>
        <w:t>consent</w:t>
      </w:r>
      <w:r>
        <w:rPr>
          <w:rFonts w:ascii="Arial"/>
          <w:color w:val="000000"/>
          <w:sz w:val="24"/>
        </w:rPr>
        <w:t xml:space="preserve">. That approach, they argued, would provide </w:t>
      </w:r>
      <w:r>
        <w:rPr>
          <w:rFonts w:ascii="Arial"/>
          <w:color w:val="000000"/>
          <w:sz w:val="24"/>
        </w:rPr>
        <w:t>“</w:t>
      </w:r>
      <w:r>
        <w:rPr>
          <w:rFonts w:ascii="Arial"/>
          <w:color w:val="000000"/>
          <w:sz w:val="24"/>
        </w:rPr>
        <w:t xml:space="preserve">carte blanche to an engineer to recommend any extent of excavation, with the effect of altering the </w:t>
      </w:r>
      <w:r>
        <w:rPr>
          <w:rFonts w:ascii="Arial"/>
          <w:color w:val="000000"/>
          <w:sz w:val="24"/>
        </w:rPr>
        <w:t>consent</w:t>
      </w:r>
      <w:r>
        <w:rPr>
          <w:rFonts w:ascii="Arial"/>
          <w:color w:val="000000"/>
          <w:sz w:val="24"/>
        </w:rPr>
        <w:t>, irrespective of express conditions</w:t>
      </w:r>
      <w:r>
        <w:rPr>
          <w:rFonts w:ascii="Arial"/>
          <w:color w:val="000000"/>
          <w:sz w:val="24"/>
        </w:rPr>
        <w:t>”</w:t>
      </w:r>
      <w:r>
        <w:rPr>
          <w:rFonts w:ascii="Arial"/>
          <w:color w:val="000000"/>
          <w:sz w:val="24"/>
        </w:rPr>
        <w:t xml:space="preserve">. </w:t>
      </w:r>
      <w:r>
        <w:rPr>
          <w:rFonts w:ascii="Arial"/>
          <w:b/>
          <w:color w:val="000000"/>
          <w:sz w:val="24"/>
        </w:rPr>
        <w:t xml:space="preserve"> </w:t>
      </w:r>
    </w:p>
    <w:p>
      <w:pPr>
        <w:pStyle w:val="CaselawNumbered10"/>
        <w:numPr>
          <w:ilvl w:val="0"/>
          <w:numId w:val="88"/>
        </w:numPr>
        <w:spacing w:before="150" w:after="0"/>
        <w:ind w:left="600" w:hanging="600"/>
      </w:pPr>
      <w:r>
        <w:rPr>
          <w:rFonts w:ascii="Arial"/>
          <w:color w:val="000000"/>
          <w:sz w:val="24"/>
        </w:rPr>
        <w:t>Fourthly</w:t>
      </w:r>
      <w:r>
        <w:rPr>
          <w:rFonts w:ascii="Arial"/>
          <w:color w:val="000000"/>
          <w:sz w:val="24"/>
        </w:rPr>
        <w:t>, in response to the appellants</w:t>
      </w:r>
      <w:r>
        <w:rPr>
          <w:rFonts w:ascii="Arial"/>
          <w:color w:val="000000"/>
          <w:sz w:val="24"/>
        </w:rPr>
        <w:t>’</w:t>
      </w:r>
      <w:r>
        <w:rPr>
          <w:rFonts w:ascii="Arial"/>
          <w:color w:val="000000"/>
          <w:sz w:val="24"/>
        </w:rPr>
        <w:t xml:space="preserve"> </w:t>
      </w:r>
      <w:r>
        <w:rPr>
          <w:rFonts w:ascii="Arial"/>
          <w:color w:val="000000"/>
          <w:sz w:val="24"/>
        </w:rPr>
        <w:t xml:space="preserve">argument that the cellar level would technically remain </w:t>
      </w:r>
      <w:r>
        <w:rPr>
          <w:rFonts w:ascii="Arial"/>
          <w:color w:val="000000"/>
          <w:sz w:val="24"/>
        </w:rPr>
        <w:t>“</w:t>
      </w:r>
      <w:r>
        <w:rPr>
          <w:rFonts w:ascii="Arial"/>
          <w:color w:val="000000"/>
          <w:sz w:val="24"/>
        </w:rPr>
        <w:t>unexcavated</w:t>
      </w:r>
      <w:r>
        <w:rPr>
          <w:rFonts w:ascii="Arial"/>
          <w:color w:val="000000"/>
          <w:sz w:val="24"/>
        </w:rPr>
        <w:t>”</w:t>
      </w:r>
      <w:r>
        <w:rPr>
          <w:rFonts w:ascii="Arial"/>
          <w:color w:val="000000"/>
          <w:sz w:val="24"/>
        </w:rPr>
        <w:t xml:space="preserve">, the </w:t>
      </w:r>
      <w:r>
        <w:rPr>
          <w:rFonts w:ascii="Arial"/>
          <w:color w:val="000000"/>
          <w:sz w:val="24"/>
        </w:rPr>
        <w:t>Council</w:t>
      </w:r>
      <w:r>
        <w:rPr>
          <w:rFonts w:ascii="Arial"/>
          <w:color w:val="000000"/>
          <w:sz w:val="24"/>
        </w:rPr>
        <w:t xml:space="preserve"> </w:t>
      </w:r>
      <w:r>
        <w:rPr>
          <w:rFonts w:ascii="Arial"/>
          <w:color w:val="000000"/>
          <w:sz w:val="24"/>
        </w:rPr>
        <w:t xml:space="preserve">submitted that the appellants should not be able to run this argument because </w:t>
      </w:r>
      <w:r>
        <w:rPr>
          <w:rFonts w:ascii="Arial"/>
          <w:color w:val="000000"/>
          <w:sz w:val="24"/>
        </w:rPr>
        <w:t>“</w:t>
      </w:r>
      <w:r>
        <w:rPr>
          <w:rFonts w:ascii="Arial"/>
          <w:color w:val="000000"/>
          <w:sz w:val="24"/>
        </w:rPr>
        <w:t xml:space="preserve">[t]he argument about the meaning of </w:t>
      </w:r>
      <w:r>
        <w:rPr>
          <w:rFonts w:ascii="Arial"/>
          <w:color w:val="000000"/>
          <w:sz w:val="24"/>
        </w:rPr>
        <w:t>‘</w:t>
      </w:r>
      <w:r>
        <w:rPr>
          <w:rFonts w:ascii="Arial"/>
          <w:color w:val="000000"/>
          <w:sz w:val="24"/>
        </w:rPr>
        <w:t>remain</w:t>
      </w:r>
      <w:r>
        <w:rPr>
          <w:rFonts w:ascii="Arial"/>
          <w:color w:val="000000"/>
          <w:sz w:val="24"/>
        </w:rPr>
        <w:t>’</w:t>
      </w:r>
      <w:r>
        <w:rPr>
          <w:rFonts w:ascii="Arial"/>
          <w:color w:val="000000"/>
          <w:sz w:val="24"/>
        </w:rPr>
        <w:t xml:space="preserve"> </w:t>
      </w:r>
      <w:r>
        <w:rPr>
          <w:rFonts w:ascii="Arial"/>
          <w:color w:val="000000"/>
          <w:sz w:val="24"/>
        </w:rPr>
        <w:t>was expressly abandoned by the Appellants in the proceedings below</w:t>
      </w:r>
      <w:r>
        <w:rPr>
          <w:rFonts w:ascii="Arial"/>
          <w:color w:val="000000"/>
          <w:sz w:val="24"/>
        </w:rPr>
        <w:t>”</w:t>
      </w:r>
      <w:r>
        <w:rPr>
          <w:rFonts w:ascii="Arial"/>
          <w:color w:val="000000"/>
          <w:sz w:val="24"/>
        </w:rPr>
        <w:t xml:space="preserve">. The appellants argued that the void would not be backfilled; instead, after removing the crane, a lift would be installed on top of the slab to function as a goods lift for the internal fit-out. Thus, </w:t>
      </w:r>
      <w:r>
        <w:rPr>
          <w:rFonts w:ascii="Arial"/>
          <w:color w:val="000000"/>
          <w:sz w:val="24"/>
        </w:rPr>
        <w:t>“</w:t>
      </w:r>
      <w:r>
        <w:rPr>
          <w:rFonts w:ascii="Arial"/>
          <w:color w:val="000000"/>
          <w:sz w:val="24"/>
        </w:rPr>
        <w:t>[</w:t>
      </w:r>
      <w:r>
        <w:rPr>
          <w:rFonts w:ascii="Arial"/>
          <w:color w:val="000000"/>
          <w:sz w:val="24"/>
        </w:rPr>
        <w:t>i</w:t>
      </w:r>
      <w:r>
        <w:rPr>
          <w:rFonts w:ascii="Arial"/>
          <w:color w:val="000000"/>
          <w:sz w:val="24"/>
        </w:rPr>
        <w:t>]t is inimical to the due administration of justice to permit the Appellant to run an argument that not only was not run below, but is in complete contradistinction to it</w:t>
      </w:r>
      <w:r>
        <w:rPr>
          <w:rFonts w:ascii="Arial"/>
          <w:color w:val="000000"/>
          <w:sz w:val="24"/>
        </w:rPr>
        <w:t>”</w:t>
      </w:r>
      <w:r>
        <w:rPr>
          <w:rFonts w:ascii="Arial"/>
          <w:color w:val="000000"/>
          <w:sz w:val="24"/>
        </w:rPr>
        <w:t xml:space="preserve">. </w:t>
      </w:r>
    </w:p>
    <w:p>
      <w:pPr>
        <w:pStyle w:val="CaselawNumbered10"/>
        <w:numPr>
          <w:ilvl w:val="0"/>
          <w:numId w:val="88"/>
        </w:numPr>
        <w:spacing w:before="150" w:after="0"/>
        <w:ind w:left="600" w:hanging="600"/>
      </w:pPr>
      <w:r>
        <w:rPr>
          <w:rFonts w:ascii="Arial"/>
          <w:color w:val="000000"/>
          <w:sz w:val="24"/>
        </w:rPr>
        <w:t xml:space="preserve">In the alternative, the </w:t>
      </w:r>
      <w:r>
        <w:rPr>
          <w:rFonts w:ascii="Arial"/>
          <w:color w:val="000000"/>
          <w:sz w:val="24"/>
        </w:rPr>
        <w:t>Council</w:t>
      </w:r>
      <w:r>
        <w:rPr>
          <w:rFonts w:ascii="Arial"/>
          <w:color w:val="000000"/>
          <w:sz w:val="24"/>
        </w:rPr>
        <w:t xml:space="preserve"> </w:t>
      </w:r>
      <w:r>
        <w:rPr>
          <w:rFonts w:ascii="Arial"/>
          <w:color w:val="000000"/>
          <w:sz w:val="24"/>
        </w:rPr>
        <w:t xml:space="preserve">argued that </w:t>
      </w:r>
      <w:r>
        <w:rPr>
          <w:rFonts w:ascii="Arial"/>
          <w:color w:val="000000"/>
          <w:sz w:val="24"/>
        </w:rPr>
        <w:t>“</w:t>
      </w:r>
      <w:r>
        <w:rPr>
          <w:rFonts w:ascii="Arial"/>
          <w:color w:val="000000"/>
          <w:sz w:val="24"/>
        </w:rPr>
        <w:t>[</w:t>
      </w:r>
      <w:r>
        <w:rPr>
          <w:rFonts w:ascii="Arial"/>
          <w:color w:val="000000"/>
          <w:sz w:val="24"/>
        </w:rPr>
        <w:t>i</w:t>
      </w:r>
      <w:r>
        <w:rPr>
          <w:rFonts w:ascii="Arial"/>
          <w:color w:val="000000"/>
          <w:sz w:val="24"/>
        </w:rPr>
        <w:t xml:space="preserve">]t defies common sense, and the ordinary meaning of the word </w:t>
      </w:r>
      <w:r>
        <w:rPr>
          <w:rFonts w:ascii="Arial"/>
          <w:color w:val="000000"/>
          <w:sz w:val="24"/>
        </w:rPr>
        <w:t>“</w:t>
      </w:r>
      <w:r>
        <w:rPr>
          <w:rFonts w:ascii="Arial"/>
          <w:color w:val="000000"/>
          <w:sz w:val="24"/>
        </w:rPr>
        <w:t>remain</w:t>
      </w:r>
      <w:r>
        <w:rPr>
          <w:rFonts w:ascii="Arial"/>
          <w:color w:val="000000"/>
          <w:sz w:val="24"/>
        </w:rPr>
        <w:t>”</w:t>
      </w:r>
      <w:r>
        <w:rPr>
          <w:rFonts w:ascii="Arial"/>
          <w:color w:val="000000"/>
          <w:sz w:val="24"/>
        </w:rPr>
        <w:t>, for an area to remain unexcavated when part of it is occupied by a crane base, lift, stairs, and walls</w:t>
      </w:r>
      <w:r>
        <w:rPr>
          <w:rFonts w:ascii="Arial"/>
          <w:color w:val="000000"/>
          <w:sz w:val="24"/>
        </w:rPr>
        <w:t>”</w:t>
      </w:r>
      <w:r>
        <w:rPr>
          <w:rFonts w:ascii="Arial"/>
          <w:color w:val="000000"/>
          <w:sz w:val="24"/>
        </w:rPr>
        <w:t xml:space="preserve">. As held by the primary judge, </w:t>
      </w:r>
      <w:r>
        <w:rPr>
          <w:rFonts w:ascii="Arial"/>
          <w:color w:val="000000"/>
          <w:sz w:val="24"/>
        </w:rPr>
        <w:t>“</w:t>
      </w:r>
      <w:r>
        <w:rPr>
          <w:rFonts w:ascii="Arial"/>
          <w:color w:val="000000"/>
          <w:sz w:val="24"/>
        </w:rPr>
        <w:t xml:space="preserve">there was to be no excavation at all of the area of the </w:t>
      </w:r>
      <w:r>
        <w:rPr>
          <w:rFonts w:ascii="Arial"/>
          <w:color w:val="000000"/>
          <w:sz w:val="24"/>
        </w:rPr>
        <w:t>‘</w:t>
      </w:r>
      <w:r>
        <w:rPr>
          <w:rFonts w:ascii="Arial"/>
          <w:color w:val="000000"/>
          <w:sz w:val="24"/>
        </w:rPr>
        <w:t>cellar</w:t>
      </w:r>
      <w:r>
        <w:rPr>
          <w:rFonts w:ascii="Arial"/>
          <w:color w:val="000000"/>
          <w:sz w:val="24"/>
        </w:rPr>
        <w:t>’</w:t>
      </w:r>
      <w:r>
        <w:rPr>
          <w:rFonts w:ascii="Arial"/>
          <w:color w:val="000000"/>
          <w:sz w:val="24"/>
        </w:rPr>
        <w:t xml:space="preserve"> </w:t>
      </w:r>
      <w:r>
        <w:rPr>
          <w:rFonts w:ascii="Arial"/>
          <w:color w:val="000000"/>
          <w:sz w:val="24"/>
        </w:rPr>
        <w:t>level</w:t>
      </w:r>
      <w:r>
        <w:rPr>
          <w:rFonts w:ascii="Arial"/>
          <w:color w:val="000000"/>
          <w:sz w:val="24"/>
        </w:rPr>
        <w:t>”</w:t>
      </w:r>
      <w:r>
        <w:rPr>
          <w:rFonts w:ascii="Arial"/>
          <w:color w:val="000000"/>
          <w:sz w:val="24"/>
        </w:rPr>
        <w:t xml:space="preserve">. The words </w:t>
      </w:r>
      <w:r>
        <w:rPr>
          <w:rFonts w:ascii="Arial"/>
          <w:color w:val="000000"/>
          <w:sz w:val="24"/>
        </w:rPr>
        <w:t>“</w:t>
      </w:r>
      <w:r>
        <w:rPr>
          <w:rFonts w:ascii="Arial"/>
          <w:color w:val="000000"/>
          <w:sz w:val="24"/>
        </w:rPr>
        <w:t>associated excavation</w:t>
      </w:r>
      <w:r>
        <w:rPr>
          <w:rFonts w:ascii="Arial"/>
          <w:color w:val="000000"/>
          <w:sz w:val="24"/>
        </w:rPr>
        <w:t>”</w:t>
      </w:r>
      <w:r>
        <w:rPr>
          <w:rFonts w:ascii="Arial"/>
          <w:color w:val="000000"/>
          <w:sz w:val="24"/>
        </w:rPr>
        <w:t xml:space="preserve"> </w:t>
      </w:r>
      <w:r>
        <w:rPr>
          <w:rFonts w:ascii="Arial"/>
          <w:color w:val="000000"/>
          <w:sz w:val="24"/>
        </w:rPr>
        <w:t xml:space="preserve">in the heading are in context </w:t>
      </w:r>
      <w:r>
        <w:rPr>
          <w:rFonts w:ascii="Arial"/>
          <w:color w:val="000000"/>
          <w:sz w:val="24"/>
        </w:rPr>
        <w:t>“</w:t>
      </w:r>
      <w:r>
        <w:rPr>
          <w:rFonts w:ascii="Arial"/>
          <w:color w:val="000000"/>
          <w:sz w:val="24"/>
        </w:rPr>
        <w:t>plainly referable to the location, and not the purpose, of the excavation</w:t>
      </w:r>
      <w:r>
        <w:rPr>
          <w:rFonts w:ascii="Arial"/>
          <w:color w:val="000000"/>
          <w:sz w:val="24"/>
        </w:rPr>
        <w:t>”</w:t>
      </w:r>
      <w:r>
        <w:rPr>
          <w:rFonts w:ascii="Arial"/>
          <w:color w:val="000000"/>
          <w:sz w:val="24"/>
        </w:rPr>
        <w:t xml:space="preserve">. </w:t>
      </w:r>
    </w:p>
    <w:p>
      <w:pPr>
        <w:pStyle w:val="CaselawNumbered10"/>
        <w:numPr>
          <w:ilvl w:val="0"/>
          <w:numId w:val="88"/>
        </w:numPr>
        <w:spacing w:before="150" w:after="0"/>
        <w:ind w:left="600" w:hanging="600"/>
      </w:pPr>
      <w:r>
        <w:rPr>
          <w:rFonts w:ascii="Arial"/>
          <w:color w:val="000000"/>
          <w:sz w:val="24"/>
        </w:rPr>
        <w:t>T</w:t>
      </w:r>
      <w:r>
        <w:rPr>
          <w:rFonts w:ascii="Arial"/>
          <w:color w:val="000000"/>
          <w:sz w:val="24"/>
        </w:rPr>
        <w:t xml:space="preserve">he </w:t>
      </w:r>
      <w:r>
        <w:rPr>
          <w:rFonts w:ascii="Arial"/>
          <w:color w:val="000000"/>
          <w:sz w:val="24"/>
        </w:rPr>
        <w:t>Council</w:t>
      </w:r>
      <w:r>
        <w:rPr>
          <w:rFonts w:ascii="Arial"/>
          <w:color w:val="000000"/>
          <w:sz w:val="24"/>
        </w:rPr>
        <w:t xml:space="preserve"> </w:t>
      </w:r>
      <w:r>
        <w:rPr>
          <w:rFonts w:ascii="Arial"/>
          <w:color w:val="000000"/>
          <w:sz w:val="24"/>
        </w:rPr>
        <w:t>argued that the primary judge did not err in finding that the certifier</w:t>
      </w:r>
      <w:r>
        <w:rPr>
          <w:rFonts w:ascii="Arial"/>
          <w:color w:val="000000"/>
          <w:sz w:val="24"/>
        </w:rPr>
        <w:t>’</w:t>
      </w:r>
      <w:r>
        <w:rPr>
          <w:rFonts w:ascii="Arial"/>
          <w:color w:val="000000"/>
          <w:sz w:val="24"/>
        </w:rPr>
        <w:t xml:space="preserve">s decision was unreasonable because </w:t>
      </w:r>
      <w:r>
        <w:rPr>
          <w:rFonts w:ascii="Arial"/>
          <w:color w:val="000000"/>
          <w:sz w:val="24"/>
        </w:rPr>
        <w:t>“</w:t>
      </w:r>
      <w:r>
        <w:rPr>
          <w:rFonts w:ascii="Arial"/>
          <w:color w:val="000000"/>
          <w:sz w:val="24"/>
        </w:rPr>
        <w:t>[t]here was no evident or intelligible justification</w:t>
      </w:r>
      <w:r>
        <w:rPr>
          <w:rFonts w:ascii="Arial"/>
          <w:color w:val="000000"/>
          <w:sz w:val="24"/>
        </w:rPr>
        <w:t>”</w:t>
      </w:r>
      <w:r>
        <w:rPr>
          <w:rFonts w:ascii="Arial"/>
          <w:color w:val="000000"/>
          <w:sz w:val="24"/>
        </w:rPr>
        <w:t xml:space="preserve"> </w:t>
      </w:r>
      <w:r>
        <w:rPr>
          <w:rFonts w:ascii="Arial"/>
          <w:color w:val="000000"/>
          <w:sz w:val="24"/>
        </w:rPr>
        <w:t xml:space="preserve">for the certifier to make </w:t>
      </w:r>
      <w:r>
        <w:rPr>
          <w:rFonts w:ascii="Arial"/>
          <w:color w:val="000000"/>
          <w:sz w:val="24"/>
        </w:rPr>
        <w:t>the finding</w:t>
      </w:r>
      <w:r>
        <w:rPr>
          <w:rFonts w:ascii="Arial"/>
          <w:color w:val="000000"/>
          <w:sz w:val="24"/>
        </w:rPr>
        <w:t xml:space="preserve"> </w:t>
      </w:r>
      <w:r>
        <w:rPr>
          <w:rFonts w:ascii="Arial"/>
          <w:color w:val="000000"/>
          <w:sz w:val="24"/>
        </w:rPr>
        <w:t xml:space="preserve">that the </w:t>
      </w:r>
      <w:r>
        <w:rPr>
          <w:rFonts w:ascii="Arial"/>
          <w:color w:val="000000"/>
          <w:sz w:val="24"/>
        </w:rPr>
        <w:t xml:space="preserve">construction certificate </w:t>
      </w:r>
      <w:r>
        <w:rPr>
          <w:rFonts w:ascii="Arial"/>
          <w:color w:val="000000"/>
          <w:sz w:val="24"/>
        </w:rPr>
        <w:t>was</w:t>
      </w:r>
      <w:r>
        <w:rPr>
          <w:rFonts w:ascii="Arial"/>
          <w:color w:val="000000"/>
          <w:sz w:val="24"/>
        </w:rPr>
        <w:t xml:space="preserve"> </w:t>
      </w:r>
      <w:r>
        <w:rPr>
          <w:rFonts w:ascii="Arial"/>
          <w:color w:val="000000"/>
          <w:sz w:val="24"/>
        </w:rPr>
        <w:t xml:space="preserve">consistent with the </w:t>
      </w:r>
      <w:r>
        <w:rPr>
          <w:rFonts w:ascii="Arial"/>
          <w:color w:val="000000"/>
          <w:sz w:val="24"/>
        </w:rPr>
        <w:t>development consent</w:t>
      </w:r>
      <w:r>
        <w:rPr>
          <w:rFonts w:ascii="Arial"/>
          <w:color w:val="000000"/>
          <w:sz w:val="24"/>
        </w:rPr>
        <w:t>. Adopting the primary judge</w:t>
      </w:r>
      <w:r>
        <w:rPr>
          <w:rFonts w:ascii="Arial"/>
          <w:color w:val="000000"/>
          <w:sz w:val="24"/>
        </w:rPr>
        <w:t>’</w:t>
      </w:r>
      <w:r>
        <w:rPr>
          <w:rFonts w:ascii="Arial"/>
          <w:color w:val="000000"/>
          <w:sz w:val="24"/>
        </w:rPr>
        <w:t>s reasoning:</w:t>
      </w:r>
    </w:p>
    <w:p>
      <w:pPr>
        <w:pStyle w:val="CaselawNumbered1"/>
        <w:numPr>
          <w:ilvl w:val="0"/>
          <w:numId w:val="89"/>
        </w:numPr>
        <w:spacing w:before="150" w:after="0"/>
        <w:ind w:left="1350" w:hanging="750"/>
      </w:pPr>
      <w:r>
        <w:rPr>
          <w:rFonts w:ascii="Arial"/>
          <w:color w:val="000000"/>
          <w:sz w:val="24"/>
        </w:rPr>
        <w:t>Installation of a crane base substantially below the surface presupposes excavation, as does the description of the area immediately above it as a void.</w:t>
      </w:r>
    </w:p>
    <w:p>
      <w:pPr>
        <w:pStyle w:val="CaselawNumbered1"/>
        <w:numPr>
          <w:ilvl w:val="0"/>
          <w:numId w:val="89"/>
        </w:numPr>
        <w:spacing w:before="150" w:after="0"/>
        <w:ind w:left="1350" w:hanging="750"/>
      </w:pPr>
      <w:r>
        <w:rPr>
          <w:rFonts w:ascii="Arial"/>
          <w:color w:val="000000"/>
          <w:sz w:val="24"/>
        </w:rPr>
        <w:t xml:space="preserve">A simple comparison between the </w:t>
      </w:r>
      <w:r>
        <w:rPr>
          <w:rFonts w:ascii="Arial"/>
          <w:color w:val="000000"/>
          <w:sz w:val="24"/>
        </w:rPr>
        <w:t xml:space="preserve">construction certificate </w:t>
      </w:r>
      <w:r>
        <w:rPr>
          <w:rFonts w:ascii="Arial"/>
          <w:color w:val="000000"/>
          <w:sz w:val="24"/>
        </w:rPr>
        <w:t xml:space="preserve">plans (structural and architectural) and the plans approved by the modification </w:t>
      </w:r>
      <w:r>
        <w:rPr>
          <w:rFonts w:ascii="Arial"/>
          <w:color w:val="000000"/>
          <w:sz w:val="24"/>
        </w:rPr>
        <w:t xml:space="preserve">application </w:t>
      </w:r>
      <w:r>
        <w:rPr>
          <w:rFonts w:ascii="Arial"/>
          <w:color w:val="000000"/>
          <w:sz w:val="24"/>
        </w:rPr>
        <w:t>“</w:t>
      </w:r>
      <w:r>
        <w:rPr>
          <w:rFonts w:ascii="Arial"/>
          <w:color w:val="000000"/>
          <w:sz w:val="24"/>
        </w:rPr>
        <w:t>clearly shows</w:t>
      </w:r>
      <w:r>
        <w:rPr>
          <w:rFonts w:ascii="Arial"/>
          <w:color w:val="000000"/>
          <w:sz w:val="24"/>
        </w:rPr>
        <w:t>”</w:t>
      </w:r>
      <w:r>
        <w:rPr>
          <w:rFonts w:ascii="Arial"/>
          <w:color w:val="000000"/>
          <w:sz w:val="24"/>
        </w:rPr>
        <w:t xml:space="preserve"> </w:t>
      </w:r>
      <w:r>
        <w:rPr>
          <w:rFonts w:ascii="Arial"/>
          <w:color w:val="000000"/>
          <w:sz w:val="24"/>
        </w:rPr>
        <w:t>that the construction void is in the same area as the cellar level.</w:t>
      </w:r>
    </w:p>
    <w:p>
      <w:pPr>
        <w:pStyle w:val="CaselawHeading3"/>
        <w:keepNext/>
        <w:spacing w:before="150" w:after="150" w:line="264"/>
        <w:ind w:left="0"/>
        <w:jc w:val="left"/>
      </w:pPr>
      <w:r>
        <w:rPr>
          <w:rFonts w:ascii="Arial"/>
        </w:rPr>
        <w:t>Consideration of ground 2</w:t>
      </w:r>
    </w:p>
    <w:p>
      <w:pPr>
        <w:pStyle w:val="CaselawNumbered10"/>
        <w:numPr>
          <w:ilvl w:val="0"/>
          <w:numId w:val="90"/>
        </w:numPr>
        <w:spacing w:before="150" w:after="0"/>
        <w:ind w:left="600" w:hanging="600"/>
      </w:pPr>
      <w:r>
        <w:rPr>
          <w:rFonts w:ascii="Arial"/>
          <w:color w:val="000000"/>
          <w:sz w:val="24"/>
        </w:rPr>
        <w:t xml:space="preserve">The unreasonableness ground of judicial review is no longer limited to what is in effect an irrational, if not bizarre, decision </w:t>
      </w:r>
      <w:r>
        <w:rPr>
          <w:rFonts w:ascii="Arial"/>
          <w:color w:val="000000"/>
          <w:sz w:val="24"/>
        </w:rPr>
        <w:t xml:space="preserve">– </w:t>
      </w:r>
      <w:r>
        <w:rPr>
          <w:rFonts w:ascii="Arial"/>
          <w:color w:val="000000"/>
          <w:sz w:val="24"/>
        </w:rPr>
        <w:t>which is to say one that is so unreasonable no reasonable person could have arrived at</w:t>
      </w:r>
      <w:r>
        <w:rPr>
          <w:rFonts w:ascii="Arial"/>
          <w:color w:val="000000"/>
          <w:sz w:val="24"/>
        </w:rPr>
        <w:t xml:space="preserve"> </w:t>
      </w:r>
      <w:r>
        <w:rPr>
          <w:rFonts w:ascii="Arial"/>
          <w:color w:val="000000"/>
          <w:sz w:val="24"/>
        </w:rPr>
        <w:t>it</w:t>
      </w:r>
      <w:r>
        <w:rPr>
          <w:rFonts w:ascii="Arial"/>
          <w:color w:val="000000"/>
          <w:sz w:val="24"/>
        </w:rPr>
        <w:t xml:space="preserve">: </w:t>
      </w:r>
      <w:r>
        <w:rPr>
          <w:rFonts w:ascii="Arial"/>
          <w:i/>
          <w:color w:val="000000"/>
          <w:sz w:val="24"/>
        </w:rPr>
        <w:t>Minister for Immigration and Citizenship v Li</w:t>
      </w:r>
      <w:r>
        <w:rPr>
          <w:rFonts w:ascii="Arial"/>
          <w:color w:val="000000"/>
          <w:sz w:val="24"/>
        </w:rPr>
        <w:t xml:space="preserve"> </w:t>
      </w:r>
      <w:r>
        <w:rPr>
          <w:rFonts w:ascii="Arial"/>
          <w:color w:val="000000"/>
          <w:sz w:val="24"/>
        </w:rPr>
        <w:t xml:space="preserve">(2013) 249 CLR 332; [2013] HCA 18 at [68] (Hayne, </w:t>
      </w:r>
      <w:r>
        <w:rPr>
          <w:rFonts w:ascii="Arial"/>
          <w:color w:val="000000"/>
          <w:sz w:val="24"/>
        </w:rPr>
        <w:t>Kiefel</w:t>
      </w:r>
      <w:r>
        <w:rPr>
          <w:rFonts w:ascii="Arial"/>
          <w:color w:val="000000"/>
          <w:sz w:val="24"/>
        </w:rPr>
        <w:t xml:space="preserve"> </w:t>
      </w:r>
      <w:r>
        <w:rPr>
          <w:rFonts w:ascii="Arial"/>
          <w:color w:val="000000"/>
          <w:sz w:val="24"/>
        </w:rPr>
        <w:t xml:space="preserve">and Bell JJ). In </w:t>
      </w:r>
      <w:r>
        <w:rPr>
          <w:rFonts w:ascii="Arial"/>
          <w:i/>
          <w:color w:val="000000"/>
          <w:sz w:val="24"/>
        </w:rPr>
        <w:t>Judicial Review of Administrative Action and Government Liability</w:t>
      </w:r>
      <w:r>
        <w:rPr>
          <w:rFonts w:ascii="Arial"/>
          <w:color w:val="000000"/>
          <w:sz w:val="24"/>
        </w:rPr>
        <w:t xml:space="preserve"> </w:t>
      </w:r>
      <w:r>
        <w:rPr>
          <w:rFonts w:ascii="Arial"/>
          <w:color w:val="000000"/>
          <w:sz w:val="24"/>
        </w:rPr>
        <w:t xml:space="preserve">by M Aronson, M Groves and G Weeks (Thomson Reuters, 6th ed, 2017) it is suggested at [6.450], that </w:t>
      </w:r>
      <w:r>
        <w:rPr>
          <w:rFonts w:ascii="Arial"/>
          <w:i/>
          <w:color w:val="000000"/>
          <w:sz w:val="24"/>
        </w:rPr>
        <w:t>Li</w:t>
      </w:r>
      <w:r>
        <w:rPr>
          <w:rFonts w:ascii="Arial"/>
          <w:color w:val="000000"/>
          <w:sz w:val="24"/>
        </w:rPr>
        <w:t xml:space="preserve"> </w:t>
      </w:r>
      <w:r>
        <w:rPr>
          <w:rFonts w:ascii="Arial"/>
          <w:color w:val="000000"/>
          <w:sz w:val="24"/>
        </w:rPr>
        <w:t>“</w:t>
      </w:r>
      <w:r>
        <w:rPr>
          <w:rFonts w:ascii="Arial"/>
          <w:color w:val="000000"/>
          <w:sz w:val="24"/>
        </w:rPr>
        <w:t>invites a qualitative assessment of the impugned discretionary decision, but it does not allow an appeal to the judicial review judge</w:t>
      </w:r>
      <w:r>
        <w:rPr>
          <w:rFonts w:ascii="Arial"/>
          <w:color w:val="000000"/>
          <w:sz w:val="24"/>
        </w:rPr>
        <w:t>’</w:t>
      </w:r>
      <w:r>
        <w:rPr>
          <w:rFonts w:ascii="Arial"/>
          <w:color w:val="000000"/>
          <w:sz w:val="24"/>
        </w:rPr>
        <w:t>s subjective sense of reasonableness</w:t>
      </w:r>
      <w:r>
        <w:rPr>
          <w:rFonts w:ascii="Arial"/>
          <w:color w:val="000000"/>
          <w:sz w:val="24"/>
        </w:rPr>
        <w:t>”</w:t>
      </w:r>
      <w:r>
        <w:rPr>
          <w:rFonts w:ascii="Arial"/>
          <w:color w:val="000000"/>
          <w:sz w:val="24"/>
        </w:rPr>
        <w:t>.</w:t>
      </w:r>
    </w:p>
    <w:p>
      <w:pPr>
        <w:pStyle w:val="CaselawNumbered10"/>
        <w:numPr>
          <w:ilvl w:val="0"/>
          <w:numId w:val="90"/>
        </w:numPr>
        <w:spacing w:before="150" w:after="0"/>
        <w:ind w:left="600" w:hanging="600"/>
      </w:pPr>
      <w:r>
        <w:rPr>
          <w:rFonts w:ascii="Arial"/>
          <w:color w:val="000000"/>
          <w:sz w:val="24"/>
        </w:rPr>
        <w:t xml:space="preserve">In </w:t>
      </w:r>
      <w:r>
        <w:rPr>
          <w:rFonts w:ascii="Arial"/>
          <w:i/>
          <w:color w:val="000000"/>
          <w:sz w:val="24"/>
        </w:rPr>
        <w:t xml:space="preserve">Li </w:t>
      </w:r>
      <w:r>
        <w:rPr>
          <w:rFonts w:ascii="Arial"/>
          <w:color w:val="000000"/>
          <w:sz w:val="24"/>
        </w:rPr>
        <w:t>French CJ said:</w:t>
      </w:r>
    </w:p>
    <w:p>
      <w:pPr>
        <w:pStyle w:val="CaselawQuote"/>
        <w:spacing w:before="150" w:after="150"/>
        <w:ind w:left="1350"/>
        <w:jc w:val="left"/>
      </w:pPr>
      <w:r>
        <w:rPr>
          <w:rFonts w:ascii="Arial"/>
          <w:color w:val="000000"/>
          <w:sz w:val="22"/>
        </w:rPr>
        <w:t>“</w:t>
      </w:r>
      <w:r>
        <w:rPr>
          <w:rFonts w:ascii="Arial"/>
          <w:color w:val="000000"/>
          <w:sz w:val="22"/>
        </w:rPr>
        <w:t xml:space="preserve">[30] The requirement of reasonableness is not a vehicle for challenging a decision on the basis that the decision-maker has given insufficient or excessive consideration to some matters or has made an evaluative judgment with which a court disagrees even though that judgment is rationally open to the decision-maker. Gleeson CJ and McHugh J made the point in </w:t>
      </w:r>
      <w:r>
        <w:rPr>
          <w:rFonts w:ascii="Arial"/>
          <w:i/>
          <w:color w:val="000000"/>
          <w:sz w:val="22"/>
        </w:rPr>
        <w:t>Eshetu</w:t>
      </w:r>
      <w:r>
        <w:rPr>
          <w:rFonts w:ascii="Arial"/>
          <w:color w:val="000000"/>
          <w:sz w:val="22"/>
        </w:rPr>
        <w:t xml:space="preserve"> that the characterisation of somebody</w:t>
      </w:r>
      <w:r>
        <w:rPr>
          <w:rFonts w:ascii="Arial"/>
          <w:color w:val="000000"/>
          <w:sz w:val="22"/>
        </w:rPr>
        <w:t>’</w:t>
      </w:r>
      <w:r>
        <w:rPr>
          <w:rFonts w:ascii="Arial"/>
          <w:color w:val="000000"/>
          <w:sz w:val="22"/>
        </w:rPr>
        <w:t xml:space="preserve">s reasoning as illogical or unreasonable, as an emphatic way of expressing disagreement with it, </w:t>
      </w:r>
      <w:r>
        <w:rPr>
          <w:rFonts w:ascii="Arial"/>
          <w:color w:val="000000"/>
          <w:sz w:val="22"/>
        </w:rPr>
        <w:t>“may have no particular legal consequence”. As Professor Galligan wrote [DJ Galligan, Discretionary Powers: A Legal Study of Official Discretion (Oxford University Press, 1986) at 140]:</w:t>
      </w:r>
    </w:p>
    <w:p>
      <w:pPr>
        <w:pStyle w:val="CaselawQuote0"/>
        <w:spacing w:before="150" w:after="150"/>
        <w:ind w:left="2100"/>
        <w:jc w:val="left"/>
      </w:pPr>
      <w:r>
        <w:rPr>
          <w:rFonts w:ascii="Arial"/>
          <w:color w:val="000000"/>
          <w:sz w:val="22"/>
        </w:rPr>
        <w:t>“The general point is that the canons of rational action constitute constraints on discretionary decisions, but they are in the nature of threshold constraints above which there remains room for official judgment and choice both as to substantive and procedural matters. In other words, within the bounds of such constraints, different modes of decision-making may be employed.”</w:t>
      </w:r>
    </w:p>
    <w:p>
      <w:pPr>
        <w:pStyle w:val="CaselawQuote"/>
        <w:spacing w:before="150" w:after="150"/>
        <w:ind w:left="1350"/>
        <w:jc w:val="left"/>
      </w:pPr>
      <w:r>
        <w:rPr>
          <w:rFonts w:ascii="Arial"/>
          <w:color w:val="000000"/>
          <w:sz w:val="22"/>
        </w:rPr>
        <w:t xml:space="preserve">A distinction may arguably be drawn between rationality and reasonableness on the basis that not every rational decision is reasonable. It is not necessary for present purposes to undertake a general consideration of that distinction which might be thought to invite a kind of proportionality analysis to bridge a propounded gap between the two concepts. Be that as it may, a disproportionate exercise of an administrative discretion, taking a sledgehammer to crack a nut, may be characterised as irrational and also as unreasonable simply on the basis that it exceeds what, on any view, is necessary for the purpose it serves. That approach is an application of the </w:t>
      </w:r>
      <w:r>
        <w:rPr>
          <w:rFonts w:ascii="Arial"/>
          <w:color w:val="000000"/>
          <w:sz w:val="22"/>
        </w:rPr>
        <w:t>principles discussed above and within the limitations they would impose on curial review of administrative discretions.”</w:t>
      </w:r>
      <w:r>
        <w:rPr>
          <w:rFonts w:ascii="Arial"/>
          <w:color w:val="000000"/>
          <w:sz w:val="22"/>
        </w:rPr>
        <w:t xml:space="preserve"> (Footnotes omitted.)</w:t>
      </w:r>
    </w:p>
    <w:p>
      <w:pPr>
        <w:pStyle w:val="CaselawNumbered10"/>
        <w:numPr>
          <w:ilvl w:val="0"/>
          <w:numId w:val="91"/>
        </w:numPr>
        <w:spacing w:before="150" w:after="0"/>
        <w:ind w:left="600" w:hanging="600"/>
      </w:pPr>
      <w:r>
        <w:rPr>
          <w:rFonts w:ascii="Arial"/>
          <w:color w:val="000000"/>
          <w:sz w:val="24"/>
        </w:rPr>
        <w:t>The plurality</w:t>
      </w:r>
      <w:r>
        <w:rPr>
          <w:rFonts w:ascii="Arial"/>
          <w:color w:val="000000"/>
          <w:sz w:val="24"/>
        </w:rPr>
        <w:t xml:space="preserve"> </w:t>
      </w:r>
      <w:r>
        <w:rPr>
          <w:rFonts w:ascii="Arial"/>
          <w:color w:val="000000"/>
          <w:sz w:val="24"/>
        </w:rPr>
        <w:t xml:space="preserve">in </w:t>
      </w:r>
      <w:r>
        <w:rPr>
          <w:rFonts w:ascii="Arial"/>
          <w:i/>
          <w:color w:val="000000"/>
          <w:sz w:val="24"/>
        </w:rPr>
        <w:t>Li</w:t>
      </w:r>
      <w:r>
        <w:rPr>
          <w:rFonts w:ascii="Arial"/>
          <w:color w:val="000000"/>
          <w:sz w:val="24"/>
        </w:rPr>
        <w:t xml:space="preserve">, Hayne, </w:t>
      </w:r>
      <w:r>
        <w:rPr>
          <w:rFonts w:ascii="Arial"/>
          <w:color w:val="000000"/>
          <w:sz w:val="24"/>
        </w:rPr>
        <w:t>Kiefel</w:t>
      </w:r>
      <w:r>
        <w:rPr>
          <w:rFonts w:ascii="Arial"/>
          <w:color w:val="000000"/>
          <w:sz w:val="24"/>
        </w:rPr>
        <w:t xml:space="preserve"> </w:t>
      </w:r>
      <w:r>
        <w:rPr>
          <w:rFonts w:ascii="Arial"/>
          <w:color w:val="000000"/>
          <w:sz w:val="24"/>
        </w:rPr>
        <w:t xml:space="preserve">and Bell JJ, at [63] held that the legislature is taken to intend that a discretionary power, statutorily conferred, will be exercised reasonably: </w:t>
      </w:r>
      <w:r>
        <w:rPr>
          <w:rFonts w:ascii="Arial"/>
          <w:color w:val="000000"/>
          <w:sz w:val="24"/>
        </w:rPr>
        <w:t xml:space="preserve">see also </w:t>
      </w:r>
      <w:r>
        <w:rPr>
          <w:rFonts w:ascii="Arial"/>
          <w:i/>
          <w:color w:val="000000"/>
          <w:sz w:val="24"/>
        </w:rPr>
        <w:t>Attorney-General for the States of New South Wales v Quin</w:t>
      </w:r>
      <w:r>
        <w:rPr>
          <w:rFonts w:ascii="Arial"/>
          <w:color w:val="000000"/>
          <w:sz w:val="24"/>
        </w:rPr>
        <w:t xml:space="preserve"> </w:t>
      </w:r>
      <w:r>
        <w:rPr>
          <w:rFonts w:ascii="Arial"/>
          <w:color w:val="000000"/>
          <w:sz w:val="24"/>
        </w:rPr>
        <w:t xml:space="preserve">(1990) 170 CLR 1 at 36; [1990] HCA 21; </w:t>
      </w:r>
      <w:r>
        <w:rPr>
          <w:rFonts w:ascii="Arial"/>
          <w:i/>
          <w:color w:val="000000"/>
          <w:sz w:val="24"/>
        </w:rPr>
        <w:t>Kruger v The Commonwealth</w:t>
      </w:r>
      <w:r>
        <w:rPr>
          <w:rFonts w:ascii="Arial"/>
          <w:color w:val="000000"/>
          <w:sz w:val="24"/>
        </w:rPr>
        <w:t xml:space="preserve"> </w:t>
      </w:r>
      <w:r>
        <w:rPr>
          <w:rFonts w:ascii="Arial"/>
          <w:color w:val="000000"/>
          <w:sz w:val="24"/>
        </w:rPr>
        <w:t xml:space="preserve">(1997) 190 CLR 1 at 36; [1997] HCA 27; </w:t>
      </w:r>
      <w:r>
        <w:rPr>
          <w:rFonts w:ascii="Arial"/>
          <w:i/>
          <w:color w:val="000000"/>
          <w:sz w:val="24"/>
        </w:rPr>
        <w:t>Minister for Immigration and Multicultural Affairs v Eshetu</w:t>
      </w:r>
      <w:r>
        <w:rPr>
          <w:rFonts w:ascii="Arial"/>
          <w:color w:val="000000"/>
          <w:sz w:val="24"/>
        </w:rPr>
        <w:t xml:space="preserve"> </w:t>
      </w:r>
      <w:r>
        <w:rPr>
          <w:rFonts w:ascii="Arial"/>
          <w:color w:val="000000"/>
          <w:sz w:val="24"/>
        </w:rPr>
        <w:t xml:space="preserve">(1999) 197 CLR 611; [1999] HCA 21 at [126]; </w:t>
      </w:r>
      <w:r>
        <w:rPr>
          <w:rFonts w:ascii="Arial"/>
          <w:i/>
          <w:color w:val="000000"/>
          <w:sz w:val="24"/>
        </w:rPr>
        <w:t xml:space="preserve">Minister for Immigration and Citizenship v SZIAI </w:t>
      </w:r>
      <w:r>
        <w:rPr>
          <w:rFonts w:ascii="Arial"/>
          <w:color w:val="000000"/>
          <w:sz w:val="24"/>
        </w:rPr>
        <w:t xml:space="preserve">(2009) 83 ALJR 1123; </w:t>
      </w:r>
      <w:r>
        <w:rPr>
          <w:rFonts w:ascii="Arial"/>
          <w:color w:val="000000"/>
          <w:sz w:val="24"/>
        </w:rPr>
        <w:t>[2009] HCA 39 at [15]. Their Honours went on:</w:t>
      </w:r>
    </w:p>
    <w:p>
      <w:pPr>
        <w:pStyle w:val="CaselawQuote"/>
        <w:spacing w:before="150" w:after="150"/>
        <w:ind w:left="1350"/>
        <w:jc w:val="left"/>
      </w:pPr>
      <w:r>
        <w:rPr>
          <w:rFonts w:ascii="Arial"/>
          <w:color w:val="000000"/>
          <w:sz w:val="22"/>
        </w:rPr>
        <w:t>“</w:t>
      </w:r>
      <w:r>
        <w:rPr>
          <w:rFonts w:ascii="Arial"/>
          <w:color w:val="000000"/>
          <w:sz w:val="22"/>
        </w:rPr>
        <w:t xml:space="preserve">[65] In </w:t>
      </w:r>
      <w:r>
        <w:rPr>
          <w:rFonts w:ascii="Arial"/>
          <w:i/>
          <w:color w:val="000000"/>
          <w:sz w:val="22"/>
        </w:rPr>
        <w:t>Sharp v Wakefield</w:t>
      </w:r>
      <w:r>
        <w:rPr>
          <w:rFonts w:ascii="Arial"/>
          <w:color w:val="000000"/>
          <w:sz w:val="22"/>
        </w:rPr>
        <w:t xml:space="preserve"> [[1891] AC 173 at 179], it was said that when something is to be done within the discretion of an authority, it is to be done according to the rules of reason and justice. That is what is meant by </w:t>
      </w:r>
      <w:r>
        <w:rPr>
          <w:rFonts w:ascii="Arial"/>
          <w:color w:val="000000"/>
          <w:sz w:val="22"/>
        </w:rPr>
        <w:t>“according to law”</w:t>
      </w:r>
      <w:r>
        <w:rPr>
          <w:rFonts w:ascii="Arial"/>
          <w:color w:val="000000"/>
          <w:sz w:val="22"/>
        </w:rPr>
        <w:t xml:space="preserve">. It is to be legal and regular, not arbitrary, vague and fanciful. The discretion must be </w:t>
      </w:r>
      <w:r>
        <w:rPr>
          <w:rFonts w:ascii="Arial"/>
          <w:color w:val="000000"/>
          <w:sz w:val="22"/>
        </w:rPr>
        <w:t>“exercised within the limit, to which an honest man competent to the discharge of his office ought to confine himself”</w:t>
      </w:r>
      <w:r>
        <w:rPr>
          <w:rFonts w:ascii="Arial"/>
          <w:color w:val="000000"/>
          <w:sz w:val="22"/>
        </w:rPr>
        <w:t xml:space="preserve">. It is pointed out in Wade and Forsyth [Administrative Law (Oxford University Press, 10th ed, 2009) at 293-294] that the legal conception of discretion dates from at least the 16th century. In </w:t>
      </w:r>
      <w:r>
        <w:rPr>
          <w:rFonts w:ascii="Arial"/>
          <w:i/>
          <w:color w:val="000000"/>
          <w:sz w:val="22"/>
        </w:rPr>
        <w:t>Sharp v Wakefield</w:t>
      </w:r>
      <w:r>
        <w:rPr>
          <w:rFonts w:ascii="Arial"/>
          <w:color w:val="000000"/>
          <w:sz w:val="22"/>
        </w:rPr>
        <w:t xml:space="preserve">, Lord Halsbury LC had referred to </w:t>
      </w:r>
      <w:r>
        <w:rPr>
          <w:rFonts w:ascii="Arial"/>
          <w:i/>
          <w:color w:val="000000"/>
          <w:sz w:val="22"/>
        </w:rPr>
        <w:t>Rooke’s Case</w:t>
      </w:r>
      <w:r>
        <w:rPr>
          <w:rFonts w:ascii="Arial"/>
          <w:color w:val="000000"/>
          <w:sz w:val="22"/>
        </w:rPr>
        <w:t xml:space="preserve"> [(1597) 5 Co Rep 99b at 100a; 77 ER 209 at 210], in which it was stated that the discretion of commissioners of sewers </w:t>
      </w:r>
      <w:r>
        <w:rPr>
          <w:rFonts w:ascii="Arial"/>
          <w:color w:val="000000"/>
          <w:sz w:val="22"/>
        </w:rPr>
        <w:t>“ought to be limited and bound with the rule of reason and law”.</w:t>
      </w:r>
    </w:p>
    <w:p>
      <w:pPr>
        <w:pStyle w:val="CaselawQuote"/>
        <w:spacing w:before="150" w:after="150"/>
        <w:ind w:left="1350"/>
        <w:jc w:val="left"/>
      </w:pPr>
      <w:r>
        <w:rPr>
          <w:rFonts w:ascii="Arial"/>
          <w:color w:val="000000"/>
          <w:sz w:val="22"/>
        </w:rPr>
        <w:t>[66] This approach does not deny that there is an area within which a decision-maker has a genuinely free discretion. That area resides within the bounds of legal reasonableness. The courts are conscious of not exceeding their supervisory role by undertaking a review of the merits of an exercise of discretionary power. Properly applied, a standard of legal reasonableness does not involve substituting a court’s view as to how a discretion should be exercised for that of a decision-maker. Accepting that the standard of reasonableness is not applied in this way does not, however, explain how it is to be applied and how it is to be tested.</w:t>
      </w:r>
    </w:p>
    <w:p>
      <w:pPr>
        <w:pStyle w:val="CaselawQuote"/>
        <w:spacing w:before="150" w:after="150"/>
        <w:ind w:left="1350"/>
        <w:jc w:val="left"/>
      </w:pPr>
      <w:r>
        <w:rPr>
          <w:rFonts w:ascii="Arial"/>
          <w:color w:val="000000"/>
          <w:sz w:val="22"/>
        </w:rPr>
        <w:t>…</w:t>
      </w:r>
    </w:p>
    <w:p>
      <w:pPr>
        <w:pStyle w:val="CaselawQuote"/>
        <w:spacing w:before="150" w:after="150"/>
        <w:ind w:left="1350"/>
        <w:jc w:val="left"/>
      </w:pPr>
      <w:r>
        <w:rPr>
          <w:rFonts w:ascii="Arial"/>
          <w:color w:val="000000"/>
          <w:sz w:val="22"/>
        </w:rPr>
        <w:t>[68] Lord Greene MR’</w:t>
      </w:r>
      <w:r>
        <w:rPr>
          <w:rFonts w:ascii="Arial"/>
          <w:color w:val="000000"/>
          <w:sz w:val="22"/>
        </w:rPr>
        <w:t xml:space="preserve">s oft-quoted formulation of unreasonableness in </w:t>
      </w:r>
      <w:r>
        <w:rPr>
          <w:rFonts w:ascii="Arial"/>
          <w:i/>
          <w:color w:val="000000"/>
          <w:sz w:val="22"/>
        </w:rPr>
        <w:t>Wednesbury</w:t>
      </w:r>
      <w:r>
        <w:rPr>
          <w:rFonts w:ascii="Arial"/>
          <w:color w:val="000000"/>
          <w:sz w:val="22"/>
        </w:rPr>
        <w:t xml:space="preserve"> has been criticised for </w:t>
      </w:r>
      <w:r>
        <w:rPr>
          <w:rFonts w:ascii="Arial"/>
          <w:color w:val="000000"/>
          <w:sz w:val="22"/>
        </w:rPr>
        <w:t>“circularity and vagueness”</w:t>
      </w:r>
      <w:r>
        <w:rPr>
          <w:rFonts w:ascii="Arial"/>
          <w:color w:val="000000"/>
          <w:sz w:val="22"/>
        </w:rPr>
        <w:t xml:space="preserve">, as have subsequent attempts to clarify it. However, as has been noted, </w:t>
      </w:r>
      <w:r>
        <w:rPr>
          <w:rFonts w:ascii="Arial"/>
          <w:i/>
          <w:color w:val="000000"/>
          <w:sz w:val="22"/>
        </w:rPr>
        <w:t>Wednesbury</w:t>
      </w:r>
      <w:r>
        <w:rPr>
          <w:rFonts w:ascii="Arial"/>
          <w:color w:val="000000"/>
          <w:sz w:val="22"/>
        </w:rPr>
        <w:t xml:space="preserve"> is not the starting point for the standard of reasonableness, nor should it be considered the end point. The legal standard of unreasonableness should not be considered as limited to what is in effect an irrational, if not bizarre, decision – which is to say one that is so unreasonable that no reasonable person could have arrived at it – nor should Lord Greene MR be taken to have limited unreasonableness in this way in his judgment in </w:t>
      </w:r>
      <w:r>
        <w:rPr>
          <w:rFonts w:ascii="Arial"/>
          <w:i/>
          <w:color w:val="000000"/>
          <w:sz w:val="22"/>
        </w:rPr>
        <w:t>Wednesbury</w:t>
      </w:r>
      <w:r>
        <w:rPr>
          <w:rFonts w:ascii="Arial"/>
          <w:color w:val="000000"/>
          <w:sz w:val="22"/>
        </w:rPr>
        <w:t>. This aspect of his Lordship’</w:t>
      </w:r>
      <w:r>
        <w:rPr>
          <w:rFonts w:ascii="Arial"/>
          <w:color w:val="000000"/>
          <w:sz w:val="22"/>
        </w:rPr>
        <w:t xml:space="preserve">s judgment may more sensibly be taken to recognise that an inference of unreasonableness may in some cases be objectively drawn even where a particular error in reasoning cannot be identified. This is recognised by the principles governing the review of a judicial discretion, which, it may be observed, were settled in Australia by </w:t>
      </w:r>
      <w:r>
        <w:rPr>
          <w:rFonts w:ascii="Arial"/>
          <w:i/>
          <w:color w:val="000000"/>
          <w:sz w:val="22"/>
        </w:rPr>
        <w:t>House v The King</w:t>
      </w:r>
      <w:r>
        <w:rPr>
          <w:rFonts w:ascii="Arial"/>
          <w:color w:val="000000"/>
          <w:sz w:val="22"/>
        </w:rPr>
        <w:t xml:space="preserve">, before </w:t>
      </w:r>
      <w:r>
        <w:rPr>
          <w:rFonts w:ascii="Arial"/>
          <w:i/>
          <w:color w:val="000000"/>
          <w:sz w:val="22"/>
        </w:rPr>
        <w:t>Wednesbury</w:t>
      </w:r>
      <w:r>
        <w:rPr>
          <w:rFonts w:ascii="Arial"/>
          <w:i/>
          <w:color w:val="000000"/>
          <w:sz w:val="22"/>
        </w:rPr>
        <w:t xml:space="preserve"> </w:t>
      </w:r>
      <w:r>
        <w:rPr>
          <w:rFonts w:ascii="Arial"/>
          <w:color w:val="000000"/>
          <w:sz w:val="22"/>
        </w:rPr>
        <w:t xml:space="preserve">was decided. And the same principles evidently informed what was said by Dixon J about review of an administrative decision in </w:t>
      </w:r>
      <w:r>
        <w:rPr>
          <w:rFonts w:ascii="Arial"/>
          <w:i/>
          <w:color w:val="000000"/>
          <w:sz w:val="22"/>
        </w:rPr>
        <w:t>Avon Downs Pty Ltd v Federal Commissioner of Taxation</w:t>
      </w:r>
      <w:r>
        <w:rPr>
          <w:rFonts w:ascii="Arial"/>
          <w:color w:val="000000"/>
          <w:sz w:val="22"/>
        </w:rPr>
        <w:t xml:space="preserve">, which was decided less than two years after </w:t>
      </w:r>
      <w:r>
        <w:rPr>
          <w:rFonts w:ascii="Arial"/>
          <w:i/>
          <w:color w:val="000000"/>
          <w:sz w:val="22"/>
        </w:rPr>
        <w:t>Wednesbury</w:t>
      </w:r>
      <w:r>
        <w:rPr>
          <w:rFonts w:ascii="Arial"/>
          <w:color w:val="000000"/>
          <w:sz w:val="22"/>
        </w:rPr>
        <w:t>, at a time when it was the practice of the High Court to follow decisions of the Court of Appeal in England which appeared to have settled the law in a particular area.”</w:t>
      </w:r>
      <w:r>
        <w:rPr>
          <w:rFonts w:ascii="Arial"/>
          <w:color w:val="000000"/>
          <w:sz w:val="22"/>
        </w:rPr>
        <w:t xml:space="preserve"> (Footnotes omitted.)</w:t>
      </w:r>
    </w:p>
    <w:p>
      <w:pPr>
        <w:pStyle w:val="CaselawNumbered10"/>
        <w:numPr>
          <w:ilvl w:val="0"/>
          <w:numId w:val="92"/>
        </w:numPr>
        <w:spacing w:before="150" w:after="0"/>
        <w:ind w:left="600" w:hanging="600"/>
      </w:pPr>
      <w:r>
        <w:rPr>
          <w:rFonts w:ascii="Arial"/>
          <w:color w:val="000000"/>
          <w:sz w:val="24"/>
        </w:rPr>
        <w:t>Gageler</w:t>
      </w:r>
      <w:r>
        <w:rPr>
          <w:rFonts w:ascii="Arial"/>
          <w:color w:val="000000"/>
          <w:sz w:val="24"/>
        </w:rPr>
        <w:t xml:space="preserve"> </w:t>
      </w:r>
      <w:r>
        <w:rPr>
          <w:rFonts w:ascii="Arial"/>
          <w:color w:val="000000"/>
          <w:sz w:val="24"/>
        </w:rPr>
        <w:t>J said:</w:t>
      </w:r>
    </w:p>
    <w:p>
      <w:pPr>
        <w:pStyle w:val="CaselawQuote"/>
        <w:spacing w:before="150" w:after="150"/>
        <w:ind w:left="1350"/>
        <w:jc w:val="left"/>
      </w:pPr>
      <w:r>
        <w:rPr>
          <w:rFonts w:ascii="Arial"/>
          <w:color w:val="000000"/>
          <w:sz w:val="22"/>
        </w:rPr>
        <w:t>“[90] Implication of reasonableness as a condition of the exercise of a discretionary power conferred by statute is no different from implication of reasonableness as a condition of an opinion or state of satisfaction required by statute as a prerequisite to an exercise of a statutory power or performance of a statutory duty [</w:t>
      </w:r>
      <w:r>
        <w:rPr>
          <w:rFonts w:ascii="Arial"/>
          <w:i/>
          <w:color w:val="000000"/>
          <w:sz w:val="22"/>
        </w:rPr>
        <w:t xml:space="preserve">R v Connell; Ex </w:t>
      </w:r>
      <w:r>
        <w:rPr>
          <w:rFonts w:ascii="Arial"/>
          <w:i/>
          <w:color w:val="000000"/>
          <w:sz w:val="22"/>
        </w:rPr>
        <w:t>parte</w:t>
      </w:r>
      <w:r>
        <w:rPr>
          <w:rFonts w:ascii="Arial"/>
          <w:i/>
          <w:color w:val="000000"/>
          <w:sz w:val="22"/>
        </w:rPr>
        <w:t xml:space="preserve"> The Hetton Bellbird Collieries Ltd </w:t>
      </w:r>
      <w:r>
        <w:rPr>
          <w:rFonts w:ascii="Arial"/>
          <w:color w:val="000000"/>
          <w:sz w:val="22"/>
        </w:rPr>
        <w:t xml:space="preserve">(1944) 69 CLR 407 at 432; [1944] HCA 42; </w:t>
      </w:r>
      <w:r>
        <w:rPr>
          <w:rFonts w:ascii="Arial"/>
          <w:i/>
          <w:color w:val="000000"/>
          <w:sz w:val="22"/>
        </w:rPr>
        <w:t>Enfield City Corporation v Development Assessment Commission</w:t>
      </w:r>
      <w:r>
        <w:rPr>
          <w:rFonts w:ascii="Arial"/>
          <w:color w:val="000000"/>
          <w:sz w:val="22"/>
        </w:rPr>
        <w:t xml:space="preserve"> (2000) 199 CLR 135 at [34]; [2000] HCA 5]. Each is a manifestation of the general and deeply rooted common law principle of construction that such decision-making authority as is conferred by statute must be exercised according to law and to reason within limits set by the subject-matter, scope and purposes of the statute [</w:t>
      </w:r>
      <w:r>
        <w:rPr>
          <w:rFonts w:ascii="Arial"/>
          <w:i/>
          <w:color w:val="000000"/>
          <w:sz w:val="22"/>
        </w:rPr>
        <w:t>Sharp v Wakefield</w:t>
      </w:r>
      <w:r>
        <w:rPr>
          <w:rFonts w:ascii="Arial"/>
          <w:color w:val="000000"/>
          <w:sz w:val="22"/>
        </w:rPr>
        <w:t xml:space="preserve"> [1891] AC 173 at 179, cited in </w:t>
      </w:r>
      <w:r>
        <w:rPr>
          <w:rFonts w:ascii="Arial"/>
          <w:i/>
          <w:color w:val="000000"/>
          <w:sz w:val="22"/>
        </w:rPr>
        <w:t xml:space="preserve">R v Connell; Ex </w:t>
      </w:r>
      <w:r>
        <w:rPr>
          <w:rFonts w:ascii="Arial"/>
          <w:i/>
          <w:color w:val="000000"/>
          <w:sz w:val="22"/>
        </w:rPr>
        <w:t>parte</w:t>
      </w:r>
      <w:r>
        <w:rPr>
          <w:rFonts w:ascii="Arial"/>
          <w:i/>
          <w:color w:val="000000"/>
          <w:sz w:val="22"/>
        </w:rPr>
        <w:t xml:space="preserve"> The Hetton Bellbird Collieries Ltd</w:t>
      </w:r>
      <w:r>
        <w:rPr>
          <w:rFonts w:ascii="Arial"/>
          <w:color w:val="000000"/>
          <w:sz w:val="22"/>
        </w:rPr>
        <w:t xml:space="preserve"> (1944) 69 CLR 407 at 431; [1944] HCA 42 and in </w:t>
      </w:r>
      <w:r>
        <w:rPr>
          <w:rFonts w:ascii="Arial"/>
          <w:i/>
          <w:color w:val="000000"/>
          <w:sz w:val="22"/>
        </w:rPr>
        <w:t>Shrimpton v The Commonwealth</w:t>
      </w:r>
      <w:r>
        <w:rPr>
          <w:rFonts w:ascii="Arial"/>
          <w:color w:val="000000"/>
          <w:sz w:val="22"/>
        </w:rPr>
        <w:t xml:space="preserve"> (1945) 69 CLR 613 at 620; [1945] HCA 4. See generally </w:t>
      </w:r>
      <w:r>
        <w:rPr>
          <w:rFonts w:ascii="Arial"/>
          <w:i/>
          <w:color w:val="000000"/>
          <w:sz w:val="22"/>
        </w:rPr>
        <w:t xml:space="preserve">R v Anderson; Ex </w:t>
      </w:r>
      <w:r>
        <w:rPr>
          <w:rFonts w:ascii="Arial"/>
          <w:i/>
          <w:color w:val="000000"/>
          <w:sz w:val="22"/>
        </w:rPr>
        <w:t>parte</w:t>
      </w:r>
      <w:r>
        <w:rPr>
          <w:rFonts w:ascii="Arial"/>
          <w:i/>
          <w:color w:val="000000"/>
          <w:sz w:val="22"/>
        </w:rPr>
        <w:t xml:space="preserve"> </w:t>
      </w:r>
      <w:r>
        <w:rPr>
          <w:rFonts w:ascii="Arial"/>
          <w:i/>
          <w:color w:val="000000"/>
          <w:sz w:val="22"/>
        </w:rPr>
        <w:t>Ipec-Air Pty Ltd</w:t>
      </w:r>
      <w:r>
        <w:rPr>
          <w:rFonts w:ascii="Arial"/>
          <w:color w:val="000000"/>
          <w:sz w:val="22"/>
        </w:rPr>
        <w:t xml:space="preserve"> (1965) 113 CLR 177 at 189; [1965] HCA 27; </w:t>
      </w:r>
      <w:r>
        <w:rPr>
          <w:rFonts w:ascii="Arial"/>
          <w:i/>
          <w:color w:val="000000"/>
          <w:sz w:val="22"/>
        </w:rPr>
        <w:t>Murphyores</w:t>
      </w:r>
      <w:r>
        <w:rPr>
          <w:rFonts w:ascii="Arial"/>
          <w:i/>
          <w:color w:val="000000"/>
          <w:sz w:val="22"/>
        </w:rPr>
        <w:t xml:space="preserve"> Incorporated Pty Ltd v The Commonwealth</w:t>
      </w:r>
      <w:r>
        <w:rPr>
          <w:rFonts w:ascii="Arial"/>
          <w:color w:val="000000"/>
          <w:sz w:val="22"/>
        </w:rPr>
        <w:t xml:space="preserve"> (1976) 136 CLR 1 at 17-18; [1976] HCA 20; </w:t>
      </w:r>
      <w:r>
        <w:rPr>
          <w:rFonts w:ascii="Arial"/>
          <w:i/>
          <w:color w:val="000000"/>
          <w:sz w:val="22"/>
        </w:rPr>
        <w:t xml:space="preserve">Minister for Immigration and Multicultural Affairs v Jia </w:t>
      </w:r>
      <w:r>
        <w:rPr>
          <w:rFonts w:ascii="Arial"/>
          <w:i/>
          <w:color w:val="000000"/>
          <w:sz w:val="22"/>
        </w:rPr>
        <w:t>Legeng</w:t>
      </w:r>
      <w:r>
        <w:rPr>
          <w:rFonts w:ascii="Arial"/>
          <w:color w:val="000000"/>
          <w:sz w:val="22"/>
        </w:rPr>
        <w:t xml:space="preserve"> (2001) 205 CLR 507 at [62]; [2001] HCA 17].</w:t>
      </w:r>
      <w:r>
        <w:rPr>
          <w:rFonts w:ascii="Arial"/>
          <w:color w:val="000000"/>
          <w:sz w:val="22"/>
        </w:rPr>
        <w:t>”</w:t>
      </w:r>
    </w:p>
    <w:p>
      <w:pPr>
        <w:pStyle w:val="CaselawNumbered10"/>
        <w:numPr>
          <w:ilvl w:val="0"/>
          <w:numId w:val="93"/>
        </w:numPr>
        <w:spacing w:before="150" w:after="0"/>
        <w:ind w:left="600" w:hanging="600"/>
      </w:pPr>
      <w:r>
        <w:rPr>
          <w:rFonts w:ascii="Arial"/>
          <w:color w:val="000000"/>
          <w:sz w:val="24"/>
        </w:rPr>
        <w:t xml:space="preserve">In this case, </w:t>
      </w:r>
      <w:r>
        <w:rPr>
          <w:rFonts w:ascii="Arial"/>
          <w:color w:val="000000"/>
          <w:sz w:val="24"/>
        </w:rPr>
        <w:t xml:space="preserve">it was common ground that </w:t>
      </w:r>
      <w:r>
        <w:rPr>
          <w:rFonts w:ascii="Arial"/>
          <w:color w:val="000000"/>
          <w:sz w:val="24"/>
        </w:rPr>
        <w:t>there is an implication that a certifier will act reasonably in exercising the function set out in s 6.5(1)(a) of the EPA Act of issuing construction certificates</w:t>
      </w:r>
      <w:r>
        <w:rPr>
          <w:rFonts w:ascii="Arial"/>
          <w:color w:val="000000"/>
          <w:sz w:val="24"/>
        </w:rPr>
        <w:t>.</w:t>
      </w:r>
      <w:r>
        <w:rPr>
          <w:rFonts w:ascii="Arial"/>
          <w:color w:val="000000"/>
          <w:sz w:val="24"/>
        </w:rPr>
        <w:t xml:space="preserve"> </w:t>
      </w:r>
    </w:p>
    <w:p>
      <w:pPr>
        <w:pStyle w:val="CaselawHeading4"/>
        <w:keepNext/>
        <w:spacing w:before="150" w:after="150" w:line="264"/>
        <w:ind w:left="600"/>
        <w:jc w:val="left"/>
      </w:pPr>
      <w:r>
        <w:rPr>
          <w:rFonts w:ascii="Arial"/>
        </w:rPr>
        <w:t xml:space="preserve">The meaning of </w:t>
      </w:r>
      <w:r>
        <w:rPr>
          <w:rFonts w:ascii="Arial"/>
        </w:rPr>
        <w:t>“consistent”</w:t>
      </w:r>
      <w:r>
        <w:rPr>
          <w:rFonts w:ascii="Arial"/>
        </w:rPr>
        <w:t xml:space="preserve"> </w:t>
      </w:r>
    </w:p>
    <w:p>
      <w:pPr>
        <w:pStyle w:val="CaselawNumbered10"/>
        <w:numPr>
          <w:ilvl w:val="0"/>
          <w:numId w:val="94"/>
        </w:numPr>
        <w:spacing w:before="150" w:after="0"/>
        <w:ind w:left="600" w:hanging="600"/>
      </w:pPr>
      <w:r>
        <w:rPr>
          <w:rFonts w:ascii="Arial"/>
          <w:color w:val="000000"/>
          <w:sz w:val="24"/>
        </w:rPr>
        <w:t xml:space="preserve">Before addressing unreasonableness in the context of a decision to issue a construction certificate, it is first necessary to address the meaning of </w:t>
      </w:r>
      <w:r>
        <w:rPr>
          <w:rFonts w:ascii="Arial"/>
          <w:color w:val="000000"/>
          <w:sz w:val="24"/>
        </w:rPr>
        <w:t>“</w:t>
      </w:r>
      <w:r>
        <w:rPr>
          <w:rFonts w:ascii="Arial"/>
          <w:color w:val="000000"/>
          <w:sz w:val="24"/>
        </w:rPr>
        <w:t>consistent</w:t>
      </w:r>
      <w:r>
        <w:rPr>
          <w:rFonts w:ascii="Arial"/>
          <w:color w:val="000000"/>
          <w:sz w:val="24"/>
        </w:rPr>
        <w:t>”</w:t>
      </w:r>
      <w:r>
        <w:rPr>
          <w:rFonts w:ascii="Arial"/>
          <w:color w:val="000000"/>
          <w:sz w:val="24"/>
        </w:rPr>
        <w:t xml:space="preserve"> </w:t>
      </w:r>
      <w:r>
        <w:rPr>
          <w:rFonts w:ascii="Arial"/>
          <w:color w:val="000000"/>
          <w:sz w:val="24"/>
        </w:rPr>
        <w:t xml:space="preserve">in </w:t>
      </w:r>
      <w:r>
        <w:rPr>
          <w:rFonts w:ascii="Arial"/>
          <w:color w:val="000000"/>
          <w:sz w:val="24"/>
        </w:rPr>
        <w:t xml:space="preserve">cl </w:t>
      </w:r>
      <w:r>
        <w:rPr>
          <w:rFonts w:ascii="Arial"/>
          <w:color w:val="000000"/>
          <w:sz w:val="24"/>
        </w:rPr>
        <w:t>19 of the Certification Regulation</w:t>
      </w:r>
      <w:r>
        <w:rPr>
          <w:rFonts w:ascii="Arial"/>
          <w:color w:val="000000"/>
          <w:sz w:val="24"/>
        </w:rPr>
        <w:t xml:space="preserve"> </w:t>
      </w:r>
      <w:r>
        <w:rPr>
          <w:rFonts w:ascii="Arial"/>
          <w:color w:val="000000"/>
          <w:sz w:val="24"/>
        </w:rPr>
        <w:t xml:space="preserve">and </w:t>
      </w:r>
      <w:r>
        <w:rPr>
          <w:rFonts w:ascii="Arial"/>
          <w:color w:val="000000"/>
          <w:sz w:val="24"/>
        </w:rPr>
        <w:t>s 6.32 of the EPA Act</w:t>
      </w:r>
      <w:r>
        <w:rPr>
          <w:rFonts w:ascii="Arial"/>
          <w:color w:val="000000"/>
          <w:sz w:val="24"/>
        </w:rPr>
        <w:t>.</w:t>
      </w:r>
      <w:r>
        <w:rPr>
          <w:rFonts w:ascii="Arial"/>
          <w:color w:val="000000"/>
          <w:sz w:val="24"/>
        </w:rPr>
        <w:t xml:space="preserve"> </w:t>
      </w:r>
    </w:p>
    <w:p>
      <w:pPr>
        <w:pStyle w:val="CaselawNumbered10"/>
        <w:numPr>
          <w:ilvl w:val="0"/>
          <w:numId w:val="94"/>
        </w:numPr>
        <w:spacing w:before="150" w:after="0"/>
        <w:ind w:left="600" w:hanging="600"/>
      </w:pPr>
      <w:r>
        <w:rPr>
          <w:rFonts w:ascii="Arial"/>
          <w:color w:val="000000"/>
          <w:sz w:val="24"/>
        </w:rPr>
        <w:t xml:space="preserve">In </w:t>
      </w:r>
      <w:r>
        <w:rPr>
          <w:rFonts w:ascii="Arial"/>
          <w:i/>
          <w:color w:val="000000"/>
          <w:sz w:val="24"/>
        </w:rPr>
        <w:t>Ralan</w:t>
      </w:r>
      <w:r>
        <w:rPr>
          <w:rFonts w:ascii="Arial"/>
          <w:color w:val="000000"/>
          <w:sz w:val="24"/>
        </w:rPr>
        <w:t>, Sackville AJA explained:</w:t>
      </w:r>
    </w:p>
    <w:p>
      <w:pPr>
        <w:pStyle w:val="CaselawQuote"/>
        <w:spacing w:before="150" w:after="150"/>
        <w:ind w:left="1350"/>
        <w:jc w:val="left"/>
      </w:pPr>
      <w:r>
        <w:rPr>
          <w:rFonts w:ascii="Arial"/>
          <w:color w:val="000000"/>
          <w:sz w:val="22"/>
        </w:rPr>
        <w:t>“</w:t>
      </w:r>
      <w:r>
        <w:rPr>
          <w:rFonts w:ascii="Arial"/>
          <w:color w:val="000000"/>
          <w:sz w:val="22"/>
        </w:rPr>
        <w:t xml:space="preserve">[147] The ordinary meaning of </w:t>
      </w:r>
      <w:r>
        <w:rPr>
          <w:rFonts w:ascii="Arial"/>
          <w:color w:val="000000"/>
          <w:sz w:val="22"/>
        </w:rPr>
        <w:t>“inconsistent”</w:t>
      </w:r>
      <w:r>
        <w:rPr>
          <w:rFonts w:ascii="Arial"/>
          <w:color w:val="000000"/>
          <w:sz w:val="22"/>
        </w:rPr>
        <w:t xml:space="preserve"> includes </w:t>
      </w:r>
      <w:r>
        <w:rPr>
          <w:rFonts w:ascii="Arial"/>
          <w:color w:val="000000"/>
          <w:sz w:val="22"/>
        </w:rPr>
        <w:t>“lacking in harmony between different parts or elements”</w:t>
      </w:r>
      <w:r>
        <w:rPr>
          <w:rFonts w:ascii="Arial"/>
          <w:color w:val="000000"/>
          <w:sz w:val="22"/>
        </w:rPr>
        <w:t xml:space="preserve"> or </w:t>
      </w:r>
      <w:r>
        <w:rPr>
          <w:rFonts w:ascii="Arial"/>
          <w:color w:val="000000"/>
          <w:sz w:val="22"/>
        </w:rPr>
        <w:t>“self-contradictory”</w:t>
      </w:r>
      <w:r>
        <w:rPr>
          <w:rFonts w:ascii="Arial"/>
          <w:color w:val="000000"/>
          <w:sz w:val="22"/>
        </w:rPr>
        <w:t xml:space="preserve"> (Macquarie Dictionary); </w:t>
      </w:r>
      <w:r>
        <w:rPr>
          <w:rFonts w:ascii="Arial"/>
          <w:color w:val="000000"/>
          <w:sz w:val="22"/>
        </w:rPr>
        <w:t>“discrepancy”</w:t>
      </w:r>
      <w:r>
        <w:rPr>
          <w:rFonts w:ascii="Arial"/>
          <w:color w:val="000000"/>
          <w:sz w:val="22"/>
        </w:rPr>
        <w:t xml:space="preserve"> or </w:t>
      </w:r>
      <w:r>
        <w:rPr>
          <w:rFonts w:ascii="Arial"/>
          <w:color w:val="000000"/>
          <w:sz w:val="22"/>
        </w:rPr>
        <w:t>“incongruity”</w:t>
      </w:r>
      <w:r>
        <w:rPr>
          <w:rFonts w:ascii="Arial"/>
          <w:color w:val="000000"/>
          <w:sz w:val="22"/>
        </w:rPr>
        <w:t xml:space="preserve"> (Shorter Oxford English Dictionary). There is no reason to think that the expression </w:t>
      </w:r>
      <w:r>
        <w:rPr>
          <w:rFonts w:ascii="Arial"/>
          <w:color w:val="000000"/>
          <w:sz w:val="22"/>
        </w:rPr>
        <w:t>“not inconsistent”</w:t>
      </w:r>
      <w:r>
        <w:rPr>
          <w:rFonts w:ascii="Arial"/>
          <w:color w:val="000000"/>
          <w:sz w:val="22"/>
        </w:rPr>
        <w:t xml:space="preserve"> is used in anything other than its ordinary meaning: see </w:t>
      </w:r>
      <w:r>
        <w:rPr>
          <w:rFonts w:ascii="Arial"/>
          <w:i/>
          <w:color w:val="000000"/>
          <w:sz w:val="22"/>
        </w:rPr>
        <w:t xml:space="preserve">Coffs Harbour Environment </w:t>
      </w:r>
      <w:r>
        <w:rPr>
          <w:rFonts w:ascii="Arial"/>
          <w:i/>
          <w:color w:val="000000"/>
          <w:sz w:val="22"/>
        </w:rPr>
        <w:t>Centre Inc v Minister for Planning</w:t>
      </w:r>
      <w:r>
        <w:rPr>
          <w:rFonts w:ascii="Arial"/>
          <w:color w:val="000000"/>
          <w:sz w:val="22"/>
        </w:rPr>
        <w:t xml:space="preserve"> (1994) 84 LGERA 324 at 331 (Kirby P) (construing s 36 of the EPA Act which concerns </w:t>
      </w:r>
      <w:r>
        <w:rPr>
          <w:rFonts w:ascii="Arial"/>
          <w:color w:val="000000"/>
          <w:sz w:val="22"/>
        </w:rPr>
        <w:t>“inconsistency”</w:t>
      </w:r>
      <w:r>
        <w:rPr>
          <w:rFonts w:ascii="Arial"/>
          <w:color w:val="000000"/>
          <w:sz w:val="22"/>
        </w:rPr>
        <w:t xml:space="preserve"> between environmental planning instruments). On this basis, his Honour should have directed attention to whether the two sets of specifications were inconsistent, in the sense of lacking harmony between different elements or lacking congruity.</w:t>
      </w:r>
    </w:p>
    <w:p>
      <w:pPr>
        <w:pStyle w:val="CaselawQuote"/>
        <w:spacing w:before="150" w:after="150"/>
        <w:ind w:left="1350"/>
        <w:jc w:val="left"/>
      </w:pPr>
      <w:r>
        <w:rPr>
          <w:rFonts w:ascii="Arial"/>
          <w:color w:val="000000"/>
          <w:sz w:val="22"/>
        </w:rPr>
        <w:t xml:space="preserve">[148] No doubt this is not a straightforward task. Not every difference between the DA and the plans and specifications furnished to the certifying authority and approved in the CCs amounts to an inconsistency in the relevant sense. As Lloyd J observed in </w:t>
      </w:r>
      <w:r>
        <w:rPr>
          <w:rFonts w:ascii="Arial"/>
          <w:i/>
          <w:color w:val="000000"/>
          <w:sz w:val="22"/>
        </w:rPr>
        <w:t>El Cheikh v Hurstville City Council</w:t>
      </w:r>
      <w:r>
        <w:rPr>
          <w:rFonts w:ascii="Arial"/>
          <w:color w:val="000000"/>
          <w:sz w:val="22"/>
        </w:rPr>
        <w:t xml:space="preserve"> [2001] NSWLEC 175; 115 LGERA 425 at [74], albeit in another context, a difference does not necessarily constitute an inconsistency. Some adjustment to approved plans and specifications, as the primary Judge suggested, may be inevitable in a large and complex project. (See also the observations of Sperling J (Sully and Simpson JJ agreeing) in </w:t>
      </w:r>
      <w:r>
        <w:rPr>
          <w:rFonts w:ascii="Arial"/>
          <w:i/>
          <w:color w:val="000000"/>
          <w:sz w:val="22"/>
        </w:rPr>
        <w:t>Moy v Warringah Council</w:t>
      </w:r>
      <w:r>
        <w:rPr>
          <w:rFonts w:ascii="Arial"/>
          <w:color w:val="000000"/>
          <w:sz w:val="22"/>
        </w:rPr>
        <w:t xml:space="preserve"> [2004] NSWCCA 77; 133 LGERA 49 at [59]-[82]).</w:t>
      </w:r>
    </w:p>
    <w:p>
      <w:pPr>
        <w:pStyle w:val="CaselawQuote"/>
        <w:spacing w:before="150" w:after="150"/>
        <w:ind w:left="1350"/>
        <w:jc w:val="left"/>
      </w:pPr>
      <w:r>
        <w:rPr>
          <w:rFonts w:ascii="Arial"/>
          <w:color w:val="000000"/>
          <w:sz w:val="22"/>
        </w:rPr>
        <w:t xml:space="preserve">[149] But the question of inconsistency was not to be resolved by asking whether Mr Bowers had, or thought he had, aesthetic or other reasons for changing the approved plans and specifications (see Primary Judgment at [326]). Nor was it a matter of whether the variations could reasonably be regarded as improving the external appearance of the building. It was also not to the point that, as his Honour found (at [325]), Mr Bowers had not </w:t>
      </w:r>
      <w:r>
        <w:rPr>
          <w:rFonts w:ascii="Arial"/>
          <w:color w:val="000000"/>
          <w:sz w:val="22"/>
        </w:rPr>
        <w:t>“deliberately ignored the question of whether his changes might, in some cases, warrant the making of a modification application”. To address the Council’</w:t>
      </w:r>
      <w:r>
        <w:rPr>
          <w:rFonts w:ascii="Arial"/>
          <w:color w:val="000000"/>
          <w:sz w:val="22"/>
        </w:rPr>
        <w:t xml:space="preserve">s contention, it was </w:t>
      </w:r>
      <w:r>
        <w:rPr>
          <w:rFonts w:ascii="Arial"/>
          <w:color w:val="000000"/>
          <w:sz w:val="22"/>
        </w:rPr>
        <w:t>necessary to make findings as to the nature and extent of the variations to the approval plans and specifications. It was then necessary to make a judgment as to whether the variations were or were not inconsistent, in the relevant sense, with the plans and specifications approved in the DA. The primary Judge did not undertake these tasks.”</w:t>
      </w:r>
    </w:p>
    <w:p>
      <w:pPr>
        <w:pStyle w:val="CaselawNumbered10"/>
        <w:numPr>
          <w:ilvl w:val="0"/>
          <w:numId w:val="95"/>
        </w:numPr>
        <w:spacing w:before="150" w:after="0"/>
        <w:ind w:left="600" w:hanging="600"/>
      </w:pPr>
      <w:r>
        <w:rPr>
          <w:rFonts w:ascii="Arial"/>
          <w:color w:val="000000"/>
          <w:sz w:val="24"/>
        </w:rPr>
        <w:t>A number of matters may be noticed ar</w:t>
      </w:r>
      <w:r>
        <w:rPr>
          <w:rFonts w:ascii="Arial"/>
          <w:color w:val="000000"/>
          <w:sz w:val="24"/>
        </w:rPr>
        <w:t>i</w:t>
      </w:r>
      <w:r>
        <w:rPr>
          <w:rFonts w:ascii="Arial"/>
          <w:color w:val="000000"/>
          <w:sz w:val="24"/>
        </w:rPr>
        <w:t>sing from these important passages:</w:t>
      </w:r>
    </w:p>
    <w:p>
      <w:pPr>
        <w:pStyle w:val="CaselawNumbered1"/>
        <w:numPr>
          <w:ilvl w:val="0"/>
          <w:numId w:val="96"/>
        </w:numPr>
        <w:spacing w:before="150" w:after="0"/>
        <w:ind w:left="1350" w:hanging="750"/>
      </w:pPr>
      <w:r>
        <w:rPr>
          <w:rFonts w:ascii="Arial"/>
          <w:color w:val="000000"/>
          <w:sz w:val="24"/>
        </w:rPr>
        <w:t xml:space="preserve">In determining whether a </w:t>
      </w:r>
      <w:r>
        <w:rPr>
          <w:rFonts w:ascii="Arial"/>
          <w:color w:val="000000"/>
          <w:sz w:val="24"/>
        </w:rPr>
        <w:t xml:space="preserve">construction certificate </w:t>
      </w:r>
      <w:r>
        <w:rPr>
          <w:rFonts w:ascii="Arial"/>
          <w:color w:val="000000"/>
          <w:sz w:val="24"/>
        </w:rPr>
        <w:t xml:space="preserve">was inconsistent with a </w:t>
      </w:r>
      <w:r>
        <w:rPr>
          <w:rFonts w:ascii="Arial"/>
          <w:color w:val="000000"/>
          <w:sz w:val="24"/>
        </w:rPr>
        <w:t xml:space="preserve">development consent </w:t>
      </w:r>
      <w:r>
        <w:rPr>
          <w:rFonts w:ascii="Arial"/>
          <w:color w:val="000000"/>
          <w:sz w:val="24"/>
        </w:rPr>
        <w:t>the ultimate question is whether the</w:t>
      </w:r>
      <w:r>
        <w:rPr>
          <w:rFonts w:ascii="Arial"/>
          <w:color w:val="000000"/>
          <w:sz w:val="24"/>
        </w:rPr>
        <w:t xml:space="preserve"> </w:t>
      </w:r>
      <w:r>
        <w:rPr>
          <w:rFonts w:ascii="Arial"/>
          <w:color w:val="000000"/>
          <w:sz w:val="24"/>
        </w:rPr>
        <w:t xml:space="preserve">two sets of </w:t>
      </w:r>
      <w:r>
        <w:rPr>
          <w:rFonts w:ascii="Arial"/>
          <w:color w:val="000000"/>
          <w:sz w:val="24"/>
        </w:rPr>
        <w:t>“</w:t>
      </w:r>
      <w:r>
        <w:rPr>
          <w:rFonts w:ascii="Arial"/>
          <w:color w:val="000000"/>
          <w:sz w:val="24"/>
        </w:rPr>
        <w:t>specifications</w:t>
      </w:r>
      <w:r>
        <w:rPr>
          <w:rFonts w:ascii="Arial"/>
          <w:color w:val="000000"/>
          <w:sz w:val="24"/>
        </w:rPr>
        <w:t>”</w:t>
      </w:r>
      <w:r>
        <w:rPr>
          <w:rFonts w:ascii="Arial"/>
          <w:color w:val="000000"/>
          <w:sz w:val="24"/>
        </w:rPr>
        <w:t xml:space="preserve"> </w:t>
      </w:r>
      <w:r>
        <w:rPr>
          <w:rFonts w:ascii="Arial"/>
          <w:color w:val="000000"/>
          <w:sz w:val="24"/>
        </w:rPr>
        <w:t xml:space="preserve">are </w:t>
      </w:r>
      <w:r>
        <w:rPr>
          <w:rFonts w:ascii="Arial"/>
          <w:color w:val="000000"/>
          <w:sz w:val="24"/>
        </w:rPr>
        <w:t>inconsistent, in the sense of lacking harmony between different elements or lacking congruity.</w:t>
      </w:r>
      <w:r>
        <w:rPr>
          <w:rFonts w:ascii="Arial"/>
          <w:color w:val="000000"/>
          <w:sz w:val="24"/>
        </w:rPr>
        <w:t xml:space="preserve"> </w:t>
      </w:r>
      <w:r>
        <w:rPr>
          <w:rFonts w:ascii="Arial"/>
          <w:color w:val="000000"/>
          <w:sz w:val="24"/>
        </w:rPr>
        <w:t>As Sackville AJA said</w:t>
      </w:r>
      <w:r>
        <w:rPr>
          <w:rFonts w:ascii="Arial"/>
          <w:color w:val="000000"/>
          <w:sz w:val="24"/>
        </w:rPr>
        <w:t>:</w:t>
      </w:r>
      <w:r>
        <w:rPr>
          <w:rFonts w:ascii="Arial"/>
          <w:color w:val="000000"/>
          <w:sz w:val="24"/>
        </w:rPr>
        <w:t xml:space="preserve"> </w:t>
      </w:r>
      <w:r>
        <w:rPr>
          <w:rFonts w:ascii="Arial"/>
          <w:color w:val="000000"/>
          <w:sz w:val="24"/>
        </w:rPr>
        <w:t>“</w:t>
      </w:r>
      <w:r>
        <w:rPr>
          <w:rFonts w:ascii="Arial"/>
          <w:color w:val="000000"/>
          <w:sz w:val="24"/>
        </w:rPr>
        <w:t>No doubt this is not a straightforward task</w:t>
      </w:r>
      <w:r>
        <w:rPr>
          <w:rFonts w:ascii="Arial"/>
          <w:color w:val="000000"/>
          <w:sz w:val="24"/>
        </w:rPr>
        <w:t>”</w:t>
      </w:r>
      <w:r>
        <w:rPr>
          <w:rFonts w:ascii="Arial"/>
          <w:color w:val="000000"/>
          <w:sz w:val="24"/>
        </w:rPr>
        <w:t>.</w:t>
      </w:r>
    </w:p>
    <w:p>
      <w:pPr>
        <w:pStyle w:val="CaselawNumbered1"/>
        <w:numPr>
          <w:ilvl w:val="0"/>
          <w:numId w:val="96"/>
        </w:numPr>
        <w:spacing w:before="150" w:after="0"/>
        <w:ind w:left="1350" w:hanging="750"/>
      </w:pPr>
      <w:r>
        <w:rPr>
          <w:rFonts w:ascii="Arial"/>
          <w:color w:val="000000"/>
          <w:sz w:val="24"/>
        </w:rPr>
        <w:t>It bears emphasis that n</w:t>
      </w:r>
      <w:r>
        <w:rPr>
          <w:rFonts w:ascii="Arial"/>
          <w:color w:val="000000"/>
          <w:sz w:val="24"/>
        </w:rPr>
        <w:t xml:space="preserve">ot every difference between </w:t>
      </w:r>
      <w:r>
        <w:rPr>
          <w:rFonts w:ascii="Arial"/>
          <w:color w:val="000000"/>
          <w:sz w:val="24"/>
        </w:rPr>
        <w:t>a</w:t>
      </w:r>
      <w:r>
        <w:rPr>
          <w:rFonts w:ascii="Arial"/>
          <w:color w:val="000000"/>
          <w:sz w:val="24"/>
        </w:rPr>
        <w:t xml:space="preserve"> </w:t>
      </w:r>
      <w:r>
        <w:rPr>
          <w:rFonts w:ascii="Arial"/>
          <w:color w:val="000000"/>
          <w:sz w:val="24"/>
        </w:rPr>
        <w:t xml:space="preserve">development consent </w:t>
      </w:r>
      <w:r>
        <w:rPr>
          <w:rFonts w:ascii="Arial"/>
          <w:color w:val="000000"/>
          <w:sz w:val="24"/>
        </w:rPr>
        <w:t xml:space="preserve">and the plans and specifications furnished to the certifying authority and approved in the </w:t>
      </w:r>
      <w:r>
        <w:rPr>
          <w:rFonts w:ascii="Arial"/>
          <w:color w:val="000000"/>
          <w:sz w:val="24"/>
        </w:rPr>
        <w:t xml:space="preserve">construction certificate </w:t>
      </w:r>
      <w:r>
        <w:rPr>
          <w:rFonts w:ascii="Arial"/>
          <w:color w:val="000000"/>
          <w:sz w:val="24"/>
        </w:rPr>
        <w:t>amounts to an inconsistency in the relevant sense</w:t>
      </w:r>
      <w:r>
        <w:rPr>
          <w:rFonts w:ascii="Arial"/>
          <w:color w:val="000000"/>
          <w:sz w:val="24"/>
        </w:rPr>
        <w:t>. A</w:t>
      </w:r>
      <w:r>
        <w:rPr>
          <w:rFonts w:ascii="Arial"/>
          <w:color w:val="000000"/>
          <w:sz w:val="24"/>
        </w:rPr>
        <w:t xml:space="preserve"> </w:t>
      </w:r>
      <w:r>
        <w:rPr>
          <w:rFonts w:ascii="Arial"/>
          <w:color w:val="000000"/>
          <w:sz w:val="24"/>
        </w:rPr>
        <w:t>difference does not necessarily constitute an inconsistency. Some adjustment to approved plans and specifications</w:t>
      </w:r>
      <w:r>
        <w:rPr>
          <w:rFonts w:ascii="Arial"/>
          <w:color w:val="000000"/>
          <w:sz w:val="24"/>
        </w:rPr>
        <w:t xml:space="preserve"> </w:t>
      </w:r>
      <w:r>
        <w:rPr>
          <w:rFonts w:ascii="Arial"/>
          <w:color w:val="000000"/>
          <w:sz w:val="24"/>
        </w:rPr>
        <w:t xml:space="preserve">are likely </w:t>
      </w:r>
      <w:r>
        <w:rPr>
          <w:rFonts w:ascii="Arial"/>
          <w:color w:val="000000"/>
          <w:sz w:val="24"/>
        </w:rPr>
        <w:t>inevitable in a large and complex project.</w:t>
      </w:r>
    </w:p>
    <w:p>
      <w:pPr>
        <w:pStyle w:val="CaselawNumbered1"/>
        <w:numPr>
          <w:ilvl w:val="0"/>
          <w:numId w:val="96"/>
        </w:numPr>
        <w:spacing w:before="150" w:after="0"/>
        <w:ind w:left="1350" w:hanging="750"/>
      </w:pPr>
      <w:r>
        <w:rPr>
          <w:rFonts w:ascii="Arial"/>
          <w:color w:val="000000"/>
          <w:sz w:val="24"/>
        </w:rPr>
        <w:t xml:space="preserve">The task in determining </w:t>
      </w:r>
      <w:r>
        <w:rPr>
          <w:rFonts w:ascii="Arial"/>
          <w:color w:val="000000"/>
          <w:sz w:val="24"/>
        </w:rPr>
        <w:t>“</w:t>
      </w:r>
      <w:r>
        <w:rPr>
          <w:rFonts w:ascii="Arial"/>
          <w:color w:val="000000"/>
          <w:sz w:val="24"/>
        </w:rPr>
        <w:t>inconsistency</w:t>
      </w:r>
      <w:r>
        <w:rPr>
          <w:rFonts w:ascii="Arial"/>
          <w:color w:val="000000"/>
          <w:sz w:val="24"/>
        </w:rPr>
        <w:t>”</w:t>
      </w:r>
      <w:r>
        <w:rPr>
          <w:rFonts w:ascii="Arial"/>
          <w:color w:val="000000"/>
          <w:sz w:val="24"/>
        </w:rPr>
        <w:t xml:space="preserve"> </w:t>
      </w:r>
      <w:r>
        <w:rPr>
          <w:rFonts w:ascii="Arial"/>
          <w:color w:val="000000"/>
          <w:sz w:val="24"/>
        </w:rPr>
        <w:t xml:space="preserve">is </w:t>
      </w:r>
      <w:r>
        <w:rPr>
          <w:rFonts w:ascii="Arial"/>
          <w:color w:val="000000"/>
          <w:sz w:val="24"/>
        </w:rPr>
        <w:t xml:space="preserve">to make findings </w:t>
      </w:r>
      <w:r>
        <w:rPr>
          <w:rFonts w:ascii="Arial"/>
          <w:color w:val="000000"/>
          <w:sz w:val="24"/>
        </w:rPr>
        <w:t>about</w:t>
      </w:r>
      <w:r>
        <w:rPr>
          <w:rFonts w:ascii="Arial"/>
          <w:color w:val="000000"/>
          <w:sz w:val="24"/>
        </w:rPr>
        <w:t xml:space="preserve"> </w:t>
      </w:r>
      <w:r>
        <w:rPr>
          <w:rFonts w:ascii="Arial"/>
          <w:color w:val="000000"/>
          <w:sz w:val="24"/>
        </w:rPr>
        <w:t xml:space="preserve">the nature and extent of the variations to the approval plans and specifications. It </w:t>
      </w:r>
      <w:r>
        <w:rPr>
          <w:rFonts w:ascii="Arial"/>
          <w:color w:val="000000"/>
          <w:sz w:val="24"/>
        </w:rPr>
        <w:t>is</w:t>
      </w:r>
      <w:r>
        <w:rPr>
          <w:rFonts w:ascii="Arial"/>
          <w:color w:val="000000"/>
          <w:sz w:val="24"/>
        </w:rPr>
        <w:t xml:space="preserve"> </w:t>
      </w:r>
      <w:r>
        <w:rPr>
          <w:rFonts w:ascii="Arial"/>
          <w:color w:val="000000"/>
          <w:sz w:val="24"/>
        </w:rPr>
        <w:t>then necessary to make a</w:t>
      </w:r>
      <w:r>
        <w:rPr>
          <w:rFonts w:ascii="Arial"/>
          <w:color w:val="000000"/>
          <w:sz w:val="24"/>
        </w:rPr>
        <w:t xml:space="preserve">n evaluative </w:t>
      </w:r>
      <w:r>
        <w:rPr>
          <w:rFonts w:ascii="Arial"/>
          <w:color w:val="000000"/>
          <w:sz w:val="24"/>
        </w:rPr>
        <w:t xml:space="preserve">judgment as to whether the variations were or were not inconsistent, in the relevant sense, with the plans and specifications approved in the </w:t>
      </w:r>
      <w:r>
        <w:rPr>
          <w:rFonts w:ascii="Arial"/>
          <w:color w:val="000000"/>
          <w:sz w:val="24"/>
        </w:rPr>
        <w:t>development consent</w:t>
      </w:r>
      <w:r>
        <w:rPr>
          <w:rFonts w:ascii="Arial"/>
          <w:color w:val="000000"/>
          <w:sz w:val="24"/>
        </w:rPr>
        <w:t>.</w:t>
      </w:r>
    </w:p>
    <w:p>
      <w:pPr>
        <w:pStyle w:val="CaselawNumbered10"/>
        <w:numPr>
          <w:ilvl w:val="0"/>
          <w:numId w:val="97"/>
        </w:numPr>
        <w:spacing w:before="150" w:after="0"/>
        <w:ind w:left="600" w:hanging="600"/>
      </w:pPr>
      <w:r>
        <w:rPr>
          <w:rFonts w:ascii="Arial"/>
          <w:color w:val="000000"/>
          <w:sz w:val="24"/>
        </w:rPr>
        <w:t>As</w:t>
      </w:r>
      <w:r>
        <w:rPr>
          <w:rFonts w:ascii="Arial"/>
          <w:color w:val="000000"/>
          <w:sz w:val="24"/>
        </w:rPr>
        <w:t xml:space="preserve"> </w:t>
      </w:r>
      <w:r>
        <w:rPr>
          <w:rFonts w:ascii="Arial"/>
          <w:color w:val="000000"/>
          <w:sz w:val="24"/>
        </w:rPr>
        <w:t>I</w:t>
      </w:r>
      <w:r>
        <w:rPr>
          <w:rFonts w:ascii="Arial"/>
          <w:color w:val="000000"/>
          <w:sz w:val="24"/>
        </w:rPr>
        <w:t xml:space="preserve"> </w:t>
      </w:r>
      <w:r>
        <w:rPr>
          <w:rFonts w:ascii="Arial"/>
          <w:color w:val="000000"/>
          <w:sz w:val="24"/>
        </w:rPr>
        <w:t xml:space="preserve">have earlier said, </w:t>
      </w:r>
      <w:r>
        <w:rPr>
          <w:rFonts w:ascii="Arial"/>
          <w:color w:val="000000"/>
          <w:sz w:val="24"/>
        </w:rPr>
        <w:t>there is no challenge to the primary judge</w:t>
      </w:r>
      <w:r>
        <w:rPr>
          <w:rFonts w:ascii="Arial"/>
          <w:color w:val="000000"/>
          <w:sz w:val="24"/>
        </w:rPr>
        <w:t>’</w:t>
      </w:r>
      <w:r>
        <w:rPr>
          <w:rFonts w:ascii="Arial"/>
          <w:color w:val="000000"/>
          <w:sz w:val="24"/>
        </w:rPr>
        <w:t xml:space="preserve">s finding that the </w:t>
      </w:r>
      <w:r>
        <w:rPr>
          <w:rFonts w:ascii="Arial"/>
          <w:color w:val="000000"/>
          <w:sz w:val="24"/>
        </w:rPr>
        <w:t xml:space="preserve">construction certificate </w:t>
      </w:r>
      <w:r>
        <w:rPr>
          <w:rFonts w:ascii="Arial"/>
          <w:color w:val="000000"/>
          <w:sz w:val="24"/>
        </w:rPr>
        <w:t xml:space="preserve">was inconsistent with the </w:t>
      </w:r>
      <w:r>
        <w:rPr>
          <w:rFonts w:ascii="Arial"/>
          <w:color w:val="000000"/>
          <w:sz w:val="24"/>
        </w:rPr>
        <w:t xml:space="preserve">development consent </w:t>
      </w:r>
      <w:r>
        <w:rPr>
          <w:rFonts w:ascii="Arial"/>
          <w:color w:val="000000"/>
          <w:sz w:val="24"/>
        </w:rPr>
        <w:t xml:space="preserve">in the manner identified. </w:t>
      </w:r>
    </w:p>
    <w:p>
      <w:pPr>
        <w:pStyle w:val="CaselawHeading4"/>
        <w:keepNext/>
        <w:spacing w:before="150" w:after="150" w:line="264"/>
        <w:ind w:left="600"/>
        <w:jc w:val="left"/>
      </w:pPr>
      <w:r>
        <w:rPr>
          <w:rFonts w:ascii="Arial"/>
        </w:rPr>
        <w:t>What does unreasonableness provide in the context of a decision to issue a construction certificate?</w:t>
      </w:r>
    </w:p>
    <w:p>
      <w:pPr>
        <w:pStyle w:val="CaselawNumbered10"/>
        <w:numPr>
          <w:ilvl w:val="0"/>
          <w:numId w:val="98"/>
        </w:numPr>
        <w:spacing w:before="150" w:after="0"/>
        <w:ind w:left="600" w:hanging="600"/>
      </w:pPr>
      <w:r>
        <w:rPr>
          <w:rFonts w:ascii="Arial"/>
          <w:color w:val="000000"/>
          <w:sz w:val="24"/>
        </w:rPr>
        <w:t xml:space="preserve">Although </w:t>
      </w:r>
      <w:r>
        <w:rPr>
          <w:rFonts w:ascii="Arial"/>
          <w:i/>
          <w:color w:val="000000"/>
          <w:sz w:val="24"/>
        </w:rPr>
        <w:t xml:space="preserve">Corowa v </w:t>
      </w:r>
      <w:r>
        <w:rPr>
          <w:rFonts w:ascii="Arial"/>
          <w:i/>
          <w:color w:val="000000"/>
          <w:sz w:val="24"/>
        </w:rPr>
        <w:t>Geographe</w:t>
      </w:r>
      <w:r>
        <w:rPr>
          <w:rFonts w:ascii="Arial"/>
          <w:i/>
          <w:color w:val="000000"/>
          <w:sz w:val="24"/>
        </w:rPr>
        <w:t xml:space="preserve"> Point Pty Ltd &amp; Anor</w:t>
      </w:r>
      <w:r>
        <w:rPr>
          <w:rFonts w:ascii="Arial"/>
          <w:color w:val="000000"/>
          <w:sz w:val="24"/>
        </w:rPr>
        <w:t xml:space="preserve"> </w:t>
      </w:r>
      <w:r>
        <w:rPr>
          <w:rFonts w:ascii="Arial"/>
          <w:color w:val="000000"/>
          <w:sz w:val="24"/>
        </w:rPr>
        <w:t xml:space="preserve">[2007] NSWLEC 121 </w:t>
      </w:r>
      <w:r>
        <w:rPr>
          <w:rFonts w:ascii="Arial"/>
          <w:color w:val="000000"/>
          <w:sz w:val="24"/>
        </w:rPr>
        <w:t>was decided</w:t>
      </w:r>
      <w:r>
        <w:rPr>
          <w:rFonts w:ascii="Arial"/>
          <w:color w:val="000000"/>
          <w:sz w:val="24"/>
        </w:rPr>
        <w:t xml:space="preserve"> </w:t>
      </w:r>
      <w:r>
        <w:rPr>
          <w:rFonts w:ascii="Arial"/>
          <w:color w:val="000000"/>
          <w:sz w:val="24"/>
        </w:rPr>
        <w:t>when cl 145</w:t>
      </w:r>
      <w:r>
        <w:rPr>
          <w:rFonts w:ascii="Arial"/>
          <w:color w:val="000000"/>
          <w:sz w:val="24"/>
        </w:rPr>
        <w:t xml:space="preserve"> </w:t>
      </w:r>
      <w:r>
        <w:rPr>
          <w:rFonts w:ascii="Arial"/>
          <w:color w:val="000000"/>
          <w:sz w:val="24"/>
        </w:rPr>
        <w:t xml:space="preserve">of the </w:t>
      </w:r>
      <w:r>
        <w:rPr>
          <w:rFonts w:ascii="Arial"/>
          <w:i/>
          <w:color w:val="000000"/>
          <w:sz w:val="24"/>
        </w:rPr>
        <w:t xml:space="preserve">Environmental Planning and Assessment Regulation 2000 </w:t>
      </w:r>
      <w:r>
        <w:rPr>
          <w:rFonts w:ascii="Arial"/>
          <w:color w:val="000000"/>
          <w:sz w:val="24"/>
        </w:rPr>
        <w:t>(NSW)</w:t>
      </w:r>
      <w:r>
        <w:rPr>
          <w:rFonts w:ascii="Arial"/>
          <w:color w:val="000000"/>
          <w:sz w:val="24"/>
        </w:rPr>
        <w:t xml:space="preserve"> </w:t>
      </w:r>
      <w:r>
        <w:rPr>
          <w:rFonts w:ascii="Arial"/>
          <w:color w:val="000000"/>
          <w:sz w:val="24"/>
        </w:rPr>
        <w:t>required the satisfaction of the certifier</w:t>
      </w:r>
      <w:r>
        <w:rPr>
          <w:rStyle w:val="FootnoteReference"/>
          <w:color w:val="000000"/>
        </w:rPr>
        <w:footnoteReference w:id="2"/>
      </w:r>
      <w:r>
        <w:rPr>
          <w:rFonts w:ascii="Arial"/>
          <w:color w:val="000000"/>
          <w:sz w:val="24"/>
        </w:rPr>
        <w:t xml:space="preserve"> </w:t>
      </w:r>
      <w:r>
        <w:rPr>
          <w:rFonts w:ascii="Arial"/>
          <w:color w:val="000000"/>
          <w:sz w:val="24"/>
        </w:rPr>
        <w:t xml:space="preserve">and </w:t>
      </w:r>
      <w:r>
        <w:rPr>
          <w:rFonts w:ascii="Arial"/>
          <w:color w:val="000000"/>
          <w:sz w:val="24"/>
        </w:rPr>
        <w:t xml:space="preserve">before </w:t>
      </w:r>
      <w:r>
        <w:rPr>
          <w:rFonts w:ascii="Arial"/>
          <w:i/>
          <w:color w:val="000000"/>
          <w:sz w:val="24"/>
        </w:rPr>
        <w:t>Ralan</w:t>
      </w:r>
      <w:r>
        <w:rPr>
          <w:rFonts w:ascii="Arial"/>
          <w:color w:val="000000"/>
          <w:sz w:val="24"/>
        </w:rPr>
        <w:t xml:space="preserve"> </w:t>
      </w:r>
      <w:r>
        <w:rPr>
          <w:rFonts w:ascii="Arial"/>
          <w:color w:val="000000"/>
          <w:sz w:val="24"/>
        </w:rPr>
        <w:t xml:space="preserve">established that inconsistency with a development consent did not render a construction certificate invalid, </w:t>
      </w:r>
      <w:r>
        <w:rPr>
          <w:rFonts w:ascii="Arial"/>
          <w:color w:val="000000"/>
          <w:sz w:val="24"/>
        </w:rPr>
        <w:t>Jagot</w:t>
      </w:r>
      <w:r>
        <w:rPr>
          <w:rFonts w:ascii="Arial"/>
          <w:color w:val="000000"/>
          <w:sz w:val="24"/>
        </w:rPr>
        <w:t xml:space="preserve"> </w:t>
      </w:r>
      <w:r>
        <w:rPr>
          <w:rFonts w:ascii="Arial"/>
          <w:color w:val="000000"/>
          <w:sz w:val="24"/>
        </w:rPr>
        <w:t>J</w:t>
      </w:r>
      <w:r>
        <w:rPr>
          <w:rFonts w:ascii="Arial"/>
          <w:color w:val="000000"/>
          <w:sz w:val="24"/>
        </w:rPr>
        <w:t>, when her Honour was a judge of the Land and Environment Court,</w:t>
      </w:r>
      <w:r>
        <w:rPr>
          <w:rFonts w:ascii="Arial"/>
          <w:color w:val="000000"/>
          <w:sz w:val="24"/>
        </w:rPr>
        <w:t xml:space="preserve"> </w:t>
      </w:r>
      <w:r>
        <w:rPr>
          <w:rFonts w:ascii="Arial"/>
          <w:color w:val="000000"/>
          <w:sz w:val="24"/>
        </w:rPr>
        <w:t>usefully</w:t>
      </w:r>
      <w:r>
        <w:rPr>
          <w:rFonts w:ascii="Arial"/>
          <w:color w:val="000000"/>
          <w:sz w:val="24"/>
        </w:rPr>
        <w:t xml:space="preserve"> </w:t>
      </w:r>
      <w:r>
        <w:rPr>
          <w:rFonts w:ascii="Arial"/>
          <w:color w:val="000000"/>
          <w:sz w:val="24"/>
        </w:rPr>
        <w:t xml:space="preserve">summarised the </w:t>
      </w:r>
      <w:r>
        <w:rPr>
          <w:rFonts w:ascii="Arial"/>
          <w:color w:val="000000"/>
          <w:sz w:val="24"/>
        </w:rPr>
        <w:t xml:space="preserve">correct approach to a claim of manifest unreasonableness in relation to </w:t>
      </w:r>
      <w:r>
        <w:rPr>
          <w:rFonts w:ascii="Arial"/>
          <w:color w:val="000000"/>
          <w:sz w:val="24"/>
        </w:rPr>
        <w:t xml:space="preserve">the issue of </w:t>
      </w:r>
      <w:r>
        <w:rPr>
          <w:rFonts w:ascii="Arial"/>
          <w:color w:val="000000"/>
          <w:sz w:val="24"/>
        </w:rPr>
        <w:t>a construction certificate:</w:t>
      </w:r>
    </w:p>
    <w:p>
      <w:pPr>
        <w:pStyle w:val="CaselawQuote"/>
        <w:spacing w:before="150" w:after="150"/>
        <w:ind w:left="1350"/>
        <w:jc w:val="left"/>
      </w:pPr>
      <w:r>
        <w:rPr>
          <w:rFonts w:ascii="Arial"/>
          <w:color w:val="000000"/>
          <w:sz w:val="22"/>
        </w:rPr>
        <w:t>“</w:t>
      </w:r>
      <w:r>
        <w:rPr>
          <w:rFonts w:ascii="Arial"/>
          <w:color w:val="000000"/>
          <w:sz w:val="22"/>
        </w:rPr>
        <w:t xml:space="preserve">[92] Construction certificates are regulated by Pt 4A of the EPA Act. The statutory provisions have not materially altered since the Council issued the construction certificate (8 March 2006). Section 109C(1)(b) provides that a construction certificate is a certificate to the effect that work completed in accordance with specified plans and specifications will comply with the requirements of the regulations referred to in s 81A(5). Section 81A(5) enables the regulations to make provision concerning the issue of certificates for the erection of buildings and the subdivision of land. Section 80(12) provides that a construction certificate and any approved plans and specifications issued with respect to it are taken to form part of the relevant development consent (other than for the purposes of s 96). Clause 145(2) provides that a certifying authority must not issue a construction certificate for subdivision work unless it is satisfied that the design and construction of the work (as depicted in the plans and specifications and as described in any other information furnished to the certifying authority under cl 140) are not inconsistent with the development consent. The question </w:t>
      </w:r>
      <w:r>
        <w:rPr>
          <w:rFonts w:ascii="Arial"/>
          <w:color w:val="000000"/>
          <w:sz w:val="22"/>
        </w:rPr>
        <w:t>“whether or not there is a breach of a provision of the Act will depend in part on the proper construction of the provision in question”</w:t>
      </w:r>
      <w:r>
        <w:rPr>
          <w:rFonts w:ascii="Arial"/>
          <w:color w:val="000000"/>
          <w:sz w:val="22"/>
        </w:rPr>
        <w:t xml:space="preserve"> </w:t>
      </w:r>
      <w:r>
        <w:rPr>
          <w:rFonts w:ascii="Arial"/>
          <w:color w:val="000000"/>
          <w:sz w:val="22"/>
        </w:rPr>
        <w:t>(</w:t>
      </w:r>
      <w:r>
        <w:rPr>
          <w:rFonts w:ascii="Arial"/>
          <w:i/>
          <w:color w:val="000000"/>
          <w:sz w:val="22"/>
        </w:rPr>
        <w:t>Lesnewski</w:t>
      </w:r>
      <w:r>
        <w:rPr>
          <w:rFonts w:ascii="Arial"/>
          <w:i/>
          <w:color w:val="000000"/>
          <w:sz w:val="22"/>
        </w:rPr>
        <w:t xml:space="preserve"> v Mosman Municipal Council</w:t>
      </w:r>
      <w:r>
        <w:rPr>
          <w:rFonts w:ascii="Arial"/>
          <w:color w:val="000000"/>
          <w:sz w:val="22"/>
        </w:rPr>
        <w:t xml:space="preserve"> (2005) 138 LGERA 207 at [82]). The relevant pre-condition to the issue of the construction certificate was the state of satisfaction of the certifying authority (in this case, the Council) that the design and construction of the work depicted in the construction certificate documents was not inconsistent with the development consent. Accordingly, an allegation of inconsistency, of itself, cannot found breach (see </w:t>
      </w:r>
      <w:r>
        <w:rPr>
          <w:rFonts w:ascii="Arial"/>
          <w:i/>
          <w:color w:val="000000"/>
          <w:sz w:val="22"/>
        </w:rPr>
        <w:t>Lesnewski</w:t>
      </w:r>
      <w:r>
        <w:rPr>
          <w:rFonts w:ascii="Arial"/>
          <w:color w:val="000000"/>
          <w:sz w:val="22"/>
        </w:rPr>
        <w:t xml:space="preserve"> at [82]). It follows that the only claim capable of founding breach in this case was that the Council</w:t>
      </w:r>
      <w:r>
        <w:rPr>
          <w:rFonts w:ascii="Arial"/>
          <w:color w:val="000000"/>
          <w:sz w:val="22"/>
        </w:rPr>
        <w:t>’s state of satisfaction was manifestly unreasonable.</w:t>
      </w:r>
    </w:p>
    <w:p>
      <w:pPr>
        <w:pStyle w:val="CaselawQuote"/>
        <w:spacing w:before="150" w:after="150"/>
        <w:ind w:left="1350"/>
        <w:jc w:val="left"/>
      </w:pPr>
      <w:r>
        <w:rPr>
          <w:rFonts w:ascii="Arial"/>
          <w:color w:val="000000"/>
          <w:sz w:val="22"/>
        </w:rPr>
        <w:t xml:space="preserve">[93] </w:t>
      </w:r>
      <w:r>
        <w:rPr>
          <w:rFonts w:ascii="Arial"/>
          <w:b/>
          <w:i/>
          <w:color w:val="000000"/>
          <w:sz w:val="22"/>
        </w:rPr>
        <w:t>The resolution of that claim requires comparison between the construction certificate and the development consent before the construction certificate was granted (given the effect of s 80(12)).</w:t>
      </w:r>
      <w:r>
        <w:rPr>
          <w:rFonts w:ascii="Arial"/>
          <w:color w:val="000000"/>
          <w:sz w:val="22"/>
        </w:rPr>
        <w:t xml:space="preserve"> Mr Corowa</w:t>
      </w:r>
      <w:r>
        <w:rPr>
          <w:rFonts w:ascii="Arial"/>
          <w:color w:val="000000"/>
          <w:sz w:val="22"/>
        </w:rPr>
        <w:t>’</w:t>
      </w:r>
      <w:r>
        <w:rPr>
          <w:rFonts w:ascii="Arial"/>
          <w:color w:val="000000"/>
          <w:sz w:val="22"/>
        </w:rPr>
        <w:t xml:space="preserve">s essential complaint is that the development consent required the development to be completed in accordance with the statement of environmental effects and figure 1.0 prepared by </w:t>
      </w:r>
      <w:r>
        <w:rPr>
          <w:rFonts w:ascii="Arial"/>
          <w:color w:val="000000"/>
          <w:sz w:val="22"/>
        </w:rPr>
        <w:t>Blueland</w:t>
      </w:r>
      <w:r>
        <w:rPr>
          <w:rFonts w:ascii="Arial"/>
          <w:color w:val="000000"/>
          <w:sz w:val="22"/>
        </w:rPr>
        <w:t xml:space="preserve"> engineers dated August 2004, except where varied by the conditions of consent (see condition 1). The text of the statement of environmental effects apparently represented that most trees and vegetation on lot 121 would be retained. Yet many trees and vegetation on lot 121 have been removed. In these circumstances, it is not difficult to understand a sense of grievance about the development application process in this case. Nevertheless, the Court </w:t>
      </w:r>
      <w:r>
        <w:rPr>
          <w:rFonts w:ascii="Arial"/>
          <w:color w:val="000000"/>
          <w:sz w:val="22"/>
        </w:rPr>
        <w:t>“has no jurisdiction to cure administrative injustice or error”</w:t>
      </w:r>
      <w:r>
        <w:rPr>
          <w:rFonts w:ascii="Arial"/>
          <w:color w:val="000000"/>
          <w:sz w:val="22"/>
        </w:rPr>
        <w:t xml:space="preserve"> (Quin at 36). </w:t>
      </w:r>
      <w:r>
        <w:rPr>
          <w:rFonts w:ascii="Arial"/>
          <w:b/>
          <w:i/>
          <w:color w:val="000000"/>
          <w:sz w:val="22"/>
        </w:rPr>
        <w:t>The issues are to be resolved by proper construction of the development consent and construction certificate, and application of the well-known principles applying to claims of manifest unreasonableness</w:t>
      </w:r>
      <w:r>
        <w:rPr>
          <w:rFonts w:ascii="Arial"/>
          <w:color w:val="000000"/>
          <w:sz w:val="22"/>
        </w:rPr>
        <w:t>…”(emphasis added)</w:t>
      </w:r>
    </w:p>
    <w:p>
      <w:pPr>
        <w:pStyle w:val="CaselawNumbered10"/>
        <w:numPr>
          <w:ilvl w:val="0"/>
          <w:numId w:val="99"/>
        </w:numPr>
        <w:spacing w:before="150" w:after="0"/>
        <w:ind w:left="600" w:hanging="600"/>
      </w:pPr>
      <w:r>
        <w:rPr>
          <w:rFonts w:ascii="Arial"/>
          <w:color w:val="000000"/>
          <w:sz w:val="24"/>
        </w:rPr>
        <w:t>Jagot</w:t>
      </w:r>
      <w:r>
        <w:rPr>
          <w:rFonts w:ascii="Arial"/>
          <w:color w:val="000000"/>
          <w:sz w:val="24"/>
        </w:rPr>
        <w:t xml:space="preserve"> </w:t>
      </w:r>
      <w:r>
        <w:rPr>
          <w:rFonts w:ascii="Arial"/>
          <w:color w:val="000000"/>
          <w:sz w:val="24"/>
        </w:rPr>
        <w:t xml:space="preserve">J emphasised that </w:t>
      </w:r>
      <w:r>
        <w:rPr>
          <w:rFonts w:ascii="Arial"/>
          <w:color w:val="000000"/>
          <w:sz w:val="24"/>
        </w:rPr>
        <w:t xml:space="preserve">the </w:t>
      </w:r>
      <w:r>
        <w:rPr>
          <w:rFonts w:ascii="Arial"/>
          <w:color w:val="000000"/>
          <w:sz w:val="24"/>
        </w:rPr>
        <w:t>well known</w:t>
      </w:r>
      <w:r>
        <w:rPr>
          <w:rFonts w:ascii="Arial"/>
          <w:color w:val="000000"/>
          <w:sz w:val="24"/>
        </w:rPr>
        <w:t xml:space="preserve"> </w:t>
      </w:r>
      <w:r>
        <w:rPr>
          <w:rFonts w:ascii="Arial"/>
          <w:color w:val="000000"/>
          <w:sz w:val="24"/>
        </w:rPr>
        <w:t xml:space="preserve">principles applying to claims of manifest unreasonableness including the </w:t>
      </w:r>
      <w:r>
        <w:rPr>
          <w:rFonts w:ascii="Arial"/>
          <w:color w:val="000000"/>
          <w:sz w:val="24"/>
        </w:rPr>
        <w:t>“</w:t>
      </w:r>
      <w:r>
        <w:rPr>
          <w:rFonts w:ascii="Arial"/>
          <w:color w:val="000000"/>
          <w:sz w:val="24"/>
        </w:rPr>
        <w:t>stringent threshold required to make good a claim of manifest unreasonableness</w:t>
      </w:r>
      <w:r>
        <w:rPr>
          <w:rFonts w:ascii="Arial"/>
          <w:color w:val="000000"/>
          <w:sz w:val="24"/>
        </w:rPr>
        <w:t>”</w:t>
      </w:r>
      <w:r>
        <w:rPr>
          <w:rFonts w:ascii="Arial"/>
          <w:color w:val="000000"/>
          <w:sz w:val="24"/>
        </w:rPr>
        <w:t xml:space="preserve"> </w:t>
      </w:r>
      <w:r>
        <w:rPr>
          <w:rFonts w:ascii="Arial"/>
          <w:color w:val="000000"/>
          <w:sz w:val="24"/>
        </w:rPr>
        <w:t xml:space="preserve">at [97]. </w:t>
      </w:r>
    </w:p>
    <w:p>
      <w:pPr>
        <w:pStyle w:val="CaselawHeading4"/>
        <w:keepNext/>
        <w:spacing w:before="150" w:after="150" w:line="264"/>
        <w:ind w:left="600"/>
        <w:jc w:val="left"/>
      </w:pPr>
      <w:r>
        <w:rPr>
          <w:rFonts w:ascii="Arial"/>
        </w:rPr>
        <w:t xml:space="preserve">Inconsistency </w:t>
      </w:r>
      <w:r>
        <w:rPr>
          <w:rFonts w:ascii="Arial"/>
        </w:rPr>
        <w:t>and</w:t>
      </w:r>
      <w:r>
        <w:rPr>
          <w:rFonts w:ascii="Arial"/>
        </w:rPr>
        <w:t xml:space="preserve"> unreasonableness</w:t>
      </w:r>
    </w:p>
    <w:p>
      <w:pPr>
        <w:pStyle w:val="CaselawNumbered10"/>
        <w:numPr>
          <w:ilvl w:val="0"/>
          <w:numId w:val="100"/>
        </w:numPr>
        <w:spacing w:before="150" w:after="0"/>
        <w:ind w:left="600" w:hanging="600"/>
      </w:pPr>
      <w:r>
        <w:rPr>
          <w:rFonts w:ascii="Arial"/>
          <w:color w:val="000000"/>
          <w:sz w:val="24"/>
        </w:rPr>
        <w:t>It was common ground that t</w:t>
      </w:r>
      <w:r>
        <w:rPr>
          <w:rFonts w:ascii="Arial"/>
          <w:color w:val="000000"/>
          <w:sz w:val="24"/>
        </w:rPr>
        <w:t xml:space="preserve">he statutory powers exercised by the certifier under the EPA Act and the Certification Regulation </w:t>
      </w:r>
      <w:r>
        <w:rPr>
          <w:rFonts w:ascii="Arial"/>
          <w:color w:val="000000"/>
          <w:sz w:val="24"/>
        </w:rPr>
        <w:t xml:space="preserve">to issue a construction certificate </w:t>
      </w:r>
      <w:r>
        <w:rPr>
          <w:rFonts w:ascii="Arial"/>
          <w:color w:val="000000"/>
          <w:sz w:val="24"/>
        </w:rPr>
        <w:t xml:space="preserve">are subject to the implied statutory condition that they are to be exercised within the bounds of reasonableness: </w:t>
      </w:r>
      <w:r>
        <w:rPr>
          <w:rFonts w:ascii="Arial"/>
          <w:i/>
          <w:color w:val="000000"/>
          <w:sz w:val="24"/>
        </w:rPr>
        <w:t xml:space="preserve">Li </w:t>
      </w:r>
      <w:r>
        <w:rPr>
          <w:rFonts w:ascii="Arial"/>
          <w:color w:val="000000"/>
          <w:sz w:val="24"/>
        </w:rPr>
        <w:t>at 351-2 (French CJ), 370-1 (</w:t>
      </w:r>
      <w:r>
        <w:rPr>
          <w:rFonts w:ascii="Arial"/>
          <w:color w:val="000000"/>
          <w:sz w:val="24"/>
        </w:rPr>
        <w:t>Gageler</w:t>
      </w:r>
      <w:r>
        <w:rPr>
          <w:rFonts w:ascii="Arial"/>
          <w:color w:val="000000"/>
          <w:sz w:val="24"/>
        </w:rPr>
        <w:t xml:space="preserve"> </w:t>
      </w:r>
      <w:r>
        <w:rPr>
          <w:rFonts w:ascii="Arial"/>
          <w:color w:val="000000"/>
          <w:sz w:val="24"/>
        </w:rPr>
        <w:t>J).</w:t>
      </w:r>
      <w:r>
        <w:rPr>
          <w:rFonts w:ascii="Arial"/>
          <w:color w:val="000000"/>
          <w:sz w:val="24"/>
        </w:rPr>
        <w:t xml:space="preserve"> </w:t>
      </w:r>
      <w:r>
        <w:rPr>
          <w:rFonts w:ascii="Arial"/>
          <w:color w:val="000000"/>
          <w:sz w:val="24"/>
        </w:rPr>
        <w:t xml:space="preserve">That is, it was common ground that the decision of the certifier was amenable to judicial review for </w:t>
      </w:r>
      <w:r>
        <w:rPr>
          <w:rFonts w:ascii="Arial"/>
          <w:color w:val="000000"/>
          <w:sz w:val="24"/>
        </w:rPr>
        <w:t xml:space="preserve">legal </w:t>
      </w:r>
      <w:r>
        <w:rPr>
          <w:rFonts w:ascii="Arial"/>
          <w:color w:val="000000"/>
          <w:sz w:val="24"/>
        </w:rPr>
        <w:t>unreasonableness.</w:t>
      </w:r>
    </w:p>
    <w:p>
      <w:pPr>
        <w:pStyle w:val="CaselawNumbered10"/>
        <w:numPr>
          <w:ilvl w:val="0"/>
          <w:numId w:val="100"/>
        </w:numPr>
        <w:spacing w:before="150" w:after="0"/>
        <w:ind w:left="600" w:hanging="600"/>
      </w:pPr>
      <w:r>
        <w:rPr>
          <w:rFonts w:ascii="Arial"/>
          <w:color w:val="000000"/>
          <w:sz w:val="24"/>
        </w:rPr>
        <w:t>No decision of this Court has considered the scope of judicial review for legal unreasonableness of a certifier</w:t>
      </w:r>
      <w:r>
        <w:rPr>
          <w:rFonts w:ascii="Arial"/>
          <w:color w:val="000000"/>
          <w:sz w:val="24"/>
        </w:rPr>
        <w:t>’</w:t>
      </w:r>
      <w:r>
        <w:rPr>
          <w:rFonts w:ascii="Arial"/>
          <w:color w:val="000000"/>
          <w:sz w:val="24"/>
        </w:rPr>
        <w:t xml:space="preserve">s decision to issue a </w:t>
      </w:r>
      <w:r>
        <w:rPr>
          <w:rFonts w:ascii="Arial"/>
          <w:color w:val="000000"/>
          <w:sz w:val="24"/>
        </w:rPr>
        <w:t>construction certificate</w:t>
      </w:r>
      <w:r>
        <w:rPr>
          <w:rFonts w:ascii="Arial"/>
          <w:color w:val="000000"/>
          <w:sz w:val="24"/>
        </w:rPr>
        <w:t xml:space="preserve"> </w:t>
      </w:r>
      <w:r>
        <w:rPr>
          <w:rFonts w:ascii="Arial"/>
          <w:color w:val="000000"/>
          <w:sz w:val="24"/>
        </w:rPr>
        <w:t>under the current statutory regime</w:t>
      </w:r>
      <w:r>
        <w:rPr>
          <w:rFonts w:ascii="Arial"/>
          <w:color w:val="000000"/>
          <w:sz w:val="24"/>
        </w:rPr>
        <w:t>. None of the prior authorities in the Land and Environment Court have addressed this issue</w:t>
      </w:r>
      <w:r>
        <w:rPr>
          <w:rFonts w:ascii="Arial"/>
          <w:color w:val="000000"/>
          <w:sz w:val="24"/>
        </w:rPr>
        <w:t xml:space="preserve"> </w:t>
      </w:r>
      <w:r>
        <w:rPr>
          <w:rFonts w:ascii="Arial"/>
          <w:color w:val="000000"/>
          <w:sz w:val="24"/>
        </w:rPr>
        <w:t>under the current provisions</w:t>
      </w:r>
      <w:r>
        <w:rPr>
          <w:rFonts w:ascii="Arial"/>
          <w:color w:val="000000"/>
          <w:sz w:val="24"/>
        </w:rPr>
        <w:t xml:space="preserve">. </w:t>
      </w:r>
      <w:r>
        <w:rPr>
          <w:rFonts w:ascii="Arial"/>
          <w:color w:val="000000"/>
          <w:sz w:val="24"/>
        </w:rPr>
        <w:t xml:space="preserve">As </w:t>
      </w:r>
      <w:r>
        <w:rPr>
          <w:rFonts w:ascii="Arial"/>
          <w:color w:val="000000"/>
          <w:sz w:val="24"/>
        </w:rPr>
        <w:t xml:space="preserve">I noted, </w:t>
      </w:r>
      <w:r>
        <w:rPr>
          <w:rFonts w:ascii="Arial"/>
          <w:i/>
          <w:color w:val="000000"/>
          <w:sz w:val="24"/>
        </w:rPr>
        <w:t>Geographe</w:t>
      </w:r>
      <w:r>
        <w:rPr>
          <w:rFonts w:ascii="Arial"/>
          <w:i/>
          <w:color w:val="000000"/>
          <w:sz w:val="24"/>
        </w:rPr>
        <w:t xml:space="preserve"> Point</w:t>
      </w:r>
      <w:r>
        <w:rPr>
          <w:rFonts w:ascii="Arial"/>
          <w:color w:val="000000"/>
          <w:sz w:val="24"/>
        </w:rPr>
        <w:t xml:space="preserve"> </w:t>
      </w:r>
      <w:r>
        <w:rPr>
          <w:rFonts w:ascii="Arial"/>
          <w:color w:val="000000"/>
          <w:sz w:val="24"/>
        </w:rPr>
        <w:t xml:space="preserve">was decided under legislation which required the satisfaction of the certifier of the relevant state of affairs. </w:t>
      </w:r>
    </w:p>
    <w:p>
      <w:pPr>
        <w:pStyle w:val="CaselawNumbered10"/>
        <w:numPr>
          <w:ilvl w:val="0"/>
          <w:numId w:val="100"/>
        </w:numPr>
        <w:spacing w:before="150" w:after="0"/>
        <w:ind w:left="600" w:hanging="600"/>
      </w:pPr>
      <w:r>
        <w:rPr>
          <w:rFonts w:ascii="Arial"/>
          <w:color w:val="000000"/>
          <w:sz w:val="24"/>
        </w:rPr>
        <w:t xml:space="preserve">It is of course correct that </w:t>
      </w:r>
      <w:r>
        <w:rPr>
          <w:rFonts w:ascii="Arial"/>
          <w:color w:val="000000"/>
          <w:sz w:val="24"/>
        </w:rPr>
        <w:t xml:space="preserve">cl </w:t>
      </w:r>
      <w:r>
        <w:rPr>
          <w:rFonts w:ascii="Arial"/>
          <w:color w:val="000000"/>
          <w:sz w:val="24"/>
        </w:rPr>
        <w:t xml:space="preserve">19(1) of the Certification Regulation imposes a positive requirement that the design and construction of the building, as described in the relevant building work plans and specifications and other information given to the certifier, is </w:t>
      </w:r>
      <w:r>
        <w:rPr>
          <w:rFonts w:ascii="Arial"/>
          <w:color w:val="000000"/>
          <w:sz w:val="24"/>
        </w:rPr>
        <w:t>“</w:t>
      </w:r>
      <w:r>
        <w:rPr>
          <w:rFonts w:ascii="Arial"/>
          <w:color w:val="000000"/>
          <w:sz w:val="24"/>
        </w:rPr>
        <w:t xml:space="preserve">consistent </w:t>
      </w:r>
      <w:r>
        <w:rPr>
          <w:rFonts w:ascii="Arial"/>
          <w:color w:val="000000"/>
          <w:sz w:val="24"/>
        </w:rPr>
        <w:t>with</w:t>
      </w:r>
      <w:r>
        <w:rPr>
          <w:rFonts w:ascii="Arial"/>
          <w:color w:val="000000"/>
          <w:sz w:val="24"/>
        </w:rPr>
        <w:t>”</w:t>
      </w:r>
      <w:r>
        <w:rPr>
          <w:rFonts w:ascii="Arial"/>
          <w:color w:val="000000"/>
          <w:sz w:val="24"/>
        </w:rPr>
        <w:t xml:space="preserve"> </w:t>
      </w:r>
      <w:r>
        <w:rPr>
          <w:rFonts w:ascii="Arial"/>
          <w:color w:val="000000"/>
          <w:sz w:val="24"/>
        </w:rPr>
        <w:t>the modified development consent. That is the first step in the analysis</w:t>
      </w:r>
      <w:r>
        <w:rPr>
          <w:rFonts w:ascii="Arial"/>
          <w:color w:val="000000"/>
          <w:sz w:val="24"/>
        </w:rPr>
        <w:t>.</w:t>
      </w:r>
      <w:r>
        <w:rPr>
          <w:rFonts w:ascii="Arial"/>
          <w:color w:val="000000"/>
          <w:sz w:val="24"/>
        </w:rPr>
        <w:t xml:space="preserve"> </w:t>
      </w:r>
    </w:p>
    <w:p>
      <w:pPr>
        <w:pStyle w:val="CaselawNumbered10"/>
        <w:numPr>
          <w:ilvl w:val="0"/>
          <w:numId w:val="100"/>
        </w:numPr>
        <w:spacing w:before="150" w:after="0"/>
        <w:ind w:left="600" w:hanging="600"/>
      </w:pPr>
      <w:r>
        <w:rPr>
          <w:rFonts w:ascii="Arial"/>
          <w:color w:val="000000"/>
          <w:sz w:val="24"/>
        </w:rPr>
        <w:t xml:space="preserve">But inconsistency between a development consent and a construction certificate does not, in itself, establish that the decision of the certifier to issue a construction certificate was legally unreasonable. </w:t>
      </w:r>
      <w:r>
        <w:rPr>
          <w:rFonts w:ascii="Arial"/>
          <w:color w:val="000000"/>
          <w:sz w:val="24"/>
        </w:rPr>
        <w:t>It is a mistake to move to</w:t>
      </w:r>
      <w:r>
        <w:rPr>
          <w:rFonts w:ascii="Arial"/>
          <w:color w:val="000000"/>
          <w:sz w:val="24"/>
        </w:rPr>
        <w:t>o</w:t>
      </w:r>
      <w:r>
        <w:rPr>
          <w:rFonts w:ascii="Arial"/>
          <w:color w:val="000000"/>
          <w:sz w:val="24"/>
        </w:rPr>
        <w:t xml:space="preserve"> </w:t>
      </w:r>
      <w:r>
        <w:rPr>
          <w:rFonts w:ascii="Arial"/>
          <w:color w:val="000000"/>
          <w:sz w:val="24"/>
        </w:rPr>
        <w:t xml:space="preserve">readily from the conclusion that, correctly construed, a </w:t>
      </w:r>
      <w:r>
        <w:rPr>
          <w:rFonts w:ascii="Arial"/>
          <w:color w:val="000000"/>
          <w:sz w:val="24"/>
        </w:rPr>
        <w:t>construction c</w:t>
      </w:r>
      <w:r>
        <w:rPr>
          <w:rFonts w:ascii="Arial"/>
          <w:color w:val="000000"/>
          <w:sz w:val="24"/>
        </w:rPr>
        <w:t xml:space="preserve">ertificate is inconsistent with a development </w:t>
      </w:r>
      <w:r>
        <w:rPr>
          <w:rFonts w:ascii="Arial"/>
          <w:color w:val="000000"/>
          <w:sz w:val="24"/>
        </w:rPr>
        <w:t xml:space="preserve">consent </w:t>
      </w:r>
      <w:r>
        <w:rPr>
          <w:rFonts w:ascii="Arial"/>
          <w:color w:val="000000"/>
          <w:sz w:val="24"/>
        </w:rPr>
        <w:t xml:space="preserve">to the conclusion that the making of the </w:t>
      </w:r>
      <w:r>
        <w:rPr>
          <w:rFonts w:ascii="Arial"/>
          <w:color w:val="000000"/>
          <w:sz w:val="24"/>
        </w:rPr>
        <w:t xml:space="preserve">construction </w:t>
      </w:r>
      <w:r>
        <w:rPr>
          <w:rFonts w:ascii="Arial"/>
          <w:color w:val="000000"/>
          <w:sz w:val="24"/>
        </w:rPr>
        <w:t>certificate was legally unreasonable in the sense I have explained.</w:t>
      </w:r>
      <w:r>
        <w:rPr>
          <w:rFonts w:ascii="Arial"/>
          <w:color w:val="000000"/>
          <w:sz w:val="24"/>
        </w:rPr>
        <w:t xml:space="preserve"> </w:t>
      </w:r>
      <w:r>
        <w:rPr>
          <w:rFonts w:ascii="Arial"/>
          <w:color w:val="000000"/>
          <w:sz w:val="24"/>
        </w:rPr>
        <w:t>To do so would replace the judicial review jurisdiction with merits review, which is strictly time limited by s 6.32 of the EPA Act.</w:t>
      </w:r>
    </w:p>
    <w:p>
      <w:pPr>
        <w:pStyle w:val="CaselawNumbered10"/>
        <w:numPr>
          <w:ilvl w:val="0"/>
          <w:numId w:val="100"/>
        </w:numPr>
        <w:spacing w:before="150" w:after="0"/>
        <w:ind w:left="600" w:hanging="600"/>
      </w:pPr>
      <w:r>
        <w:rPr>
          <w:rFonts w:ascii="Arial"/>
          <w:color w:val="000000"/>
          <w:sz w:val="24"/>
        </w:rPr>
        <w:t>I accept the appellants</w:t>
      </w:r>
      <w:r>
        <w:rPr>
          <w:rFonts w:ascii="Arial"/>
          <w:color w:val="000000"/>
          <w:sz w:val="24"/>
        </w:rPr>
        <w:t>’</w:t>
      </w:r>
      <w:r>
        <w:rPr>
          <w:rFonts w:ascii="Arial"/>
          <w:color w:val="000000"/>
          <w:sz w:val="24"/>
        </w:rPr>
        <w:t xml:space="preserve"> </w:t>
      </w:r>
      <w:r>
        <w:rPr>
          <w:rFonts w:ascii="Arial"/>
          <w:color w:val="000000"/>
          <w:sz w:val="24"/>
        </w:rPr>
        <w:t xml:space="preserve">submission that the text and context of the EPA Act establish a high bar for a finding of legal unreasonableness. </w:t>
      </w:r>
      <w:r>
        <w:rPr>
          <w:rFonts w:ascii="Arial"/>
          <w:color w:val="000000"/>
          <w:sz w:val="24"/>
        </w:rPr>
        <w:t xml:space="preserve">Many of the </w:t>
      </w:r>
      <w:r>
        <w:rPr>
          <w:rFonts w:ascii="Arial"/>
          <w:color w:val="000000"/>
          <w:sz w:val="24"/>
        </w:rPr>
        <w:t>Council</w:t>
      </w:r>
      <w:r>
        <w:rPr>
          <w:rFonts w:ascii="Arial"/>
          <w:color w:val="000000"/>
          <w:sz w:val="24"/>
        </w:rPr>
        <w:t>’</w:t>
      </w:r>
      <w:r>
        <w:rPr>
          <w:rFonts w:ascii="Arial"/>
          <w:color w:val="000000"/>
          <w:sz w:val="24"/>
        </w:rPr>
        <w:t xml:space="preserve">s </w:t>
      </w:r>
      <w:r>
        <w:rPr>
          <w:rFonts w:ascii="Arial"/>
          <w:color w:val="000000"/>
          <w:sz w:val="24"/>
        </w:rPr>
        <w:t xml:space="preserve">submissions </w:t>
      </w:r>
      <w:r>
        <w:rPr>
          <w:rFonts w:ascii="Arial"/>
          <w:color w:val="000000"/>
          <w:sz w:val="24"/>
        </w:rPr>
        <w:t xml:space="preserve">in this Court elided the distinction between establishing inconsistency and establishing legal unreasonableness. </w:t>
      </w:r>
      <w:r>
        <w:rPr>
          <w:rFonts w:ascii="Arial"/>
          <w:color w:val="000000"/>
          <w:sz w:val="24"/>
        </w:rPr>
        <w:t>Th</w:t>
      </w:r>
      <w:r>
        <w:rPr>
          <w:rFonts w:ascii="Arial"/>
          <w:color w:val="000000"/>
          <w:sz w:val="24"/>
        </w:rPr>
        <w:t xml:space="preserve">is is </w:t>
      </w:r>
      <w:r>
        <w:rPr>
          <w:rFonts w:ascii="Arial"/>
          <w:color w:val="000000"/>
          <w:sz w:val="24"/>
        </w:rPr>
        <w:t>an error in approach</w:t>
      </w:r>
      <w:r>
        <w:rPr>
          <w:rFonts w:ascii="Arial"/>
          <w:color w:val="000000"/>
          <w:sz w:val="24"/>
        </w:rPr>
        <w:t xml:space="preserve">. The fact that on its proper construction the </w:t>
      </w:r>
      <w:r>
        <w:rPr>
          <w:rFonts w:ascii="Arial"/>
          <w:color w:val="000000"/>
          <w:sz w:val="24"/>
        </w:rPr>
        <w:t xml:space="preserve">construction certificate </w:t>
      </w:r>
      <w:r>
        <w:rPr>
          <w:rFonts w:ascii="Arial"/>
          <w:color w:val="000000"/>
          <w:sz w:val="24"/>
        </w:rPr>
        <w:t>was</w:t>
      </w:r>
      <w:r>
        <w:rPr>
          <w:rFonts w:ascii="Arial"/>
          <w:color w:val="000000"/>
          <w:sz w:val="24"/>
        </w:rPr>
        <w:t xml:space="preserve"> </w:t>
      </w:r>
      <w:r>
        <w:rPr>
          <w:rFonts w:ascii="Arial"/>
          <w:color w:val="000000"/>
          <w:sz w:val="24"/>
        </w:rPr>
        <w:t xml:space="preserve">inconsistent with the </w:t>
      </w:r>
      <w:r>
        <w:rPr>
          <w:rFonts w:ascii="Arial"/>
          <w:color w:val="000000"/>
          <w:sz w:val="24"/>
        </w:rPr>
        <w:t xml:space="preserve">development consent </w:t>
      </w:r>
      <w:r>
        <w:rPr>
          <w:rFonts w:ascii="Arial"/>
          <w:color w:val="000000"/>
          <w:sz w:val="24"/>
        </w:rPr>
        <w:t xml:space="preserve">is only the beginning of the analysis. </w:t>
      </w:r>
    </w:p>
    <w:p>
      <w:pPr>
        <w:pStyle w:val="CaselawNumbered10"/>
        <w:numPr>
          <w:ilvl w:val="0"/>
          <w:numId w:val="100"/>
        </w:numPr>
        <w:spacing w:before="150" w:after="0"/>
        <w:ind w:left="600" w:hanging="600"/>
      </w:pPr>
      <w:r>
        <w:rPr>
          <w:rFonts w:ascii="Arial"/>
          <w:color w:val="000000"/>
          <w:sz w:val="24"/>
        </w:rPr>
        <w:t xml:space="preserve">For that reason, I respectfully disagree </w:t>
      </w:r>
      <w:r>
        <w:rPr>
          <w:rFonts w:ascii="Arial"/>
          <w:color w:val="000000"/>
          <w:sz w:val="24"/>
        </w:rPr>
        <w:t xml:space="preserve">with the primary judge </w:t>
      </w:r>
      <w:r>
        <w:rPr>
          <w:rFonts w:ascii="Arial"/>
          <w:color w:val="000000"/>
          <w:sz w:val="24"/>
        </w:rPr>
        <w:t xml:space="preserve">that the conclusion of Duggan J in </w:t>
      </w:r>
      <w:r>
        <w:rPr>
          <w:rFonts w:ascii="Arial"/>
          <w:i/>
          <w:color w:val="000000"/>
          <w:sz w:val="24"/>
        </w:rPr>
        <w:t>Sader</w:t>
      </w:r>
      <w:r>
        <w:rPr>
          <w:rFonts w:ascii="Arial"/>
          <w:i/>
          <w:color w:val="000000"/>
          <w:sz w:val="24"/>
        </w:rPr>
        <w:t xml:space="preserve"> </w:t>
      </w:r>
      <w:r>
        <w:rPr>
          <w:rFonts w:ascii="Arial"/>
          <w:color w:val="000000"/>
          <w:sz w:val="24"/>
        </w:rPr>
        <w:t>was relevant to establishing legal unreasonableness</w:t>
      </w:r>
      <w:r>
        <w:rPr>
          <w:rFonts w:ascii="Arial"/>
          <w:i/>
          <w:color w:val="000000"/>
          <w:sz w:val="24"/>
        </w:rPr>
        <w:t xml:space="preserve">. </w:t>
      </w:r>
      <w:r>
        <w:rPr>
          <w:rFonts w:ascii="Arial"/>
          <w:color w:val="000000"/>
          <w:sz w:val="24"/>
        </w:rPr>
        <w:t xml:space="preserve">That case addressed </w:t>
      </w:r>
      <w:r>
        <w:rPr>
          <w:rFonts w:ascii="Arial"/>
          <w:color w:val="000000"/>
          <w:sz w:val="24"/>
        </w:rPr>
        <w:t xml:space="preserve">a challenge brought within </w:t>
      </w:r>
      <w:r>
        <w:rPr>
          <w:rFonts w:ascii="Arial"/>
          <w:color w:val="000000"/>
          <w:sz w:val="24"/>
        </w:rPr>
        <w:t>3 months</w:t>
      </w:r>
      <w:r>
        <w:rPr>
          <w:rFonts w:ascii="Arial"/>
          <w:color w:val="000000"/>
          <w:sz w:val="24"/>
        </w:rPr>
        <w:t xml:space="preserve"> </w:t>
      </w:r>
      <w:r>
        <w:rPr>
          <w:rFonts w:ascii="Arial"/>
          <w:color w:val="000000"/>
          <w:sz w:val="24"/>
        </w:rPr>
        <w:t xml:space="preserve">under </w:t>
      </w:r>
      <w:r>
        <w:rPr>
          <w:rFonts w:ascii="Arial"/>
          <w:color w:val="000000"/>
          <w:sz w:val="24"/>
        </w:rPr>
        <w:t xml:space="preserve">s </w:t>
      </w:r>
      <w:r>
        <w:rPr>
          <w:rFonts w:ascii="Arial"/>
          <w:color w:val="000000"/>
          <w:sz w:val="24"/>
        </w:rPr>
        <w:t>6.32 of the EPA Act. Although Duggan J</w:t>
      </w:r>
      <w:r>
        <w:rPr>
          <w:rFonts w:ascii="Arial"/>
          <w:color w:val="000000"/>
          <w:sz w:val="24"/>
        </w:rPr>
        <w:t>’</w:t>
      </w:r>
      <w:r>
        <w:rPr>
          <w:rFonts w:ascii="Arial"/>
          <w:color w:val="000000"/>
          <w:sz w:val="24"/>
        </w:rPr>
        <w:t xml:space="preserve">s analysis of the inconsistency between the construction certificate and the development consent addresses the first question, the correct construction of the </w:t>
      </w:r>
      <w:r>
        <w:rPr>
          <w:rFonts w:ascii="Arial"/>
          <w:color w:val="000000"/>
          <w:sz w:val="24"/>
        </w:rPr>
        <w:t>construction certificate</w:t>
      </w:r>
      <w:r>
        <w:rPr>
          <w:rFonts w:ascii="Arial"/>
          <w:color w:val="000000"/>
          <w:sz w:val="24"/>
        </w:rPr>
        <w:t xml:space="preserve">, the decision does not provide guidance about </w:t>
      </w:r>
      <w:r>
        <w:rPr>
          <w:rFonts w:ascii="Arial"/>
          <w:color w:val="000000"/>
          <w:sz w:val="24"/>
        </w:rPr>
        <w:t>whether</w:t>
      </w:r>
      <w:r>
        <w:rPr>
          <w:rFonts w:ascii="Arial"/>
          <w:color w:val="000000"/>
          <w:sz w:val="24"/>
        </w:rPr>
        <w:t xml:space="preserve"> </w:t>
      </w:r>
      <w:r>
        <w:rPr>
          <w:rFonts w:ascii="Arial"/>
          <w:color w:val="000000"/>
          <w:sz w:val="24"/>
        </w:rPr>
        <w:t xml:space="preserve">the decision </w:t>
      </w:r>
      <w:r>
        <w:rPr>
          <w:rFonts w:ascii="Arial"/>
          <w:color w:val="000000"/>
          <w:sz w:val="24"/>
        </w:rPr>
        <w:t>in that case was</w:t>
      </w:r>
      <w:r>
        <w:rPr>
          <w:rFonts w:ascii="Arial"/>
          <w:color w:val="000000"/>
          <w:sz w:val="24"/>
        </w:rPr>
        <w:t xml:space="preserve"> </w:t>
      </w:r>
      <w:r>
        <w:rPr>
          <w:rFonts w:ascii="Arial"/>
          <w:color w:val="000000"/>
          <w:sz w:val="24"/>
        </w:rPr>
        <w:t>legally unreasonable.</w:t>
      </w:r>
    </w:p>
    <w:p>
      <w:pPr>
        <w:pStyle w:val="CaselawHeading4"/>
        <w:keepNext/>
        <w:spacing w:before="150" w:after="150" w:line="264"/>
        <w:ind w:left="600"/>
        <w:jc w:val="left"/>
      </w:pPr>
      <w:r>
        <w:rPr>
          <w:rFonts w:ascii="Arial"/>
        </w:rPr>
        <w:t>Threshold of unreasonableness</w:t>
      </w:r>
    </w:p>
    <w:p>
      <w:pPr>
        <w:pStyle w:val="CaselawNumbered10"/>
        <w:numPr>
          <w:ilvl w:val="0"/>
          <w:numId w:val="101"/>
        </w:numPr>
        <w:spacing w:before="150" w:after="0"/>
        <w:ind w:left="600" w:hanging="600"/>
      </w:pPr>
      <w:r>
        <w:rPr>
          <w:rFonts w:ascii="Arial"/>
          <w:color w:val="000000"/>
          <w:sz w:val="24"/>
        </w:rPr>
        <w:t xml:space="preserve">In addressing the question of legal unreasonableness, </w:t>
      </w:r>
      <w:r>
        <w:rPr>
          <w:rFonts w:ascii="Arial"/>
          <w:color w:val="000000"/>
          <w:sz w:val="24"/>
        </w:rPr>
        <w:t>Jagot</w:t>
      </w:r>
      <w:r>
        <w:rPr>
          <w:rFonts w:ascii="Arial"/>
          <w:color w:val="000000"/>
          <w:sz w:val="24"/>
        </w:rPr>
        <w:t xml:space="preserve"> </w:t>
      </w:r>
      <w:r>
        <w:rPr>
          <w:rFonts w:ascii="Arial"/>
          <w:color w:val="000000"/>
          <w:sz w:val="24"/>
        </w:rPr>
        <w:t>J</w:t>
      </w:r>
      <w:r>
        <w:rPr>
          <w:rFonts w:ascii="Arial"/>
          <w:color w:val="000000"/>
          <w:sz w:val="24"/>
        </w:rPr>
        <w:t>’</w:t>
      </w:r>
      <w:r>
        <w:rPr>
          <w:rFonts w:ascii="Arial"/>
          <w:color w:val="000000"/>
          <w:sz w:val="24"/>
        </w:rPr>
        <w:t xml:space="preserve">s analysis in </w:t>
      </w:r>
      <w:r>
        <w:rPr>
          <w:rFonts w:ascii="Arial"/>
          <w:i/>
          <w:color w:val="000000"/>
          <w:sz w:val="24"/>
        </w:rPr>
        <w:t>Geographe</w:t>
      </w:r>
      <w:r>
        <w:rPr>
          <w:rFonts w:ascii="Arial"/>
          <w:i/>
          <w:color w:val="000000"/>
          <w:sz w:val="24"/>
        </w:rPr>
        <w:t xml:space="preserve"> Point</w:t>
      </w:r>
      <w:r>
        <w:rPr>
          <w:rFonts w:ascii="Arial"/>
          <w:color w:val="000000"/>
          <w:sz w:val="24"/>
        </w:rPr>
        <w:t xml:space="preserve">, although under a different regime, provides useful guidance: </w:t>
      </w:r>
      <w:r>
        <w:rPr>
          <w:rFonts w:ascii="Arial"/>
          <w:color w:val="000000"/>
          <w:sz w:val="24"/>
        </w:rPr>
        <w:t xml:space="preserve">the </w:t>
      </w:r>
      <w:r>
        <w:rPr>
          <w:rFonts w:ascii="Arial"/>
          <w:color w:val="000000"/>
          <w:sz w:val="24"/>
        </w:rPr>
        <w:t>“</w:t>
      </w:r>
      <w:r>
        <w:rPr>
          <w:rFonts w:ascii="Arial"/>
          <w:color w:val="000000"/>
          <w:sz w:val="24"/>
        </w:rPr>
        <w:t xml:space="preserve">issues are to be resolved by proper construction of the development consent and construction certificate, and </w:t>
      </w:r>
      <w:r>
        <w:rPr>
          <w:rFonts w:ascii="Arial"/>
          <w:i/>
          <w:color w:val="000000"/>
          <w:sz w:val="24"/>
        </w:rPr>
        <w:t>application of the well-known principles applying to claims of manifest unreasonableness</w:t>
      </w:r>
      <w:r>
        <w:rPr>
          <w:rFonts w:ascii="Arial"/>
          <w:color w:val="000000"/>
          <w:sz w:val="24"/>
        </w:rPr>
        <w:t>”</w:t>
      </w:r>
      <w:r>
        <w:rPr>
          <w:rFonts w:ascii="Arial"/>
          <w:i/>
          <w:color w:val="000000"/>
          <w:sz w:val="24"/>
        </w:rPr>
        <w:t xml:space="preserve">. </w:t>
      </w:r>
      <w:r>
        <w:rPr>
          <w:rFonts w:ascii="Arial"/>
          <w:color w:val="000000"/>
          <w:sz w:val="24"/>
        </w:rPr>
        <w:t>The</w:t>
      </w:r>
      <w:r>
        <w:rPr>
          <w:rFonts w:ascii="Arial"/>
          <w:i/>
          <w:color w:val="000000"/>
          <w:sz w:val="24"/>
        </w:rPr>
        <w:t xml:space="preserve"> </w:t>
      </w:r>
      <w:r>
        <w:rPr>
          <w:rFonts w:ascii="Arial"/>
          <w:color w:val="000000"/>
          <w:sz w:val="24"/>
        </w:rPr>
        <w:t>well known</w:t>
      </w:r>
      <w:r>
        <w:rPr>
          <w:rFonts w:ascii="Arial"/>
          <w:color w:val="000000"/>
          <w:sz w:val="24"/>
        </w:rPr>
        <w:t xml:space="preserve"> </w:t>
      </w:r>
      <w:r>
        <w:rPr>
          <w:rFonts w:ascii="Arial"/>
          <w:color w:val="000000"/>
          <w:sz w:val="24"/>
        </w:rPr>
        <w:t xml:space="preserve">principles of </w:t>
      </w:r>
      <w:r>
        <w:rPr>
          <w:rFonts w:ascii="Arial"/>
          <w:color w:val="000000"/>
          <w:sz w:val="24"/>
        </w:rPr>
        <w:t xml:space="preserve">applying to claims of manifest unreasonableness are those I have set out at </w:t>
      </w:r>
      <w:r>
        <w:rPr>
          <w:rFonts w:ascii="Arial"/>
          <w:color w:val="000000"/>
          <w:sz w:val="24"/>
        </w:rPr>
        <w:t>[</w:t>
      </w:r>
      <w:hyperlink r:id="rId24">
        <w:r>
          <w:rPr>
            <w:rFonts w:ascii="Arial"/>
            <w:color w:val="000000"/>
            <w:sz w:val="24"/>
            <w:u w:val="single"/>
          </w:rPr>
          <w:t/>
        </w:r>
        <w:r>
          <w:rPr>
            <w:rFonts w:ascii="Arial"/>
            <w:color w:val="000000"/>
            <w:sz w:val="24"/>
          </w:rPr>
          <w:t>99</w:t>
        </w:r>
      </w:hyperlink>
      <w:hyperlink r:id="rId25">
        <w:r>
          <w:rPr>
            <w:rFonts w:ascii="Arial"/>
            <w:color w:val="000000"/>
            <w:sz w:val="24"/>
          </w:rPr>
          <w:t/>
        </w:r>
      </w:hyperlink>
      <w:r>
        <w:rPr>
          <w:rFonts w:ascii="Arial"/>
          <w:color w:val="000000"/>
          <w:sz w:val="24"/>
        </w:rPr>
        <w:t>]-[</w:t>
      </w:r>
      <w:hyperlink r:id="rId26">
        <w:r>
          <w:rPr>
            <w:rFonts w:ascii="Arial"/>
            <w:color w:val="000000"/>
            <w:sz w:val="24"/>
            <w:u w:val="single"/>
          </w:rPr>
          <w:t/>
        </w:r>
        <w:r>
          <w:rPr>
            <w:rFonts w:ascii="Arial"/>
            <w:color w:val="000000"/>
            <w:sz w:val="24"/>
          </w:rPr>
          <w:t>103</w:t>
        </w:r>
      </w:hyperlink>
      <w:hyperlink r:id="rId27">
        <w:r>
          <w:rPr>
            <w:rFonts w:ascii="Arial"/>
            <w:color w:val="000000"/>
            <w:sz w:val="24"/>
          </w:rPr>
          <w:t/>
        </w:r>
      </w:hyperlink>
      <w:r>
        <w:rPr>
          <w:rFonts w:ascii="Arial"/>
          <w:color w:val="000000"/>
          <w:sz w:val="24"/>
        </w:rPr>
        <w:t xml:space="preserve">] above. </w:t>
      </w:r>
    </w:p>
    <w:p>
      <w:pPr>
        <w:pStyle w:val="CaselawNumbered10"/>
        <w:numPr>
          <w:ilvl w:val="0"/>
          <w:numId w:val="101"/>
        </w:numPr>
        <w:spacing w:before="150" w:after="0"/>
        <w:ind w:left="600" w:hanging="600"/>
      </w:pPr>
      <w:r>
        <w:rPr>
          <w:rFonts w:ascii="Arial"/>
          <w:color w:val="000000"/>
          <w:sz w:val="24"/>
        </w:rPr>
        <w:t xml:space="preserve">Shortly put, </w:t>
      </w:r>
      <w:r>
        <w:rPr>
          <w:rFonts w:ascii="Arial"/>
          <w:color w:val="000000"/>
          <w:sz w:val="24"/>
        </w:rPr>
        <w:t xml:space="preserve">in judicial review for legal unreasonableness </w:t>
      </w:r>
      <w:r>
        <w:rPr>
          <w:rFonts w:ascii="Arial"/>
          <w:color w:val="000000"/>
          <w:sz w:val="24"/>
        </w:rPr>
        <w:t>th</w:t>
      </w:r>
      <w:r>
        <w:rPr>
          <w:rFonts w:ascii="Arial"/>
          <w:color w:val="000000"/>
          <w:sz w:val="24"/>
        </w:rPr>
        <w:t>e</w:t>
      </w:r>
      <w:r>
        <w:rPr>
          <w:rFonts w:ascii="Arial"/>
          <w:color w:val="000000"/>
          <w:sz w:val="24"/>
        </w:rPr>
        <w:t xml:space="preserve"> </w:t>
      </w:r>
      <w:r>
        <w:rPr>
          <w:rFonts w:ascii="Arial"/>
          <w:color w:val="000000"/>
          <w:sz w:val="24"/>
        </w:rPr>
        <w:t xml:space="preserve">Court is required to undertake a qualitative assessment of the impugned decision. </w:t>
      </w:r>
      <w:r>
        <w:rPr>
          <w:rFonts w:ascii="Arial"/>
          <w:color w:val="000000"/>
          <w:sz w:val="24"/>
        </w:rPr>
        <w:t xml:space="preserve">The fact the </w:t>
      </w:r>
      <w:r>
        <w:rPr>
          <w:rFonts w:ascii="Arial"/>
          <w:color w:val="000000"/>
          <w:sz w:val="24"/>
        </w:rPr>
        <w:t xml:space="preserve">construction certificate </w:t>
      </w:r>
      <w:r>
        <w:rPr>
          <w:rFonts w:ascii="Arial"/>
          <w:color w:val="000000"/>
          <w:sz w:val="24"/>
        </w:rPr>
        <w:t xml:space="preserve">is inconsistent with the </w:t>
      </w:r>
      <w:r>
        <w:rPr>
          <w:rFonts w:ascii="Arial"/>
          <w:color w:val="000000"/>
          <w:sz w:val="24"/>
        </w:rPr>
        <w:t xml:space="preserve">development consent </w:t>
      </w:r>
      <w:r>
        <w:rPr>
          <w:rFonts w:ascii="Arial"/>
          <w:color w:val="000000"/>
          <w:sz w:val="24"/>
        </w:rPr>
        <w:t xml:space="preserve">does not </w:t>
      </w:r>
      <w:r>
        <w:rPr>
          <w:rFonts w:ascii="Arial"/>
          <w:color w:val="000000"/>
          <w:sz w:val="24"/>
        </w:rPr>
        <w:t xml:space="preserve">necessarily </w:t>
      </w:r>
      <w:r>
        <w:rPr>
          <w:rFonts w:ascii="Arial"/>
          <w:color w:val="000000"/>
          <w:sz w:val="24"/>
        </w:rPr>
        <w:t xml:space="preserve">mean that a certifier, acting reasonably, could not have come to another conclusion. </w:t>
      </w:r>
      <w:r>
        <w:rPr>
          <w:rFonts w:ascii="Arial"/>
          <w:color w:val="000000"/>
          <w:sz w:val="24"/>
        </w:rPr>
        <w:t xml:space="preserve">The label </w:t>
      </w:r>
      <w:r>
        <w:rPr>
          <w:rFonts w:ascii="Arial"/>
          <w:color w:val="000000"/>
          <w:sz w:val="24"/>
        </w:rPr>
        <w:t>“</w:t>
      </w:r>
      <w:r>
        <w:rPr>
          <w:rFonts w:ascii="Arial"/>
          <w:color w:val="000000"/>
          <w:sz w:val="24"/>
        </w:rPr>
        <w:t>l</w:t>
      </w:r>
      <w:r>
        <w:rPr>
          <w:rFonts w:ascii="Arial"/>
          <w:color w:val="000000"/>
          <w:sz w:val="24"/>
        </w:rPr>
        <w:t>egal unreasonableness</w:t>
      </w:r>
      <w:r>
        <w:rPr>
          <w:rFonts w:ascii="Arial"/>
          <w:color w:val="000000"/>
          <w:sz w:val="24"/>
        </w:rPr>
        <w:t>”</w:t>
      </w:r>
      <w:r>
        <w:rPr>
          <w:rFonts w:ascii="Arial"/>
          <w:color w:val="000000"/>
          <w:sz w:val="24"/>
        </w:rPr>
        <w:t xml:space="preserve"> </w:t>
      </w:r>
      <w:r>
        <w:rPr>
          <w:rFonts w:ascii="Arial"/>
          <w:color w:val="000000"/>
          <w:sz w:val="24"/>
        </w:rPr>
        <w:t>will attach to the certifier</w:t>
      </w:r>
      <w:r>
        <w:rPr>
          <w:rFonts w:ascii="Arial"/>
          <w:color w:val="000000"/>
          <w:sz w:val="24"/>
        </w:rPr>
        <w:t>’</w:t>
      </w:r>
      <w:r>
        <w:rPr>
          <w:rFonts w:ascii="Arial"/>
          <w:color w:val="000000"/>
          <w:sz w:val="24"/>
        </w:rPr>
        <w:t xml:space="preserve">s decision if </w:t>
      </w:r>
      <w:r>
        <w:rPr>
          <w:rFonts w:ascii="Arial"/>
          <w:color w:val="000000"/>
          <w:sz w:val="24"/>
        </w:rPr>
        <w:t xml:space="preserve">the nature and extent of the inconsistency and the reasons </w:t>
      </w:r>
      <w:r>
        <w:rPr>
          <w:rFonts w:ascii="Arial"/>
          <w:color w:val="000000"/>
          <w:sz w:val="24"/>
        </w:rPr>
        <w:t xml:space="preserve">for </w:t>
      </w:r>
      <w:r>
        <w:rPr>
          <w:rFonts w:ascii="Arial"/>
          <w:color w:val="000000"/>
          <w:sz w:val="24"/>
        </w:rPr>
        <w:t xml:space="preserve">which the certifier came to conclude that the </w:t>
      </w:r>
      <w:r>
        <w:rPr>
          <w:rFonts w:ascii="Arial"/>
          <w:color w:val="000000"/>
          <w:sz w:val="24"/>
        </w:rPr>
        <w:t xml:space="preserve">construction certificate </w:t>
      </w:r>
      <w:r>
        <w:rPr>
          <w:rFonts w:ascii="Arial"/>
          <w:color w:val="000000"/>
          <w:sz w:val="24"/>
        </w:rPr>
        <w:t xml:space="preserve">and the </w:t>
      </w:r>
      <w:r>
        <w:rPr>
          <w:rFonts w:ascii="Arial"/>
          <w:color w:val="000000"/>
          <w:sz w:val="24"/>
        </w:rPr>
        <w:t xml:space="preserve">development consent </w:t>
      </w:r>
      <w:r>
        <w:rPr>
          <w:rFonts w:ascii="Arial"/>
          <w:color w:val="000000"/>
          <w:sz w:val="24"/>
        </w:rPr>
        <w:t xml:space="preserve">were </w:t>
      </w:r>
      <w:r>
        <w:rPr>
          <w:rFonts w:ascii="Arial"/>
          <w:color w:val="000000"/>
          <w:sz w:val="24"/>
        </w:rPr>
        <w:t>“</w:t>
      </w:r>
      <w:r>
        <w:rPr>
          <w:rFonts w:ascii="Arial"/>
          <w:color w:val="000000"/>
          <w:sz w:val="24"/>
        </w:rPr>
        <w:t>consistent</w:t>
      </w:r>
      <w:r>
        <w:rPr>
          <w:rFonts w:ascii="Arial"/>
          <w:color w:val="000000"/>
          <w:sz w:val="24"/>
        </w:rPr>
        <w:t>”</w:t>
      </w:r>
      <w:r>
        <w:rPr>
          <w:rFonts w:ascii="Arial"/>
          <w:color w:val="000000"/>
          <w:sz w:val="24"/>
        </w:rPr>
        <w:t xml:space="preserve"> </w:t>
      </w:r>
      <w:r>
        <w:rPr>
          <w:rFonts w:ascii="Arial"/>
          <w:color w:val="000000"/>
          <w:sz w:val="24"/>
        </w:rPr>
        <w:t xml:space="preserve">lead to the conclusion that the decision </w:t>
      </w:r>
      <w:r>
        <w:rPr>
          <w:rFonts w:ascii="Arial"/>
          <w:color w:val="000000"/>
          <w:sz w:val="24"/>
        </w:rPr>
        <w:t>was</w:t>
      </w:r>
      <w:r>
        <w:rPr>
          <w:rFonts w:ascii="Arial"/>
          <w:color w:val="000000"/>
          <w:sz w:val="24"/>
        </w:rPr>
        <w:t xml:space="preserve"> </w:t>
      </w:r>
      <w:r>
        <w:rPr>
          <w:rFonts w:ascii="Arial"/>
          <w:color w:val="000000"/>
          <w:sz w:val="24"/>
        </w:rPr>
        <w:t xml:space="preserve">unreasonable </w:t>
      </w:r>
      <w:r>
        <w:rPr>
          <w:rFonts w:ascii="Arial"/>
          <w:color w:val="000000"/>
          <w:sz w:val="24"/>
        </w:rPr>
        <w:t xml:space="preserve">in the sense explained in </w:t>
      </w:r>
      <w:r>
        <w:rPr>
          <w:rFonts w:ascii="Arial"/>
          <w:i/>
          <w:color w:val="000000"/>
          <w:sz w:val="24"/>
        </w:rPr>
        <w:t>Li</w:t>
      </w:r>
      <w:r>
        <w:rPr>
          <w:rFonts w:ascii="Arial"/>
          <w:color w:val="000000"/>
          <w:sz w:val="24"/>
        </w:rPr>
        <w:t>,</w:t>
      </w:r>
      <w:r>
        <w:rPr>
          <w:rFonts w:ascii="Arial"/>
          <w:color w:val="000000"/>
          <w:sz w:val="24"/>
        </w:rPr>
        <w:t>.</w:t>
      </w:r>
      <w:r>
        <w:rPr>
          <w:rFonts w:ascii="Arial"/>
          <w:color w:val="000000"/>
          <w:sz w:val="24"/>
        </w:rPr>
        <w:t xml:space="preserve"> </w:t>
      </w:r>
    </w:p>
    <w:p>
      <w:pPr>
        <w:pStyle w:val="CaselawNumbered10"/>
        <w:numPr>
          <w:ilvl w:val="0"/>
          <w:numId w:val="101"/>
        </w:numPr>
        <w:spacing w:before="150" w:after="0"/>
        <w:ind w:left="600" w:hanging="600"/>
      </w:pPr>
      <w:r>
        <w:rPr>
          <w:rFonts w:ascii="Arial"/>
          <w:color w:val="000000"/>
          <w:sz w:val="24"/>
        </w:rPr>
        <w:t xml:space="preserve">As Sackville AJA explained in </w:t>
      </w:r>
      <w:r>
        <w:rPr>
          <w:rFonts w:ascii="Arial"/>
          <w:i/>
          <w:color w:val="000000"/>
          <w:sz w:val="24"/>
        </w:rPr>
        <w:t>Ralan</w:t>
      </w:r>
      <w:r>
        <w:rPr>
          <w:rFonts w:ascii="Arial"/>
          <w:i/>
          <w:color w:val="000000"/>
          <w:sz w:val="24"/>
        </w:rPr>
        <w:t xml:space="preserve">, </w:t>
      </w:r>
      <w:r>
        <w:rPr>
          <w:rFonts w:ascii="Arial"/>
          <w:color w:val="000000"/>
          <w:sz w:val="24"/>
        </w:rPr>
        <w:t xml:space="preserve">a case which proceeded on a common assumption that the </w:t>
      </w:r>
      <w:r>
        <w:rPr>
          <w:rFonts w:ascii="Arial"/>
          <w:color w:val="000000"/>
          <w:sz w:val="24"/>
        </w:rPr>
        <w:t xml:space="preserve">construction </w:t>
      </w:r>
      <w:r>
        <w:rPr>
          <w:rFonts w:ascii="Arial"/>
          <w:color w:val="000000"/>
          <w:sz w:val="24"/>
        </w:rPr>
        <w:t xml:space="preserve">certificate issued there was inconsistent with the </w:t>
      </w:r>
      <w:r>
        <w:rPr>
          <w:rFonts w:ascii="Arial"/>
          <w:color w:val="000000"/>
          <w:sz w:val="24"/>
        </w:rPr>
        <w:t>development consent</w:t>
      </w:r>
      <w:r>
        <w:rPr>
          <w:rFonts w:ascii="Arial"/>
          <w:color w:val="000000"/>
          <w:sz w:val="24"/>
        </w:rPr>
        <w:t>,</w:t>
      </w:r>
      <w:r>
        <w:rPr>
          <w:rFonts w:ascii="Arial"/>
          <w:i/>
          <w:color w:val="000000"/>
          <w:sz w:val="24"/>
        </w:rPr>
        <w:t xml:space="preserve"> </w:t>
      </w:r>
      <w:r>
        <w:rPr>
          <w:rFonts w:ascii="Arial"/>
          <w:color w:val="000000"/>
          <w:sz w:val="24"/>
        </w:rPr>
        <w:t xml:space="preserve">despite the mandatory language used </w:t>
      </w:r>
      <w:r>
        <w:rPr>
          <w:rFonts w:ascii="Arial"/>
          <w:color w:val="000000"/>
          <w:sz w:val="24"/>
        </w:rPr>
        <w:t xml:space="preserve">in the then s 109F(1) of the EPA Act </w:t>
      </w:r>
      <w:r>
        <w:rPr>
          <w:rFonts w:ascii="Arial"/>
          <w:color w:val="000000"/>
          <w:sz w:val="24"/>
        </w:rPr>
        <w:t xml:space="preserve">(which is now s 6.8(1)) </w:t>
      </w:r>
      <w:r>
        <w:rPr>
          <w:rFonts w:ascii="Arial"/>
          <w:color w:val="000000"/>
          <w:sz w:val="24"/>
        </w:rPr>
        <w:t>and cl 145(1) of the</w:t>
      </w:r>
      <w:r>
        <w:rPr>
          <w:rFonts w:ascii="Arial"/>
          <w:color w:val="000000"/>
          <w:sz w:val="24"/>
        </w:rPr>
        <w:t xml:space="preserve"> </w:t>
      </w:r>
      <w:r>
        <w:rPr>
          <w:rFonts w:ascii="Arial"/>
          <w:i/>
          <w:color w:val="000000"/>
          <w:sz w:val="24"/>
        </w:rPr>
        <w:t xml:space="preserve">Environmental Planning and Assessment Regulation 2000 </w:t>
      </w:r>
      <w:r>
        <w:rPr>
          <w:rFonts w:ascii="Arial"/>
          <w:color w:val="000000"/>
          <w:sz w:val="24"/>
        </w:rPr>
        <w:t xml:space="preserve">(which is now cl 19 of the </w:t>
      </w:r>
      <w:r>
        <w:rPr>
          <w:rFonts w:ascii="Arial"/>
          <w:color w:val="000000"/>
          <w:sz w:val="24"/>
        </w:rPr>
        <w:t>Certification</w:t>
      </w:r>
      <w:r>
        <w:rPr>
          <w:rFonts w:ascii="Arial"/>
          <w:color w:val="000000"/>
          <w:sz w:val="24"/>
        </w:rPr>
        <w:t xml:space="preserve"> </w:t>
      </w:r>
      <w:r>
        <w:rPr>
          <w:rFonts w:ascii="Arial"/>
          <w:color w:val="000000"/>
          <w:sz w:val="24"/>
        </w:rPr>
        <w:t>Regulation</w:t>
      </w:r>
      <w:r>
        <w:rPr>
          <w:rFonts w:ascii="Arial"/>
          <w:color w:val="000000"/>
          <w:sz w:val="24"/>
        </w:rPr>
        <w:t>)</w:t>
      </w:r>
      <w:r>
        <w:rPr>
          <w:rFonts w:ascii="Arial"/>
          <w:i/>
          <w:color w:val="000000"/>
          <w:sz w:val="24"/>
        </w:rPr>
        <w:t>,</w:t>
      </w:r>
      <w:r>
        <w:rPr>
          <w:rFonts w:ascii="Arial"/>
          <w:color w:val="000000"/>
          <w:sz w:val="24"/>
        </w:rPr>
        <w:t xml:space="preserve"> </w:t>
      </w:r>
      <w:r>
        <w:rPr>
          <w:rFonts w:ascii="Arial"/>
          <w:color w:val="000000"/>
          <w:sz w:val="24"/>
        </w:rPr>
        <w:t>t</w:t>
      </w:r>
      <w:r>
        <w:rPr>
          <w:rFonts w:ascii="Arial"/>
          <w:color w:val="000000"/>
          <w:sz w:val="24"/>
        </w:rPr>
        <w:t xml:space="preserve">he defaults in the issue of a construction certificate in a particular case may be </w:t>
      </w:r>
      <w:r>
        <w:rPr>
          <w:rFonts w:ascii="Arial"/>
          <w:color w:val="000000"/>
          <w:sz w:val="24"/>
        </w:rPr>
        <w:t>“</w:t>
      </w:r>
      <w:r>
        <w:rPr>
          <w:rFonts w:ascii="Arial"/>
          <w:color w:val="000000"/>
          <w:sz w:val="24"/>
        </w:rPr>
        <w:t xml:space="preserve">major or minor, deliberate or inadvertent, fundamental or </w:t>
      </w:r>
      <w:r>
        <w:rPr>
          <w:rFonts w:ascii="Arial"/>
          <w:color w:val="000000"/>
          <w:sz w:val="24"/>
        </w:rPr>
        <w:t>margina</w:t>
      </w:r>
      <w:r>
        <w:rPr>
          <w:rFonts w:ascii="Arial"/>
          <w:color w:val="000000"/>
          <w:sz w:val="24"/>
        </w:rPr>
        <w:t>l</w:t>
      </w:r>
      <w:r>
        <w:rPr>
          <w:rFonts w:ascii="Arial"/>
          <w:color w:val="000000"/>
          <w:sz w:val="24"/>
        </w:rPr>
        <w:t>”</w:t>
      </w:r>
      <w:r>
        <w:rPr>
          <w:rFonts w:ascii="Arial"/>
          <w:color w:val="000000"/>
          <w:sz w:val="24"/>
        </w:rPr>
        <w:t xml:space="preserve">: </w:t>
      </w:r>
      <w:r>
        <w:rPr>
          <w:rFonts w:ascii="Arial"/>
          <w:i/>
          <w:color w:val="000000"/>
          <w:sz w:val="24"/>
        </w:rPr>
        <w:t>Ralan</w:t>
      </w:r>
      <w:r>
        <w:rPr>
          <w:rFonts w:ascii="Arial"/>
          <w:color w:val="000000"/>
          <w:sz w:val="24"/>
        </w:rPr>
        <w:t xml:space="preserve"> </w:t>
      </w:r>
      <w:r>
        <w:rPr>
          <w:rFonts w:ascii="Arial"/>
          <w:color w:val="000000"/>
          <w:sz w:val="24"/>
        </w:rPr>
        <w:t xml:space="preserve">at [173] citing </w:t>
      </w:r>
      <w:r>
        <w:rPr>
          <w:rFonts w:ascii="Arial"/>
          <w:i/>
          <w:color w:val="000000"/>
          <w:sz w:val="24"/>
        </w:rPr>
        <w:t>Smith v Wyong Shire Council</w:t>
      </w:r>
      <w:r>
        <w:rPr>
          <w:rFonts w:ascii="Arial"/>
          <w:color w:val="000000"/>
          <w:sz w:val="24"/>
        </w:rPr>
        <w:t xml:space="preserve"> </w:t>
      </w:r>
      <w:r>
        <w:rPr>
          <w:rFonts w:ascii="Arial"/>
          <w:color w:val="000000"/>
          <w:sz w:val="24"/>
        </w:rPr>
        <w:t>[2003] NSWCA 322.</w:t>
      </w:r>
    </w:p>
    <w:p>
      <w:pPr>
        <w:pStyle w:val="CaselawNumbered10"/>
        <w:numPr>
          <w:ilvl w:val="0"/>
          <w:numId w:val="101"/>
        </w:numPr>
        <w:spacing w:before="150" w:after="0"/>
        <w:ind w:left="600" w:hanging="600"/>
      </w:pPr>
      <w:r>
        <w:rPr>
          <w:rFonts w:ascii="Arial"/>
          <w:color w:val="000000"/>
          <w:sz w:val="24"/>
        </w:rPr>
        <w:t xml:space="preserve">To establish legal unreasonableness in the present context, it must be shown that </w:t>
      </w:r>
      <w:r>
        <w:rPr>
          <w:rFonts w:ascii="Arial"/>
          <w:color w:val="000000"/>
          <w:sz w:val="24"/>
        </w:rPr>
        <w:t>the</w:t>
      </w:r>
      <w:r>
        <w:rPr>
          <w:rFonts w:ascii="Arial"/>
          <w:color w:val="000000"/>
          <w:sz w:val="24"/>
        </w:rPr>
        <w:t xml:space="preserve"> </w:t>
      </w:r>
      <w:r>
        <w:rPr>
          <w:rFonts w:ascii="Arial"/>
          <w:color w:val="000000"/>
          <w:sz w:val="24"/>
        </w:rPr>
        <w:t>certifier</w:t>
      </w:r>
      <w:r>
        <w:rPr>
          <w:rFonts w:ascii="Arial"/>
          <w:color w:val="000000"/>
          <w:sz w:val="24"/>
        </w:rPr>
        <w:t>’</w:t>
      </w:r>
      <w:r>
        <w:rPr>
          <w:rFonts w:ascii="Arial"/>
          <w:color w:val="000000"/>
          <w:sz w:val="24"/>
        </w:rPr>
        <w:t>s decision</w:t>
      </w:r>
      <w:r>
        <w:rPr>
          <w:rFonts w:ascii="Arial"/>
          <w:color w:val="000000"/>
          <w:sz w:val="24"/>
        </w:rPr>
        <w:t xml:space="preserve"> </w:t>
      </w:r>
      <w:r>
        <w:rPr>
          <w:rFonts w:ascii="Arial"/>
          <w:color w:val="000000"/>
          <w:sz w:val="24"/>
        </w:rPr>
        <w:t xml:space="preserve">that the </w:t>
      </w:r>
      <w:r>
        <w:rPr>
          <w:rFonts w:ascii="Arial"/>
          <w:color w:val="000000"/>
          <w:sz w:val="24"/>
        </w:rPr>
        <w:t xml:space="preserve">construction certificate </w:t>
      </w:r>
      <w:r>
        <w:rPr>
          <w:rFonts w:ascii="Arial"/>
          <w:color w:val="000000"/>
          <w:sz w:val="24"/>
        </w:rPr>
        <w:t xml:space="preserve">was consistent with the </w:t>
      </w:r>
      <w:r>
        <w:rPr>
          <w:rFonts w:ascii="Arial"/>
          <w:color w:val="000000"/>
          <w:sz w:val="24"/>
        </w:rPr>
        <w:t>development consent</w:t>
      </w:r>
      <w:r>
        <w:rPr>
          <w:rFonts w:ascii="Arial"/>
          <w:color w:val="000000"/>
          <w:sz w:val="24"/>
        </w:rPr>
        <w:t xml:space="preserve"> </w:t>
      </w:r>
      <w:r>
        <w:rPr>
          <w:rFonts w:ascii="Arial"/>
          <w:color w:val="000000"/>
          <w:sz w:val="24"/>
        </w:rPr>
        <w:t xml:space="preserve">was </w:t>
      </w:r>
      <w:r>
        <w:rPr>
          <w:rFonts w:ascii="Arial"/>
          <w:color w:val="000000"/>
          <w:sz w:val="24"/>
        </w:rPr>
        <w:t xml:space="preserve">unreasonable in the sense explained in </w:t>
      </w:r>
      <w:r>
        <w:rPr>
          <w:rFonts w:ascii="Arial"/>
          <w:i/>
          <w:color w:val="000000"/>
          <w:sz w:val="24"/>
        </w:rPr>
        <w:t>Li</w:t>
      </w:r>
      <w:r>
        <w:rPr>
          <w:rFonts w:ascii="Arial"/>
          <w:color w:val="000000"/>
          <w:sz w:val="24"/>
        </w:rPr>
        <w:t xml:space="preserve">. </w:t>
      </w:r>
      <w:r>
        <w:rPr>
          <w:rFonts w:ascii="Arial"/>
          <w:color w:val="000000"/>
          <w:sz w:val="24"/>
        </w:rPr>
        <w:t xml:space="preserve">Useful guidance about this question is provided by </w:t>
      </w:r>
      <w:r>
        <w:rPr>
          <w:rFonts w:ascii="Arial"/>
          <w:i/>
          <w:color w:val="000000"/>
          <w:sz w:val="24"/>
        </w:rPr>
        <w:t xml:space="preserve">Al Maha Pty Ltd v </w:t>
      </w:r>
      <w:r>
        <w:rPr>
          <w:rFonts w:ascii="Arial"/>
          <w:i/>
          <w:color w:val="000000"/>
          <w:sz w:val="24"/>
        </w:rPr>
        <w:t>Huajun</w:t>
      </w:r>
      <w:r>
        <w:rPr>
          <w:rFonts w:ascii="Arial"/>
          <w:i/>
          <w:color w:val="000000"/>
          <w:sz w:val="24"/>
        </w:rPr>
        <w:t xml:space="preserve"> </w:t>
      </w:r>
      <w:r>
        <w:rPr>
          <w:rFonts w:ascii="Arial"/>
          <w:i/>
          <w:color w:val="000000"/>
          <w:sz w:val="24"/>
        </w:rPr>
        <w:t>Investments Pty Ltd</w:t>
      </w:r>
      <w:r>
        <w:rPr>
          <w:rFonts w:ascii="Arial"/>
          <w:color w:val="000000"/>
          <w:sz w:val="24"/>
        </w:rPr>
        <w:t xml:space="preserve"> </w:t>
      </w:r>
      <w:r>
        <w:rPr>
          <w:rFonts w:ascii="Arial"/>
          <w:color w:val="000000"/>
          <w:sz w:val="24"/>
        </w:rPr>
        <w:t>[2018] NSWCA 245</w:t>
      </w:r>
      <w:r>
        <w:rPr>
          <w:rFonts w:ascii="Arial"/>
          <w:color w:val="000000"/>
          <w:sz w:val="24"/>
        </w:rPr>
        <w:t>, albeit the case involved a</w:t>
      </w:r>
      <w:r>
        <w:rPr>
          <w:rFonts w:ascii="Arial"/>
          <w:color w:val="000000"/>
          <w:sz w:val="24"/>
        </w:rPr>
        <w:t xml:space="preserve"> </w:t>
      </w:r>
      <w:r>
        <w:rPr>
          <w:rFonts w:ascii="Arial"/>
          <w:color w:val="000000"/>
          <w:sz w:val="24"/>
        </w:rPr>
        <w:t>Land and Environment Court Commissioner</w:t>
      </w:r>
      <w:r>
        <w:rPr>
          <w:rFonts w:ascii="Arial"/>
          <w:color w:val="000000"/>
          <w:sz w:val="24"/>
        </w:rPr>
        <w:t>’</w:t>
      </w:r>
      <w:r>
        <w:rPr>
          <w:rFonts w:ascii="Arial"/>
          <w:color w:val="000000"/>
          <w:sz w:val="24"/>
        </w:rPr>
        <w:t xml:space="preserve">s decision to grant consent to development application for residential flat building </w:t>
      </w:r>
      <w:r>
        <w:rPr>
          <w:rFonts w:ascii="Arial"/>
          <w:color w:val="000000"/>
          <w:sz w:val="24"/>
        </w:rPr>
        <w:t xml:space="preserve">which was inconsistent and unclear. The </w:t>
      </w:r>
      <w:r>
        <w:rPr>
          <w:rFonts w:ascii="Arial"/>
          <w:color w:val="000000"/>
          <w:sz w:val="24"/>
        </w:rPr>
        <w:t>issue was whether the decision to grant development consent was legally unreasonable. This Court held that it was not. Preston CJ of LEC said:</w:t>
      </w:r>
    </w:p>
    <w:p>
      <w:pPr>
        <w:pStyle w:val="CaselawQuote"/>
        <w:spacing w:before="150" w:after="150"/>
        <w:ind w:left="1350"/>
        <w:jc w:val="left"/>
      </w:pPr>
      <w:r>
        <w:rPr>
          <w:rFonts w:ascii="Arial"/>
          <w:color w:val="000000"/>
          <w:sz w:val="22"/>
        </w:rPr>
        <w:t>“[213]</w:t>
      </w:r>
      <w:r>
        <w:rPr>
          <w:rFonts w:ascii="Arial"/>
          <w:color w:val="000000"/>
          <w:sz w:val="22"/>
        </w:rPr>
        <w:t>   </w:t>
      </w:r>
      <w:r>
        <w:rPr>
          <w:rFonts w:ascii="Arial"/>
          <w:color w:val="000000"/>
          <w:sz w:val="22"/>
        </w:rPr>
        <w:t xml:space="preserve">Although I agree that the further amended plans describing the internal access and circulation within the basement carpark are inconsistent and unclear, I do not consider that these deficiencies in the plans caused the development application not to be a development application for the purposes of the EPA Act and the [Certification Regulation] or cause the development consent granted to that application not to be valid, by lacking certainty or being legally unreasonable. The issue is one of construction of the provisions of the EPA Act and the [Certification Regulation] regulating the making of a development application and the grant of consent to a development application as well as the application of those provisions to the circumstances of the case: </w:t>
      </w:r>
      <w:r>
        <w:rPr>
          <w:rFonts w:ascii="Arial"/>
          <w:i/>
          <w:color w:val="000000"/>
          <w:sz w:val="22"/>
        </w:rPr>
        <w:t>Winn v Director General of National Parks and Wildlife</w:t>
      </w:r>
      <w:r>
        <w:rPr>
          <w:rFonts w:ascii="Arial"/>
          <w:color w:val="000000"/>
          <w:sz w:val="22"/>
        </w:rPr>
        <w:t xml:space="preserve"> at [12].</w:t>
      </w:r>
    </w:p>
    <w:p>
      <w:pPr>
        <w:pStyle w:val="CaselawQuote"/>
        <w:spacing w:before="150" w:after="150"/>
        <w:ind w:left="1350"/>
        <w:jc w:val="left"/>
      </w:pPr>
      <w:r>
        <w:rPr>
          <w:rFonts w:ascii="Arial"/>
          <w:color w:val="000000"/>
          <w:sz w:val="22"/>
        </w:rPr>
        <w:t>[214]</w:t>
      </w:r>
      <w:r>
        <w:rPr>
          <w:rFonts w:ascii="Arial"/>
          <w:color w:val="000000"/>
          <w:sz w:val="22"/>
        </w:rPr>
        <w:t>   </w:t>
      </w:r>
      <w:r>
        <w:rPr>
          <w:rFonts w:ascii="Arial"/>
          <w:color w:val="000000"/>
          <w:sz w:val="22"/>
        </w:rPr>
        <w:t xml:space="preserve">I do not consider that the deficiencies in the further amended plans for the basement carpark are of such magnitude as to cause the development application not to comply with the essential statutory prescriptions for a development application. The development application still describes the development to be carried out, being the erection of a building and the subsequent use of the building, which is development that may not be carried out except with development consent. The fact that, if development is carried out in accordance with the further amended plans, the internal access and circulation in the basement will be significantly constrained does not cause the development described in the plans not to be </w:t>
      </w:r>
      <w:r>
        <w:rPr>
          <w:rFonts w:ascii="Arial"/>
          <w:color w:val="000000"/>
          <w:sz w:val="22"/>
        </w:rPr>
        <w:t>“development”</w:t>
      </w:r>
      <w:r>
        <w:rPr>
          <w:rFonts w:ascii="Arial"/>
          <w:color w:val="000000"/>
          <w:sz w:val="22"/>
        </w:rPr>
        <w:t xml:space="preserve"> for the purposes of the EPA Act or the development application seeking consent for that development not to be a development application for the purposes of the EPA Act. As I noted earlier, </w:t>
      </w:r>
      <w:r>
        <w:rPr>
          <w:rFonts w:ascii="Arial"/>
          <w:color w:val="000000"/>
          <w:sz w:val="22"/>
        </w:rPr>
        <w:t>Spigelman</w:t>
      </w:r>
      <w:r>
        <w:rPr>
          <w:rFonts w:ascii="Arial"/>
          <w:color w:val="000000"/>
          <w:sz w:val="22"/>
        </w:rPr>
        <w:t xml:space="preserve"> CJ held in </w:t>
      </w:r>
      <w:r>
        <w:rPr>
          <w:rFonts w:ascii="Arial"/>
          <w:i/>
          <w:color w:val="000000"/>
          <w:sz w:val="22"/>
        </w:rPr>
        <w:t>Currey v Sutherland Shire Council</w:t>
      </w:r>
      <w:r>
        <w:rPr>
          <w:rFonts w:ascii="Arial"/>
          <w:color w:val="000000"/>
          <w:sz w:val="22"/>
        </w:rPr>
        <w:t xml:space="preserve"> at [35] that people are entitled to apply to a consent authority for whatever development they like, provided that it answers the description of being development that may not be carried out except with consent, and that </w:t>
      </w:r>
      <w:r>
        <w:rPr>
          <w:rFonts w:ascii="Arial"/>
          <w:color w:val="000000"/>
          <w:sz w:val="22"/>
        </w:rPr>
        <w:t>“there is no relevant prohibition, express or implied, which impinges upon the application making process”.</w:t>
      </w:r>
    </w:p>
    <w:p>
      <w:pPr>
        <w:pStyle w:val="CaselawQuote"/>
        <w:spacing w:before="150" w:after="150"/>
        <w:ind w:left="1350"/>
        <w:jc w:val="left"/>
      </w:pPr>
      <w:r>
        <w:rPr>
          <w:rFonts w:ascii="Arial"/>
          <w:color w:val="000000"/>
          <w:sz w:val="22"/>
        </w:rPr>
        <w:t>[215]</w:t>
      </w:r>
      <w:r>
        <w:rPr>
          <w:rFonts w:ascii="Arial"/>
          <w:color w:val="000000"/>
          <w:sz w:val="22"/>
        </w:rPr>
        <w:t>   </w:t>
      </w:r>
      <w:r>
        <w:rPr>
          <w:rFonts w:ascii="Arial"/>
          <w:color w:val="000000"/>
          <w:sz w:val="22"/>
        </w:rPr>
        <w:t xml:space="preserve">Only if the deficiencies in the description of the development in the development application, such as in the plans accompanying the development application, cause the development application to fail to meet some essential statutory prescription for making a development application, will the deficiencies cause the development application not to be a development application for the purposes of the EPA Act and [Certification </w:t>
      </w:r>
      <w:r>
        <w:rPr>
          <w:rFonts w:ascii="Arial"/>
          <w:color w:val="000000"/>
          <w:sz w:val="22"/>
        </w:rPr>
        <w:t>Regulation].”</w:t>
      </w:r>
    </w:p>
    <w:p>
      <w:pPr>
        <w:pStyle w:val="CaselawHeading4"/>
        <w:keepNext/>
        <w:spacing w:before="150" w:after="150" w:line="264"/>
        <w:ind w:left="600"/>
        <w:jc w:val="left"/>
      </w:pPr>
      <w:r>
        <w:rPr>
          <w:rFonts w:ascii="Arial"/>
        </w:rPr>
        <w:t>Assessing reasonableness in this case</w:t>
      </w:r>
    </w:p>
    <w:p>
      <w:pPr>
        <w:pStyle w:val="CaselawNumbered10"/>
        <w:numPr>
          <w:ilvl w:val="0"/>
          <w:numId w:val="102"/>
        </w:numPr>
        <w:spacing w:before="150" w:after="0"/>
        <w:ind w:left="600" w:hanging="600"/>
      </w:pPr>
      <w:r>
        <w:rPr>
          <w:rFonts w:ascii="Arial"/>
          <w:color w:val="000000"/>
          <w:sz w:val="24"/>
        </w:rPr>
        <w:t xml:space="preserve">As earlier explained, the appellants adduced no evidence from themselves, their builder, architect or structural engineer, nor from the certifier. </w:t>
      </w:r>
      <w:r>
        <w:rPr>
          <w:rFonts w:ascii="Arial"/>
          <w:color w:val="000000"/>
          <w:sz w:val="24"/>
        </w:rPr>
        <w:t>As n</w:t>
      </w:r>
      <w:r>
        <w:rPr>
          <w:rFonts w:ascii="Arial"/>
          <w:color w:val="000000"/>
          <w:sz w:val="24"/>
        </w:rPr>
        <w:t xml:space="preserve">o reasons were given by the certifier for the making of the </w:t>
      </w:r>
      <w:r>
        <w:rPr>
          <w:rFonts w:ascii="Arial"/>
          <w:color w:val="000000"/>
          <w:sz w:val="24"/>
        </w:rPr>
        <w:t>construction certificate</w:t>
      </w:r>
      <w:r>
        <w:rPr>
          <w:rFonts w:ascii="Arial"/>
          <w:color w:val="000000"/>
          <w:sz w:val="24"/>
        </w:rPr>
        <w:t xml:space="preserve">, </w:t>
      </w:r>
      <w:r>
        <w:rPr>
          <w:rFonts w:ascii="Arial"/>
          <w:color w:val="000000"/>
          <w:sz w:val="24"/>
        </w:rPr>
        <w:t>in addressing the question of legal unreasonableness it is necessary to engage in a process of inferential reasoning.</w:t>
      </w:r>
      <w:r>
        <w:rPr>
          <w:rFonts w:ascii="Arial"/>
          <w:color w:val="000000"/>
          <w:sz w:val="24"/>
        </w:rPr>
        <w:t xml:space="preserve"> </w:t>
      </w:r>
      <w:r>
        <w:rPr>
          <w:rFonts w:ascii="Arial"/>
          <w:color w:val="000000"/>
          <w:sz w:val="24"/>
        </w:rPr>
        <w:t xml:space="preserve">Dixon J in </w:t>
      </w:r>
      <w:r>
        <w:rPr>
          <w:rFonts w:ascii="Arial"/>
          <w:i/>
          <w:color w:val="000000"/>
          <w:sz w:val="24"/>
        </w:rPr>
        <w:t>Avon Downs Pty Ltd v Federal Commissioner of Taxation</w:t>
      </w:r>
      <w:r>
        <w:rPr>
          <w:rFonts w:ascii="Arial"/>
          <w:color w:val="000000"/>
          <w:sz w:val="24"/>
        </w:rPr>
        <w:t xml:space="preserve"> </w:t>
      </w:r>
      <w:r>
        <w:rPr>
          <w:rFonts w:ascii="Arial"/>
          <w:color w:val="000000"/>
          <w:sz w:val="24"/>
        </w:rPr>
        <w:t>(1949) 78 CLR 353</w:t>
      </w:r>
      <w:r>
        <w:rPr>
          <w:rFonts w:ascii="Arial"/>
          <w:color w:val="000000"/>
          <w:sz w:val="24"/>
        </w:rPr>
        <w:t xml:space="preserve"> </w:t>
      </w:r>
      <w:r>
        <w:rPr>
          <w:rFonts w:ascii="Arial"/>
          <w:color w:val="000000"/>
          <w:sz w:val="24"/>
        </w:rPr>
        <w:t>explained a decision may be reviewable for jurisdictional error even though the decision-maker has not given reasons, Dixon J stated</w:t>
      </w:r>
      <w:r>
        <w:rPr>
          <w:rFonts w:ascii="Arial"/>
          <w:color w:val="000000"/>
          <w:sz w:val="24"/>
        </w:rPr>
        <w:t xml:space="preserve"> </w:t>
      </w:r>
      <w:r>
        <w:rPr>
          <w:rFonts w:ascii="Arial"/>
          <w:color w:val="000000"/>
          <w:sz w:val="24"/>
        </w:rPr>
        <w:t>at 360</w:t>
      </w:r>
      <w:r>
        <w:rPr>
          <w:rFonts w:ascii="Arial"/>
          <w:color w:val="000000"/>
          <w:sz w:val="24"/>
        </w:rPr>
        <w:t>:</w:t>
      </w:r>
    </w:p>
    <w:p>
      <w:pPr>
        <w:pStyle w:val="CaselawQuote"/>
        <w:spacing w:before="150" w:after="150"/>
        <w:ind w:left="1350"/>
        <w:jc w:val="left"/>
      </w:pPr>
      <w:r>
        <w:rPr>
          <w:rFonts w:ascii="Arial"/>
          <w:color w:val="000000"/>
          <w:sz w:val="22"/>
        </w:rPr>
        <w:t>“If the result appears to be unreasonable on the supposition that he addressed himself to the right question, correctly applied the rules of law and took into account all the relevant considerations and no irrelevant considerations, then it may be a proper inference that it is a false supposition.”</w:t>
      </w:r>
    </w:p>
    <w:p>
      <w:pPr>
        <w:pStyle w:val="CaselawNumbered10"/>
        <w:numPr>
          <w:ilvl w:val="0"/>
          <w:numId w:val="103"/>
        </w:numPr>
        <w:spacing w:before="150" w:after="0"/>
        <w:ind w:left="600" w:hanging="600"/>
      </w:pPr>
      <w:r>
        <w:rPr>
          <w:rFonts w:ascii="Arial"/>
          <w:color w:val="000000"/>
          <w:sz w:val="24"/>
        </w:rPr>
        <w:t xml:space="preserve">The starting point </w:t>
      </w:r>
      <w:r>
        <w:rPr>
          <w:rFonts w:ascii="Arial"/>
          <w:color w:val="000000"/>
          <w:sz w:val="24"/>
        </w:rPr>
        <w:t>remains</w:t>
      </w:r>
      <w:r>
        <w:rPr>
          <w:rFonts w:ascii="Arial"/>
          <w:color w:val="000000"/>
          <w:sz w:val="24"/>
        </w:rPr>
        <w:t xml:space="preserve"> </w:t>
      </w:r>
      <w:r>
        <w:rPr>
          <w:rFonts w:ascii="Arial"/>
          <w:color w:val="000000"/>
          <w:sz w:val="24"/>
        </w:rPr>
        <w:t xml:space="preserve">that there is no challenge to the determination of the primary judge that the </w:t>
      </w:r>
      <w:r>
        <w:rPr>
          <w:rFonts w:ascii="Arial"/>
          <w:color w:val="000000"/>
          <w:sz w:val="24"/>
        </w:rPr>
        <w:t xml:space="preserve">construction certificate </w:t>
      </w:r>
      <w:r>
        <w:rPr>
          <w:rFonts w:ascii="Arial"/>
          <w:color w:val="000000"/>
          <w:sz w:val="24"/>
        </w:rPr>
        <w:t xml:space="preserve">was not consistent with the </w:t>
      </w:r>
      <w:r>
        <w:rPr>
          <w:rFonts w:ascii="Arial"/>
          <w:color w:val="000000"/>
          <w:sz w:val="24"/>
        </w:rPr>
        <w:t>development consent</w:t>
      </w:r>
      <w:r>
        <w:rPr>
          <w:rFonts w:ascii="Arial"/>
          <w:color w:val="000000"/>
          <w:sz w:val="24"/>
        </w:rPr>
        <w:t>.</w:t>
      </w:r>
      <w:r>
        <w:rPr>
          <w:rFonts w:ascii="Arial"/>
          <w:color w:val="000000"/>
          <w:sz w:val="24"/>
        </w:rPr>
        <w:t xml:space="preserve"> </w:t>
      </w:r>
      <w:r>
        <w:rPr>
          <w:rFonts w:ascii="Arial"/>
          <w:color w:val="000000"/>
          <w:sz w:val="24"/>
        </w:rPr>
        <w:t xml:space="preserve">In determining whether </w:t>
      </w:r>
      <w:r>
        <w:rPr>
          <w:rFonts w:ascii="Arial"/>
          <w:color w:val="000000"/>
          <w:sz w:val="24"/>
        </w:rPr>
        <w:t>the</w:t>
      </w:r>
      <w:r>
        <w:rPr>
          <w:rFonts w:ascii="Arial"/>
          <w:color w:val="000000"/>
          <w:sz w:val="24"/>
        </w:rPr>
        <w:t xml:space="preserve"> </w:t>
      </w:r>
      <w:r>
        <w:rPr>
          <w:rFonts w:ascii="Arial"/>
          <w:color w:val="000000"/>
          <w:sz w:val="24"/>
        </w:rPr>
        <w:t>certifier</w:t>
      </w:r>
      <w:r>
        <w:rPr>
          <w:rFonts w:ascii="Arial"/>
          <w:color w:val="000000"/>
          <w:sz w:val="24"/>
        </w:rPr>
        <w:t>, acting reasonably,</w:t>
      </w:r>
      <w:r>
        <w:rPr>
          <w:rFonts w:ascii="Arial"/>
          <w:color w:val="000000"/>
          <w:sz w:val="24"/>
        </w:rPr>
        <w:t xml:space="preserve"> </w:t>
      </w:r>
      <w:r>
        <w:rPr>
          <w:rFonts w:ascii="Arial"/>
          <w:color w:val="000000"/>
          <w:sz w:val="24"/>
        </w:rPr>
        <w:t xml:space="preserve">could nevertheless have come to the conclusion that the </w:t>
      </w:r>
      <w:r>
        <w:rPr>
          <w:rFonts w:ascii="Arial"/>
          <w:color w:val="000000"/>
          <w:sz w:val="24"/>
        </w:rPr>
        <w:t xml:space="preserve">construction certificate </w:t>
      </w:r>
      <w:r>
        <w:rPr>
          <w:rFonts w:ascii="Arial"/>
          <w:color w:val="000000"/>
          <w:sz w:val="24"/>
        </w:rPr>
        <w:t xml:space="preserve">was consistent with the </w:t>
      </w:r>
      <w:r>
        <w:rPr>
          <w:rFonts w:ascii="Arial"/>
          <w:color w:val="000000"/>
          <w:sz w:val="24"/>
        </w:rPr>
        <w:t>development consent</w:t>
      </w:r>
      <w:r>
        <w:rPr>
          <w:rFonts w:ascii="Arial"/>
          <w:color w:val="000000"/>
          <w:sz w:val="24"/>
        </w:rPr>
        <w:t xml:space="preserve">, inferences must be drawn. </w:t>
      </w:r>
    </w:p>
    <w:p>
      <w:pPr>
        <w:pStyle w:val="CaselawNumbered10"/>
        <w:numPr>
          <w:ilvl w:val="0"/>
          <w:numId w:val="103"/>
        </w:numPr>
        <w:spacing w:before="150" w:after="0"/>
        <w:ind w:left="600" w:hanging="600"/>
      </w:pPr>
      <w:r>
        <w:rPr>
          <w:rFonts w:ascii="Arial"/>
          <w:color w:val="000000"/>
          <w:sz w:val="24"/>
        </w:rPr>
        <w:t xml:space="preserve">I </w:t>
      </w:r>
      <w:r>
        <w:rPr>
          <w:rFonts w:ascii="Arial"/>
          <w:color w:val="000000"/>
          <w:sz w:val="24"/>
        </w:rPr>
        <w:t>a</w:t>
      </w:r>
      <w:r>
        <w:rPr>
          <w:rFonts w:ascii="Arial"/>
          <w:color w:val="000000"/>
          <w:sz w:val="24"/>
        </w:rPr>
        <w:t>ccept the appellants</w:t>
      </w:r>
      <w:r>
        <w:rPr>
          <w:rFonts w:ascii="Arial"/>
          <w:color w:val="000000"/>
          <w:sz w:val="24"/>
        </w:rPr>
        <w:t>’</w:t>
      </w:r>
      <w:r>
        <w:rPr>
          <w:rFonts w:ascii="Arial"/>
          <w:color w:val="000000"/>
          <w:sz w:val="24"/>
        </w:rPr>
        <w:t xml:space="preserve"> </w:t>
      </w:r>
      <w:r>
        <w:rPr>
          <w:rFonts w:ascii="Arial"/>
          <w:color w:val="000000"/>
          <w:sz w:val="24"/>
        </w:rPr>
        <w:t xml:space="preserve">submission that in addressing the question of legal unreasonableness, the </w:t>
      </w:r>
      <w:r>
        <w:rPr>
          <w:rFonts w:ascii="Arial"/>
          <w:color w:val="000000"/>
          <w:sz w:val="24"/>
        </w:rPr>
        <w:t xml:space="preserve">development consent </w:t>
      </w:r>
      <w:r>
        <w:rPr>
          <w:rFonts w:ascii="Arial"/>
          <w:color w:val="000000"/>
          <w:sz w:val="24"/>
        </w:rPr>
        <w:t xml:space="preserve">must be read as a whole. </w:t>
      </w:r>
      <w:r>
        <w:rPr>
          <w:rFonts w:ascii="Arial"/>
          <w:color w:val="000000"/>
          <w:sz w:val="24"/>
        </w:rPr>
        <w:t xml:space="preserve">In doing so, I </w:t>
      </w:r>
      <w:r>
        <w:rPr>
          <w:rFonts w:ascii="Arial"/>
          <w:color w:val="000000"/>
          <w:sz w:val="24"/>
        </w:rPr>
        <w:t>note</w:t>
      </w:r>
      <w:r>
        <w:rPr>
          <w:rFonts w:ascii="Arial"/>
          <w:color w:val="000000"/>
          <w:sz w:val="24"/>
        </w:rPr>
        <w:t xml:space="preserve"> </w:t>
      </w:r>
      <w:r>
        <w:rPr>
          <w:rFonts w:ascii="Arial"/>
          <w:color w:val="000000"/>
          <w:sz w:val="24"/>
        </w:rPr>
        <w:t xml:space="preserve">that the </w:t>
      </w:r>
      <w:r>
        <w:rPr>
          <w:rFonts w:ascii="Arial"/>
          <w:color w:val="000000"/>
          <w:sz w:val="24"/>
        </w:rPr>
        <w:t xml:space="preserve">development consent </w:t>
      </w:r>
      <w:r>
        <w:rPr>
          <w:rFonts w:ascii="Arial"/>
          <w:color w:val="000000"/>
          <w:sz w:val="24"/>
        </w:rPr>
        <w:t xml:space="preserve">permits the ongoing construction of structural elements </w:t>
      </w:r>
      <w:r>
        <w:rPr>
          <w:rFonts w:ascii="Arial"/>
          <w:color w:val="000000"/>
          <w:sz w:val="24"/>
        </w:rPr>
        <w:t xml:space="preserve">of the new house </w:t>
      </w:r>
      <w:r>
        <w:rPr>
          <w:rFonts w:ascii="Arial"/>
          <w:color w:val="000000"/>
          <w:sz w:val="24"/>
        </w:rPr>
        <w:t>that were approved prior to the removal of the cellar level</w:t>
      </w:r>
      <w:r>
        <w:rPr>
          <w:rFonts w:ascii="Arial"/>
          <w:color w:val="000000"/>
          <w:sz w:val="24"/>
        </w:rPr>
        <w:t>.</w:t>
      </w:r>
      <w:r>
        <w:rPr>
          <w:rFonts w:ascii="Arial"/>
          <w:color w:val="000000"/>
          <w:sz w:val="24"/>
        </w:rPr>
        <w:t xml:space="preserve"> </w:t>
      </w:r>
      <w:r>
        <w:rPr>
          <w:rFonts w:ascii="Arial"/>
          <w:color w:val="000000"/>
          <w:sz w:val="24"/>
        </w:rPr>
        <w:t>Condition C.1(d) was however emphatic that</w:t>
      </w:r>
      <w:r>
        <w:rPr>
          <w:rFonts w:ascii="Arial"/>
          <w:color w:val="000000"/>
          <w:sz w:val="24"/>
        </w:rPr>
        <w:t xml:space="preserve"> </w:t>
      </w:r>
      <w:r>
        <w:rPr>
          <w:rFonts w:ascii="Arial"/>
          <w:color w:val="000000"/>
          <w:sz w:val="24"/>
        </w:rPr>
        <w:t>“</w:t>
      </w:r>
      <w:r>
        <w:rPr>
          <w:rFonts w:ascii="Arial"/>
          <w:color w:val="000000"/>
          <w:sz w:val="24"/>
        </w:rPr>
        <w:t xml:space="preserve">the </w:t>
      </w:r>
      <w:r>
        <w:rPr>
          <w:rFonts w:ascii="Arial"/>
          <w:color w:val="000000"/>
          <w:sz w:val="24"/>
        </w:rPr>
        <w:t>‘</w:t>
      </w:r>
      <w:r>
        <w:rPr>
          <w:rFonts w:ascii="Arial"/>
          <w:color w:val="000000"/>
          <w:sz w:val="24"/>
        </w:rPr>
        <w:t>cellar</w:t>
      </w:r>
      <w:r>
        <w:rPr>
          <w:rFonts w:ascii="Arial"/>
          <w:color w:val="000000"/>
          <w:sz w:val="24"/>
        </w:rPr>
        <w:t>’</w:t>
      </w:r>
      <w:r>
        <w:rPr>
          <w:rFonts w:ascii="Arial"/>
          <w:color w:val="000000"/>
          <w:sz w:val="24"/>
        </w:rPr>
        <w:t xml:space="preserve"> level including the mechanical ventilation, wine cellar, store, lift and access stairs must be deleted; and the area must remain unexcavated</w:t>
      </w:r>
      <w:r>
        <w:rPr>
          <w:rFonts w:ascii="Arial"/>
          <w:color w:val="000000"/>
          <w:sz w:val="24"/>
        </w:rPr>
        <w:t>”</w:t>
      </w:r>
      <w:r>
        <w:rPr>
          <w:rFonts w:ascii="Arial"/>
          <w:color w:val="000000"/>
          <w:sz w:val="24"/>
        </w:rPr>
        <w:t>.</w:t>
      </w:r>
      <w:r>
        <w:rPr>
          <w:rFonts w:ascii="Arial"/>
          <w:color w:val="000000"/>
          <w:sz w:val="24"/>
        </w:rPr>
        <w:t xml:space="preserve"> </w:t>
      </w:r>
      <w:r>
        <w:rPr>
          <w:rFonts w:ascii="Arial"/>
          <w:color w:val="000000"/>
          <w:sz w:val="24"/>
        </w:rPr>
        <w:t>The primary judge found that:</w:t>
      </w:r>
    </w:p>
    <w:p>
      <w:pPr>
        <w:pStyle w:val="CaselawQuote"/>
        <w:spacing w:before="150" w:after="150"/>
        <w:ind w:left="1350"/>
        <w:jc w:val="left"/>
      </w:pPr>
      <w:r>
        <w:rPr>
          <w:rFonts w:ascii="Arial"/>
          <w:color w:val="000000"/>
          <w:sz w:val="22"/>
        </w:rPr>
        <w:t>“[137] … there is nothing ambiguous in the language of</w:t>
      </w:r>
      <w:r>
        <w:rPr>
          <w:rFonts w:ascii="Arial"/>
          <w:color w:val="000000"/>
          <w:sz w:val="22"/>
        </w:rPr>
        <w:t xml:space="preserve"> </w:t>
      </w:r>
      <w:r>
        <w:rPr>
          <w:rFonts w:ascii="Arial"/>
          <w:color w:val="000000"/>
          <w:sz w:val="22"/>
        </w:rPr>
        <w:t>condition</w:t>
      </w:r>
      <w:r>
        <w:rPr>
          <w:rFonts w:ascii="Arial"/>
          <w:color w:val="000000"/>
          <w:sz w:val="22"/>
        </w:rPr>
        <w:t xml:space="preserve"> </w:t>
      </w:r>
      <w:r>
        <w:rPr>
          <w:rFonts w:ascii="Arial"/>
          <w:color w:val="000000"/>
          <w:sz w:val="22"/>
        </w:rPr>
        <w:t>C.1(d) and that, properly construed, the modified development consent prohibits excavation</w:t>
      </w:r>
      <w:r>
        <w:rPr>
          <w:rFonts w:ascii="Arial"/>
          <w:color w:val="000000"/>
          <w:sz w:val="22"/>
        </w:rPr>
        <w:t xml:space="preserve"> </w:t>
      </w:r>
      <w:r>
        <w:rPr>
          <w:rFonts w:ascii="Arial"/>
          <w:color w:val="000000"/>
          <w:sz w:val="22"/>
        </w:rPr>
        <w:t>in the</w:t>
      </w:r>
      <w:r>
        <w:rPr>
          <w:rFonts w:ascii="Arial"/>
          <w:color w:val="000000"/>
          <w:sz w:val="22"/>
        </w:rPr>
        <w:t xml:space="preserve"> </w:t>
      </w:r>
      <w:r>
        <w:rPr>
          <w:rFonts w:ascii="Arial"/>
          <w:color w:val="000000"/>
          <w:sz w:val="22"/>
        </w:rPr>
        <w:t>area</w:t>
      </w:r>
      <w:r>
        <w:rPr>
          <w:rFonts w:ascii="Arial"/>
          <w:color w:val="000000"/>
          <w:sz w:val="22"/>
        </w:rPr>
        <w:t xml:space="preserve"> </w:t>
      </w:r>
      <w:r>
        <w:rPr>
          <w:rFonts w:ascii="Arial"/>
          <w:color w:val="000000"/>
          <w:sz w:val="22"/>
        </w:rPr>
        <w:t>identified in</w:t>
      </w:r>
      <w:r>
        <w:rPr>
          <w:rFonts w:ascii="Arial"/>
          <w:color w:val="000000"/>
          <w:sz w:val="22"/>
        </w:rPr>
        <w:t xml:space="preserve"> </w:t>
      </w:r>
      <w:r>
        <w:rPr>
          <w:rFonts w:ascii="Arial"/>
          <w:color w:val="000000"/>
          <w:sz w:val="22"/>
        </w:rPr>
        <w:t>condition</w:t>
      </w:r>
      <w:r>
        <w:rPr>
          <w:rFonts w:ascii="Arial"/>
          <w:color w:val="000000"/>
          <w:sz w:val="22"/>
        </w:rPr>
        <w:t xml:space="preserve"> </w:t>
      </w:r>
      <w:r>
        <w:rPr>
          <w:rFonts w:ascii="Arial"/>
          <w:color w:val="000000"/>
          <w:sz w:val="22"/>
        </w:rPr>
        <w:t>C.1(d)</w:t>
      </w:r>
      <w:r>
        <w:rPr>
          <w:rFonts w:ascii="Arial"/>
          <w:color w:val="000000"/>
          <w:sz w:val="22"/>
        </w:rPr>
        <w:t xml:space="preserve"> </w:t>
      </w:r>
      <w:r>
        <w:rPr>
          <w:rFonts w:ascii="Arial"/>
          <w:color w:val="000000"/>
          <w:sz w:val="22"/>
        </w:rPr>
        <w:t>by</w:t>
      </w:r>
      <w:r>
        <w:rPr>
          <w:rFonts w:ascii="Arial"/>
          <w:color w:val="000000"/>
          <w:sz w:val="22"/>
        </w:rPr>
        <w:t xml:space="preserve"> </w:t>
      </w:r>
      <w:r>
        <w:rPr>
          <w:rFonts w:ascii="Arial"/>
          <w:color w:val="000000"/>
          <w:sz w:val="22"/>
        </w:rPr>
        <w:t>the</w:t>
      </w:r>
      <w:r>
        <w:rPr>
          <w:rFonts w:ascii="Arial"/>
          <w:color w:val="000000"/>
          <w:sz w:val="22"/>
        </w:rPr>
        <w:t xml:space="preserve"> </w:t>
      </w:r>
      <w:r>
        <w:rPr>
          <w:rFonts w:ascii="Arial"/>
          <w:color w:val="000000"/>
          <w:sz w:val="22"/>
        </w:rPr>
        <w:t>descriptor</w:t>
      </w:r>
      <w:r>
        <w:rPr>
          <w:rFonts w:ascii="Arial"/>
          <w:color w:val="000000"/>
          <w:sz w:val="22"/>
        </w:rPr>
        <w:t xml:space="preserve"> </w:t>
      </w:r>
      <w:r>
        <w:rPr>
          <w:rFonts w:ascii="Arial"/>
          <w:color w:val="000000"/>
          <w:sz w:val="22"/>
        </w:rPr>
        <w:t>‘cellar’</w:t>
      </w:r>
      <w:r>
        <w:rPr>
          <w:rFonts w:ascii="Arial"/>
          <w:color w:val="000000"/>
          <w:sz w:val="22"/>
        </w:rPr>
        <w:t xml:space="preserve"> </w:t>
      </w:r>
      <w:r>
        <w:rPr>
          <w:rFonts w:ascii="Arial"/>
          <w:color w:val="000000"/>
          <w:sz w:val="22"/>
        </w:rPr>
        <w:t>level; that is, excavation below RL 18.28 in the area hatched red on the Construction Void Marking Plan (Dwg</w:t>
      </w:r>
      <w:r>
        <w:rPr>
          <w:rFonts w:ascii="Arial"/>
          <w:color w:val="000000"/>
          <w:sz w:val="22"/>
        </w:rPr>
        <w:t xml:space="preserve"> </w:t>
      </w:r>
      <w:r>
        <w:rPr>
          <w:rFonts w:ascii="Arial"/>
          <w:color w:val="000000"/>
          <w:sz w:val="22"/>
        </w:rPr>
        <w:t>No. 1100 Rev C)</w:t>
      </w:r>
      <w:r>
        <w:rPr>
          <w:rFonts w:ascii="Arial"/>
          <w:color w:val="000000"/>
          <w:sz w:val="22"/>
        </w:rPr>
        <w:t xml:space="preserve"> </w:t>
      </w:r>
      <w:r>
        <w:rPr>
          <w:rFonts w:ascii="Arial"/>
          <w:color w:val="000000"/>
          <w:sz w:val="22"/>
        </w:rPr>
        <w:t>attached to</w:t>
      </w:r>
      <w:r>
        <w:rPr>
          <w:rFonts w:ascii="Arial"/>
          <w:color w:val="000000"/>
          <w:sz w:val="22"/>
        </w:rPr>
        <w:t xml:space="preserve"> </w:t>
      </w:r>
      <w:r>
        <w:rPr>
          <w:rFonts w:ascii="Arial"/>
          <w:color w:val="000000"/>
          <w:sz w:val="22"/>
        </w:rPr>
        <w:t>Council’s amended proposed orders. That includes excavation and works in that area for all purposes, including for structures such as a lift, lift shaft, stairs, walls, floors and a crane base.</w:t>
      </w:r>
      <w:r>
        <w:rPr>
          <w:rFonts w:ascii="Arial"/>
          <w:color w:val="000000"/>
          <w:sz w:val="22"/>
        </w:rPr>
        <w:t xml:space="preserve">” </w:t>
      </w:r>
    </w:p>
    <w:p>
      <w:pPr>
        <w:pStyle w:val="CaselawNumbered10"/>
        <w:numPr>
          <w:ilvl w:val="0"/>
          <w:numId w:val="104"/>
        </w:numPr>
        <w:spacing w:before="150" w:after="0"/>
        <w:ind w:left="600" w:hanging="600"/>
      </w:pPr>
      <w:r>
        <w:rPr>
          <w:rFonts w:ascii="Arial"/>
          <w:color w:val="000000"/>
          <w:sz w:val="24"/>
        </w:rPr>
        <w:t>T</w:t>
      </w:r>
      <w:r>
        <w:rPr>
          <w:rFonts w:ascii="Arial"/>
          <w:color w:val="000000"/>
          <w:sz w:val="24"/>
        </w:rPr>
        <w:t xml:space="preserve">he construction plans </w:t>
      </w:r>
      <w:r>
        <w:rPr>
          <w:rFonts w:ascii="Arial"/>
          <w:color w:val="000000"/>
          <w:sz w:val="24"/>
        </w:rPr>
        <w:t xml:space="preserve">approved as part of the development consent </w:t>
      </w:r>
      <w:r>
        <w:rPr>
          <w:rFonts w:ascii="Arial"/>
          <w:color w:val="000000"/>
          <w:sz w:val="24"/>
        </w:rPr>
        <w:t xml:space="preserve">have </w:t>
      </w:r>
      <w:r>
        <w:rPr>
          <w:rFonts w:ascii="Arial"/>
          <w:color w:val="000000"/>
          <w:sz w:val="24"/>
        </w:rPr>
        <w:t xml:space="preserve">clearly and unequivocally </w:t>
      </w:r>
      <w:r>
        <w:rPr>
          <w:rFonts w:ascii="Arial"/>
          <w:color w:val="000000"/>
          <w:sz w:val="24"/>
        </w:rPr>
        <w:t xml:space="preserve">deleted the </w:t>
      </w:r>
      <w:r>
        <w:rPr>
          <w:rFonts w:ascii="Arial"/>
          <w:color w:val="000000"/>
          <w:sz w:val="24"/>
        </w:rPr>
        <w:t>“</w:t>
      </w:r>
      <w:r>
        <w:rPr>
          <w:rFonts w:ascii="Arial"/>
          <w:color w:val="000000"/>
          <w:sz w:val="24"/>
        </w:rPr>
        <w:t>cellar</w:t>
      </w:r>
      <w:r>
        <w:rPr>
          <w:rFonts w:ascii="Arial"/>
          <w:color w:val="000000"/>
          <w:sz w:val="24"/>
        </w:rPr>
        <w:t>”</w:t>
      </w:r>
      <w:r>
        <w:rPr>
          <w:rFonts w:ascii="Arial"/>
          <w:color w:val="000000"/>
          <w:sz w:val="24"/>
        </w:rPr>
        <w:t xml:space="preserve"> </w:t>
      </w:r>
      <w:r>
        <w:rPr>
          <w:rFonts w:ascii="Arial"/>
          <w:color w:val="000000"/>
          <w:sz w:val="24"/>
        </w:rPr>
        <w:t xml:space="preserve">level, </w:t>
      </w:r>
      <w:r>
        <w:rPr>
          <w:rFonts w:ascii="Arial"/>
          <w:color w:val="000000"/>
          <w:sz w:val="24"/>
        </w:rPr>
        <w:t>the</w:t>
      </w:r>
      <w:r>
        <w:rPr>
          <w:rFonts w:ascii="Arial"/>
          <w:color w:val="000000"/>
          <w:sz w:val="24"/>
        </w:rPr>
        <w:t xml:space="preserve"> </w:t>
      </w:r>
      <w:r>
        <w:rPr>
          <w:rFonts w:ascii="Arial"/>
          <w:color w:val="000000"/>
          <w:sz w:val="24"/>
        </w:rPr>
        <w:t xml:space="preserve">store room, </w:t>
      </w:r>
      <w:r>
        <w:rPr>
          <w:rFonts w:ascii="Arial"/>
          <w:color w:val="000000"/>
          <w:sz w:val="24"/>
        </w:rPr>
        <w:t>the</w:t>
      </w:r>
      <w:r>
        <w:rPr>
          <w:rFonts w:ascii="Arial"/>
          <w:color w:val="000000"/>
          <w:sz w:val="24"/>
        </w:rPr>
        <w:t xml:space="preserve"> </w:t>
      </w:r>
      <w:r>
        <w:rPr>
          <w:rFonts w:ascii="Arial"/>
          <w:color w:val="000000"/>
          <w:sz w:val="24"/>
        </w:rPr>
        <w:t xml:space="preserve">staircase </w:t>
      </w:r>
      <w:r>
        <w:rPr>
          <w:rFonts w:ascii="Arial"/>
          <w:color w:val="000000"/>
          <w:sz w:val="24"/>
        </w:rPr>
        <w:t xml:space="preserve">and the lift </w:t>
      </w:r>
      <w:r>
        <w:rPr>
          <w:rFonts w:ascii="Arial"/>
          <w:color w:val="000000"/>
          <w:sz w:val="24"/>
        </w:rPr>
        <w:t>accessing the lower level.</w:t>
      </w:r>
    </w:p>
    <w:p>
      <w:pPr>
        <w:pStyle w:val="CaselawNumbered10"/>
        <w:numPr>
          <w:ilvl w:val="0"/>
          <w:numId w:val="104"/>
        </w:numPr>
        <w:spacing w:before="150" w:after="0"/>
        <w:ind w:left="600" w:hanging="600"/>
      </w:pPr>
      <w:r>
        <w:rPr>
          <w:rFonts w:ascii="Arial"/>
          <w:color w:val="000000"/>
          <w:sz w:val="24"/>
        </w:rPr>
        <w:t xml:space="preserve">It is against that background that the appellants </w:t>
      </w:r>
      <w:r>
        <w:rPr>
          <w:rFonts w:ascii="Arial"/>
          <w:color w:val="000000"/>
          <w:sz w:val="24"/>
        </w:rPr>
        <w:t xml:space="preserve">argued </w:t>
      </w:r>
      <w:r>
        <w:rPr>
          <w:rFonts w:ascii="Arial"/>
          <w:color w:val="000000"/>
          <w:sz w:val="24"/>
        </w:rPr>
        <w:t xml:space="preserve">that acting reasonably the certifier could have concluded that the </w:t>
      </w:r>
      <w:r>
        <w:rPr>
          <w:rFonts w:ascii="Arial"/>
          <w:color w:val="000000"/>
          <w:sz w:val="24"/>
        </w:rPr>
        <w:t xml:space="preserve">construction </w:t>
      </w:r>
      <w:r>
        <w:rPr>
          <w:rFonts w:ascii="Arial"/>
          <w:color w:val="000000"/>
          <w:sz w:val="24"/>
        </w:rPr>
        <w:t xml:space="preserve">certificate was consistent with the development </w:t>
      </w:r>
      <w:r>
        <w:rPr>
          <w:rFonts w:ascii="Arial"/>
          <w:color w:val="000000"/>
          <w:sz w:val="24"/>
        </w:rPr>
        <w:t xml:space="preserve">consent </w:t>
      </w:r>
      <w:r>
        <w:rPr>
          <w:rFonts w:ascii="Arial"/>
          <w:color w:val="000000"/>
          <w:sz w:val="24"/>
        </w:rPr>
        <w:t>must be tested.</w:t>
      </w:r>
    </w:p>
    <w:p>
      <w:pPr>
        <w:pStyle w:val="CaselawNumbered10"/>
        <w:numPr>
          <w:ilvl w:val="0"/>
          <w:numId w:val="104"/>
        </w:numPr>
        <w:spacing w:before="150" w:after="0"/>
        <w:ind w:left="600" w:hanging="600"/>
      </w:pPr>
      <w:r>
        <w:rPr>
          <w:rFonts w:ascii="Arial"/>
          <w:color w:val="000000"/>
          <w:sz w:val="24"/>
        </w:rPr>
        <w:t>The appellants</w:t>
      </w:r>
      <w:r>
        <w:rPr>
          <w:rFonts w:ascii="Arial"/>
          <w:color w:val="000000"/>
          <w:sz w:val="24"/>
        </w:rPr>
        <w:t>’</w:t>
      </w:r>
      <w:r>
        <w:rPr>
          <w:rFonts w:ascii="Arial"/>
          <w:color w:val="000000"/>
          <w:sz w:val="24"/>
        </w:rPr>
        <w:t xml:space="preserve"> </w:t>
      </w:r>
      <w:r>
        <w:rPr>
          <w:rFonts w:ascii="Arial"/>
          <w:color w:val="000000"/>
          <w:sz w:val="24"/>
        </w:rPr>
        <w:t xml:space="preserve">case essentially rested on </w:t>
      </w:r>
      <w:r>
        <w:rPr>
          <w:rFonts w:ascii="Arial"/>
          <w:color w:val="000000"/>
          <w:sz w:val="24"/>
        </w:rPr>
        <w:t xml:space="preserve">how </w:t>
      </w:r>
      <w:r>
        <w:rPr>
          <w:rFonts w:ascii="Arial"/>
          <w:color w:val="000000"/>
          <w:sz w:val="24"/>
        </w:rPr>
        <w:t xml:space="preserve">condition </w:t>
      </w:r>
      <w:r>
        <w:rPr>
          <w:rFonts w:ascii="Arial"/>
          <w:color w:val="000000"/>
          <w:sz w:val="24"/>
        </w:rPr>
        <w:t xml:space="preserve">C.1(d) </w:t>
      </w:r>
      <w:r>
        <w:rPr>
          <w:rFonts w:ascii="Arial"/>
          <w:color w:val="000000"/>
          <w:sz w:val="24"/>
        </w:rPr>
        <w:t xml:space="preserve">of the </w:t>
      </w:r>
      <w:r>
        <w:rPr>
          <w:rFonts w:ascii="Arial"/>
          <w:color w:val="000000"/>
          <w:sz w:val="24"/>
        </w:rPr>
        <w:t xml:space="preserve">development consent </w:t>
      </w:r>
      <w:r>
        <w:rPr>
          <w:rFonts w:ascii="Arial"/>
          <w:color w:val="000000"/>
          <w:sz w:val="24"/>
        </w:rPr>
        <w:t>was to be reconciled with specific construction conditions, including condition E.8</w:t>
      </w:r>
      <w:r>
        <w:rPr>
          <w:rFonts w:ascii="Arial"/>
          <w:color w:val="000000"/>
          <w:sz w:val="24"/>
        </w:rPr>
        <w:t xml:space="preserve"> </w:t>
      </w:r>
      <w:r>
        <w:rPr>
          <w:rFonts w:ascii="Arial"/>
          <w:color w:val="000000"/>
          <w:sz w:val="24"/>
        </w:rPr>
        <w:t>extracted above at [</w:t>
      </w:r>
      <w:hyperlink r:id="rId28">
        <w:r>
          <w:rPr>
            <w:rFonts w:ascii="Arial"/>
            <w:color w:val="000000"/>
            <w:sz w:val="24"/>
            <w:u w:val="single"/>
          </w:rPr>
          <w:t/>
        </w:r>
        <w:r>
          <w:rPr>
            <w:rFonts w:ascii="Arial"/>
            <w:color w:val="000000"/>
            <w:sz w:val="24"/>
          </w:rPr>
          <w:t>87</w:t>
        </w:r>
      </w:hyperlink>
      <w:hyperlink r:id="rId29">
        <w:r>
          <w:rPr>
            <w:rFonts w:ascii="Arial"/>
            <w:color w:val="000000"/>
            <w:sz w:val="24"/>
          </w:rPr>
          <w:t/>
        </w:r>
      </w:hyperlink>
      <w:r>
        <w:rPr>
          <w:rFonts w:ascii="Arial"/>
          <w:color w:val="000000"/>
          <w:sz w:val="24"/>
        </w:rPr>
        <w:t>]</w:t>
      </w:r>
      <w:r>
        <w:rPr>
          <w:rFonts w:ascii="Arial"/>
          <w:color w:val="000000"/>
          <w:sz w:val="24"/>
        </w:rPr>
        <w:t>,</w:t>
      </w:r>
      <w:r>
        <w:rPr>
          <w:rFonts w:ascii="Arial"/>
          <w:color w:val="000000"/>
          <w:sz w:val="24"/>
        </w:rPr>
        <w:t xml:space="preserve"> </w:t>
      </w:r>
      <w:r>
        <w:rPr>
          <w:rFonts w:ascii="Arial"/>
          <w:color w:val="000000"/>
          <w:sz w:val="24"/>
        </w:rPr>
        <w:t>if there was a relevant direction from a supervising professional engineer. Condition C.1(d) was not expressed as prevailing over the other conditions</w:t>
      </w:r>
      <w:r>
        <w:rPr>
          <w:rFonts w:ascii="Arial"/>
          <w:color w:val="000000"/>
          <w:sz w:val="24"/>
        </w:rPr>
        <w:t>.</w:t>
      </w:r>
      <w:r>
        <w:rPr>
          <w:rFonts w:ascii="Arial"/>
          <w:color w:val="000000"/>
          <w:sz w:val="24"/>
        </w:rPr>
        <w:t xml:space="preserve"> </w:t>
      </w:r>
    </w:p>
    <w:p>
      <w:pPr>
        <w:pStyle w:val="CaselawNumbered10"/>
        <w:numPr>
          <w:ilvl w:val="0"/>
          <w:numId w:val="104"/>
        </w:numPr>
        <w:spacing w:before="150" w:after="0"/>
        <w:ind w:left="600" w:hanging="600"/>
      </w:pPr>
      <w:r>
        <w:rPr>
          <w:rFonts w:ascii="Arial"/>
          <w:color w:val="000000"/>
          <w:sz w:val="24"/>
        </w:rPr>
        <w:t xml:space="preserve">Whilst the construction plans approved </w:t>
      </w:r>
      <w:r>
        <w:rPr>
          <w:rFonts w:ascii="Arial"/>
          <w:color w:val="000000"/>
          <w:sz w:val="24"/>
        </w:rPr>
        <w:t xml:space="preserve">by the engineer </w:t>
      </w:r>
      <w:r>
        <w:rPr>
          <w:rFonts w:ascii="Arial"/>
          <w:color w:val="000000"/>
          <w:sz w:val="24"/>
        </w:rPr>
        <w:t>as part of the construction certificate provided the excavation of the former cellar level to place a crane, t</w:t>
      </w:r>
      <w:r>
        <w:rPr>
          <w:rFonts w:ascii="Arial"/>
          <w:color w:val="000000"/>
          <w:sz w:val="24"/>
        </w:rPr>
        <w:t xml:space="preserve">here is no </w:t>
      </w:r>
      <w:r>
        <w:rPr>
          <w:rFonts w:ascii="Arial"/>
          <w:color w:val="000000"/>
          <w:sz w:val="24"/>
        </w:rPr>
        <w:t xml:space="preserve">evidence </w:t>
      </w:r>
      <w:r>
        <w:rPr>
          <w:rFonts w:ascii="Arial"/>
          <w:color w:val="000000"/>
          <w:sz w:val="24"/>
        </w:rPr>
        <w:t xml:space="preserve">that the excavation of the deleted cellar level </w:t>
      </w:r>
      <w:r>
        <w:rPr>
          <w:rFonts w:ascii="Arial"/>
          <w:color w:val="000000"/>
          <w:sz w:val="24"/>
        </w:rPr>
        <w:t xml:space="preserve">to place a crane was a </w:t>
      </w:r>
      <w:r>
        <w:rPr>
          <w:rFonts w:ascii="Arial"/>
          <w:color w:val="000000"/>
          <w:sz w:val="24"/>
        </w:rPr>
        <w:t>“</w:t>
      </w:r>
      <w:r>
        <w:rPr>
          <w:rFonts w:ascii="Arial"/>
          <w:color w:val="000000"/>
          <w:sz w:val="24"/>
        </w:rPr>
        <w:t>recommendation of the Geotechnical/Hydrogeological Monitoring Program and any oral or written direction of the supervising professional engineer</w:t>
      </w:r>
      <w:r>
        <w:rPr>
          <w:rFonts w:ascii="Arial"/>
          <w:color w:val="000000"/>
          <w:sz w:val="24"/>
        </w:rPr>
        <w:t>”</w:t>
      </w:r>
      <w:r>
        <w:rPr>
          <w:rFonts w:ascii="Arial"/>
          <w:color w:val="000000"/>
          <w:sz w:val="24"/>
        </w:rPr>
        <w:t xml:space="preserve"> </w:t>
      </w:r>
      <w:r>
        <w:rPr>
          <w:rFonts w:ascii="Arial"/>
          <w:color w:val="000000"/>
          <w:sz w:val="24"/>
        </w:rPr>
        <w:t xml:space="preserve">or, perhaps more importantly, </w:t>
      </w:r>
      <w:r>
        <w:rPr>
          <w:rFonts w:ascii="Arial"/>
          <w:color w:val="000000"/>
          <w:sz w:val="24"/>
        </w:rPr>
        <w:t xml:space="preserve">any basis that the construction plans </w:t>
      </w:r>
      <w:r>
        <w:rPr>
          <w:rFonts w:ascii="Arial"/>
          <w:color w:val="000000"/>
          <w:sz w:val="24"/>
        </w:rPr>
        <w:t xml:space="preserve">could have been understood as such by a certifier acting reasonably. </w:t>
      </w:r>
      <w:r>
        <w:rPr>
          <w:rFonts w:ascii="Arial"/>
          <w:color w:val="000000"/>
          <w:sz w:val="24"/>
        </w:rPr>
        <w:t xml:space="preserve">If there had been such a </w:t>
      </w:r>
      <w:r>
        <w:rPr>
          <w:rFonts w:ascii="Arial"/>
          <w:color w:val="000000"/>
          <w:sz w:val="24"/>
        </w:rPr>
        <w:t>“</w:t>
      </w:r>
      <w:r>
        <w:rPr>
          <w:rFonts w:ascii="Arial"/>
          <w:color w:val="000000"/>
          <w:sz w:val="24"/>
        </w:rPr>
        <w:t>direction</w:t>
      </w:r>
      <w:r>
        <w:rPr>
          <w:rFonts w:ascii="Arial"/>
          <w:color w:val="000000"/>
          <w:sz w:val="24"/>
        </w:rPr>
        <w:t>”</w:t>
      </w:r>
      <w:r>
        <w:rPr>
          <w:rFonts w:ascii="Arial"/>
          <w:color w:val="000000"/>
          <w:sz w:val="24"/>
        </w:rPr>
        <w:t xml:space="preserve"> </w:t>
      </w:r>
      <w:r>
        <w:rPr>
          <w:rFonts w:ascii="Arial"/>
          <w:color w:val="000000"/>
          <w:sz w:val="24"/>
        </w:rPr>
        <w:t>from</w:t>
      </w:r>
      <w:r>
        <w:rPr>
          <w:rFonts w:ascii="Arial"/>
          <w:color w:val="000000"/>
          <w:sz w:val="24"/>
        </w:rPr>
        <w:t xml:space="preserve"> </w:t>
      </w:r>
      <w:r>
        <w:rPr>
          <w:rFonts w:ascii="Arial"/>
          <w:color w:val="000000"/>
          <w:sz w:val="24"/>
        </w:rPr>
        <w:t>the supervising professional engineer</w:t>
      </w:r>
      <w:r>
        <w:rPr>
          <w:rFonts w:ascii="Arial"/>
          <w:color w:val="000000"/>
          <w:sz w:val="24"/>
        </w:rPr>
        <w:t xml:space="preserve">, </w:t>
      </w:r>
      <w:r>
        <w:rPr>
          <w:rFonts w:ascii="Arial"/>
          <w:color w:val="000000"/>
          <w:sz w:val="24"/>
        </w:rPr>
        <w:t xml:space="preserve">within the meaning of </w:t>
      </w:r>
      <w:r>
        <w:rPr>
          <w:rFonts w:ascii="Arial"/>
          <w:color w:val="000000"/>
          <w:sz w:val="24"/>
        </w:rPr>
        <w:t>c</w:t>
      </w:r>
      <w:r>
        <w:rPr>
          <w:rFonts w:ascii="Arial"/>
          <w:color w:val="000000"/>
          <w:sz w:val="24"/>
        </w:rPr>
        <w:t xml:space="preserve">ondition E.8, </w:t>
      </w:r>
      <w:r>
        <w:rPr>
          <w:rFonts w:ascii="Arial"/>
          <w:color w:val="000000"/>
          <w:sz w:val="24"/>
        </w:rPr>
        <w:t>this may have been a very different case.</w:t>
      </w:r>
    </w:p>
    <w:p>
      <w:pPr>
        <w:pStyle w:val="CaselawNumbered10"/>
        <w:numPr>
          <w:ilvl w:val="0"/>
          <w:numId w:val="104"/>
        </w:numPr>
        <w:spacing w:before="150" w:after="0"/>
        <w:ind w:left="600" w:hanging="600"/>
      </w:pPr>
      <w:r>
        <w:rPr>
          <w:rFonts w:ascii="Arial"/>
          <w:color w:val="000000"/>
          <w:sz w:val="24"/>
        </w:rPr>
        <w:t>Secondly, i</w:t>
      </w:r>
      <w:r>
        <w:rPr>
          <w:rFonts w:ascii="Arial"/>
          <w:color w:val="000000"/>
          <w:sz w:val="24"/>
        </w:rPr>
        <w:t xml:space="preserve">t is also correct that the </w:t>
      </w:r>
      <w:r>
        <w:rPr>
          <w:rFonts w:ascii="Arial"/>
          <w:color w:val="000000"/>
          <w:sz w:val="24"/>
        </w:rPr>
        <w:t xml:space="preserve">development consent </w:t>
      </w:r>
      <w:r>
        <w:rPr>
          <w:rFonts w:ascii="Arial"/>
          <w:color w:val="000000"/>
          <w:sz w:val="24"/>
        </w:rPr>
        <w:t xml:space="preserve">approved some </w:t>
      </w:r>
      <w:r>
        <w:rPr>
          <w:rFonts w:ascii="Arial"/>
          <w:color w:val="000000"/>
          <w:sz w:val="24"/>
        </w:rPr>
        <w:t xml:space="preserve">piling below the 18.5 level, despite deletion of the </w:t>
      </w:r>
      <w:r>
        <w:rPr>
          <w:rFonts w:ascii="Arial"/>
          <w:color w:val="000000"/>
          <w:sz w:val="24"/>
        </w:rPr>
        <w:t>“</w:t>
      </w:r>
      <w:r>
        <w:rPr>
          <w:rFonts w:ascii="Arial"/>
          <w:color w:val="000000"/>
          <w:sz w:val="24"/>
        </w:rPr>
        <w:t>cellar</w:t>
      </w:r>
      <w:r>
        <w:rPr>
          <w:rFonts w:ascii="Arial"/>
          <w:color w:val="000000"/>
          <w:sz w:val="24"/>
        </w:rPr>
        <w:t>”</w:t>
      </w:r>
      <w:r>
        <w:rPr>
          <w:rFonts w:ascii="Arial"/>
          <w:color w:val="000000"/>
          <w:sz w:val="24"/>
        </w:rPr>
        <w:t xml:space="preserve"> </w:t>
      </w:r>
      <w:r>
        <w:rPr>
          <w:rFonts w:ascii="Arial"/>
          <w:color w:val="000000"/>
          <w:sz w:val="24"/>
        </w:rPr>
        <w:t>level</w:t>
      </w:r>
      <w:r>
        <w:rPr>
          <w:rFonts w:ascii="Arial"/>
          <w:color w:val="000000"/>
          <w:sz w:val="24"/>
        </w:rPr>
        <w:t xml:space="preserve">. The </w:t>
      </w:r>
      <w:r>
        <w:rPr>
          <w:rFonts w:ascii="Arial"/>
          <w:color w:val="000000"/>
          <w:sz w:val="24"/>
        </w:rPr>
        <w:t xml:space="preserve">development consent </w:t>
      </w:r>
      <w:r>
        <w:rPr>
          <w:rFonts w:ascii="Arial"/>
          <w:color w:val="000000"/>
          <w:sz w:val="24"/>
        </w:rPr>
        <w:t>did not, however</w:t>
      </w:r>
      <w:r>
        <w:rPr>
          <w:rFonts w:ascii="Arial"/>
          <w:color w:val="000000"/>
          <w:sz w:val="24"/>
        </w:rPr>
        <w:t xml:space="preserve">, </w:t>
      </w:r>
      <w:r>
        <w:rPr>
          <w:rFonts w:ascii="Arial"/>
          <w:color w:val="000000"/>
          <w:sz w:val="24"/>
        </w:rPr>
        <w:t>approve piling below the 18.5 level</w:t>
      </w:r>
      <w:r>
        <w:rPr>
          <w:rFonts w:ascii="Arial"/>
          <w:color w:val="000000"/>
          <w:sz w:val="24"/>
        </w:rPr>
        <w:t xml:space="preserve"> </w:t>
      </w:r>
      <w:r>
        <w:rPr>
          <w:rFonts w:ascii="Arial"/>
          <w:color w:val="000000"/>
          <w:sz w:val="24"/>
        </w:rPr>
        <w:t>in the deleted</w:t>
      </w:r>
      <w:r>
        <w:rPr>
          <w:rFonts w:ascii="Arial"/>
          <w:color w:val="000000"/>
          <w:sz w:val="24"/>
        </w:rPr>
        <w:t xml:space="preserve"> </w:t>
      </w:r>
      <w:r>
        <w:rPr>
          <w:rFonts w:ascii="Arial"/>
          <w:color w:val="000000"/>
          <w:sz w:val="24"/>
        </w:rPr>
        <w:t>cellar area</w:t>
      </w:r>
      <w:r>
        <w:rPr>
          <w:rFonts w:ascii="Arial"/>
          <w:color w:val="000000"/>
          <w:sz w:val="24"/>
        </w:rPr>
        <w:t xml:space="preserve">. </w:t>
      </w:r>
      <w:r>
        <w:rPr>
          <w:rFonts w:ascii="Arial"/>
          <w:color w:val="000000"/>
          <w:sz w:val="24"/>
        </w:rPr>
        <w:t xml:space="preserve">I do not accept that, acting </w:t>
      </w:r>
      <w:r>
        <w:rPr>
          <w:rFonts w:ascii="Arial"/>
          <w:color w:val="000000"/>
          <w:sz w:val="24"/>
        </w:rPr>
        <w:t>reasonably</w:t>
      </w:r>
      <w:r>
        <w:rPr>
          <w:rFonts w:ascii="Arial"/>
          <w:color w:val="000000"/>
          <w:sz w:val="24"/>
        </w:rPr>
        <w:t xml:space="preserve">, a </w:t>
      </w:r>
      <w:r>
        <w:rPr>
          <w:rFonts w:ascii="Arial"/>
          <w:color w:val="000000"/>
          <w:sz w:val="24"/>
        </w:rPr>
        <w:t>certifier</w:t>
      </w:r>
      <w:r>
        <w:rPr>
          <w:rFonts w:ascii="Arial"/>
          <w:color w:val="000000"/>
          <w:sz w:val="24"/>
        </w:rPr>
        <w:t xml:space="preserve"> </w:t>
      </w:r>
      <w:r>
        <w:rPr>
          <w:rFonts w:ascii="Arial"/>
          <w:color w:val="000000"/>
          <w:sz w:val="24"/>
        </w:rPr>
        <w:t xml:space="preserve">could have </w:t>
      </w:r>
      <w:r>
        <w:rPr>
          <w:rFonts w:ascii="Arial"/>
          <w:color w:val="000000"/>
          <w:sz w:val="24"/>
        </w:rPr>
        <w:t xml:space="preserve">concluded that despite deletion of the </w:t>
      </w:r>
      <w:r>
        <w:rPr>
          <w:rFonts w:ascii="Arial"/>
          <w:color w:val="000000"/>
          <w:sz w:val="24"/>
        </w:rPr>
        <w:t>“</w:t>
      </w:r>
      <w:r>
        <w:rPr>
          <w:rFonts w:ascii="Arial"/>
          <w:color w:val="000000"/>
          <w:sz w:val="24"/>
        </w:rPr>
        <w:t>cellar</w:t>
      </w:r>
      <w:r>
        <w:rPr>
          <w:rFonts w:ascii="Arial"/>
          <w:color w:val="000000"/>
          <w:sz w:val="24"/>
        </w:rPr>
        <w:t>”</w:t>
      </w:r>
      <w:r>
        <w:rPr>
          <w:rFonts w:ascii="Arial"/>
          <w:color w:val="000000"/>
          <w:sz w:val="24"/>
        </w:rPr>
        <w:t xml:space="preserve"> </w:t>
      </w:r>
      <w:r>
        <w:rPr>
          <w:rFonts w:ascii="Arial"/>
          <w:color w:val="000000"/>
          <w:sz w:val="24"/>
        </w:rPr>
        <w:t xml:space="preserve">level, </w:t>
      </w:r>
      <w:r>
        <w:rPr>
          <w:rFonts w:ascii="Arial"/>
          <w:color w:val="000000"/>
          <w:sz w:val="24"/>
        </w:rPr>
        <w:t>including the</w:t>
      </w:r>
      <w:r>
        <w:rPr>
          <w:rFonts w:ascii="Arial"/>
          <w:color w:val="000000"/>
          <w:sz w:val="24"/>
        </w:rPr>
        <w:t xml:space="preserve"> </w:t>
      </w:r>
      <w:r>
        <w:rPr>
          <w:rFonts w:ascii="Arial"/>
          <w:color w:val="000000"/>
          <w:sz w:val="24"/>
        </w:rPr>
        <w:t xml:space="preserve">piling below the 18.5 level in the area </w:t>
      </w:r>
      <w:r>
        <w:rPr>
          <w:rFonts w:ascii="Arial"/>
          <w:color w:val="000000"/>
          <w:sz w:val="24"/>
        </w:rPr>
        <w:t>in</w:t>
      </w:r>
      <w:r>
        <w:rPr>
          <w:rFonts w:ascii="Arial"/>
          <w:color w:val="000000"/>
          <w:sz w:val="24"/>
        </w:rPr>
        <w:t xml:space="preserve"> </w:t>
      </w:r>
      <w:r>
        <w:rPr>
          <w:rFonts w:ascii="Arial"/>
          <w:color w:val="000000"/>
          <w:sz w:val="24"/>
        </w:rPr>
        <w:t>the deleted cellar level</w:t>
      </w:r>
      <w:r>
        <w:rPr>
          <w:rFonts w:ascii="Arial"/>
          <w:color w:val="000000"/>
          <w:sz w:val="24"/>
        </w:rPr>
        <w:t xml:space="preserve"> </w:t>
      </w:r>
      <w:r>
        <w:rPr>
          <w:rFonts w:ascii="Arial"/>
          <w:color w:val="000000"/>
          <w:sz w:val="24"/>
        </w:rPr>
        <w:t xml:space="preserve">was </w:t>
      </w:r>
      <w:r>
        <w:rPr>
          <w:rFonts w:ascii="Arial"/>
          <w:color w:val="000000"/>
          <w:sz w:val="24"/>
        </w:rPr>
        <w:t xml:space="preserve">nevertheless </w:t>
      </w:r>
      <w:r>
        <w:rPr>
          <w:rFonts w:ascii="Arial"/>
          <w:color w:val="000000"/>
          <w:sz w:val="24"/>
        </w:rPr>
        <w:t>permissible</w:t>
      </w:r>
      <w:r>
        <w:rPr>
          <w:rFonts w:ascii="Arial"/>
          <w:color w:val="000000"/>
          <w:sz w:val="24"/>
        </w:rPr>
        <w:t xml:space="preserve"> </w:t>
      </w:r>
      <w:r>
        <w:rPr>
          <w:rFonts w:ascii="Arial"/>
          <w:color w:val="000000"/>
          <w:sz w:val="24"/>
        </w:rPr>
        <w:t>under the development consent</w:t>
      </w:r>
      <w:r>
        <w:rPr>
          <w:rFonts w:ascii="Arial"/>
          <w:color w:val="000000"/>
          <w:sz w:val="24"/>
        </w:rPr>
        <w:t xml:space="preserve">. </w:t>
      </w:r>
    </w:p>
    <w:p>
      <w:pPr>
        <w:pStyle w:val="CaselawNumbered10"/>
        <w:numPr>
          <w:ilvl w:val="0"/>
          <w:numId w:val="104"/>
        </w:numPr>
        <w:spacing w:before="150" w:after="0"/>
        <w:ind w:left="600" w:hanging="600"/>
      </w:pPr>
      <w:r>
        <w:rPr>
          <w:rFonts w:ascii="Arial"/>
          <w:color w:val="000000"/>
          <w:sz w:val="24"/>
        </w:rPr>
        <w:t>In the plans approved by the Council</w:t>
      </w:r>
      <w:r>
        <w:rPr>
          <w:rFonts w:ascii="Arial"/>
          <w:color w:val="000000"/>
          <w:sz w:val="24"/>
        </w:rPr>
        <w:t xml:space="preserve"> </w:t>
      </w:r>
      <w:r>
        <w:rPr>
          <w:rFonts w:ascii="Arial"/>
          <w:color w:val="000000"/>
          <w:sz w:val="24"/>
        </w:rPr>
        <w:t>as part of the development consent</w:t>
      </w:r>
      <w:r>
        <w:rPr>
          <w:rFonts w:ascii="Arial"/>
          <w:color w:val="000000"/>
          <w:sz w:val="24"/>
        </w:rPr>
        <w:t xml:space="preserve">, although the store and cellar levels are marked as </w:t>
      </w:r>
      <w:r>
        <w:rPr>
          <w:rFonts w:ascii="Arial"/>
          <w:color w:val="000000"/>
          <w:sz w:val="24"/>
        </w:rPr>
        <w:t>“</w:t>
      </w:r>
      <w:r>
        <w:rPr>
          <w:rFonts w:ascii="Arial"/>
          <w:color w:val="000000"/>
          <w:sz w:val="24"/>
        </w:rPr>
        <w:t>to be deleted</w:t>
      </w:r>
      <w:r>
        <w:rPr>
          <w:rFonts w:ascii="Arial"/>
          <w:color w:val="000000"/>
          <w:sz w:val="24"/>
        </w:rPr>
        <w:t>”</w:t>
      </w:r>
      <w:r>
        <w:rPr>
          <w:rFonts w:ascii="Arial"/>
          <w:color w:val="000000"/>
          <w:sz w:val="24"/>
        </w:rPr>
        <w:t xml:space="preserve">, section B shows </w:t>
      </w:r>
      <w:r>
        <w:rPr>
          <w:rFonts w:ascii="Arial"/>
          <w:color w:val="000000"/>
          <w:sz w:val="24"/>
        </w:rPr>
        <w:t>continuous piles and cavity to waterproof basement walls</w:t>
      </w:r>
      <w:r>
        <w:rPr>
          <w:rFonts w:ascii="Arial"/>
          <w:color w:val="000000"/>
          <w:sz w:val="24"/>
        </w:rPr>
        <w:t xml:space="preserve">. To the extent that the installation of piles is excavation, there is no </w:t>
      </w:r>
      <w:r>
        <w:rPr>
          <w:rFonts w:ascii="Arial"/>
          <w:color w:val="000000"/>
          <w:sz w:val="24"/>
        </w:rPr>
        <w:t xml:space="preserve">specific </w:t>
      </w:r>
      <w:r>
        <w:rPr>
          <w:rFonts w:ascii="Arial"/>
          <w:color w:val="000000"/>
          <w:sz w:val="24"/>
        </w:rPr>
        <w:t xml:space="preserve">requirement in the conditions of the consent or marked on the plans that these piles be reduced in </w:t>
      </w:r>
      <w:r>
        <w:rPr>
          <w:rFonts w:ascii="Arial"/>
          <w:color w:val="000000"/>
          <w:sz w:val="24"/>
        </w:rPr>
        <w:t xml:space="preserve">their depth. </w:t>
      </w:r>
      <w:r>
        <w:rPr>
          <w:rFonts w:ascii="Arial"/>
          <w:color w:val="000000"/>
          <w:sz w:val="24"/>
        </w:rPr>
        <w:t>It is clear, in context, however that these piles and cavity to waterproof basement walls were an integral part of the deleted store and cellar level. They were within the red clouded area clearly marked as deleted. Acting reasonably the certifier could not have understood that the continuous piles and cavity to waterproof basement walls to have been approved by the development consent.</w:t>
      </w:r>
    </w:p>
    <w:p>
      <w:pPr>
        <w:pStyle w:val="CaselawNumbered10"/>
        <w:numPr>
          <w:ilvl w:val="0"/>
          <w:numId w:val="104"/>
        </w:numPr>
        <w:spacing w:before="150" w:after="0"/>
        <w:ind w:left="600" w:hanging="600"/>
      </w:pPr>
      <w:r>
        <w:rPr>
          <w:rFonts w:ascii="Arial"/>
          <w:color w:val="000000"/>
          <w:sz w:val="24"/>
        </w:rPr>
        <w:t>Thirdly, t</w:t>
      </w:r>
      <w:r>
        <w:rPr>
          <w:rFonts w:ascii="Arial"/>
          <w:color w:val="000000"/>
          <w:sz w:val="24"/>
        </w:rPr>
        <w:t xml:space="preserve">he </w:t>
      </w:r>
      <w:r>
        <w:rPr>
          <w:rFonts w:ascii="Arial"/>
          <w:color w:val="000000"/>
          <w:sz w:val="24"/>
        </w:rPr>
        <w:t xml:space="preserve">appellants relied on </w:t>
      </w:r>
      <w:r>
        <w:rPr>
          <w:rFonts w:ascii="Arial"/>
          <w:color w:val="000000"/>
          <w:sz w:val="24"/>
        </w:rPr>
        <w:t>“</w:t>
      </w:r>
      <w:r>
        <w:rPr>
          <w:rFonts w:ascii="Arial"/>
          <w:color w:val="000000"/>
          <w:sz w:val="24"/>
        </w:rPr>
        <w:t xml:space="preserve">approved specified architectural plans and documents including architectural plans and a Geotechnical and Hydrogeological Report prepared by </w:t>
      </w:r>
      <w:r>
        <w:rPr>
          <w:rFonts w:ascii="Arial"/>
          <w:color w:val="000000"/>
          <w:sz w:val="24"/>
        </w:rPr>
        <w:t>AssetGeoEnviro</w:t>
      </w:r>
      <w:r>
        <w:rPr>
          <w:rFonts w:ascii="Arial"/>
          <w:color w:val="000000"/>
          <w:sz w:val="24"/>
        </w:rPr>
        <w:t xml:space="preserve"> </w:t>
      </w:r>
      <w:r>
        <w:rPr>
          <w:rFonts w:ascii="Arial"/>
          <w:color w:val="000000"/>
          <w:sz w:val="24"/>
        </w:rPr>
        <w:t>dated 18 September 2020</w:t>
      </w:r>
      <w:r>
        <w:rPr>
          <w:rFonts w:ascii="Arial"/>
          <w:color w:val="000000"/>
          <w:sz w:val="24"/>
        </w:rPr>
        <w:t>”</w:t>
      </w:r>
      <w:r>
        <w:rPr>
          <w:rFonts w:ascii="Arial"/>
          <w:color w:val="000000"/>
          <w:sz w:val="24"/>
        </w:rPr>
        <w:t xml:space="preserve"> </w:t>
      </w:r>
      <w:r>
        <w:rPr>
          <w:rFonts w:ascii="Arial"/>
          <w:color w:val="000000"/>
          <w:sz w:val="24"/>
        </w:rPr>
        <w:t xml:space="preserve">which </w:t>
      </w:r>
      <w:r>
        <w:rPr>
          <w:rFonts w:ascii="Arial"/>
          <w:color w:val="000000"/>
          <w:sz w:val="24"/>
        </w:rPr>
        <w:t xml:space="preserve">provided for works below ground level including </w:t>
      </w:r>
      <w:r>
        <w:rPr>
          <w:rFonts w:ascii="Arial"/>
          <w:color w:val="000000"/>
          <w:sz w:val="24"/>
        </w:rPr>
        <w:t>continuous piles and cavity to waterproof basement walls.</w:t>
      </w:r>
      <w:r>
        <w:rPr>
          <w:rFonts w:ascii="Arial"/>
          <w:color w:val="000000"/>
          <w:sz w:val="24"/>
        </w:rPr>
        <w:t xml:space="preserve"> </w:t>
      </w:r>
      <w:r>
        <w:rPr>
          <w:rFonts w:ascii="Arial"/>
          <w:color w:val="000000"/>
          <w:sz w:val="24"/>
        </w:rPr>
        <w:t xml:space="preserve">These piles were to extend below the floor level of the lower ground level. They were accompanied by a note that the conditions of consent prevailed over the approved plans stating: </w:t>
      </w:r>
      <w:r>
        <w:rPr>
          <w:rFonts w:ascii="Arial"/>
          <w:color w:val="000000"/>
          <w:sz w:val="24"/>
        </w:rPr>
        <w:t>“</w:t>
      </w:r>
      <w:r>
        <w:rPr>
          <w:rFonts w:ascii="Arial"/>
          <w:color w:val="000000"/>
          <w:sz w:val="24"/>
        </w:rPr>
        <w:t xml:space="preserve">plans and supporting documentation may be subject to conditions imposed under section 4.17(l)(g) of the Act modifying or amending the development (refer to conditions which must be satisfied prior to the issue of any </w:t>
      </w:r>
      <w:r>
        <w:rPr>
          <w:rFonts w:ascii="Arial"/>
          <w:color w:val="000000"/>
          <w:sz w:val="24"/>
        </w:rPr>
        <w:t>construction certificate</w:t>
      </w:r>
      <w:r>
        <w:rPr>
          <w:rFonts w:ascii="Arial"/>
          <w:color w:val="000000"/>
          <w:sz w:val="24"/>
        </w:rPr>
        <w:t>).</w:t>
      </w:r>
      <w:r>
        <w:rPr>
          <w:rFonts w:ascii="Arial"/>
          <w:color w:val="000000"/>
          <w:sz w:val="24"/>
        </w:rPr>
        <w:t xml:space="preserve">” </w:t>
      </w:r>
    </w:p>
    <w:p>
      <w:pPr>
        <w:pStyle w:val="CaselawNumbered10"/>
        <w:numPr>
          <w:ilvl w:val="0"/>
          <w:numId w:val="104"/>
        </w:numPr>
        <w:spacing w:before="150" w:after="0"/>
        <w:ind w:left="600" w:hanging="600"/>
      </w:pPr>
      <w:r>
        <w:rPr>
          <w:rFonts w:ascii="Arial"/>
          <w:color w:val="000000"/>
          <w:sz w:val="24"/>
        </w:rPr>
        <w:t>Reliance on these plans by the appellants is essentially circular. These plans are integral to the excavation for the purpose of crane installation</w:t>
      </w:r>
      <w:r>
        <w:rPr>
          <w:rFonts w:ascii="Arial"/>
          <w:color w:val="000000"/>
          <w:sz w:val="24"/>
        </w:rPr>
        <w:t xml:space="preserve"> </w:t>
      </w:r>
      <w:r>
        <w:rPr>
          <w:rFonts w:ascii="Arial"/>
          <w:color w:val="000000"/>
          <w:sz w:val="24"/>
        </w:rPr>
        <w:t>in the deleted cellar level. The continuous piles and cavity to waterproof basement walls were, on all the evidence, matters necessary to build the crane platform but were not otherwise necessary to permit the ongoing construction of structural elements of the new house that was approved prior to the removal of the cellar level.</w:t>
      </w:r>
      <w:r>
        <w:rPr>
          <w:rFonts w:ascii="Arial"/>
          <w:color w:val="000000"/>
          <w:sz w:val="24"/>
        </w:rPr>
        <w:t xml:space="preserve"> </w:t>
      </w:r>
    </w:p>
    <w:p>
      <w:pPr>
        <w:pStyle w:val="CaselawNumbered10"/>
        <w:numPr>
          <w:ilvl w:val="0"/>
          <w:numId w:val="104"/>
        </w:numPr>
        <w:spacing w:before="150" w:after="0"/>
        <w:ind w:left="600" w:hanging="600"/>
      </w:pPr>
      <w:r>
        <w:rPr>
          <w:rFonts w:ascii="Arial"/>
          <w:color w:val="000000"/>
          <w:sz w:val="24"/>
        </w:rPr>
        <w:t xml:space="preserve">Fourthly, </w:t>
      </w:r>
      <w:r>
        <w:rPr>
          <w:rFonts w:ascii="Arial"/>
          <w:color w:val="000000"/>
          <w:sz w:val="24"/>
        </w:rPr>
        <w:t xml:space="preserve">while </w:t>
      </w:r>
      <w:r>
        <w:rPr>
          <w:rFonts w:ascii="Arial"/>
          <w:color w:val="000000"/>
          <w:sz w:val="24"/>
        </w:rPr>
        <w:t>I accept the appellants</w:t>
      </w:r>
      <w:r>
        <w:rPr>
          <w:rFonts w:ascii="Arial"/>
          <w:color w:val="000000"/>
          <w:sz w:val="24"/>
        </w:rPr>
        <w:t>’</w:t>
      </w:r>
      <w:r>
        <w:rPr>
          <w:rFonts w:ascii="Arial"/>
          <w:color w:val="000000"/>
          <w:sz w:val="24"/>
        </w:rPr>
        <w:t xml:space="preserve"> </w:t>
      </w:r>
      <w:r>
        <w:rPr>
          <w:rFonts w:ascii="Arial"/>
          <w:color w:val="000000"/>
          <w:sz w:val="24"/>
        </w:rPr>
        <w:t>submission that t</w:t>
      </w:r>
      <w:r>
        <w:rPr>
          <w:rFonts w:ascii="Arial"/>
          <w:color w:val="000000"/>
          <w:sz w:val="24"/>
        </w:rPr>
        <w:t>he</w:t>
      </w:r>
      <w:r>
        <w:rPr>
          <w:rFonts w:ascii="Arial"/>
          <w:color w:val="000000"/>
          <w:sz w:val="24"/>
        </w:rPr>
        <w:t>re is no doubt that the</w:t>
      </w:r>
      <w:r>
        <w:rPr>
          <w:rFonts w:ascii="Arial"/>
          <w:color w:val="000000"/>
          <w:sz w:val="24"/>
        </w:rPr>
        <w:t xml:space="preserve"> </w:t>
      </w:r>
      <w:r>
        <w:rPr>
          <w:rFonts w:ascii="Arial"/>
          <w:color w:val="000000"/>
          <w:sz w:val="24"/>
        </w:rPr>
        <w:t>“</w:t>
      </w:r>
      <w:r>
        <w:rPr>
          <w:rFonts w:ascii="Arial"/>
          <w:color w:val="000000"/>
          <w:sz w:val="24"/>
        </w:rPr>
        <w:t>development consent as a whole permits the installation of a crane</w:t>
      </w:r>
      <w:r>
        <w:rPr>
          <w:rFonts w:ascii="Arial"/>
          <w:color w:val="000000"/>
          <w:sz w:val="24"/>
        </w:rPr>
        <w:t>”</w:t>
      </w:r>
      <w:r>
        <w:rPr>
          <w:rFonts w:ascii="Arial"/>
          <w:color w:val="000000"/>
          <w:sz w:val="24"/>
        </w:rPr>
        <w:t>, this does not take the matter very far.</w:t>
      </w:r>
      <w:r>
        <w:rPr>
          <w:rFonts w:ascii="Arial"/>
          <w:color w:val="000000"/>
          <w:sz w:val="24"/>
        </w:rPr>
        <w:t xml:space="preserve"> </w:t>
      </w:r>
      <w:r>
        <w:rPr>
          <w:rFonts w:ascii="Arial"/>
          <w:color w:val="000000"/>
          <w:sz w:val="24"/>
        </w:rPr>
        <w:t xml:space="preserve">The development consent envisaged that if cranes </w:t>
      </w:r>
      <w:r>
        <w:rPr>
          <w:rFonts w:ascii="Arial"/>
          <w:color w:val="000000"/>
          <w:sz w:val="24"/>
        </w:rPr>
        <w:t>we</w:t>
      </w:r>
      <w:r>
        <w:rPr>
          <w:rFonts w:ascii="Arial"/>
          <w:color w:val="000000"/>
          <w:sz w:val="24"/>
        </w:rPr>
        <w:t>re to be accommodated on site, the plans must detail how the cranes will be erected and removed</w:t>
      </w:r>
      <w:r>
        <w:rPr>
          <w:rFonts w:ascii="Arial"/>
          <w:color w:val="000000"/>
          <w:sz w:val="24"/>
        </w:rPr>
        <w:t xml:space="preserve">: </w:t>
      </w:r>
      <w:r>
        <w:rPr>
          <w:rFonts w:ascii="Arial"/>
          <w:color w:val="000000"/>
          <w:sz w:val="24"/>
        </w:rPr>
        <w:t xml:space="preserve"> </w:t>
      </w:r>
      <w:r>
        <w:rPr>
          <w:rFonts w:ascii="Arial"/>
          <w:color w:val="000000"/>
          <w:sz w:val="24"/>
        </w:rPr>
        <w:t>“</w:t>
      </w:r>
      <w:r>
        <w:rPr>
          <w:rFonts w:ascii="Arial"/>
          <w:color w:val="000000"/>
          <w:sz w:val="24"/>
        </w:rPr>
        <w:t>Site cranes and hoists may be erected with the boundary of the land being developed</w:t>
      </w:r>
      <w:r>
        <w:rPr>
          <w:rFonts w:ascii="Arial"/>
          <w:color w:val="000000"/>
          <w:sz w:val="24"/>
        </w:rPr>
        <w:t>”</w:t>
      </w:r>
      <w:r>
        <w:rPr>
          <w:rFonts w:ascii="Arial"/>
          <w:color w:val="000000"/>
          <w:sz w:val="24"/>
        </w:rPr>
        <w:t xml:space="preserve">. This shows the </w:t>
      </w:r>
      <w:r>
        <w:rPr>
          <w:rFonts w:ascii="Arial"/>
          <w:color w:val="000000"/>
          <w:sz w:val="24"/>
        </w:rPr>
        <w:t xml:space="preserve">development consent </w:t>
      </w:r>
      <w:r>
        <w:rPr>
          <w:rFonts w:ascii="Arial"/>
          <w:color w:val="000000"/>
          <w:sz w:val="24"/>
        </w:rPr>
        <w:t>anticipat</w:t>
      </w:r>
      <w:r>
        <w:rPr>
          <w:rFonts w:ascii="Arial"/>
          <w:color w:val="000000"/>
          <w:sz w:val="24"/>
        </w:rPr>
        <w:t>ed</w:t>
      </w:r>
      <w:r>
        <w:rPr>
          <w:rFonts w:ascii="Arial"/>
          <w:color w:val="000000"/>
          <w:sz w:val="24"/>
        </w:rPr>
        <w:t xml:space="preserve"> </w:t>
      </w:r>
      <w:r>
        <w:rPr>
          <w:rFonts w:ascii="Arial"/>
          <w:color w:val="000000"/>
          <w:sz w:val="24"/>
        </w:rPr>
        <w:t>building</w:t>
      </w:r>
      <w:r>
        <w:rPr>
          <w:rFonts w:ascii="Arial"/>
          <w:color w:val="000000"/>
          <w:sz w:val="24"/>
        </w:rPr>
        <w:t xml:space="preserve"> </w:t>
      </w:r>
      <w:r>
        <w:rPr>
          <w:rFonts w:ascii="Arial"/>
          <w:color w:val="000000"/>
          <w:sz w:val="24"/>
        </w:rPr>
        <w:t>the new house by</w:t>
      </w:r>
      <w:r>
        <w:rPr>
          <w:rFonts w:ascii="Arial"/>
          <w:color w:val="000000"/>
          <w:sz w:val="24"/>
        </w:rPr>
        <w:t xml:space="preserve"> </w:t>
      </w:r>
      <w:r>
        <w:rPr>
          <w:rFonts w:ascii="Arial"/>
          <w:color w:val="000000"/>
          <w:sz w:val="24"/>
        </w:rPr>
        <w:t>using cranes in order to erect it.</w:t>
      </w:r>
      <w:r>
        <w:rPr>
          <w:rFonts w:ascii="Arial"/>
          <w:color w:val="000000"/>
          <w:sz w:val="24"/>
        </w:rPr>
        <w:t xml:space="preserve"> </w:t>
      </w:r>
    </w:p>
    <w:p>
      <w:pPr>
        <w:pStyle w:val="CaselawNumbered10"/>
        <w:numPr>
          <w:ilvl w:val="0"/>
          <w:numId w:val="104"/>
        </w:numPr>
        <w:spacing w:before="150" w:after="0"/>
        <w:ind w:left="600" w:hanging="600"/>
      </w:pPr>
      <w:r>
        <w:rPr>
          <w:rFonts w:ascii="Arial"/>
          <w:color w:val="000000"/>
          <w:sz w:val="24"/>
        </w:rPr>
        <w:t xml:space="preserve">What is conspicuously absent, however, is any indication in any of the material </w:t>
      </w:r>
      <w:r>
        <w:rPr>
          <w:rFonts w:ascii="Arial"/>
          <w:color w:val="000000"/>
          <w:sz w:val="24"/>
        </w:rPr>
        <w:t xml:space="preserve">before the Court </w:t>
      </w:r>
      <w:r>
        <w:rPr>
          <w:rFonts w:ascii="Arial"/>
          <w:color w:val="000000"/>
          <w:sz w:val="24"/>
        </w:rPr>
        <w:t xml:space="preserve">that construction of the crane at a level excavated in the former cellar area was necessary to permit the ongoing construction of structural elements of the new house that was approved prior to the removal of the cellar level, such that a reasonable certifier could have concluded that </w:t>
      </w:r>
      <w:r>
        <w:rPr>
          <w:rFonts w:ascii="Arial"/>
          <w:color w:val="000000"/>
          <w:sz w:val="24"/>
        </w:rPr>
        <w:t xml:space="preserve">the </w:t>
      </w:r>
      <w:r>
        <w:rPr>
          <w:rFonts w:ascii="Arial"/>
          <w:color w:val="000000"/>
          <w:sz w:val="24"/>
        </w:rPr>
        <w:t xml:space="preserve">construction certificate </w:t>
      </w:r>
      <w:r>
        <w:rPr>
          <w:rFonts w:ascii="Arial"/>
          <w:color w:val="000000"/>
          <w:sz w:val="24"/>
        </w:rPr>
        <w:t xml:space="preserve">was consistent with the </w:t>
      </w:r>
      <w:r>
        <w:rPr>
          <w:rFonts w:ascii="Arial"/>
          <w:color w:val="000000"/>
          <w:sz w:val="24"/>
        </w:rPr>
        <w:t>development consent</w:t>
      </w:r>
      <w:r>
        <w:rPr>
          <w:rFonts w:ascii="Arial"/>
          <w:color w:val="000000"/>
          <w:sz w:val="24"/>
        </w:rPr>
        <w:t xml:space="preserve">. </w:t>
      </w:r>
    </w:p>
    <w:p>
      <w:pPr>
        <w:pStyle w:val="CaselawNumbered10"/>
        <w:numPr>
          <w:ilvl w:val="0"/>
          <w:numId w:val="104"/>
        </w:numPr>
        <w:spacing w:before="150" w:after="0"/>
        <w:ind w:left="600" w:hanging="600"/>
      </w:pPr>
      <w:r>
        <w:rPr>
          <w:rFonts w:ascii="Arial"/>
          <w:color w:val="000000"/>
          <w:sz w:val="24"/>
        </w:rPr>
        <w:t>I accept that, acting reasonably, a certifier could have concluded that t</w:t>
      </w:r>
      <w:r>
        <w:rPr>
          <w:rFonts w:ascii="Arial"/>
          <w:color w:val="000000"/>
          <w:sz w:val="24"/>
        </w:rPr>
        <w:t>he</w:t>
      </w:r>
      <w:r>
        <w:rPr>
          <w:rFonts w:ascii="Arial"/>
          <w:color w:val="000000"/>
          <w:sz w:val="24"/>
        </w:rPr>
        <w:t xml:space="preserve"> </w:t>
      </w:r>
      <w:r>
        <w:rPr>
          <w:rFonts w:ascii="Arial"/>
          <w:color w:val="000000"/>
          <w:sz w:val="24"/>
        </w:rPr>
        <w:t xml:space="preserve">plans </w:t>
      </w:r>
      <w:r>
        <w:rPr>
          <w:rFonts w:ascii="Arial"/>
          <w:color w:val="000000"/>
          <w:sz w:val="24"/>
        </w:rPr>
        <w:t xml:space="preserve">accompanying the construction certificate </w:t>
      </w:r>
      <w:r>
        <w:rPr>
          <w:rFonts w:ascii="Arial"/>
          <w:color w:val="000000"/>
          <w:sz w:val="24"/>
        </w:rPr>
        <w:t>demonstrated that the</w:t>
      </w:r>
      <w:r>
        <w:rPr>
          <w:rFonts w:ascii="Arial"/>
          <w:color w:val="000000"/>
          <w:sz w:val="24"/>
        </w:rPr>
        <w:t xml:space="preserve"> </w:t>
      </w:r>
      <w:r>
        <w:rPr>
          <w:rFonts w:ascii="Arial"/>
          <w:color w:val="000000"/>
          <w:sz w:val="24"/>
        </w:rPr>
        <w:t>proposed</w:t>
      </w:r>
      <w:r>
        <w:rPr>
          <w:rFonts w:ascii="Arial"/>
          <w:color w:val="000000"/>
          <w:sz w:val="24"/>
        </w:rPr>
        <w:t xml:space="preserve"> </w:t>
      </w:r>
      <w:r>
        <w:rPr>
          <w:rFonts w:ascii="Arial"/>
          <w:color w:val="000000"/>
          <w:sz w:val="24"/>
        </w:rPr>
        <w:t xml:space="preserve">cellar </w:t>
      </w:r>
      <w:r>
        <w:rPr>
          <w:rFonts w:ascii="Arial"/>
          <w:color w:val="000000"/>
          <w:sz w:val="24"/>
        </w:rPr>
        <w:t xml:space="preserve">itself </w:t>
      </w:r>
      <w:r>
        <w:rPr>
          <w:rFonts w:ascii="Arial"/>
          <w:color w:val="000000"/>
          <w:sz w:val="24"/>
        </w:rPr>
        <w:t>ha</w:t>
      </w:r>
      <w:r>
        <w:rPr>
          <w:rFonts w:ascii="Arial"/>
          <w:color w:val="000000"/>
          <w:sz w:val="24"/>
        </w:rPr>
        <w:t>d</w:t>
      </w:r>
      <w:r>
        <w:rPr>
          <w:rFonts w:ascii="Arial"/>
          <w:color w:val="000000"/>
          <w:sz w:val="24"/>
        </w:rPr>
        <w:t xml:space="preserve"> </w:t>
      </w:r>
      <w:r>
        <w:rPr>
          <w:rFonts w:ascii="Arial"/>
          <w:color w:val="000000"/>
          <w:sz w:val="24"/>
        </w:rPr>
        <w:t>been removed</w:t>
      </w:r>
      <w:r>
        <w:rPr>
          <w:rFonts w:ascii="Arial"/>
          <w:color w:val="000000"/>
          <w:sz w:val="24"/>
        </w:rPr>
        <w:t xml:space="preserve"> </w:t>
      </w:r>
      <w:r>
        <w:rPr>
          <w:rFonts w:ascii="Arial"/>
          <w:color w:val="000000"/>
          <w:sz w:val="24"/>
        </w:rPr>
        <w:t xml:space="preserve">and that </w:t>
      </w:r>
      <w:r>
        <w:rPr>
          <w:rFonts w:ascii="Arial"/>
          <w:color w:val="000000"/>
          <w:sz w:val="24"/>
        </w:rPr>
        <w:t>the walls within the construction void serve structural purposes, not for performing a function for a cellar</w:t>
      </w:r>
      <w:r>
        <w:rPr>
          <w:rFonts w:ascii="Arial"/>
          <w:color w:val="000000"/>
          <w:sz w:val="24"/>
        </w:rPr>
        <w:t>.</w:t>
      </w:r>
      <w:r>
        <w:rPr>
          <w:rFonts w:ascii="Arial"/>
          <w:color w:val="000000"/>
          <w:sz w:val="24"/>
        </w:rPr>
        <w:t xml:space="preserve"> </w:t>
      </w:r>
      <w:r>
        <w:rPr>
          <w:rFonts w:ascii="Arial"/>
          <w:color w:val="000000"/>
          <w:sz w:val="24"/>
        </w:rPr>
        <w:t xml:space="preserve">What I am unable to accept, however, is that the excavation to create the construction void was necessary to permit the ongoing construction of structural elements of the new house that was approved prior to the removal of the cellar level, such that a reasonable certifier could have concluded that the </w:t>
      </w:r>
      <w:r>
        <w:rPr>
          <w:rFonts w:ascii="Arial"/>
          <w:color w:val="000000"/>
          <w:sz w:val="24"/>
        </w:rPr>
        <w:t xml:space="preserve">construction certificate </w:t>
      </w:r>
      <w:r>
        <w:rPr>
          <w:rFonts w:ascii="Arial"/>
          <w:color w:val="000000"/>
          <w:sz w:val="24"/>
        </w:rPr>
        <w:t xml:space="preserve">was consistent with the </w:t>
      </w:r>
      <w:r>
        <w:rPr>
          <w:rFonts w:ascii="Arial"/>
          <w:color w:val="000000"/>
          <w:sz w:val="24"/>
        </w:rPr>
        <w:t>development consent</w:t>
      </w:r>
      <w:r>
        <w:rPr>
          <w:rFonts w:ascii="Arial"/>
          <w:color w:val="000000"/>
          <w:sz w:val="24"/>
        </w:rPr>
        <w:t xml:space="preserve"> </w:t>
      </w:r>
      <w:r>
        <w:rPr>
          <w:rFonts w:ascii="Arial"/>
          <w:color w:val="000000"/>
          <w:sz w:val="24"/>
        </w:rPr>
        <w:t>as a whole</w:t>
      </w:r>
      <w:r>
        <w:rPr>
          <w:rFonts w:ascii="Arial"/>
          <w:color w:val="000000"/>
          <w:sz w:val="24"/>
        </w:rPr>
        <w:t>.</w:t>
      </w:r>
    </w:p>
    <w:p>
      <w:pPr>
        <w:pStyle w:val="CaselawNumbered10"/>
        <w:numPr>
          <w:ilvl w:val="0"/>
          <w:numId w:val="104"/>
        </w:numPr>
        <w:spacing w:before="150" w:after="0"/>
        <w:ind w:left="600" w:hanging="600"/>
      </w:pPr>
      <w:r>
        <w:rPr>
          <w:rFonts w:ascii="Arial"/>
          <w:color w:val="000000"/>
          <w:sz w:val="24"/>
        </w:rPr>
        <w:t>Fifthly, i</w:t>
      </w:r>
      <w:r>
        <w:rPr>
          <w:rFonts w:ascii="Arial"/>
          <w:color w:val="000000"/>
          <w:sz w:val="24"/>
        </w:rPr>
        <w:t>n relation to</w:t>
      </w:r>
      <w:r>
        <w:rPr>
          <w:rFonts w:ascii="Arial"/>
          <w:b/>
          <w:color w:val="000000"/>
          <w:sz w:val="24"/>
        </w:rPr>
        <w:t xml:space="preserve"> </w:t>
      </w:r>
      <w:r>
        <w:rPr>
          <w:rFonts w:ascii="Arial"/>
          <w:color w:val="000000"/>
          <w:sz w:val="24"/>
        </w:rPr>
        <w:t xml:space="preserve">the </w:t>
      </w:r>
      <w:r>
        <w:rPr>
          <w:rFonts w:ascii="Arial"/>
          <w:color w:val="000000"/>
          <w:sz w:val="24"/>
        </w:rPr>
        <w:t>construction void marking plan</w:t>
      </w:r>
      <w:r>
        <w:rPr>
          <w:rFonts w:ascii="Arial"/>
          <w:color w:val="000000"/>
          <w:sz w:val="24"/>
        </w:rPr>
        <w:t xml:space="preserve"> </w:t>
      </w:r>
      <w:r>
        <w:rPr>
          <w:rFonts w:ascii="Arial"/>
          <w:color w:val="000000"/>
          <w:sz w:val="24"/>
        </w:rPr>
        <w:t xml:space="preserve">and its </w:t>
      </w:r>
      <w:r>
        <w:rPr>
          <w:rFonts w:ascii="Arial"/>
          <w:color w:val="000000"/>
          <w:sz w:val="24"/>
        </w:rPr>
        <w:t>“</w:t>
      </w:r>
      <w:r>
        <w:rPr>
          <w:rFonts w:ascii="Arial"/>
          <w:color w:val="000000"/>
          <w:sz w:val="24"/>
        </w:rPr>
        <w:t>Wall Legend</w:t>
      </w:r>
      <w:r>
        <w:rPr>
          <w:rFonts w:ascii="Arial"/>
          <w:color w:val="000000"/>
          <w:sz w:val="24"/>
        </w:rPr>
        <w:t>”</w:t>
      </w:r>
      <w:r>
        <w:rPr>
          <w:rFonts w:ascii="Arial"/>
          <w:color w:val="000000"/>
          <w:sz w:val="24"/>
        </w:rPr>
        <w:t xml:space="preserve">, </w:t>
      </w:r>
      <w:r>
        <w:rPr>
          <w:rFonts w:ascii="Arial"/>
          <w:color w:val="000000"/>
          <w:sz w:val="24"/>
        </w:rPr>
        <w:t xml:space="preserve">I am unable to accept </w:t>
      </w:r>
      <w:r>
        <w:rPr>
          <w:rFonts w:ascii="Arial"/>
          <w:color w:val="000000"/>
          <w:sz w:val="24"/>
        </w:rPr>
        <w:t xml:space="preserve">the appellants submission </w:t>
      </w:r>
      <w:r>
        <w:rPr>
          <w:rFonts w:ascii="Arial"/>
          <w:color w:val="000000"/>
          <w:sz w:val="24"/>
        </w:rPr>
        <w:t>that these</w:t>
      </w:r>
      <w:r>
        <w:rPr>
          <w:rFonts w:ascii="Arial"/>
          <w:color w:val="000000"/>
          <w:sz w:val="24"/>
        </w:rPr>
        <w:t xml:space="preserve"> </w:t>
      </w:r>
      <w:r>
        <w:rPr>
          <w:rFonts w:ascii="Arial"/>
          <w:color w:val="000000"/>
          <w:sz w:val="24"/>
        </w:rPr>
        <w:t xml:space="preserve">precast panels in </w:t>
      </w:r>
      <w:r>
        <w:rPr>
          <w:rFonts w:ascii="Arial"/>
          <w:color w:val="000000"/>
          <w:sz w:val="24"/>
        </w:rPr>
        <w:t>th</w:t>
      </w:r>
      <w:r>
        <w:rPr>
          <w:rFonts w:ascii="Arial"/>
          <w:color w:val="000000"/>
          <w:sz w:val="24"/>
        </w:rPr>
        <w:t>e</w:t>
      </w:r>
      <w:r>
        <w:rPr>
          <w:rFonts w:ascii="Arial"/>
          <w:color w:val="000000"/>
          <w:sz w:val="24"/>
        </w:rPr>
        <w:t xml:space="preserve"> </w:t>
      </w:r>
      <w:r>
        <w:rPr>
          <w:rFonts w:ascii="Arial"/>
          <w:color w:val="000000"/>
          <w:sz w:val="24"/>
        </w:rPr>
        <w:t xml:space="preserve">construction void </w:t>
      </w:r>
      <w:r>
        <w:rPr>
          <w:rFonts w:ascii="Arial"/>
          <w:color w:val="000000"/>
          <w:sz w:val="24"/>
        </w:rPr>
        <w:t>were</w:t>
      </w:r>
      <w:r>
        <w:rPr>
          <w:rFonts w:ascii="Arial"/>
          <w:color w:val="000000"/>
          <w:sz w:val="24"/>
        </w:rPr>
        <w:t xml:space="preserve"> </w:t>
      </w:r>
      <w:r>
        <w:rPr>
          <w:rFonts w:ascii="Arial"/>
          <w:color w:val="000000"/>
          <w:sz w:val="24"/>
        </w:rPr>
        <w:t xml:space="preserve">necessary </w:t>
      </w:r>
      <w:r>
        <w:rPr>
          <w:rFonts w:ascii="Arial"/>
          <w:color w:val="000000"/>
          <w:sz w:val="24"/>
        </w:rPr>
        <w:t>to support</w:t>
      </w:r>
      <w:r>
        <w:rPr>
          <w:rFonts w:ascii="Arial"/>
          <w:color w:val="000000"/>
          <w:sz w:val="24"/>
        </w:rPr>
        <w:t xml:space="preserve"> </w:t>
      </w:r>
      <w:r>
        <w:rPr>
          <w:rFonts w:ascii="Arial"/>
          <w:color w:val="000000"/>
          <w:sz w:val="24"/>
        </w:rPr>
        <w:t>the lo</w:t>
      </w:r>
      <w:r>
        <w:rPr>
          <w:rFonts w:ascii="Arial"/>
          <w:color w:val="000000"/>
          <w:sz w:val="24"/>
        </w:rPr>
        <w:t>ad</w:t>
      </w:r>
      <w:r>
        <w:rPr>
          <w:rFonts w:ascii="Arial"/>
          <w:color w:val="000000"/>
          <w:sz w:val="24"/>
        </w:rPr>
        <w:t xml:space="preserve">-bearing walls </w:t>
      </w:r>
      <w:r>
        <w:rPr>
          <w:rFonts w:ascii="Arial"/>
          <w:color w:val="000000"/>
          <w:sz w:val="24"/>
        </w:rPr>
        <w:t>above.</w:t>
      </w:r>
      <w:r>
        <w:rPr>
          <w:rFonts w:ascii="Arial"/>
          <w:color w:val="000000"/>
          <w:sz w:val="24"/>
        </w:rPr>
        <w:t xml:space="preserve"> </w:t>
      </w:r>
      <w:r>
        <w:rPr>
          <w:rFonts w:ascii="Arial"/>
          <w:color w:val="000000"/>
          <w:sz w:val="24"/>
        </w:rPr>
        <w:t xml:space="preserve"> </w:t>
      </w:r>
      <w:r>
        <w:rPr>
          <w:rFonts w:ascii="Arial"/>
          <w:color w:val="000000"/>
          <w:sz w:val="24"/>
        </w:rPr>
        <w:t>There is no indication in any of the material that this is the correct conclusion to draw. If additional load bearing walls were necessary for any purpose other than to create the construction void</w:t>
      </w:r>
      <w:r>
        <w:rPr>
          <w:rFonts w:ascii="Arial"/>
          <w:color w:val="000000"/>
          <w:sz w:val="24"/>
        </w:rPr>
        <w:t>,</w:t>
      </w:r>
      <w:r>
        <w:rPr>
          <w:rFonts w:ascii="Arial"/>
          <w:color w:val="000000"/>
          <w:sz w:val="24"/>
        </w:rPr>
        <w:t xml:space="preserve"> </w:t>
      </w:r>
      <w:r>
        <w:rPr>
          <w:rFonts w:ascii="Arial"/>
          <w:color w:val="000000"/>
          <w:sz w:val="24"/>
        </w:rPr>
        <w:t xml:space="preserve">there would have been </w:t>
      </w:r>
      <w:r>
        <w:rPr>
          <w:rFonts w:ascii="Arial"/>
          <w:color w:val="000000"/>
          <w:sz w:val="24"/>
        </w:rPr>
        <w:t xml:space="preserve">some </w:t>
      </w:r>
      <w:r>
        <w:rPr>
          <w:rFonts w:ascii="Arial"/>
          <w:color w:val="000000"/>
          <w:sz w:val="24"/>
        </w:rPr>
        <w:t>indication in the voluminous material that additional load bearing walls were necessary</w:t>
      </w:r>
      <w:r>
        <w:rPr>
          <w:rFonts w:ascii="Arial"/>
          <w:color w:val="000000"/>
          <w:sz w:val="24"/>
        </w:rPr>
        <w:t xml:space="preserve"> </w:t>
      </w:r>
      <w:r>
        <w:rPr>
          <w:rFonts w:ascii="Arial"/>
          <w:color w:val="000000"/>
          <w:sz w:val="24"/>
        </w:rPr>
        <w:t>properly to construct the house</w:t>
      </w:r>
      <w:r>
        <w:rPr>
          <w:rFonts w:ascii="Arial"/>
          <w:color w:val="000000"/>
          <w:sz w:val="24"/>
        </w:rPr>
        <w:t>.</w:t>
      </w:r>
    </w:p>
    <w:p>
      <w:pPr>
        <w:pStyle w:val="CaselawNumbered10"/>
        <w:numPr>
          <w:ilvl w:val="0"/>
          <w:numId w:val="104"/>
        </w:numPr>
        <w:spacing w:before="150" w:after="0"/>
        <w:ind w:left="600" w:hanging="600"/>
      </w:pPr>
      <w:r>
        <w:rPr>
          <w:rFonts w:ascii="Arial"/>
          <w:color w:val="000000"/>
          <w:sz w:val="24"/>
        </w:rPr>
        <w:t>Final</w:t>
      </w:r>
      <w:r>
        <w:rPr>
          <w:rFonts w:ascii="Arial"/>
          <w:color w:val="000000"/>
          <w:sz w:val="24"/>
        </w:rPr>
        <w:t>l</w:t>
      </w:r>
      <w:r>
        <w:rPr>
          <w:rFonts w:ascii="Arial"/>
          <w:color w:val="000000"/>
          <w:sz w:val="24"/>
        </w:rPr>
        <w:t>y,</w:t>
      </w:r>
      <w:r>
        <w:rPr>
          <w:rFonts w:ascii="Arial"/>
          <w:color w:val="000000"/>
          <w:sz w:val="24"/>
        </w:rPr>
        <w:t xml:space="preserve"> </w:t>
      </w:r>
      <w:r>
        <w:rPr>
          <w:rFonts w:ascii="Arial"/>
          <w:color w:val="000000"/>
          <w:sz w:val="24"/>
        </w:rPr>
        <w:t xml:space="preserve">I accept that </w:t>
      </w:r>
      <w:r>
        <w:rPr>
          <w:rFonts w:ascii="Arial"/>
          <w:color w:val="000000"/>
          <w:sz w:val="24"/>
        </w:rPr>
        <w:t xml:space="preserve">the stairs </w:t>
      </w:r>
      <w:r>
        <w:rPr>
          <w:rFonts w:ascii="Arial"/>
          <w:color w:val="000000"/>
          <w:sz w:val="24"/>
        </w:rPr>
        <w:t>and the li</w:t>
      </w:r>
      <w:r>
        <w:rPr>
          <w:rFonts w:ascii="Arial"/>
          <w:color w:val="000000"/>
          <w:sz w:val="24"/>
        </w:rPr>
        <w:t>ft</w:t>
      </w:r>
      <w:r>
        <w:rPr>
          <w:rFonts w:ascii="Arial"/>
          <w:color w:val="000000"/>
          <w:sz w:val="24"/>
        </w:rPr>
        <w:t xml:space="preserve"> </w:t>
      </w:r>
      <w:r>
        <w:rPr>
          <w:rFonts w:ascii="Arial"/>
          <w:color w:val="000000"/>
          <w:sz w:val="24"/>
        </w:rPr>
        <w:t xml:space="preserve">leading to the construction void </w:t>
      </w:r>
      <w:r>
        <w:rPr>
          <w:rFonts w:ascii="Arial"/>
          <w:color w:val="000000"/>
          <w:sz w:val="24"/>
        </w:rPr>
        <w:t xml:space="preserve">in the </w:t>
      </w:r>
      <w:r>
        <w:rPr>
          <w:rFonts w:ascii="Arial"/>
          <w:color w:val="000000"/>
          <w:sz w:val="24"/>
        </w:rPr>
        <w:t xml:space="preserve">construction certificate </w:t>
      </w:r>
      <w:r>
        <w:rPr>
          <w:rFonts w:ascii="Arial"/>
          <w:color w:val="000000"/>
          <w:sz w:val="24"/>
        </w:rPr>
        <w:t xml:space="preserve">plans </w:t>
      </w:r>
      <w:r>
        <w:rPr>
          <w:rFonts w:ascii="Arial"/>
          <w:color w:val="000000"/>
          <w:sz w:val="24"/>
        </w:rPr>
        <w:t>serve</w:t>
      </w:r>
      <w:r>
        <w:rPr>
          <w:rFonts w:ascii="Arial"/>
          <w:color w:val="000000"/>
          <w:sz w:val="24"/>
        </w:rPr>
        <w:t>d</w:t>
      </w:r>
      <w:r>
        <w:rPr>
          <w:rFonts w:ascii="Arial"/>
          <w:color w:val="000000"/>
          <w:sz w:val="24"/>
        </w:rPr>
        <w:t xml:space="preserve"> </w:t>
      </w:r>
      <w:r>
        <w:rPr>
          <w:rFonts w:ascii="Arial"/>
          <w:color w:val="000000"/>
          <w:sz w:val="24"/>
        </w:rPr>
        <w:t>construction purposes</w:t>
      </w:r>
      <w:r>
        <w:rPr>
          <w:rFonts w:ascii="Arial"/>
          <w:color w:val="000000"/>
          <w:sz w:val="24"/>
        </w:rPr>
        <w:t xml:space="preserve">. That </w:t>
      </w:r>
      <w:r>
        <w:rPr>
          <w:rFonts w:ascii="Arial"/>
          <w:color w:val="000000"/>
          <w:sz w:val="24"/>
        </w:rPr>
        <w:t xml:space="preserve">conclusion, however, </w:t>
      </w:r>
      <w:r>
        <w:rPr>
          <w:rFonts w:ascii="Arial"/>
          <w:color w:val="000000"/>
          <w:sz w:val="24"/>
        </w:rPr>
        <w:t>rather begs the question.</w:t>
      </w:r>
      <w:r>
        <w:rPr>
          <w:rFonts w:ascii="Arial"/>
          <w:color w:val="000000"/>
          <w:sz w:val="24"/>
        </w:rPr>
        <w:t xml:space="preserve"> </w:t>
      </w:r>
      <w:r>
        <w:rPr>
          <w:rFonts w:ascii="Arial"/>
          <w:color w:val="000000"/>
          <w:sz w:val="24"/>
        </w:rPr>
        <w:t xml:space="preserve">The evidence does not support an inference that the excavation to create the construction void was necessary to permit the ongoing construction of structural elements of the new house that was approved prior to the removal of the cellar level, such that a reasonable certifier could have concluded that the </w:t>
      </w:r>
      <w:r>
        <w:rPr>
          <w:rFonts w:ascii="Arial"/>
          <w:color w:val="000000"/>
          <w:sz w:val="24"/>
        </w:rPr>
        <w:t xml:space="preserve">construction certificate </w:t>
      </w:r>
      <w:r>
        <w:rPr>
          <w:rFonts w:ascii="Arial"/>
          <w:color w:val="000000"/>
          <w:sz w:val="24"/>
        </w:rPr>
        <w:t xml:space="preserve">was consistent with the </w:t>
      </w:r>
      <w:r>
        <w:rPr>
          <w:rFonts w:ascii="Arial"/>
          <w:color w:val="000000"/>
          <w:sz w:val="24"/>
        </w:rPr>
        <w:t>development consent</w:t>
      </w:r>
      <w:r>
        <w:rPr>
          <w:rFonts w:ascii="Arial"/>
          <w:color w:val="000000"/>
          <w:sz w:val="24"/>
        </w:rPr>
        <w:t xml:space="preserve"> </w:t>
      </w:r>
      <w:r>
        <w:rPr>
          <w:rFonts w:ascii="Arial"/>
          <w:color w:val="000000"/>
          <w:sz w:val="24"/>
        </w:rPr>
        <w:t>as a whole</w:t>
      </w:r>
      <w:r>
        <w:rPr>
          <w:rFonts w:ascii="Arial"/>
          <w:color w:val="000000"/>
          <w:sz w:val="24"/>
        </w:rPr>
        <w:t>.</w:t>
      </w:r>
    </w:p>
    <w:p>
      <w:pPr>
        <w:pStyle w:val="CaselawHeading3"/>
        <w:keepNext/>
        <w:spacing w:before="150" w:after="150" w:line="264"/>
        <w:ind w:left="0"/>
        <w:jc w:val="left"/>
      </w:pPr>
      <w:r>
        <w:rPr>
          <w:rFonts w:ascii="Arial"/>
        </w:rPr>
        <w:t>Conclusion on unreasonableness</w:t>
      </w:r>
    </w:p>
    <w:p>
      <w:pPr>
        <w:pStyle w:val="CaselawNumbered10"/>
        <w:numPr>
          <w:ilvl w:val="0"/>
          <w:numId w:val="105"/>
        </w:numPr>
        <w:spacing w:before="150" w:after="0"/>
        <w:ind w:left="600" w:hanging="600"/>
      </w:pPr>
      <w:r>
        <w:rPr>
          <w:rFonts w:ascii="Arial"/>
          <w:color w:val="000000"/>
          <w:sz w:val="24"/>
        </w:rPr>
        <w:t xml:space="preserve">The starting point of the analysis is that the </w:t>
      </w:r>
      <w:r>
        <w:rPr>
          <w:rFonts w:ascii="Arial"/>
          <w:color w:val="000000"/>
          <w:sz w:val="24"/>
        </w:rPr>
        <w:t xml:space="preserve">construction </w:t>
      </w:r>
      <w:r>
        <w:rPr>
          <w:rFonts w:ascii="Arial"/>
          <w:color w:val="000000"/>
          <w:sz w:val="24"/>
        </w:rPr>
        <w:t xml:space="preserve">certificate was not consistent with the </w:t>
      </w:r>
      <w:r>
        <w:rPr>
          <w:rFonts w:ascii="Arial"/>
          <w:color w:val="000000"/>
          <w:sz w:val="24"/>
        </w:rPr>
        <w:t>development consent</w:t>
      </w:r>
      <w:r>
        <w:rPr>
          <w:rFonts w:ascii="Arial"/>
          <w:color w:val="000000"/>
          <w:sz w:val="24"/>
        </w:rPr>
        <w:t xml:space="preserve">. </w:t>
      </w:r>
      <w:r>
        <w:rPr>
          <w:rFonts w:ascii="Arial"/>
          <w:color w:val="000000"/>
          <w:sz w:val="24"/>
        </w:rPr>
        <w:t xml:space="preserve">Condition </w:t>
      </w:r>
      <w:r>
        <w:rPr>
          <w:rFonts w:ascii="Arial"/>
          <w:color w:val="000000"/>
          <w:sz w:val="24"/>
        </w:rPr>
        <w:t>C.1(d) had two clear elements. The question is whether a cer</w:t>
      </w:r>
      <w:r>
        <w:rPr>
          <w:rFonts w:ascii="Arial"/>
          <w:color w:val="000000"/>
          <w:sz w:val="24"/>
        </w:rPr>
        <w:t xml:space="preserve">tifier </w:t>
      </w:r>
      <w:r>
        <w:rPr>
          <w:rFonts w:ascii="Arial"/>
          <w:color w:val="000000"/>
          <w:sz w:val="24"/>
        </w:rPr>
        <w:t xml:space="preserve">acting </w:t>
      </w:r>
      <w:r>
        <w:rPr>
          <w:rFonts w:ascii="Arial"/>
          <w:color w:val="000000"/>
          <w:sz w:val="24"/>
        </w:rPr>
        <w:t xml:space="preserve">rationally, </w:t>
      </w:r>
      <w:r>
        <w:rPr>
          <w:rFonts w:ascii="Arial"/>
          <w:color w:val="000000"/>
          <w:sz w:val="24"/>
        </w:rPr>
        <w:t xml:space="preserve">and </w:t>
      </w:r>
      <w:r>
        <w:rPr>
          <w:rFonts w:ascii="Arial"/>
          <w:color w:val="000000"/>
          <w:sz w:val="24"/>
        </w:rPr>
        <w:t xml:space="preserve">having regard to </w:t>
      </w:r>
      <w:r>
        <w:rPr>
          <w:rFonts w:ascii="Arial"/>
          <w:color w:val="000000"/>
          <w:sz w:val="24"/>
        </w:rPr>
        <w:t xml:space="preserve">the </w:t>
      </w:r>
      <w:r>
        <w:rPr>
          <w:rFonts w:ascii="Arial"/>
          <w:color w:val="000000"/>
          <w:sz w:val="24"/>
        </w:rPr>
        <w:t xml:space="preserve">development consent </w:t>
      </w:r>
      <w:r>
        <w:rPr>
          <w:rFonts w:ascii="Arial"/>
          <w:color w:val="000000"/>
          <w:sz w:val="24"/>
        </w:rPr>
        <w:t>as a whole</w:t>
      </w:r>
      <w:r>
        <w:rPr>
          <w:rFonts w:ascii="Arial"/>
          <w:color w:val="000000"/>
          <w:sz w:val="24"/>
        </w:rPr>
        <w:t>, could have</w:t>
      </w:r>
      <w:r>
        <w:rPr>
          <w:rFonts w:ascii="Arial"/>
          <w:color w:val="000000"/>
          <w:sz w:val="24"/>
        </w:rPr>
        <w:t xml:space="preserve"> </w:t>
      </w:r>
      <w:r>
        <w:rPr>
          <w:rFonts w:ascii="Arial"/>
          <w:color w:val="000000"/>
          <w:sz w:val="24"/>
        </w:rPr>
        <w:t>take</w:t>
      </w:r>
      <w:r>
        <w:rPr>
          <w:rFonts w:ascii="Arial"/>
          <w:color w:val="000000"/>
          <w:sz w:val="24"/>
        </w:rPr>
        <w:t>n</w:t>
      </w:r>
      <w:r>
        <w:rPr>
          <w:rFonts w:ascii="Arial"/>
          <w:color w:val="000000"/>
          <w:sz w:val="24"/>
        </w:rPr>
        <w:t xml:space="preserve"> </w:t>
      </w:r>
      <w:r>
        <w:rPr>
          <w:rFonts w:ascii="Arial"/>
          <w:color w:val="000000"/>
          <w:sz w:val="24"/>
        </w:rPr>
        <w:t xml:space="preserve">the view </w:t>
      </w:r>
      <w:r>
        <w:rPr>
          <w:rFonts w:ascii="Arial"/>
          <w:color w:val="000000"/>
          <w:sz w:val="24"/>
        </w:rPr>
        <w:t xml:space="preserve">that the </w:t>
      </w:r>
      <w:r>
        <w:rPr>
          <w:rFonts w:ascii="Arial"/>
          <w:color w:val="000000"/>
          <w:sz w:val="24"/>
        </w:rPr>
        <w:t xml:space="preserve">construction certificate </w:t>
      </w:r>
      <w:r>
        <w:rPr>
          <w:rFonts w:ascii="Arial"/>
          <w:color w:val="000000"/>
          <w:sz w:val="24"/>
        </w:rPr>
        <w:t xml:space="preserve">plans were </w:t>
      </w:r>
      <w:r>
        <w:rPr>
          <w:rFonts w:ascii="Arial"/>
          <w:color w:val="000000"/>
          <w:sz w:val="24"/>
        </w:rPr>
        <w:t xml:space="preserve">consistent with </w:t>
      </w:r>
      <w:r>
        <w:rPr>
          <w:rFonts w:ascii="Arial"/>
          <w:color w:val="000000"/>
          <w:sz w:val="24"/>
        </w:rPr>
        <w:t xml:space="preserve">that </w:t>
      </w:r>
      <w:r>
        <w:rPr>
          <w:rFonts w:ascii="Arial"/>
          <w:color w:val="000000"/>
          <w:sz w:val="24"/>
        </w:rPr>
        <w:t>development consent</w:t>
      </w:r>
      <w:r>
        <w:rPr>
          <w:rFonts w:ascii="Arial"/>
          <w:color w:val="000000"/>
          <w:sz w:val="24"/>
        </w:rPr>
        <w:t>.</w:t>
      </w:r>
      <w:r>
        <w:rPr>
          <w:rFonts w:ascii="Arial"/>
          <w:color w:val="000000"/>
          <w:sz w:val="24"/>
        </w:rPr>
        <w:t xml:space="preserve"> </w:t>
      </w:r>
    </w:p>
    <w:p>
      <w:pPr>
        <w:pStyle w:val="CaselawNumbered10"/>
        <w:numPr>
          <w:ilvl w:val="0"/>
          <w:numId w:val="105"/>
        </w:numPr>
        <w:spacing w:before="150" w:after="0"/>
        <w:ind w:left="600" w:hanging="600"/>
      </w:pPr>
      <w:r>
        <w:rPr>
          <w:rFonts w:ascii="Arial"/>
          <w:color w:val="000000"/>
          <w:sz w:val="24"/>
        </w:rPr>
        <w:t>Although there is a h</w:t>
      </w:r>
      <w:r>
        <w:rPr>
          <w:rFonts w:ascii="Arial"/>
          <w:color w:val="000000"/>
          <w:sz w:val="24"/>
        </w:rPr>
        <w:t xml:space="preserve">igh hurdle for </w:t>
      </w:r>
      <w:r>
        <w:rPr>
          <w:rFonts w:ascii="Arial"/>
          <w:color w:val="000000"/>
          <w:sz w:val="24"/>
        </w:rPr>
        <w:t>an applicant</w:t>
      </w:r>
      <w:r>
        <w:rPr>
          <w:rFonts w:ascii="Arial"/>
          <w:color w:val="000000"/>
          <w:sz w:val="24"/>
        </w:rPr>
        <w:t xml:space="preserve"> </w:t>
      </w:r>
      <w:r>
        <w:rPr>
          <w:rFonts w:ascii="Arial"/>
          <w:color w:val="000000"/>
          <w:sz w:val="24"/>
        </w:rPr>
        <w:t>who seeks to demonstrate legal unreasonableness</w:t>
      </w:r>
      <w:r>
        <w:rPr>
          <w:rFonts w:ascii="Arial"/>
          <w:color w:val="000000"/>
          <w:sz w:val="24"/>
        </w:rPr>
        <w:t xml:space="preserve"> </w:t>
      </w:r>
      <w:r>
        <w:rPr>
          <w:rFonts w:ascii="Arial"/>
          <w:color w:val="000000"/>
          <w:sz w:val="24"/>
        </w:rPr>
        <w:t xml:space="preserve">in the making of a </w:t>
      </w:r>
      <w:r>
        <w:rPr>
          <w:rFonts w:ascii="Arial"/>
          <w:color w:val="000000"/>
          <w:sz w:val="24"/>
        </w:rPr>
        <w:t>construction certificate</w:t>
      </w:r>
      <w:r>
        <w:rPr>
          <w:rFonts w:ascii="Arial"/>
          <w:color w:val="000000"/>
          <w:sz w:val="24"/>
        </w:rPr>
        <w:t xml:space="preserve">, </w:t>
      </w:r>
      <w:r>
        <w:rPr>
          <w:rFonts w:ascii="Arial"/>
          <w:color w:val="000000"/>
          <w:sz w:val="24"/>
        </w:rPr>
        <w:t xml:space="preserve">this was a case in which there was </w:t>
      </w:r>
      <w:r>
        <w:rPr>
          <w:rFonts w:ascii="Arial"/>
          <w:color w:val="000000"/>
          <w:sz w:val="24"/>
        </w:rPr>
        <w:t>a v</w:t>
      </w:r>
      <w:r>
        <w:rPr>
          <w:rFonts w:ascii="Arial"/>
          <w:color w:val="000000"/>
          <w:sz w:val="24"/>
        </w:rPr>
        <w:t>ery clear condition of development consent.</w:t>
      </w:r>
      <w:r>
        <w:rPr>
          <w:rFonts w:ascii="Arial"/>
          <w:color w:val="000000"/>
          <w:sz w:val="24"/>
        </w:rPr>
        <w:t xml:space="preserve"> </w:t>
      </w:r>
      <w:r>
        <w:rPr>
          <w:rFonts w:ascii="Arial"/>
          <w:color w:val="000000"/>
          <w:sz w:val="24"/>
        </w:rPr>
        <w:t>O</w:t>
      </w:r>
      <w:r>
        <w:rPr>
          <w:rFonts w:ascii="Arial"/>
          <w:color w:val="000000"/>
          <w:sz w:val="24"/>
        </w:rPr>
        <w:t>n</w:t>
      </w:r>
      <w:r>
        <w:rPr>
          <w:rFonts w:ascii="Arial"/>
          <w:color w:val="000000"/>
          <w:sz w:val="24"/>
        </w:rPr>
        <w:t xml:space="preserve"> </w:t>
      </w:r>
      <w:r>
        <w:rPr>
          <w:rFonts w:ascii="Arial"/>
          <w:color w:val="000000"/>
          <w:sz w:val="24"/>
        </w:rPr>
        <w:t>its proper cons</w:t>
      </w:r>
      <w:r>
        <w:rPr>
          <w:rFonts w:ascii="Arial"/>
          <w:color w:val="000000"/>
          <w:sz w:val="24"/>
        </w:rPr>
        <w:t>tr</w:t>
      </w:r>
      <w:r>
        <w:rPr>
          <w:rFonts w:ascii="Arial"/>
          <w:color w:val="000000"/>
          <w:sz w:val="24"/>
        </w:rPr>
        <w:t xml:space="preserve">uction </w:t>
      </w:r>
      <w:r>
        <w:rPr>
          <w:rFonts w:ascii="Arial"/>
          <w:color w:val="000000"/>
          <w:sz w:val="24"/>
        </w:rPr>
        <w:t xml:space="preserve">the </w:t>
      </w:r>
      <w:r>
        <w:rPr>
          <w:rFonts w:ascii="Arial"/>
          <w:color w:val="000000"/>
          <w:sz w:val="24"/>
        </w:rPr>
        <w:t xml:space="preserve">development consent </w:t>
      </w:r>
      <w:r>
        <w:rPr>
          <w:rFonts w:ascii="Arial"/>
          <w:color w:val="000000"/>
          <w:sz w:val="24"/>
        </w:rPr>
        <w:t xml:space="preserve">does not permit </w:t>
      </w:r>
      <w:r>
        <w:rPr>
          <w:rFonts w:ascii="Arial"/>
          <w:color w:val="000000"/>
          <w:sz w:val="24"/>
        </w:rPr>
        <w:t xml:space="preserve">excavation of the area formerly described as the cellar. </w:t>
      </w:r>
      <w:r>
        <w:rPr>
          <w:rFonts w:ascii="Arial"/>
          <w:color w:val="000000"/>
          <w:sz w:val="24"/>
        </w:rPr>
        <w:t xml:space="preserve">Inferences I draw from the available material provide support for </w:t>
      </w:r>
      <w:r>
        <w:rPr>
          <w:rFonts w:ascii="Arial"/>
          <w:color w:val="000000"/>
          <w:sz w:val="24"/>
        </w:rPr>
        <w:t xml:space="preserve">a conclusion that the engineer believed that </w:t>
      </w:r>
      <w:r>
        <w:rPr>
          <w:rFonts w:ascii="Arial"/>
          <w:i/>
          <w:color w:val="000000"/>
          <w:sz w:val="24"/>
        </w:rPr>
        <w:t>a</w:t>
      </w:r>
      <w:r>
        <w:rPr>
          <w:rFonts w:ascii="Arial"/>
          <w:i/>
          <w:color w:val="000000"/>
          <w:sz w:val="24"/>
        </w:rPr>
        <w:t>n</w:t>
      </w:r>
      <w:r>
        <w:rPr>
          <w:rFonts w:ascii="Arial"/>
          <w:color w:val="000000"/>
          <w:sz w:val="24"/>
        </w:rPr>
        <w:t xml:space="preserve"> </w:t>
      </w:r>
      <w:r>
        <w:rPr>
          <w:rFonts w:ascii="Arial"/>
          <w:color w:val="000000"/>
          <w:sz w:val="24"/>
        </w:rPr>
        <w:t xml:space="preserve">appropriate </w:t>
      </w:r>
      <w:r>
        <w:rPr>
          <w:rFonts w:ascii="Arial"/>
          <w:color w:val="000000"/>
          <w:sz w:val="24"/>
        </w:rPr>
        <w:t xml:space="preserve">way of building the house was to excavate </w:t>
      </w:r>
      <w:r>
        <w:rPr>
          <w:rFonts w:ascii="Arial"/>
          <w:color w:val="000000"/>
          <w:sz w:val="24"/>
        </w:rPr>
        <w:t xml:space="preserve">the area where the deleted cellar was to be located and </w:t>
      </w:r>
      <w:r>
        <w:rPr>
          <w:rFonts w:ascii="Arial"/>
          <w:color w:val="000000"/>
          <w:sz w:val="24"/>
        </w:rPr>
        <w:t>put a crane in the void. That however is not enough.</w:t>
      </w:r>
      <w:r>
        <w:rPr>
          <w:rFonts w:ascii="Arial"/>
          <w:color w:val="000000"/>
          <w:sz w:val="24"/>
        </w:rPr>
        <w:t xml:space="preserve"> </w:t>
      </w:r>
      <w:r>
        <w:rPr>
          <w:rFonts w:ascii="Arial"/>
          <w:color w:val="000000"/>
          <w:sz w:val="24"/>
        </w:rPr>
        <w:t>In the face of such a clear condition no reasonable certifier could have issue</w:t>
      </w:r>
      <w:r>
        <w:rPr>
          <w:rFonts w:ascii="Arial"/>
          <w:color w:val="000000"/>
          <w:sz w:val="24"/>
        </w:rPr>
        <w:t>d</w:t>
      </w:r>
      <w:r>
        <w:rPr>
          <w:rFonts w:ascii="Arial"/>
          <w:color w:val="000000"/>
          <w:sz w:val="24"/>
        </w:rPr>
        <w:t xml:space="preserve"> </w:t>
      </w:r>
      <w:r>
        <w:rPr>
          <w:rFonts w:ascii="Arial"/>
          <w:color w:val="000000"/>
          <w:sz w:val="24"/>
        </w:rPr>
        <w:t>a construction certificate which set condition</w:t>
      </w:r>
      <w:r>
        <w:rPr>
          <w:rFonts w:ascii="Arial"/>
          <w:color w:val="000000"/>
          <w:sz w:val="24"/>
        </w:rPr>
        <w:t xml:space="preserve"> </w:t>
      </w:r>
      <w:r>
        <w:rPr>
          <w:rFonts w:ascii="Arial"/>
          <w:color w:val="000000"/>
          <w:sz w:val="24"/>
        </w:rPr>
        <w:t>C.1(d)</w:t>
      </w:r>
      <w:r>
        <w:rPr>
          <w:rFonts w:ascii="Arial"/>
          <w:color w:val="000000"/>
          <w:sz w:val="24"/>
        </w:rPr>
        <w:t xml:space="preserve"> </w:t>
      </w:r>
      <w:r>
        <w:rPr>
          <w:rFonts w:ascii="Arial"/>
          <w:color w:val="000000"/>
          <w:sz w:val="24"/>
        </w:rPr>
        <w:t xml:space="preserve">at naught unless there was some basis to think that the excavation </w:t>
      </w:r>
      <w:r>
        <w:rPr>
          <w:rFonts w:ascii="Arial"/>
          <w:color w:val="000000"/>
          <w:sz w:val="24"/>
        </w:rPr>
        <w:t>of the former cellar level was necessary i</w:t>
      </w:r>
      <w:r>
        <w:rPr>
          <w:rFonts w:ascii="Arial"/>
          <w:color w:val="000000"/>
          <w:sz w:val="24"/>
        </w:rPr>
        <w:t>n order properly to build the house</w:t>
      </w:r>
      <w:r>
        <w:rPr>
          <w:rFonts w:ascii="Arial"/>
          <w:color w:val="000000"/>
          <w:sz w:val="24"/>
        </w:rPr>
        <w:t>.</w:t>
      </w:r>
      <w:r>
        <w:rPr>
          <w:rFonts w:ascii="Arial"/>
          <w:color w:val="000000"/>
          <w:sz w:val="24"/>
        </w:rPr>
        <w:t xml:space="preserve"> </w:t>
      </w:r>
    </w:p>
    <w:p>
      <w:pPr>
        <w:pStyle w:val="CaselawNumbered10"/>
        <w:numPr>
          <w:ilvl w:val="0"/>
          <w:numId w:val="105"/>
        </w:numPr>
        <w:spacing w:before="150" w:after="0"/>
        <w:ind w:left="600" w:hanging="600"/>
      </w:pPr>
      <w:r>
        <w:rPr>
          <w:rFonts w:ascii="Arial"/>
          <w:color w:val="000000"/>
          <w:sz w:val="24"/>
        </w:rPr>
        <w:t xml:space="preserve">In </w:t>
      </w:r>
      <w:r>
        <w:rPr>
          <w:rFonts w:ascii="Arial"/>
          <w:color w:val="000000"/>
          <w:sz w:val="24"/>
        </w:rPr>
        <w:t>all the</w:t>
      </w:r>
      <w:r>
        <w:rPr>
          <w:rFonts w:ascii="Arial"/>
          <w:color w:val="000000"/>
          <w:sz w:val="24"/>
        </w:rPr>
        <w:t xml:space="preserve"> </w:t>
      </w:r>
      <w:r>
        <w:rPr>
          <w:rFonts w:ascii="Arial"/>
          <w:color w:val="000000"/>
          <w:sz w:val="24"/>
        </w:rPr>
        <w:t xml:space="preserve">circumstances </w:t>
      </w:r>
      <w:r>
        <w:rPr>
          <w:rFonts w:ascii="Arial"/>
          <w:color w:val="000000"/>
          <w:sz w:val="24"/>
        </w:rPr>
        <w:t xml:space="preserve">of </w:t>
      </w:r>
      <w:r>
        <w:rPr>
          <w:rFonts w:ascii="Arial"/>
          <w:color w:val="000000"/>
          <w:sz w:val="24"/>
        </w:rPr>
        <w:t>this</w:t>
      </w:r>
      <w:r>
        <w:rPr>
          <w:rFonts w:ascii="Arial"/>
          <w:color w:val="000000"/>
          <w:sz w:val="24"/>
        </w:rPr>
        <w:t xml:space="preserve"> </w:t>
      </w:r>
      <w:r>
        <w:rPr>
          <w:rFonts w:ascii="Arial"/>
          <w:color w:val="000000"/>
          <w:sz w:val="24"/>
        </w:rPr>
        <w:t xml:space="preserve">case, </w:t>
      </w:r>
      <w:r>
        <w:rPr>
          <w:rFonts w:ascii="Arial"/>
          <w:color w:val="000000"/>
          <w:sz w:val="24"/>
        </w:rPr>
        <w:t xml:space="preserve">I have concluded that the </w:t>
      </w:r>
      <w:r>
        <w:rPr>
          <w:rFonts w:ascii="Arial"/>
          <w:color w:val="000000"/>
          <w:sz w:val="24"/>
        </w:rPr>
        <w:t>primary judge</w:t>
      </w:r>
      <w:r>
        <w:rPr>
          <w:rFonts w:ascii="Arial"/>
          <w:color w:val="000000"/>
          <w:sz w:val="24"/>
        </w:rPr>
        <w:t xml:space="preserve"> </w:t>
      </w:r>
      <w:r>
        <w:rPr>
          <w:rFonts w:ascii="Arial"/>
          <w:color w:val="000000"/>
          <w:sz w:val="24"/>
        </w:rPr>
        <w:t>did not err in concluding that the</w:t>
      </w:r>
      <w:r>
        <w:rPr>
          <w:rFonts w:ascii="Arial"/>
          <w:color w:val="000000"/>
          <w:sz w:val="24"/>
        </w:rPr>
        <w:t xml:space="preserve"> </w:t>
      </w:r>
      <w:r>
        <w:rPr>
          <w:rFonts w:ascii="Arial"/>
          <w:color w:val="000000"/>
          <w:sz w:val="24"/>
        </w:rPr>
        <w:t xml:space="preserve">decision </w:t>
      </w:r>
      <w:r>
        <w:rPr>
          <w:rFonts w:ascii="Arial"/>
          <w:color w:val="000000"/>
          <w:sz w:val="24"/>
        </w:rPr>
        <w:t>of the</w:t>
      </w:r>
      <w:r>
        <w:rPr>
          <w:rFonts w:ascii="Arial"/>
          <w:color w:val="000000"/>
          <w:sz w:val="24"/>
        </w:rPr>
        <w:t xml:space="preserve"> </w:t>
      </w:r>
      <w:r>
        <w:rPr>
          <w:rFonts w:ascii="Arial"/>
          <w:color w:val="000000"/>
          <w:sz w:val="24"/>
        </w:rPr>
        <w:t xml:space="preserve">private certifier to issue a </w:t>
      </w:r>
      <w:r>
        <w:rPr>
          <w:rFonts w:ascii="Arial"/>
          <w:color w:val="000000"/>
          <w:sz w:val="24"/>
        </w:rPr>
        <w:t xml:space="preserve">construction certificate </w:t>
      </w:r>
      <w:r>
        <w:rPr>
          <w:rFonts w:ascii="Arial"/>
          <w:color w:val="000000"/>
          <w:sz w:val="24"/>
        </w:rPr>
        <w:t>in the form it took was legally unreasonable.</w:t>
      </w:r>
    </w:p>
    <w:p>
      <w:pPr>
        <w:pStyle w:val="CaselawNumbered10"/>
        <w:numPr>
          <w:ilvl w:val="0"/>
          <w:numId w:val="105"/>
        </w:numPr>
        <w:spacing w:before="150" w:after="0"/>
        <w:ind w:left="600" w:hanging="600"/>
      </w:pPr>
      <w:r>
        <w:rPr>
          <w:rFonts w:ascii="Arial"/>
          <w:color w:val="000000"/>
          <w:sz w:val="24"/>
        </w:rPr>
        <w:t>Ground 2 should be dismissed</w:t>
      </w:r>
      <w:r>
        <w:rPr>
          <w:rFonts w:ascii="Arial"/>
          <w:color w:val="000000"/>
          <w:sz w:val="24"/>
        </w:rPr>
        <w:t>.</w:t>
      </w:r>
    </w:p>
    <w:p>
      <w:pPr>
        <w:pStyle w:val="CaselawHeading2"/>
        <w:keepNext/>
        <w:spacing w:before="150" w:after="150" w:line="264"/>
        <w:ind w:left="0"/>
        <w:jc w:val="left"/>
      </w:pPr>
      <w:r>
        <w:rPr>
          <w:rFonts w:ascii="Arial"/>
        </w:rPr>
        <w:t>Ground 3</w:t>
      </w:r>
    </w:p>
    <w:p>
      <w:pPr>
        <w:pStyle w:val="CaselawHeading3"/>
        <w:keepNext/>
        <w:spacing w:before="150" w:after="150" w:line="264"/>
        <w:ind w:left="0"/>
        <w:jc w:val="left"/>
      </w:pPr>
      <w:r>
        <w:rPr>
          <w:rFonts w:ascii="Arial"/>
        </w:rPr>
        <w:t>Submissions on ground 3</w:t>
      </w:r>
    </w:p>
    <w:p>
      <w:pPr>
        <w:pStyle w:val="CaselawNumbered10"/>
        <w:numPr>
          <w:ilvl w:val="0"/>
          <w:numId w:val="106"/>
        </w:numPr>
        <w:spacing w:before="150" w:after="0"/>
        <w:ind w:left="600" w:hanging="600"/>
      </w:pPr>
      <w:r>
        <w:rPr>
          <w:rFonts w:ascii="Arial"/>
          <w:color w:val="000000"/>
          <w:sz w:val="24"/>
        </w:rPr>
        <w:t xml:space="preserve">The appellants argued that </w:t>
      </w:r>
      <w:r>
        <w:rPr>
          <w:rFonts w:ascii="Arial"/>
          <w:color w:val="000000"/>
          <w:sz w:val="24"/>
        </w:rPr>
        <w:t>the</w:t>
      </w:r>
      <w:r>
        <w:rPr>
          <w:rFonts w:ascii="Arial"/>
          <w:color w:val="000000"/>
          <w:sz w:val="24"/>
        </w:rPr>
        <w:t xml:space="preserve"> </w:t>
      </w:r>
      <w:r>
        <w:rPr>
          <w:rFonts w:ascii="Arial"/>
          <w:color w:val="000000"/>
          <w:sz w:val="24"/>
        </w:rPr>
        <w:t xml:space="preserve">finding </w:t>
      </w:r>
      <w:r>
        <w:rPr>
          <w:rFonts w:ascii="Arial"/>
          <w:color w:val="000000"/>
          <w:sz w:val="24"/>
        </w:rPr>
        <w:t xml:space="preserve">made by the primary judge </w:t>
      </w:r>
      <w:r>
        <w:rPr>
          <w:rFonts w:ascii="Arial"/>
          <w:color w:val="000000"/>
          <w:sz w:val="24"/>
        </w:rPr>
        <w:t>of jurisdictional error</w:t>
      </w:r>
      <w:r>
        <w:rPr>
          <w:rFonts w:ascii="Arial"/>
          <w:color w:val="000000"/>
          <w:sz w:val="24"/>
        </w:rPr>
        <w:t xml:space="preserve"> </w:t>
      </w:r>
      <w:r>
        <w:rPr>
          <w:rFonts w:ascii="Arial"/>
          <w:color w:val="000000"/>
          <w:sz w:val="24"/>
        </w:rPr>
        <w:t xml:space="preserve">for </w:t>
      </w:r>
      <w:r>
        <w:rPr>
          <w:rFonts w:ascii="Arial"/>
          <w:color w:val="000000"/>
          <w:sz w:val="24"/>
        </w:rPr>
        <w:t>legal unreasonableness</w:t>
      </w:r>
      <w:r>
        <w:rPr>
          <w:rFonts w:ascii="Arial"/>
          <w:color w:val="000000"/>
          <w:sz w:val="24"/>
        </w:rPr>
        <w:t xml:space="preserve"> </w:t>
      </w:r>
      <w:r>
        <w:rPr>
          <w:rFonts w:ascii="Arial"/>
          <w:color w:val="000000"/>
          <w:sz w:val="24"/>
        </w:rPr>
        <w:t xml:space="preserve">does not necessarily result in invalidity of the </w:t>
      </w:r>
      <w:r>
        <w:rPr>
          <w:rFonts w:ascii="Arial"/>
          <w:color w:val="000000"/>
          <w:sz w:val="24"/>
        </w:rPr>
        <w:t>construction certificate</w:t>
      </w:r>
      <w:r>
        <w:rPr>
          <w:rFonts w:ascii="Arial"/>
          <w:color w:val="000000"/>
          <w:sz w:val="24"/>
        </w:rPr>
        <w:t xml:space="preserve">. The appellants </w:t>
      </w:r>
      <w:r>
        <w:rPr>
          <w:rFonts w:ascii="Arial"/>
          <w:color w:val="000000"/>
          <w:sz w:val="24"/>
        </w:rPr>
        <w:t>accepted</w:t>
      </w:r>
      <w:r>
        <w:rPr>
          <w:rFonts w:ascii="Arial"/>
          <w:color w:val="000000"/>
          <w:sz w:val="24"/>
        </w:rPr>
        <w:t xml:space="preserve"> </w:t>
      </w:r>
      <w:r>
        <w:rPr>
          <w:rFonts w:ascii="Arial"/>
          <w:color w:val="000000"/>
          <w:sz w:val="24"/>
        </w:rPr>
        <w:t xml:space="preserve">that </w:t>
      </w:r>
      <w:r>
        <w:rPr>
          <w:rFonts w:ascii="Arial"/>
          <w:i/>
          <w:color w:val="000000"/>
          <w:sz w:val="24"/>
        </w:rPr>
        <w:t>Ralan</w:t>
      </w:r>
      <w:r>
        <w:rPr>
          <w:rFonts w:ascii="Arial"/>
          <w:color w:val="000000"/>
          <w:sz w:val="24"/>
        </w:rPr>
        <w:t xml:space="preserve"> </w:t>
      </w:r>
      <w:r>
        <w:rPr>
          <w:rFonts w:ascii="Arial"/>
          <w:color w:val="000000"/>
          <w:sz w:val="24"/>
        </w:rPr>
        <w:t xml:space="preserve">is </w:t>
      </w:r>
      <w:r>
        <w:rPr>
          <w:rFonts w:ascii="Arial"/>
          <w:color w:val="000000"/>
          <w:sz w:val="24"/>
        </w:rPr>
        <w:t>not determinative of whether a finding of jurisdictional error was invalidity of the certificate</w:t>
      </w:r>
      <w:r>
        <w:rPr>
          <w:rFonts w:ascii="Arial"/>
          <w:color w:val="000000"/>
          <w:sz w:val="24"/>
        </w:rPr>
        <w:t xml:space="preserve"> </w:t>
      </w:r>
      <w:r>
        <w:rPr>
          <w:rFonts w:ascii="Arial"/>
          <w:color w:val="000000"/>
          <w:sz w:val="24"/>
        </w:rPr>
        <w:t>as a whole</w:t>
      </w:r>
      <w:r>
        <w:rPr>
          <w:rFonts w:ascii="Arial"/>
          <w:color w:val="000000"/>
          <w:sz w:val="24"/>
        </w:rPr>
        <w:t xml:space="preserve">. </w:t>
      </w:r>
    </w:p>
    <w:p>
      <w:pPr>
        <w:pStyle w:val="CaselawNumbered10"/>
        <w:numPr>
          <w:ilvl w:val="0"/>
          <w:numId w:val="106"/>
        </w:numPr>
        <w:spacing w:before="150" w:after="0"/>
        <w:ind w:left="600" w:hanging="600"/>
      </w:pPr>
      <w:r>
        <w:rPr>
          <w:rFonts w:ascii="Arial"/>
          <w:color w:val="000000"/>
          <w:sz w:val="24"/>
        </w:rPr>
        <w:t xml:space="preserve">The appellants accepted that </w:t>
      </w:r>
      <w:r>
        <w:rPr>
          <w:rFonts w:ascii="Arial"/>
          <w:i/>
          <w:color w:val="000000"/>
          <w:sz w:val="24"/>
        </w:rPr>
        <w:t>Ralan</w:t>
      </w:r>
      <w:r>
        <w:rPr>
          <w:rFonts w:ascii="Arial"/>
          <w:i/>
          <w:color w:val="000000"/>
          <w:sz w:val="24"/>
        </w:rPr>
        <w:t xml:space="preserve"> </w:t>
      </w:r>
      <w:r>
        <w:rPr>
          <w:rFonts w:ascii="Arial"/>
          <w:color w:val="000000"/>
          <w:sz w:val="24"/>
        </w:rPr>
        <w:t>concerned an alleged</w:t>
      </w:r>
      <w:r>
        <w:rPr>
          <w:rFonts w:ascii="Arial"/>
          <w:color w:val="000000"/>
          <w:sz w:val="24"/>
        </w:rPr>
        <w:t xml:space="preserve"> </w:t>
      </w:r>
      <w:r>
        <w:rPr>
          <w:rFonts w:ascii="Arial"/>
          <w:color w:val="000000"/>
          <w:sz w:val="24"/>
        </w:rPr>
        <w:t xml:space="preserve">breach of the EPA Act </w:t>
      </w:r>
      <w:r>
        <w:rPr>
          <w:rFonts w:ascii="Arial"/>
          <w:color w:val="000000"/>
          <w:sz w:val="24"/>
        </w:rPr>
        <w:t>and not</w:t>
      </w:r>
      <w:r>
        <w:rPr>
          <w:rFonts w:ascii="Arial"/>
          <w:color w:val="000000"/>
          <w:sz w:val="24"/>
        </w:rPr>
        <w:t xml:space="preserve"> </w:t>
      </w:r>
      <w:r>
        <w:rPr>
          <w:rFonts w:ascii="Arial"/>
          <w:color w:val="000000"/>
          <w:sz w:val="24"/>
        </w:rPr>
        <w:t>judicial review</w:t>
      </w:r>
      <w:r>
        <w:rPr>
          <w:rFonts w:ascii="Arial"/>
          <w:color w:val="000000"/>
          <w:sz w:val="24"/>
        </w:rPr>
        <w:t xml:space="preserve">. </w:t>
      </w:r>
      <w:r>
        <w:rPr>
          <w:rFonts w:ascii="Arial"/>
          <w:color w:val="000000"/>
          <w:sz w:val="24"/>
        </w:rPr>
        <w:t xml:space="preserve">The appellants argued, nevertheless, that the reasoning in </w:t>
      </w:r>
      <w:r>
        <w:rPr>
          <w:rFonts w:ascii="Arial"/>
          <w:i/>
          <w:color w:val="000000"/>
          <w:sz w:val="24"/>
        </w:rPr>
        <w:t>Ralan</w:t>
      </w:r>
      <w:r>
        <w:rPr>
          <w:rFonts w:ascii="Arial"/>
          <w:i/>
          <w:color w:val="000000"/>
          <w:sz w:val="24"/>
        </w:rPr>
        <w:t xml:space="preserve"> </w:t>
      </w:r>
      <w:r>
        <w:rPr>
          <w:rFonts w:ascii="Arial"/>
          <w:color w:val="000000"/>
          <w:sz w:val="24"/>
        </w:rPr>
        <w:t>should be extended to judicial review cases.</w:t>
      </w:r>
    </w:p>
    <w:p>
      <w:pPr>
        <w:pStyle w:val="CaselawNumbered10"/>
        <w:numPr>
          <w:ilvl w:val="0"/>
          <w:numId w:val="106"/>
        </w:numPr>
        <w:spacing w:before="150" w:after="0"/>
        <w:ind w:left="600" w:hanging="600"/>
      </w:pPr>
      <w:r>
        <w:rPr>
          <w:rFonts w:ascii="Arial"/>
          <w:color w:val="000000"/>
          <w:sz w:val="24"/>
        </w:rPr>
        <w:t xml:space="preserve">First, the appellants argued that </w:t>
      </w:r>
      <w:r>
        <w:rPr>
          <w:rFonts w:ascii="Arial"/>
          <w:color w:val="000000"/>
          <w:sz w:val="24"/>
        </w:rPr>
        <w:t>“</w:t>
      </w:r>
      <w:r>
        <w:rPr>
          <w:rFonts w:ascii="Arial"/>
          <w:color w:val="000000"/>
          <w:sz w:val="24"/>
        </w:rPr>
        <w:t>there is no rule that jurisdictional error necessarily results in a finding of invalidity. Rather it is merely the usual outcome and ultimately the intention of the Parliament which is the guiding principle</w:t>
      </w:r>
      <w:r>
        <w:rPr>
          <w:rFonts w:ascii="Arial"/>
          <w:color w:val="000000"/>
          <w:sz w:val="24"/>
        </w:rPr>
        <w:t>”</w:t>
      </w:r>
      <w:r>
        <w:rPr>
          <w:rFonts w:ascii="Arial"/>
          <w:color w:val="000000"/>
          <w:sz w:val="24"/>
        </w:rPr>
        <w:t xml:space="preserve">. They submitted that </w:t>
      </w:r>
      <w:r>
        <w:rPr>
          <w:rFonts w:ascii="Arial"/>
          <w:color w:val="000000"/>
          <w:sz w:val="24"/>
        </w:rPr>
        <w:t>“</w:t>
      </w:r>
      <w:r>
        <w:rPr>
          <w:rFonts w:ascii="Arial"/>
          <w:color w:val="000000"/>
          <w:sz w:val="24"/>
        </w:rPr>
        <w:t>[</w:t>
      </w:r>
      <w:r>
        <w:rPr>
          <w:rFonts w:ascii="Arial"/>
          <w:color w:val="000000"/>
          <w:sz w:val="24"/>
        </w:rPr>
        <w:t>i</w:t>
      </w:r>
      <w:r>
        <w:rPr>
          <w:rFonts w:ascii="Arial"/>
          <w:color w:val="000000"/>
          <w:sz w:val="24"/>
        </w:rPr>
        <w:t>]t is rare for a Parliament to indicate in clear terms that if a decision maker errs on a particular topic, then the decision in question will be invalid</w:t>
      </w:r>
      <w:r>
        <w:rPr>
          <w:rFonts w:ascii="Arial"/>
          <w:color w:val="000000"/>
          <w:sz w:val="24"/>
        </w:rPr>
        <w:t>”</w:t>
      </w:r>
      <w:r>
        <w:rPr>
          <w:rFonts w:ascii="Arial"/>
          <w:color w:val="000000"/>
          <w:sz w:val="24"/>
        </w:rPr>
        <w:t xml:space="preserve">. </w:t>
      </w:r>
      <w:r>
        <w:rPr>
          <w:rFonts w:ascii="Arial"/>
          <w:b/>
          <w:color w:val="000000"/>
          <w:sz w:val="24"/>
        </w:rPr>
        <w:t xml:space="preserve"> </w:t>
      </w:r>
      <w:r>
        <w:rPr>
          <w:rFonts w:ascii="Arial"/>
          <w:color w:val="000000"/>
          <w:sz w:val="24"/>
        </w:rPr>
        <w:t>In assessing Parliament</w:t>
      </w:r>
      <w:r>
        <w:rPr>
          <w:rFonts w:ascii="Arial"/>
          <w:color w:val="000000"/>
          <w:sz w:val="24"/>
        </w:rPr>
        <w:t>’</w:t>
      </w:r>
      <w:r>
        <w:rPr>
          <w:rFonts w:ascii="Arial"/>
          <w:color w:val="000000"/>
          <w:sz w:val="24"/>
        </w:rPr>
        <w:t xml:space="preserve">s intention, the appellants argued that </w:t>
      </w:r>
      <w:r>
        <w:rPr>
          <w:rFonts w:ascii="Arial"/>
          <w:color w:val="000000"/>
          <w:sz w:val="24"/>
        </w:rPr>
        <w:t>“</w:t>
      </w:r>
      <w:r>
        <w:rPr>
          <w:rFonts w:ascii="Arial"/>
          <w:color w:val="000000"/>
          <w:sz w:val="24"/>
        </w:rPr>
        <w:t>[</w:t>
      </w:r>
      <w:r>
        <w:rPr>
          <w:rFonts w:ascii="Arial"/>
          <w:color w:val="000000"/>
          <w:sz w:val="24"/>
        </w:rPr>
        <w:t>i</w:t>
      </w:r>
      <w:r>
        <w:rPr>
          <w:rFonts w:ascii="Arial"/>
          <w:color w:val="000000"/>
          <w:sz w:val="24"/>
        </w:rPr>
        <w:t xml:space="preserve">]t is not a matter of identifying whether there has been jurisdictional error and then asking if such error was intended to lead to invalidity </w:t>
      </w:r>
      <w:r>
        <w:rPr>
          <w:rFonts w:ascii="Arial"/>
          <w:color w:val="000000"/>
          <w:sz w:val="24"/>
        </w:rPr>
        <w:t xml:space="preserve">… </w:t>
      </w:r>
      <w:r>
        <w:rPr>
          <w:rFonts w:ascii="Arial"/>
          <w:color w:val="000000"/>
          <w:sz w:val="24"/>
        </w:rPr>
        <w:t xml:space="preserve">Rather, one asks if there has been an error or </w:t>
      </w:r>
      <w:r>
        <w:rPr>
          <w:rFonts w:ascii="Arial"/>
          <w:color w:val="000000"/>
          <w:sz w:val="24"/>
        </w:rPr>
        <w:t>non compliance</w:t>
      </w:r>
      <w:r>
        <w:rPr>
          <w:rFonts w:ascii="Arial"/>
          <w:color w:val="000000"/>
          <w:sz w:val="24"/>
        </w:rPr>
        <w:t xml:space="preserve"> </w:t>
      </w:r>
      <w:r>
        <w:rPr>
          <w:rFonts w:ascii="Arial"/>
          <w:color w:val="000000"/>
          <w:sz w:val="24"/>
        </w:rPr>
        <w:t>with the express or implied requirements of the statute</w:t>
      </w:r>
      <w:r>
        <w:rPr>
          <w:rFonts w:ascii="Arial"/>
          <w:color w:val="000000"/>
          <w:sz w:val="24"/>
        </w:rPr>
        <w:t>”</w:t>
      </w:r>
      <w:r>
        <w:rPr>
          <w:rFonts w:ascii="Arial"/>
          <w:color w:val="000000"/>
          <w:sz w:val="24"/>
        </w:rPr>
        <w:t xml:space="preserve">. </w:t>
      </w:r>
    </w:p>
    <w:p>
      <w:pPr>
        <w:pStyle w:val="CaselawNumbered10"/>
        <w:numPr>
          <w:ilvl w:val="0"/>
          <w:numId w:val="106"/>
        </w:numPr>
        <w:spacing w:before="150" w:after="0"/>
        <w:ind w:left="600" w:hanging="600"/>
      </w:pPr>
      <w:r>
        <w:rPr>
          <w:rFonts w:ascii="Arial"/>
          <w:color w:val="000000"/>
          <w:sz w:val="24"/>
        </w:rPr>
        <w:t>Second</w:t>
      </w:r>
      <w:r>
        <w:rPr>
          <w:rFonts w:ascii="Arial"/>
          <w:color w:val="000000"/>
          <w:sz w:val="24"/>
        </w:rPr>
        <w:t>ly</w:t>
      </w:r>
      <w:r>
        <w:rPr>
          <w:rFonts w:ascii="Arial"/>
          <w:color w:val="000000"/>
          <w:sz w:val="24"/>
        </w:rPr>
        <w:t xml:space="preserve">, the appellants </w:t>
      </w:r>
      <w:r>
        <w:rPr>
          <w:rFonts w:ascii="Arial"/>
          <w:color w:val="000000"/>
          <w:sz w:val="24"/>
        </w:rPr>
        <w:t>submitted</w:t>
      </w:r>
      <w:r>
        <w:rPr>
          <w:rFonts w:ascii="Arial"/>
          <w:color w:val="000000"/>
          <w:sz w:val="24"/>
        </w:rPr>
        <w:t xml:space="preserve"> </w:t>
      </w:r>
      <w:r>
        <w:rPr>
          <w:rFonts w:ascii="Arial"/>
          <w:color w:val="000000"/>
          <w:sz w:val="24"/>
        </w:rPr>
        <w:t xml:space="preserve">that, based on the statutory scheme under the </w:t>
      </w:r>
      <w:r>
        <w:rPr>
          <w:rFonts w:ascii="Arial"/>
          <w:color w:val="000000"/>
          <w:sz w:val="24"/>
        </w:rPr>
        <w:t>EPA Act</w:t>
      </w:r>
      <w:r>
        <w:rPr>
          <w:rFonts w:ascii="Arial"/>
          <w:color w:val="000000"/>
          <w:sz w:val="24"/>
        </w:rPr>
        <w:t xml:space="preserve"> </w:t>
      </w:r>
      <w:r>
        <w:rPr>
          <w:rFonts w:ascii="Arial"/>
          <w:color w:val="000000"/>
          <w:sz w:val="24"/>
        </w:rPr>
        <w:t xml:space="preserve">and the intention of Parliament, this Court in </w:t>
      </w:r>
      <w:r>
        <w:rPr>
          <w:rFonts w:ascii="Arial"/>
          <w:i/>
          <w:color w:val="000000"/>
          <w:sz w:val="24"/>
        </w:rPr>
        <w:t>Ralan</w:t>
      </w:r>
      <w:r>
        <w:rPr>
          <w:rFonts w:ascii="Arial"/>
          <w:color w:val="000000"/>
          <w:sz w:val="24"/>
        </w:rPr>
        <w:t xml:space="preserve"> </w:t>
      </w:r>
      <w:r>
        <w:rPr>
          <w:rFonts w:ascii="Arial"/>
          <w:color w:val="000000"/>
          <w:sz w:val="24"/>
        </w:rPr>
        <w:t xml:space="preserve">concluded emphatically that a jurisdictional error did not result in invalidity. The appellants </w:t>
      </w:r>
      <w:r>
        <w:rPr>
          <w:rFonts w:ascii="Arial"/>
          <w:color w:val="000000"/>
          <w:sz w:val="24"/>
        </w:rPr>
        <w:t>submitted</w:t>
      </w:r>
      <w:r>
        <w:rPr>
          <w:rFonts w:ascii="Arial"/>
          <w:color w:val="000000"/>
          <w:sz w:val="24"/>
        </w:rPr>
        <w:t>:</w:t>
      </w:r>
    </w:p>
    <w:p>
      <w:pPr>
        <w:pStyle w:val="CaselawNumbered1"/>
        <w:numPr>
          <w:ilvl w:val="0"/>
          <w:numId w:val="107"/>
        </w:numPr>
        <w:spacing w:before="150" w:after="0"/>
        <w:ind w:left="1350" w:hanging="750"/>
      </w:pPr>
      <w:r>
        <w:rPr>
          <w:rFonts w:ascii="Arial"/>
          <w:color w:val="000000"/>
          <w:sz w:val="24"/>
        </w:rPr>
        <w:t xml:space="preserve">In both </w:t>
      </w:r>
      <w:r>
        <w:rPr>
          <w:rFonts w:ascii="Arial"/>
          <w:i/>
          <w:color w:val="000000"/>
          <w:sz w:val="24"/>
        </w:rPr>
        <w:t>Ralan</w:t>
      </w:r>
      <w:r>
        <w:rPr>
          <w:rFonts w:ascii="Arial"/>
          <w:color w:val="000000"/>
          <w:sz w:val="24"/>
        </w:rPr>
        <w:t xml:space="preserve"> </w:t>
      </w:r>
      <w:r>
        <w:rPr>
          <w:rFonts w:ascii="Arial"/>
          <w:color w:val="000000"/>
          <w:sz w:val="24"/>
        </w:rPr>
        <w:t>and in these proceedings, the core of the Council</w:t>
      </w:r>
      <w:r>
        <w:rPr>
          <w:rFonts w:ascii="Arial"/>
          <w:color w:val="000000"/>
          <w:sz w:val="24"/>
        </w:rPr>
        <w:t>’</w:t>
      </w:r>
      <w:r>
        <w:rPr>
          <w:rFonts w:ascii="Arial"/>
          <w:color w:val="000000"/>
          <w:sz w:val="24"/>
        </w:rPr>
        <w:t xml:space="preserve">s complaint is one of </w:t>
      </w:r>
      <w:r>
        <w:rPr>
          <w:rFonts w:ascii="Arial"/>
          <w:color w:val="000000"/>
          <w:sz w:val="24"/>
        </w:rPr>
        <w:t>“</w:t>
      </w:r>
      <w:r>
        <w:rPr>
          <w:rFonts w:ascii="Arial"/>
          <w:color w:val="000000"/>
          <w:sz w:val="24"/>
        </w:rPr>
        <w:t>inconsistency</w:t>
      </w:r>
      <w:r>
        <w:rPr>
          <w:rFonts w:ascii="Arial"/>
          <w:color w:val="000000"/>
          <w:sz w:val="24"/>
        </w:rPr>
        <w:t>”</w:t>
      </w:r>
      <w:r>
        <w:rPr>
          <w:rFonts w:ascii="Arial"/>
          <w:color w:val="000000"/>
          <w:sz w:val="24"/>
        </w:rPr>
        <w:t xml:space="preserve"> </w:t>
      </w:r>
      <w:r>
        <w:rPr>
          <w:rFonts w:ascii="Arial"/>
          <w:color w:val="000000"/>
          <w:sz w:val="24"/>
        </w:rPr>
        <w:t xml:space="preserve">for the purposes of the relevant regulation. The rationale in </w:t>
      </w:r>
      <w:r>
        <w:rPr>
          <w:rFonts w:ascii="Arial"/>
          <w:i/>
          <w:color w:val="000000"/>
          <w:sz w:val="24"/>
        </w:rPr>
        <w:t>Project Blue Sky Inc v Australian Broadcasting Authority</w:t>
      </w:r>
      <w:r>
        <w:rPr>
          <w:rFonts w:ascii="Arial"/>
          <w:color w:val="000000"/>
          <w:sz w:val="24"/>
        </w:rPr>
        <w:t xml:space="preserve"> </w:t>
      </w:r>
      <w:r>
        <w:rPr>
          <w:rFonts w:ascii="Arial"/>
          <w:color w:val="000000"/>
          <w:sz w:val="24"/>
        </w:rPr>
        <w:t>(1998) 194 CLR 355; [1998] HCA 28</w:t>
      </w:r>
      <w:r>
        <w:rPr>
          <w:rFonts w:ascii="Arial"/>
          <w:color w:val="000000"/>
          <w:sz w:val="24"/>
        </w:rPr>
        <w:t xml:space="preserve"> </w:t>
      </w:r>
      <w:r>
        <w:rPr>
          <w:rFonts w:ascii="Arial"/>
          <w:color w:val="000000"/>
          <w:sz w:val="24"/>
        </w:rPr>
        <w:t>applies where there is a failure to comply with a condition regulating the exercise of a power. Compliance with the provisions of the regulations, and a requirement to act reasonably, were both such requirements</w:t>
      </w:r>
    </w:p>
    <w:p>
      <w:pPr>
        <w:pStyle w:val="CaselawNumbered1"/>
        <w:numPr>
          <w:ilvl w:val="0"/>
          <w:numId w:val="107"/>
        </w:numPr>
        <w:spacing w:before="150" w:after="0"/>
        <w:ind w:left="1350" w:hanging="750"/>
      </w:pPr>
      <w:r>
        <w:rPr>
          <w:rFonts w:ascii="Arial"/>
          <w:color w:val="000000"/>
          <w:sz w:val="24"/>
        </w:rPr>
        <w:t xml:space="preserve">There is nothing about the scheme of the EPA Act that requires the ultimate conclusion in </w:t>
      </w:r>
      <w:r>
        <w:rPr>
          <w:rFonts w:ascii="Arial"/>
          <w:i/>
          <w:color w:val="000000"/>
          <w:sz w:val="24"/>
        </w:rPr>
        <w:t>Ralan</w:t>
      </w:r>
      <w:r>
        <w:rPr>
          <w:rFonts w:ascii="Arial"/>
          <w:color w:val="000000"/>
          <w:sz w:val="24"/>
        </w:rPr>
        <w:t xml:space="preserve"> </w:t>
      </w:r>
      <w:r>
        <w:rPr>
          <w:rFonts w:ascii="Arial"/>
          <w:color w:val="000000"/>
          <w:sz w:val="24"/>
        </w:rPr>
        <w:t xml:space="preserve">not to apply in a legal unreasonableness </w:t>
      </w:r>
      <w:r>
        <w:rPr>
          <w:rFonts w:ascii="Arial"/>
          <w:color w:val="000000"/>
          <w:sz w:val="24"/>
        </w:rPr>
        <w:t xml:space="preserve">case. The appellants argued that Sackville </w:t>
      </w:r>
      <w:r>
        <w:rPr>
          <w:rFonts w:ascii="Arial"/>
          <w:color w:val="000000"/>
          <w:sz w:val="24"/>
        </w:rPr>
        <w:t>A</w:t>
      </w:r>
      <w:r>
        <w:rPr>
          <w:rFonts w:ascii="Arial"/>
          <w:color w:val="000000"/>
          <w:sz w:val="24"/>
        </w:rPr>
        <w:t>JA</w:t>
      </w:r>
      <w:r>
        <w:rPr>
          <w:rFonts w:ascii="Arial"/>
          <w:color w:val="000000"/>
          <w:sz w:val="24"/>
        </w:rPr>
        <w:t>’</w:t>
      </w:r>
      <w:r>
        <w:rPr>
          <w:rFonts w:ascii="Arial"/>
          <w:color w:val="000000"/>
          <w:sz w:val="24"/>
        </w:rPr>
        <w:t xml:space="preserve">s reasoning in </w:t>
      </w:r>
      <w:r>
        <w:rPr>
          <w:rFonts w:ascii="Arial"/>
          <w:i/>
          <w:color w:val="000000"/>
          <w:sz w:val="24"/>
        </w:rPr>
        <w:t>Ralan</w:t>
      </w:r>
      <w:r>
        <w:rPr>
          <w:rFonts w:ascii="Arial"/>
          <w:i/>
          <w:color w:val="000000"/>
          <w:sz w:val="24"/>
        </w:rPr>
        <w:t xml:space="preserve"> </w:t>
      </w:r>
      <w:r>
        <w:rPr>
          <w:rFonts w:ascii="Arial"/>
          <w:color w:val="000000"/>
          <w:sz w:val="24"/>
        </w:rPr>
        <w:t xml:space="preserve">(as follows) is </w:t>
      </w:r>
      <w:r>
        <w:rPr>
          <w:rFonts w:ascii="Arial"/>
          <w:color w:val="000000"/>
          <w:sz w:val="24"/>
        </w:rPr>
        <w:t>“</w:t>
      </w:r>
      <w:r>
        <w:rPr>
          <w:rFonts w:ascii="Arial"/>
          <w:color w:val="000000"/>
          <w:sz w:val="24"/>
        </w:rPr>
        <w:t>directly applicable</w:t>
      </w:r>
      <w:r>
        <w:rPr>
          <w:rFonts w:ascii="Arial"/>
          <w:color w:val="000000"/>
          <w:sz w:val="24"/>
        </w:rPr>
        <w:t>”</w:t>
      </w:r>
      <w:r>
        <w:rPr>
          <w:rFonts w:ascii="Arial"/>
          <w:color w:val="000000"/>
          <w:sz w:val="24"/>
        </w:rPr>
        <w:t>:</w:t>
      </w:r>
    </w:p>
    <w:p>
      <w:pPr>
        <w:pStyle w:val="CaselawNumbereda"/>
        <w:numPr>
          <w:ilvl w:val="0"/>
          <w:numId w:val="108"/>
        </w:numPr>
        <w:spacing w:before="150" w:after="0"/>
        <w:ind w:left="2100" w:hanging="750"/>
      </w:pPr>
      <w:r>
        <w:rPr>
          <w:rFonts w:ascii="Arial"/>
          <w:i/>
          <w:color w:val="000000"/>
          <w:sz w:val="24"/>
        </w:rPr>
        <w:t>Adverse consequences</w:t>
      </w:r>
      <w:r>
        <w:rPr>
          <w:rFonts w:ascii="Arial"/>
          <w:color w:val="000000"/>
          <w:sz w:val="24"/>
        </w:rPr>
        <w:t>.</w:t>
      </w:r>
      <w:r>
        <w:rPr>
          <w:rFonts w:ascii="Arial"/>
          <w:color w:val="000000"/>
          <w:sz w:val="24"/>
        </w:rPr>
        <w:t xml:space="preserve"> </w:t>
      </w:r>
      <w:r>
        <w:rPr>
          <w:rFonts w:ascii="Arial"/>
          <w:color w:val="000000"/>
          <w:sz w:val="24"/>
        </w:rPr>
        <w:t>T</w:t>
      </w:r>
      <w:r>
        <w:rPr>
          <w:rFonts w:ascii="Arial"/>
          <w:color w:val="000000"/>
          <w:sz w:val="24"/>
        </w:rPr>
        <w:t xml:space="preserve">he requirements in </w:t>
      </w:r>
      <w:r>
        <w:rPr>
          <w:rFonts w:ascii="Arial"/>
          <w:color w:val="000000"/>
          <w:sz w:val="24"/>
        </w:rPr>
        <w:t xml:space="preserve">s </w:t>
      </w:r>
      <w:r>
        <w:rPr>
          <w:rFonts w:ascii="Arial"/>
          <w:color w:val="000000"/>
          <w:sz w:val="24"/>
        </w:rPr>
        <w:t xml:space="preserve">6.8 are not directed to the person who has the benefit of a consent. They are directed to the person who is empowered to issue a construction certificate namely a Council or a certifier. A developer may suffer adverse consequences by relying in good faith on a construction certificate that has apparently been lawfully issued if it is held invalid for inconsistency with the consent. </w:t>
      </w:r>
    </w:p>
    <w:p>
      <w:pPr>
        <w:pStyle w:val="CaselawNumbereda"/>
        <w:numPr>
          <w:ilvl w:val="0"/>
          <w:numId w:val="108"/>
        </w:numPr>
        <w:spacing w:before="150" w:after="0"/>
        <w:ind w:left="2100" w:hanging="750"/>
      </w:pPr>
      <w:r>
        <w:rPr>
          <w:rFonts w:ascii="Arial"/>
          <w:i/>
          <w:color w:val="000000"/>
          <w:sz w:val="24"/>
        </w:rPr>
        <w:t>Text of s 6.8(2)</w:t>
      </w:r>
      <w:r>
        <w:rPr>
          <w:rFonts w:ascii="Arial"/>
          <w:color w:val="000000"/>
          <w:sz w:val="24"/>
        </w:rPr>
        <w:t>.</w:t>
      </w:r>
      <w:r>
        <w:rPr>
          <w:rFonts w:ascii="Arial"/>
          <w:color w:val="000000"/>
          <w:sz w:val="24"/>
        </w:rPr>
        <w:t xml:space="preserve"> </w:t>
      </w:r>
      <w:r>
        <w:rPr>
          <w:rFonts w:ascii="Arial"/>
          <w:color w:val="000000"/>
          <w:sz w:val="24"/>
        </w:rPr>
        <w:t xml:space="preserve">Section 6.8(2) of the </w:t>
      </w:r>
      <w:r>
        <w:rPr>
          <w:rFonts w:ascii="Arial"/>
          <w:color w:val="000000"/>
          <w:sz w:val="24"/>
        </w:rPr>
        <w:t>EPA Act</w:t>
      </w:r>
      <w:r>
        <w:rPr>
          <w:rFonts w:ascii="Arial"/>
          <w:color w:val="000000"/>
          <w:sz w:val="24"/>
        </w:rPr>
        <w:t xml:space="preserve"> </w:t>
      </w:r>
      <w:r>
        <w:rPr>
          <w:rFonts w:ascii="Arial"/>
          <w:color w:val="000000"/>
          <w:sz w:val="24"/>
        </w:rPr>
        <w:t xml:space="preserve">strongly suggests that a construction certificate issued in breach of s 6.8(1) is not invalid. Section 6.8(2) states that a construction certificate </w:t>
      </w:r>
      <w:r>
        <w:rPr>
          <w:rFonts w:ascii="Arial"/>
          <w:color w:val="000000"/>
          <w:sz w:val="24"/>
        </w:rPr>
        <w:t>“</w:t>
      </w:r>
      <w:r>
        <w:rPr>
          <w:rFonts w:ascii="Arial"/>
          <w:color w:val="000000"/>
          <w:sz w:val="24"/>
        </w:rPr>
        <w:t>has no effect</w:t>
      </w:r>
      <w:r>
        <w:rPr>
          <w:rFonts w:ascii="Arial"/>
          <w:color w:val="000000"/>
          <w:sz w:val="24"/>
        </w:rPr>
        <w:t>”</w:t>
      </w:r>
      <w:r>
        <w:rPr>
          <w:rFonts w:ascii="Arial"/>
          <w:color w:val="000000"/>
          <w:sz w:val="24"/>
        </w:rPr>
        <w:t xml:space="preserve"> </w:t>
      </w:r>
      <w:r>
        <w:rPr>
          <w:rFonts w:ascii="Arial"/>
          <w:color w:val="000000"/>
          <w:sz w:val="24"/>
        </w:rPr>
        <w:t xml:space="preserve">if it is issued after the building work to which it relates is physically commenced. This provision demonstrates that if Parliament intends that a construction certificate issued in breach of statutory requirements is to be held invalid, it says so explicitly. </w:t>
      </w:r>
    </w:p>
    <w:p>
      <w:pPr>
        <w:pStyle w:val="CaselawNumbereda"/>
        <w:numPr>
          <w:ilvl w:val="0"/>
          <w:numId w:val="108"/>
        </w:numPr>
        <w:spacing w:before="150" w:after="0"/>
        <w:ind w:left="2100" w:hanging="750"/>
      </w:pPr>
      <w:r>
        <w:rPr>
          <w:rFonts w:ascii="Arial"/>
          <w:i/>
          <w:color w:val="000000"/>
          <w:sz w:val="24"/>
        </w:rPr>
        <w:t>Administration of a power only</w:t>
      </w:r>
      <w:r>
        <w:rPr>
          <w:rFonts w:ascii="Arial"/>
          <w:color w:val="000000"/>
          <w:sz w:val="24"/>
        </w:rPr>
        <w:t>.</w:t>
      </w:r>
      <w:r>
        <w:rPr>
          <w:rFonts w:ascii="Arial"/>
          <w:color w:val="000000"/>
          <w:sz w:val="24"/>
        </w:rPr>
        <w:t xml:space="preserve"> </w:t>
      </w:r>
      <w:r>
        <w:rPr>
          <w:rFonts w:ascii="Arial"/>
          <w:color w:val="000000"/>
          <w:sz w:val="24"/>
        </w:rPr>
        <w:t xml:space="preserve">In </w:t>
      </w:r>
      <w:r>
        <w:rPr>
          <w:rFonts w:ascii="Arial"/>
          <w:i/>
          <w:color w:val="000000"/>
          <w:sz w:val="24"/>
        </w:rPr>
        <w:t>Project Blue Sky</w:t>
      </w:r>
      <w:r>
        <w:rPr>
          <w:rFonts w:ascii="Arial"/>
          <w:color w:val="000000"/>
          <w:sz w:val="24"/>
        </w:rPr>
        <w:t xml:space="preserve">, the High Court observed (at [95]) that if the relevant requirement does not have a </w:t>
      </w:r>
      <w:r>
        <w:rPr>
          <w:rFonts w:ascii="Arial"/>
          <w:color w:val="000000"/>
          <w:sz w:val="24"/>
        </w:rPr>
        <w:t>“</w:t>
      </w:r>
      <w:r>
        <w:rPr>
          <w:rFonts w:ascii="Arial"/>
          <w:color w:val="000000"/>
          <w:sz w:val="24"/>
        </w:rPr>
        <w:t>rule-like quality which can be easily identified and applied</w:t>
      </w:r>
      <w:r>
        <w:rPr>
          <w:rFonts w:ascii="Arial"/>
          <w:color w:val="000000"/>
          <w:sz w:val="24"/>
        </w:rPr>
        <w:t>”</w:t>
      </w:r>
      <w:r>
        <w:rPr>
          <w:rFonts w:ascii="Arial"/>
          <w:color w:val="000000"/>
          <w:sz w:val="24"/>
        </w:rPr>
        <w:t xml:space="preserve">, the better conclusion is that the requirement goes to the administration of a power, rather than to its validity. In the EPA statutory scheme, a requirement of consistency is an </w:t>
      </w:r>
      <w:r>
        <w:rPr>
          <w:rFonts w:ascii="Arial"/>
          <w:color w:val="000000"/>
          <w:sz w:val="24"/>
        </w:rPr>
        <w:t>“</w:t>
      </w:r>
      <w:r>
        <w:rPr>
          <w:rFonts w:ascii="Arial"/>
          <w:color w:val="000000"/>
          <w:sz w:val="24"/>
        </w:rPr>
        <w:t>inherently contestable</w:t>
      </w:r>
      <w:r>
        <w:rPr>
          <w:rFonts w:ascii="Arial"/>
          <w:color w:val="000000"/>
          <w:sz w:val="24"/>
        </w:rPr>
        <w:t>”</w:t>
      </w:r>
      <w:r>
        <w:rPr>
          <w:rFonts w:ascii="Arial"/>
          <w:color w:val="000000"/>
          <w:sz w:val="24"/>
        </w:rPr>
        <w:t xml:space="preserve"> </w:t>
      </w:r>
      <w:r>
        <w:rPr>
          <w:rFonts w:ascii="Arial"/>
          <w:color w:val="000000"/>
          <w:sz w:val="24"/>
        </w:rPr>
        <w:t xml:space="preserve">judgment. </w:t>
      </w:r>
    </w:p>
    <w:p>
      <w:pPr>
        <w:pStyle w:val="CaselawNumbereda"/>
        <w:numPr>
          <w:ilvl w:val="0"/>
          <w:numId w:val="108"/>
        </w:numPr>
        <w:spacing w:before="150" w:after="0"/>
        <w:ind w:left="2100" w:hanging="750"/>
      </w:pPr>
      <w:r>
        <w:rPr>
          <w:rFonts w:ascii="Arial"/>
          <w:i/>
          <w:color w:val="000000"/>
          <w:sz w:val="24"/>
        </w:rPr>
        <w:t>Other provisions</w:t>
      </w:r>
      <w:r>
        <w:rPr>
          <w:rFonts w:ascii="Arial"/>
          <w:color w:val="000000"/>
          <w:sz w:val="24"/>
        </w:rPr>
        <w:t>.</w:t>
      </w:r>
      <w:r>
        <w:rPr>
          <w:rFonts w:ascii="Arial"/>
          <w:color w:val="000000"/>
          <w:sz w:val="24"/>
        </w:rPr>
        <w:t xml:space="preserve"> </w:t>
      </w:r>
      <w:r>
        <w:rPr>
          <w:rFonts w:ascii="Arial"/>
          <w:color w:val="000000"/>
          <w:sz w:val="24"/>
        </w:rPr>
        <w:t xml:space="preserve">The </w:t>
      </w:r>
      <w:r>
        <w:rPr>
          <w:rFonts w:ascii="Arial"/>
          <w:color w:val="000000"/>
          <w:sz w:val="24"/>
        </w:rPr>
        <w:t>EPA Act</w:t>
      </w:r>
      <w:r>
        <w:rPr>
          <w:rFonts w:ascii="Arial"/>
          <w:color w:val="000000"/>
          <w:sz w:val="24"/>
        </w:rPr>
        <w:t xml:space="preserve"> </w:t>
      </w:r>
      <w:r>
        <w:rPr>
          <w:rFonts w:ascii="Arial"/>
          <w:color w:val="000000"/>
          <w:sz w:val="24"/>
        </w:rPr>
        <w:t xml:space="preserve">provides that construction certificates will be invalid </w:t>
      </w:r>
      <w:r>
        <w:rPr>
          <w:rFonts w:ascii="Arial"/>
          <w:color w:val="000000"/>
          <w:sz w:val="24"/>
        </w:rPr>
        <w:t xml:space="preserve">in </w:t>
      </w:r>
      <w:r>
        <w:rPr>
          <w:rFonts w:ascii="Arial"/>
          <w:color w:val="000000"/>
          <w:sz w:val="24"/>
        </w:rPr>
        <w:t xml:space="preserve">certain </w:t>
      </w:r>
      <w:r>
        <w:rPr>
          <w:rFonts w:ascii="Arial"/>
          <w:color w:val="000000"/>
          <w:sz w:val="24"/>
        </w:rPr>
        <w:t>specific instances</w:t>
      </w:r>
      <w:r>
        <w:rPr>
          <w:rFonts w:ascii="Arial"/>
          <w:color w:val="000000"/>
          <w:sz w:val="24"/>
        </w:rPr>
        <w:t xml:space="preserve"> </w:t>
      </w:r>
      <w:r>
        <w:rPr>
          <w:rFonts w:ascii="Arial"/>
          <w:color w:val="000000"/>
          <w:sz w:val="24"/>
        </w:rPr>
        <w:t>such as</w:t>
      </w:r>
      <w:r>
        <w:rPr>
          <w:rFonts w:ascii="Arial"/>
          <w:color w:val="000000"/>
          <w:sz w:val="24"/>
        </w:rPr>
        <w:t xml:space="preserve"> </w:t>
      </w:r>
      <w:r>
        <w:rPr>
          <w:rFonts w:ascii="Arial"/>
          <w:color w:val="000000"/>
          <w:sz w:val="24"/>
        </w:rPr>
        <w:t xml:space="preserve">when </w:t>
      </w:r>
      <w:r>
        <w:rPr>
          <w:rFonts w:ascii="Arial"/>
          <w:color w:val="000000"/>
          <w:sz w:val="24"/>
        </w:rPr>
        <w:t>the certificate</w:t>
      </w:r>
      <w:r>
        <w:rPr>
          <w:rFonts w:ascii="Arial"/>
          <w:color w:val="000000"/>
          <w:sz w:val="24"/>
        </w:rPr>
        <w:t xml:space="preserve"> </w:t>
      </w:r>
      <w:r>
        <w:rPr>
          <w:rFonts w:ascii="Arial"/>
          <w:color w:val="000000"/>
          <w:sz w:val="24"/>
        </w:rPr>
        <w:t xml:space="preserve">is issued </w:t>
      </w:r>
      <w:r>
        <w:rPr>
          <w:rFonts w:ascii="Arial"/>
          <w:color w:val="000000"/>
          <w:sz w:val="24"/>
        </w:rPr>
        <w:t xml:space="preserve">after the commencement of </w:t>
      </w:r>
      <w:r>
        <w:rPr>
          <w:rFonts w:ascii="Arial"/>
          <w:color w:val="000000"/>
          <w:sz w:val="24"/>
        </w:rPr>
        <w:t>construction</w:t>
      </w:r>
      <w:r>
        <w:rPr>
          <w:rFonts w:ascii="Arial"/>
          <w:color w:val="000000"/>
          <w:sz w:val="24"/>
        </w:rPr>
        <w:t>: s 6.8(2) EPA Act</w:t>
      </w:r>
      <w:r>
        <w:rPr>
          <w:rFonts w:ascii="Arial"/>
          <w:color w:val="000000"/>
          <w:sz w:val="24"/>
        </w:rPr>
        <w:t xml:space="preserve">. The statutory scheme suggests that </w:t>
      </w:r>
      <w:r>
        <w:rPr>
          <w:rFonts w:ascii="Arial"/>
          <w:color w:val="000000"/>
          <w:sz w:val="24"/>
        </w:rPr>
        <w:t>“</w:t>
      </w:r>
      <w:r>
        <w:rPr>
          <w:rFonts w:ascii="Arial"/>
          <w:color w:val="000000"/>
          <w:sz w:val="24"/>
        </w:rPr>
        <w:t>if the Parliament intends that a construction certificate issued in breach of statutory requirements is to be held invalid, it says so explicit</w:t>
      </w:r>
      <w:r>
        <w:rPr>
          <w:rFonts w:ascii="Arial"/>
          <w:color w:val="000000"/>
          <w:sz w:val="24"/>
        </w:rPr>
        <w:t>l</w:t>
      </w:r>
      <w:r>
        <w:rPr>
          <w:rFonts w:ascii="Arial"/>
          <w:color w:val="000000"/>
          <w:sz w:val="24"/>
        </w:rPr>
        <w:t>y</w:t>
      </w:r>
      <w:r>
        <w:rPr>
          <w:rFonts w:ascii="Arial"/>
          <w:color w:val="000000"/>
          <w:sz w:val="24"/>
        </w:rPr>
        <w:t xml:space="preserve">” </w:t>
      </w:r>
      <w:r>
        <w:rPr>
          <w:rFonts w:ascii="Arial"/>
          <w:color w:val="000000"/>
          <w:sz w:val="24"/>
        </w:rPr>
        <w:t xml:space="preserve">Another example of the issue with an invalid </w:t>
      </w:r>
      <w:r>
        <w:rPr>
          <w:rFonts w:ascii="Arial"/>
          <w:color w:val="000000"/>
          <w:sz w:val="24"/>
        </w:rPr>
        <w:t>construction certificate is that a person cannot start using or occupying a new building until an occupation certificate is issued. This restriction in the statutory scheme, the appellant</w:t>
      </w:r>
      <w:r>
        <w:rPr>
          <w:rFonts w:ascii="Arial"/>
          <w:color w:val="000000"/>
          <w:sz w:val="24"/>
        </w:rPr>
        <w:t>s</w:t>
      </w:r>
      <w:r>
        <w:rPr>
          <w:rFonts w:ascii="Arial"/>
          <w:color w:val="000000"/>
          <w:sz w:val="24"/>
        </w:rPr>
        <w:t xml:space="preserve"> </w:t>
      </w:r>
      <w:r>
        <w:rPr>
          <w:rFonts w:ascii="Arial"/>
          <w:color w:val="000000"/>
          <w:sz w:val="24"/>
        </w:rPr>
        <w:t xml:space="preserve">argued, suggests that </w:t>
      </w:r>
      <w:r>
        <w:rPr>
          <w:rFonts w:ascii="Arial"/>
          <w:color w:val="000000"/>
          <w:sz w:val="24"/>
        </w:rPr>
        <w:t>“</w:t>
      </w:r>
      <w:r>
        <w:rPr>
          <w:rFonts w:ascii="Arial"/>
          <w:color w:val="000000"/>
          <w:sz w:val="24"/>
        </w:rPr>
        <w:t>Parliament has chosen to guard against the risk of accredited certifiers failing to comply with their statutory obligations by an accreditation and disciplinary regime, rather than by the</w:t>
      </w:r>
      <w:r>
        <w:rPr>
          <w:rFonts w:ascii="Arial"/>
          <w:color w:val="000000"/>
          <w:sz w:val="24"/>
        </w:rPr>
        <w:t xml:space="preserve"> </w:t>
      </w:r>
      <w:r>
        <w:rPr>
          <w:rFonts w:ascii="Arial"/>
          <w:color w:val="000000"/>
          <w:sz w:val="24"/>
        </w:rPr>
        <w:t>blunt</w:t>
      </w:r>
      <w:r>
        <w:rPr>
          <w:rFonts w:ascii="Arial"/>
          <w:color w:val="000000"/>
          <w:sz w:val="24"/>
        </w:rPr>
        <w:t xml:space="preserve"> </w:t>
      </w:r>
      <w:r>
        <w:rPr>
          <w:rFonts w:ascii="Arial"/>
          <w:color w:val="000000"/>
          <w:sz w:val="24"/>
        </w:rPr>
        <w:t>mechanism of rendering a construction certificate void</w:t>
      </w:r>
      <w:r>
        <w:rPr>
          <w:rFonts w:ascii="Arial"/>
          <w:color w:val="000000"/>
          <w:sz w:val="24"/>
        </w:rPr>
        <w:t>”</w:t>
      </w:r>
      <w:r>
        <w:rPr>
          <w:rFonts w:ascii="Arial"/>
          <w:color w:val="000000"/>
          <w:sz w:val="24"/>
        </w:rPr>
        <w:t xml:space="preserve">. </w:t>
      </w:r>
    </w:p>
    <w:p>
      <w:pPr>
        <w:pStyle w:val="CaselawNumbered10"/>
        <w:numPr>
          <w:ilvl w:val="0"/>
          <w:numId w:val="109"/>
        </w:numPr>
        <w:spacing w:before="150" w:after="0"/>
        <w:ind w:left="600" w:hanging="600"/>
      </w:pPr>
      <w:r>
        <w:rPr>
          <w:rFonts w:ascii="Arial"/>
          <w:color w:val="000000"/>
          <w:sz w:val="24"/>
        </w:rPr>
        <w:t xml:space="preserve">In oral </w:t>
      </w:r>
      <w:r>
        <w:rPr>
          <w:rFonts w:ascii="Arial"/>
          <w:color w:val="000000"/>
          <w:sz w:val="24"/>
        </w:rPr>
        <w:t>address</w:t>
      </w:r>
      <w:r>
        <w:rPr>
          <w:rFonts w:ascii="Arial"/>
          <w:color w:val="000000"/>
          <w:sz w:val="24"/>
        </w:rPr>
        <w:t xml:space="preserve">, </w:t>
      </w:r>
      <w:r>
        <w:rPr>
          <w:rFonts w:ascii="Arial"/>
          <w:color w:val="000000"/>
          <w:sz w:val="24"/>
        </w:rPr>
        <w:t xml:space="preserve">senior counsel for the appellants submitted </w:t>
      </w:r>
      <w:r>
        <w:rPr>
          <w:rFonts w:ascii="Arial"/>
          <w:color w:val="000000"/>
          <w:sz w:val="24"/>
        </w:rPr>
        <w:t xml:space="preserve">that </w:t>
      </w:r>
      <w:r>
        <w:rPr>
          <w:rFonts w:ascii="Arial"/>
          <w:color w:val="000000"/>
          <w:sz w:val="24"/>
        </w:rPr>
        <w:t>the EPA Act provid</w:t>
      </w:r>
      <w:r>
        <w:rPr>
          <w:rFonts w:ascii="Arial"/>
          <w:color w:val="000000"/>
          <w:sz w:val="24"/>
        </w:rPr>
        <w:t>ed</w:t>
      </w:r>
      <w:r>
        <w:rPr>
          <w:rFonts w:ascii="Arial"/>
          <w:color w:val="000000"/>
          <w:sz w:val="24"/>
        </w:rPr>
        <w:t xml:space="preserve"> </w:t>
      </w:r>
      <w:r>
        <w:rPr>
          <w:rFonts w:ascii="Arial"/>
          <w:color w:val="000000"/>
          <w:sz w:val="24"/>
        </w:rPr>
        <w:t>specific mechanisms to address statutory breaches, which do not necessarily involve invalidating the decision:</w:t>
      </w:r>
    </w:p>
    <w:p>
      <w:pPr>
        <w:pStyle w:val="CaselawQuote"/>
        <w:spacing w:before="150" w:after="150"/>
        <w:ind w:left="1350"/>
        <w:jc w:val="left"/>
      </w:pPr>
      <w:r>
        <w:rPr>
          <w:rFonts w:ascii="Arial"/>
          <w:color w:val="000000"/>
          <w:sz w:val="22"/>
        </w:rPr>
        <w:t>The legislative scheme as a whole has identified a three month window in which you can have it set aside.</w:t>
      </w:r>
      <w:r>
        <w:rPr>
          <w:rFonts w:ascii="Arial"/>
          <w:color w:val="000000"/>
          <w:sz w:val="22"/>
        </w:rPr>
        <w:t xml:space="preserve"> </w:t>
      </w:r>
      <w:r>
        <w:rPr>
          <w:rFonts w:ascii="Arial"/>
          <w:color w:val="000000"/>
          <w:sz w:val="22"/>
        </w:rPr>
        <w:t>After having set it aside, the construction of the statutory scheme says a certificate issued in breach is not declared invalid because the legislature took a deliberately different approach, which was to sanction the certifier, either professionally or criminally, and to provide for something like 4.16(12).</w:t>
      </w:r>
      <w:r>
        <w:rPr>
          <w:rFonts w:ascii="Arial"/>
          <w:color w:val="000000"/>
          <w:sz w:val="22"/>
        </w:rPr>
        <w:t xml:space="preserve"> </w:t>
      </w:r>
    </w:p>
    <w:p>
      <w:pPr>
        <w:pStyle w:val="CaselawNumbered10"/>
        <w:numPr>
          <w:ilvl w:val="0"/>
          <w:numId w:val="110"/>
        </w:numPr>
        <w:spacing w:before="150" w:after="0"/>
        <w:ind w:left="600" w:hanging="600"/>
      </w:pPr>
      <w:r>
        <w:rPr>
          <w:rFonts w:ascii="Arial"/>
          <w:color w:val="000000"/>
          <w:sz w:val="24"/>
        </w:rPr>
        <w:t xml:space="preserve">The appellants also referred to the case of </w:t>
      </w:r>
      <w:r>
        <w:rPr>
          <w:rFonts w:ascii="Arial"/>
          <w:i/>
          <w:color w:val="000000"/>
          <w:sz w:val="24"/>
        </w:rPr>
        <w:t>Bunderra</w:t>
      </w:r>
      <w:r>
        <w:rPr>
          <w:rFonts w:ascii="Arial"/>
          <w:i/>
          <w:color w:val="000000"/>
          <w:sz w:val="24"/>
        </w:rPr>
        <w:t xml:space="preserve"> Holdings Pty Ltd v </w:t>
      </w:r>
      <w:r>
        <w:rPr>
          <w:rFonts w:ascii="Arial"/>
          <w:i/>
          <w:color w:val="000000"/>
          <w:sz w:val="24"/>
        </w:rPr>
        <w:t>Pasminco</w:t>
      </w:r>
      <w:r>
        <w:rPr>
          <w:rFonts w:ascii="Arial"/>
          <w:i/>
          <w:color w:val="000000"/>
          <w:sz w:val="24"/>
        </w:rPr>
        <w:t xml:space="preserve"> Cockle Creek Smelter Pty Ltd (subject to Deed of Company Arrangement)</w:t>
      </w:r>
      <w:r>
        <w:rPr>
          <w:rFonts w:ascii="Arial"/>
          <w:color w:val="000000"/>
          <w:sz w:val="24"/>
        </w:rPr>
        <w:t xml:space="preserve"> </w:t>
      </w:r>
      <w:r>
        <w:rPr>
          <w:rFonts w:ascii="Arial"/>
          <w:color w:val="000000"/>
          <w:sz w:val="24"/>
        </w:rPr>
        <w:t xml:space="preserve">(2017) 96 NSWLR 434; </w:t>
      </w:r>
      <w:r>
        <w:rPr>
          <w:rFonts w:ascii="Arial"/>
          <w:color w:val="000000"/>
          <w:sz w:val="24"/>
        </w:rPr>
        <w:t xml:space="preserve">[2017] NSWCA 263. They argued that </w:t>
      </w:r>
      <w:r>
        <w:rPr>
          <w:rFonts w:ascii="Arial"/>
          <w:i/>
          <w:color w:val="000000"/>
          <w:sz w:val="24"/>
        </w:rPr>
        <w:t>Bunderra</w:t>
      </w:r>
      <w:r>
        <w:rPr>
          <w:rFonts w:ascii="Arial"/>
          <w:color w:val="000000"/>
          <w:sz w:val="24"/>
        </w:rPr>
        <w:t xml:space="preserve"> </w:t>
      </w:r>
      <w:r>
        <w:rPr>
          <w:rFonts w:ascii="Arial"/>
          <w:color w:val="000000"/>
          <w:sz w:val="24"/>
        </w:rPr>
        <w:t xml:space="preserve">suggested that </w:t>
      </w:r>
      <w:r>
        <w:rPr>
          <w:rFonts w:ascii="Arial"/>
          <w:color w:val="000000"/>
          <w:sz w:val="24"/>
        </w:rPr>
        <w:t xml:space="preserve">the </w:t>
      </w:r>
      <w:r>
        <w:rPr>
          <w:rFonts w:ascii="Arial"/>
          <w:color w:val="000000"/>
          <w:sz w:val="24"/>
        </w:rPr>
        <w:t>construction certificate</w:t>
      </w:r>
      <w:r>
        <w:rPr>
          <w:rFonts w:ascii="Arial"/>
          <w:color w:val="000000"/>
          <w:sz w:val="24"/>
        </w:rPr>
        <w:t xml:space="preserve"> </w:t>
      </w:r>
      <w:r>
        <w:rPr>
          <w:rFonts w:ascii="Arial"/>
          <w:color w:val="000000"/>
          <w:sz w:val="24"/>
        </w:rPr>
        <w:t xml:space="preserve">once issued is taken to be incorporated into the development consent, and therefore, </w:t>
      </w:r>
      <w:r>
        <w:rPr>
          <w:rFonts w:ascii="Arial"/>
          <w:color w:val="000000"/>
          <w:sz w:val="24"/>
        </w:rPr>
        <w:t>carrying out development in accordance with the development consent in the certificate means it is not carrying out unlawful development</w:t>
      </w:r>
      <w:r>
        <w:rPr>
          <w:rFonts w:ascii="Arial"/>
          <w:color w:val="000000"/>
          <w:sz w:val="24"/>
        </w:rPr>
        <w:t xml:space="preserve">. </w:t>
      </w:r>
    </w:p>
    <w:p>
      <w:pPr>
        <w:pStyle w:val="CaselawNumbered10"/>
        <w:numPr>
          <w:ilvl w:val="0"/>
          <w:numId w:val="110"/>
        </w:numPr>
        <w:spacing w:before="150" w:after="0"/>
        <w:ind w:left="600" w:hanging="600"/>
      </w:pPr>
      <w:r>
        <w:rPr>
          <w:rFonts w:ascii="Arial"/>
          <w:color w:val="000000"/>
          <w:sz w:val="24"/>
        </w:rPr>
        <w:t xml:space="preserve">The appellants </w:t>
      </w:r>
      <w:r>
        <w:rPr>
          <w:rFonts w:ascii="Arial"/>
          <w:color w:val="000000"/>
          <w:sz w:val="24"/>
        </w:rPr>
        <w:t xml:space="preserve">further </w:t>
      </w:r>
      <w:r>
        <w:rPr>
          <w:rFonts w:ascii="Arial"/>
          <w:color w:val="000000"/>
          <w:sz w:val="24"/>
        </w:rPr>
        <w:t xml:space="preserve">submitted </w:t>
      </w:r>
      <w:r>
        <w:rPr>
          <w:rFonts w:ascii="Arial"/>
          <w:color w:val="000000"/>
          <w:sz w:val="24"/>
        </w:rPr>
        <w:t>that the Land and Environment Court has</w:t>
      </w:r>
      <w:r>
        <w:rPr>
          <w:rFonts w:ascii="Arial"/>
          <w:color w:val="000000"/>
          <w:sz w:val="24"/>
        </w:rPr>
        <w:t xml:space="preserve">, by s 20(2) of the </w:t>
      </w:r>
      <w:r>
        <w:rPr>
          <w:rFonts w:ascii="Arial"/>
          <w:i/>
          <w:color w:val="000000"/>
          <w:sz w:val="24"/>
        </w:rPr>
        <w:t>Land and Environment Court</w:t>
      </w:r>
      <w:r>
        <w:rPr>
          <w:rFonts w:ascii="Arial"/>
          <w:i/>
          <w:color w:val="000000"/>
          <w:sz w:val="24"/>
        </w:rPr>
        <w:t xml:space="preserve"> Act</w:t>
      </w:r>
      <w:r>
        <w:rPr>
          <w:rFonts w:ascii="Arial"/>
          <w:color w:val="000000"/>
          <w:sz w:val="24"/>
        </w:rPr>
        <w:t>, the same civil jurisdiction as the Supreme Court would have (but for s 71</w:t>
      </w:r>
      <w:r>
        <w:rPr>
          <w:rFonts w:ascii="Arial"/>
          <w:color w:val="000000"/>
          <w:sz w:val="24"/>
        </w:rPr>
        <w:t xml:space="preserve"> </w:t>
      </w:r>
      <w:r>
        <w:rPr>
          <w:rFonts w:ascii="Arial"/>
          <w:color w:val="000000"/>
          <w:sz w:val="24"/>
        </w:rPr>
        <w:t>of the same Act</w:t>
      </w:r>
      <w:r>
        <w:rPr>
          <w:rFonts w:ascii="Arial"/>
          <w:color w:val="000000"/>
          <w:sz w:val="24"/>
        </w:rPr>
        <w:t xml:space="preserve">) to relevantly, make declarations of right or to review or command the exercise of a function. </w:t>
      </w:r>
      <w:r>
        <w:rPr>
          <w:rFonts w:ascii="Arial"/>
          <w:color w:val="000000"/>
          <w:sz w:val="24"/>
        </w:rPr>
        <w:t xml:space="preserve">The appellants argued that </w:t>
      </w:r>
      <w:r>
        <w:rPr>
          <w:rFonts w:ascii="Arial"/>
          <w:color w:val="000000"/>
          <w:sz w:val="24"/>
        </w:rPr>
        <w:t>“</w:t>
      </w:r>
      <w:r>
        <w:rPr>
          <w:rFonts w:ascii="Arial"/>
          <w:color w:val="000000"/>
          <w:sz w:val="24"/>
        </w:rPr>
        <w:t>the judicial review jurisdiction is inherent in the Land and Environment Court itself because it doesn</w:t>
      </w:r>
      <w:r>
        <w:rPr>
          <w:rFonts w:ascii="Arial"/>
          <w:color w:val="000000"/>
          <w:sz w:val="24"/>
        </w:rPr>
        <w:t>’</w:t>
      </w:r>
      <w:r>
        <w:rPr>
          <w:rFonts w:ascii="Arial"/>
          <w:color w:val="000000"/>
          <w:sz w:val="24"/>
        </w:rPr>
        <w:t>t, of necessity, depend upon a breach</w:t>
      </w:r>
      <w:r>
        <w:rPr>
          <w:rFonts w:ascii="Arial"/>
          <w:color w:val="000000"/>
          <w:sz w:val="24"/>
        </w:rPr>
        <w:t>”</w:t>
      </w:r>
      <w:r>
        <w:rPr>
          <w:rFonts w:ascii="Arial"/>
          <w:color w:val="000000"/>
          <w:sz w:val="24"/>
        </w:rPr>
        <w:t>:</w:t>
      </w:r>
      <w:r>
        <w:rPr>
          <w:rFonts w:ascii="Arial"/>
          <w:color w:val="000000"/>
          <w:sz w:val="24"/>
        </w:rPr>
        <w:t xml:space="preserve"> </w:t>
      </w:r>
    </w:p>
    <w:p>
      <w:pPr>
        <w:pStyle w:val="CaselawNumbered10"/>
        <w:numPr>
          <w:ilvl w:val="0"/>
          <w:numId w:val="110"/>
        </w:numPr>
        <w:spacing w:before="150" w:after="0"/>
        <w:ind w:left="600" w:hanging="600"/>
      </w:pPr>
      <w:r>
        <w:rPr>
          <w:rFonts w:ascii="Arial"/>
          <w:color w:val="000000"/>
          <w:sz w:val="24"/>
        </w:rPr>
        <w:t xml:space="preserve">The </w:t>
      </w:r>
      <w:r>
        <w:rPr>
          <w:rFonts w:ascii="Arial"/>
          <w:color w:val="000000"/>
          <w:sz w:val="24"/>
        </w:rPr>
        <w:t>Council</w:t>
      </w:r>
      <w:r>
        <w:rPr>
          <w:rFonts w:ascii="Arial"/>
          <w:color w:val="000000"/>
          <w:sz w:val="24"/>
        </w:rPr>
        <w:t xml:space="preserve"> </w:t>
      </w:r>
      <w:r>
        <w:rPr>
          <w:rFonts w:ascii="Arial"/>
          <w:color w:val="000000"/>
          <w:sz w:val="24"/>
        </w:rPr>
        <w:t xml:space="preserve">gave three reasons why the reasoning in </w:t>
      </w:r>
      <w:r>
        <w:rPr>
          <w:rFonts w:ascii="Arial"/>
          <w:i/>
          <w:color w:val="000000"/>
          <w:sz w:val="24"/>
        </w:rPr>
        <w:t>Ralan</w:t>
      </w:r>
      <w:r>
        <w:rPr>
          <w:rFonts w:ascii="Arial"/>
          <w:i/>
          <w:color w:val="000000"/>
          <w:sz w:val="24"/>
        </w:rPr>
        <w:t xml:space="preserve"> </w:t>
      </w:r>
      <w:r>
        <w:rPr>
          <w:rFonts w:ascii="Arial"/>
          <w:color w:val="000000"/>
          <w:sz w:val="24"/>
        </w:rPr>
        <w:t>should not extend to legal unreasonableness review for jurisdictional error.</w:t>
      </w:r>
    </w:p>
    <w:p>
      <w:pPr>
        <w:pStyle w:val="CaselawNumbered10"/>
        <w:numPr>
          <w:ilvl w:val="0"/>
          <w:numId w:val="110"/>
        </w:numPr>
        <w:spacing w:before="150" w:after="0"/>
        <w:ind w:left="600" w:hanging="600"/>
      </w:pPr>
      <w:r>
        <w:rPr>
          <w:rFonts w:ascii="Arial"/>
          <w:color w:val="000000"/>
          <w:sz w:val="24"/>
        </w:rPr>
        <w:t xml:space="preserve">First, </w:t>
      </w:r>
      <w:r>
        <w:rPr>
          <w:rFonts w:ascii="Arial"/>
          <w:color w:val="000000"/>
          <w:sz w:val="24"/>
        </w:rPr>
        <w:t>“</w:t>
      </w:r>
      <w:r>
        <w:rPr>
          <w:rFonts w:ascii="Arial"/>
          <w:color w:val="000000"/>
          <w:sz w:val="24"/>
        </w:rPr>
        <w:t>the nature of unreasonableness</w:t>
      </w:r>
      <w:r>
        <w:rPr>
          <w:rFonts w:ascii="Arial"/>
          <w:color w:val="000000"/>
          <w:sz w:val="24"/>
        </w:rPr>
        <w:t>”</w:t>
      </w:r>
      <w:r>
        <w:rPr>
          <w:rFonts w:ascii="Arial"/>
          <w:color w:val="000000"/>
          <w:sz w:val="24"/>
        </w:rPr>
        <w:t xml:space="preserve"> </w:t>
      </w:r>
      <w:r>
        <w:rPr>
          <w:rFonts w:ascii="Arial"/>
          <w:color w:val="000000"/>
          <w:sz w:val="24"/>
        </w:rPr>
        <w:t xml:space="preserve">is </w:t>
      </w:r>
      <w:r>
        <w:rPr>
          <w:rFonts w:ascii="Arial"/>
          <w:color w:val="000000"/>
          <w:sz w:val="24"/>
        </w:rPr>
        <w:t>“</w:t>
      </w:r>
      <w:r>
        <w:rPr>
          <w:rFonts w:ascii="Arial"/>
          <w:color w:val="000000"/>
          <w:sz w:val="24"/>
        </w:rPr>
        <w:t>a ground for judicial review; it is inherent in the nature of the ground that its breach is a jurisdictional error</w:t>
      </w:r>
      <w:r>
        <w:rPr>
          <w:rFonts w:ascii="Arial"/>
          <w:color w:val="000000"/>
          <w:sz w:val="24"/>
        </w:rPr>
        <w:t>”</w:t>
      </w:r>
      <w:r>
        <w:rPr>
          <w:rFonts w:ascii="Arial"/>
          <w:color w:val="000000"/>
          <w:sz w:val="24"/>
        </w:rPr>
        <w:t xml:space="preserve">. The </w:t>
      </w:r>
      <w:r>
        <w:rPr>
          <w:rFonts w:ascii="Arial"/>
          <w:color w:val="000000"/>
          <w:sz w:val="24"/>
        </w:rPr>
        <w:t>Council</w:t>
      </w:r>
      <w:r>
        <w:rPr>
          <w:rFonts w:ascii="Arial"/>
          <w:color w:val="000000"/>
          <w:sz w:val="24"/>
        </w:rPr>
        <w:t xml:space="preserve"> </w:t>
      </w:r>
      <w:r>
        <w:rPr>
          <w:rFonts w:ascii="Arial"/>
          <w:color w:val="000000"/>
          <w:sz w:val="24"/>
        </w:rPr>
        <w:t xml:space="preserve">argued that </w:t>
      </w:r>
      <w:r>
        <w:rPr>
          <w:rFonts w:ascii="Arial"/>
          <w:color w:val="000000"/>
          <w:sz w:val="24"/>
        </w:rPr>
        <w:t>“</w:t>
      </w:r>
      <w:r>
        <w:rPr>
          <w:rFonts w:ascii="Arial"/>
          <w:color w:val="000000"/>
          <w:sz w:val="24"/>
        </w:rPr>
        <w:t>the requirement of legal reasonableness is implied</w:t>
      </w:r>
      <w:r>
        <w:rPr>
          <w:rFonts w:ascii="Arial"/>
          <w:color w:val="000000"/>
          <w:sz w:val="24"/>
        </w:rPr>
        <w:t>”</w:t>
      </w:r>
      <w:r>
        <w:rPr>
          <w:rFonts w:ascii="Arial"/>
          <w:color w:val="000000"/>
          <w:sz w:val="24"/>
        </w:rPr>
        <w:t xml:space="preserve"> </w:t>
      </w:r>
      <w:r>
        <w:rPr>
          <w:rFonts w:ascii="Arial"/>
          <w:color w:val="000000"/>
          <w:sz w:val="24"/>
        </w:rPr>
        <w:t xml:space="preserve">and </w:t>
      </w:r>
      <w:r>
        <w:rPr>
          <w:rFonts w:ascii="Arial"/>
          <w:color w:val="000000"/>
          <w:sz w:val="24"/>
        </w:rPr>
        <w:t>“</w:t>
      </w:r>
      <w:r>
        <w:rPr>
          <w:rFonts w:ascii="Arial"/>
          <w:color w:val="000000"/>
          <w:sz w:val="24"/>
        </w:rPr>
        <w:t>is not one which is derived from the words of the statute</w:t>
      </w:r>
      <w:r>
        <w:rPr>
          <w:rFonts w:ascii="Arial"/>
          <w:color w:val="000000"/>
          <w:sz w:val="24"/>
        </w:rPr>
        <w:t>”</w:t>
      </w:r>
      <w:r>
        <w:rPr>
          <w:rFonts w:ascii="Arial"/>
          <w:color w:val="000000"/>
          <w:sz w:val="24"/>
        </w:rPr>
        <w:t xml:space="preserve">. </w:t>
      </w:r>
      <w:r>
        <w:rPr>
          <w:rFonts w:ascii="Arial"/>
          <w:color w:val="000000"/>
          <w:sz w:val="24"/>
        </w:rPr>
        <w:t xml:space="preserve">Therefore, </w:t>
      </w:r>
      <w:r>
        <w:rPr>
          <w:rFonts w:ascii="Arial"/>
          <w:color w:val="000000"/>
          <w:sz w:val="24"/>
        </w:rPr>
        <w:t>“</w:t>
      </w:r>
      <w:r>
        <w:rPr>
          <w:rFonts w:ascii="Arial"/>
          <w:color w:val="000000"/>
          <w:sz w:val="24"/>
        </w:rPr>
        <w:t>[g]</w:t>
      </w:r>
      <w:r>
        <w:rPr>
          <w:rFonts w:ascii="Arial"/>
          <w:color w:val="000000"/>
          <w:sz w:val="24"/>
        </w:rPr>
        <w:t>iven</w:t>
      </w:r>
      <w:r>
        <w:rPr>
          <w:rFonts w:ascii="Arial"/>
          <w:color w:val="000000"/>
          <w:sz w:val="24"/>
        </w:rPr>
        <w:t xml:space="preserve"> </w:t>
      </w:r>
      <w:r>
        <w:rPr>
          <w:rFonts w:ascii="Arial"/>
          <w:color w:val="000000"/>
          <w:sz w:val="24"/>
        </w:rPr>
        <w:t>the legislature is taken to have intended that power not be exercised outside the bounds of reasonableness, the result of a finding of unreasonableness is that the decision is outside of the authority of the statute, or ultra vires</w:t>
      </w:r>
      <w:r>
        <w:rPr>
          <w:rFonts w:ascii="Arial"/>
          <w:color w:val="000000"/>
          <w:sz w:val="24"/>
        </w:rPr>
        <w:t>”</w:t>
      </w:r>
      <w:r>
        <w:rPr>
          <w:rFonts w:ascii="Arial"/>
          <w:color w:val="000000"/>
          <w:sz w:val="24"/>
        </w:rPr>
        <w:t xml:space="preserve">. </w:t>
      </w:r>
    </w:p>
    <w:p>
      <w:pPr>
        <w:pStyle w:val="CaselawNumbered10"/>
        <w:numPr>
          <w:ilvl w:val="0"/>
          <w:numId w:val="110"/>
        </w:numPr>
        <w:spacing w:before="150" w:after="0"/>
        <w:ind w:left="600" w:hanging="600"/>
      </w:pPr>
      <w:r>
        <w:rPr>
          <w:rFonts w:ascii="Arial"/>
          <w:color w:val="000000"/>
          <w:sz w:val="24"/>
        </w:rPr>
        <w:t>Second</w:t>
      </w:r>
      <w:r>
        <w:rPr>
          <w:rFonts w:ascii="Arial"/>
          <w:color w:val="000000"/>
          <w:sz w:val="24"/>
        </w:rPr>
        <w:t>ly</w:t>
      </w:r>
      <w:r>
        <w:rPr>
          <w:rFonts w:ascii="Arial"/>
          <w:color w:val="000000"/>
          <w:sz w:val="24"/>
        </w:rPr>
        <w:t xml:space="preserve">, </w:t>
      </w:r>
      <w:r>
        <w:rPr>
          <w:rFonts w:ascii="Arial"/>
          <w:color w:val="000000"/>
          <w:sz w:val="24"/>
        </w:rPr>
        <w:t>“</w:t>
      </w:r>
      <w:r>
        <w:rPr>
          <w:rFonts w:ascii="Arial"/>
          <w:color w:val="000000"/>
          <w:sz w:val="24"/>
        </w:rPr>
        <w:t>there are limits as to what reliance upon the legislative scheme can achieve in limiting review for what would otherwise be jurisdictional error</w:t>
      </w:r>
      <w:r>
        <w:rPr>
          <w:rFonts w:ascii="Arial"/>
          <w:color w:val="000000"/>
          <w:sz w:val="24"/>
        </w:rPr>
        <w:t>”</w:t>
      </w:r>
      <w:r>
        <w:rPr>
          <w:rFonts w:ascii="Arial"/>
          <w:color w:val="000000"/>
          <w:sz w:val="24"/>
        </w:rPr>
        <w:t xml:space="preserve">. The </w:t>
      </w:r>
      <w:r>
        <w:rPr>
          <w:rFonts w:ascii="Arial"/>
          <w:color w:val="000000"/>
          <w:sz w:val="24"/>
        </w:rPr>
        <w:t>Council</w:t>
      </w:r>
      <w:r>
        <w:rPr>
          <w:rFonts w:ascii="Arial"/>
          <w:color w:val="000000"/>
          <w:sz w:val="24"/>
        </w:rPr>
        <w:t xml:space="preserve"> </w:t>
      </w:r>
      <w:r>
        <w:rPr>
          <w:rFonts w:ascii="Arial"/>
          <w:color w:val="000000"/>
          <w:sz w:val="24"/>
        </w:rPr>
        <w:t>submitted that if</w:t>
      </w:r>
      <w:r>
        <w:rPr>
          <w:rFonts w:ascii="Arial"/>
          <w:color w:val="000000"/>
          <w:sz w:val="24"/>
        </w:rPr>
        <w:t xml:space="preserve"> </w:t>
      </w:r>
      <w:r>
        <w:rPr>
          <w:rFonts w:ascii="Arial"/>
          <w:color w:val="000000"/>
          <w:sz w:val="24"/>
        </w:rPr>
        <w:t xml:space="preserve">jurisdictional error is inherent in a finding of legal unreasonableness, the effective exclusion of review in reliance upon the statutory scheme </w:t>
      </w:r>
      <w:r>
        <w:rPr>
          <w:rFonts w:ascii="Arial"/>
          <w:color w:val="000000"/>
          <w:sz w:val="24"/>
        </w:rPr>
        <w:t>is contra</w:t>
      </w:r>
      <w:r>
        <w:rPr>
          <w:rFonts w:ascii="Arial"/>
          <w:color w:val="000000"/>
          <w:sz w:val="24"/>
        </w:rPr>
        <w:t>ry</w:t>
      </w:r>
      <w:r>
        <w:rPr>
          <w:rFonts w:ascii="Arial"/>
          <w:color w:val="000000"/>
          <w:sz w:val="24"/>
        </w:rPr>
        <w:t xml:space="preserve"> </w:t>
      </w:r>
      <w:r>
        <w:rPr>
          <w:rFonts w:ascii="Arial"/>
          <w:color w:val="000000"/>
          <w:sz w:val="24"/>
        </w:rPr>
        <w:t xml:space="preserve">to the </w:t>
      </w:r>
      <w:r>
        <w:rPr>
          <w:rFonts w:ascii="Arial"/>
          <w:color w:val="000000"/>
          <w:sz w:val="24"/>
        </w:rPr>
        <w:t>constitutional</w:t>
      </w:r>
      <w:r>
        <w:rPr>
          <w:rFonts w:ascii="Arial"/>
          <w:color w:val="000000"/>
          <w:sz w:val="24"/>
        </w:rPr>
        <w:t xml:space="preserve"> </w:t>
      </w:r>
      <w:r>
        <w:rPr>
          <w:rFonts w:ascii="Arial"/>
          <w:color w:val="000000"/>
          <w:sz w:val="24"/>
        </w:rPr>
        <w:t>entrenchment of review for jurisdictional error mandated by</w:t>
      </w:r>
      <w:r>
        <w:rPr>
          <w:rFonts w:ascii="Arial"/>
          <w:color w:val="000000"/>
          <w:sz w:val="24"/>
        </w:rPr>
        <w:t xml:space="preserve"> </w:t>
      </w:r>
      <w:r>
        <w:rPr>
          <w:rFonts w:ascii="Arial"/>
          <w:i/>
          <w:color w:val="000000"/>
          <w:sz w:val="24"/>
        </w:rPr>
        <w:t>Kirk</w:t>
      </w:r>
      <w:r>
        <w:rPr>
          <w:rFonts w:ascii="Arial"/>
          <w:i/>
          <w:color w:val="000000"/>
          <w:sz w:val="24"/>
        </w:rPr>
        <w:t xml:space="preserve"> v Industrial Court of New South Wales</w:t>
      </w:r>
      <w:r>
        <w:rPr>
          <w:rFonts w:ascii="Arial"/>
          <w:color w:val="000000"/>
          <w:sz w:val="24"/>
        </w:rPr>
        <w:t xml:space="preserve"> </w:t>
      </w:r>
      <w:r>
        <w:rPr>
          <w:rFonts w:ascii="Arial"/>
          <w:color w:val="000000"/>
          <w:sz w:val="24"/>
        </w:rPr>
        <w:t>(</w:t>
      </w:r>
      <w:r>
        <w:rPr>
          <w:rFonts w:ascii="Arial"/>
          <w:color w:val="000000"/>
          <w:sz w:val="24"/>
        </w:rPr>
        <w:t>2010</w:t>
      </w:r>
      <w:r>
        <w:rPr>
          <w:rFonts w:ascii="Arial"/>
          <w:color w:val="000000"/>
          <w:sz w:val="24"/>
        </w:rPr>
        <w:t xml:space="preserve">) </w:t>
      </w:r>
      <w:r>
        <w:rPr>
          <w:rFonts w:ascii="Arial"/>
          <w:color w:val="000000"/>
          <w:sz w:val="24"/>
        </w:rPr>
        <w:t>239 CLR 531</w:t>
      </w:r>
      <w:r>
        <w:rPr>
          <w:rFonts w:ascii="Arial"/>
          <w:color w:val="000000"/>
          <w:sz w:val="24"/>
        </w:rPr>
        <w:t>; [2010] HCA 1</w:t>
      </w:r>
      <w:r>
        <w:rPr>
          <w:rFonts w:ascii="Arial"/>
          <w:i/>
          <w:color w:val="000000"/>
          <w:sz w:val="24"/>
        </w:rPr>
        <w:t xml:space="preserve">. </w:t>
      </w:r>
      <w:r>
        <w:rPr>
          <w:rFonts w:ascii="Arial"/>
          <w:color w:val="000000"/>
          <w:sz w:val="24"/>
        </w:rPr>
        <w:t>It was submitted:</w:t>
      </w:r>
    </w:p>
    <w:p>
      <w:pPr>
        <w:pStyle w:val="CaselawQuote"/>
        <w:spacing w:before="150" w:after="150"/>
        <w:ind w:left="1350"/>
        <w:jc w:val="left"/>
      </w:pPr>
      <w:r>
        <w:rPr>
          <w:rFonts w:ascii="Arial"/>
          <w:color w:val="000000"/>
          <w:sz w:val="22"/>
        </w:rPr>
        <w:t xml:space="preserve">The EPA Act does not expressly exclude review for jurisdictional error. The two provisions identified by the Appellants, being s 6.32 and 6.8(2), expand that jurisdiction. Section 6.8 makes clear of one instance that results in the construction certificate having no effect. Section 6.32 confers power upon the Court to engage in a direct review for inconsistency. That was introduced in response to the decision in </w:t>
      </w:r>
      <w:r>
        <w:rPr>
          <w:rFonts w:ascii="Arial"/>
          <w:i/>
          <w:color w:val="000000"/>
          <w:sz w:val="22"/>
        </w:rPr>
        <w:t>Ralan</w:t>
      </w:r>
      <w:r>
        <w:rPr>
          <w:rFonts w:ascii="Arial"/>
          <w:color w:val="000000"/>
          <w:sz w:val="22"/>
        </w:rPr>
        <w:t xml:space="preserve">. The provision itself makes clear that it is an additional power, and not restrictive of other powers of the Court. </w:t>
      </w:r>
    </w:p>
    <w:p>
      <w:pPr>
        <w:pStyle w:val="CaselawNumbered10"/>
        <w:numPr>
          <w:ilvl w:val="0"/>
          <w:numId w:val="111"/>
        </w:numPr>
        <w:spacing w:before="150" w:after="0"/>
        <w:ind w:left="600" w:hanging="600"/>
      </w:pPr>
      <w:r>
        <w:rPr>
          <w:rFonts w:ascii="Arial"/>
          <w:color w:val="000000"/>
          <w:sz w:val="24"/>
        </w:rPr>
        <w:t>Third</w:t>
      </w:r>
      <w:r>
        <w:rPr>
          <w:rFonts w:ascii="Arial"/>
          <w:color w:val="000000"/>
          <w:sz w:val="24"/>
        </w:rPr>
        <w:t xml:space="preserve">ly, it was submitted that an </w:t>
      </w:r>
      <w:r>
        <w:rPr>
          <w:rFonts w:ascii="Arial"/>
          <w:color w:val="000000"/>
          <w:sz w:val="24"/>
        </w:rPr>
        <w:t xml:space="preserve">extension of </w:t>
      </w:r>
      <w:r>
        <w:rPr>
          <w:rFonts w:ascii="Arial"/>
          <w:i/>
          <w:color w:val="000000"/>
          <w:sz w:val="24"/>
        </w:rPr>
        <w:t>Ralan</w:t>
      </w:r>
      <w:r>
        <w:rPr>
          <w:rFonts w:ascii="Arial"/>
          <w:i/>
          <w:color w:val="000000"/>
          <w:sz w:val="24"/>
        </w:rPr>
        <w:t>’</w:t>
      </w:r>
      <w:r>
        <w:rPr>
          <w:rFonts w:ascii="Arial"/>
          <w:i/>
          <w:color w:val="000000"/>
          <w:sz w:val="24"/>
        </w:rPr>
        <w:t>s</w:t>
      </w:r>
      <w:r>
        <w:rPr>
          <w:rFonts w:ascii="Arial"/>
          <w:color w:val="000000"/>
          <w:sz w:val="24"/>
        </w:rPr>
        <w:t xml:space="preserve"> </w:t>
      </w:r>
      <w:r>
        <w:rPr>
          <w:rFonts w:ascii="Arial"/>
          <w:color w:val="000000"/>
          <w:sz w:val="24"/>
        </w:rPr>
        <w:t>reasoning</w:t>
      </w:r>
      <w:r>
        <w:rPr>
          <w:rFonts w:ascii="Arial"/>
          <w:color w:val="000000"/>
          <w:sz w:val="24"/>
        </w:rPr>
        <w:t xml:space="preserve"> </w:t>
      </w:r>
      <w:r>
        <w:rPr>
          <w:rFonts w:ascii="Arial"/>
          <w:color w:val="000000"/>
          <w:sz w:val="24"/>
        </w:rPr>
        <w:t>was</w:t>
      </w:r>
      <w:r>
        <w:rPr>
          <w:rFonts w:ascii="Arial"/>
          <w:color w:val="000000"/>
          <w:sz w:val="24"/>
        </w:rPr>
        <w:t xml:space="preserve"> </w:t>
      </w:r>
      <w:r>
        <w:rPr>
          <w:rFonts w:ascii="Arial"/>
          <w:color w:val="000000"/>
          <w:sz w:val="24"/>
        </w:rPr>
        <w:t>not warranted</w:t>
      </w:r>
      <w:r>
        <w:rPr>
          <w:rFonts w:ascii="Arial"/>
          <w:color w:val="000000"/>
          <w:sz w:val="24"/>
        </w:rPr>
        <w:t>.</w:t>
      </w:r>
      <w:r>
        <w:rPr>
          <w:rFonts w:ascii="Arial"/>
          <w:color w:val="000000"/>
          <w:sz w:val="24"/>
        </w:rPr>
        <w:t xml:space="preserve"> </w:t>
      </w:r>
      <w:r>
        <w:rPr>
          <w:rFonts w:ascii="Arial"/>
          <w:color w:val="000000"/>
          <w:sz w:val="24"/>
        </w:rPr>
        <w:t xml:space="preserve">The </w:t>
      </w:r>
      <w:r>
        <w:rPr>
          <w:rFonts w:ascii="Arial"/>
          <w:color w:val="000000"/>
          <w:sz w:val="24"/>
        </w:rPr>
        <w:t>Council</w:t>
      </w:r>
      <w:r>
        <w:rPr>
          <w:rFonts w:ascii="Arial"/>
          <w:color w:val="000000"/>
          <w:sz w:val="24"/>
        </w:rPr>
        <w:t xml:space="preserve"> </w:t>
      </w:r>
      <w:r>
        <w:rPr>
          <w:rFonts w:ascii="Arial"/>
          <w:color w:val="000000"/>
          <w:sz w:val="24"/>
        </w:rPr>
        <w:t>submitted that the appellants</w:t>
      </w:r>
      <w:r>
        <w:rPr>
          <w:rFonts w:ascii="Arial"/>
          <w:color w:val="000000"/>
          <w:sz w:val="24"/>
        </w:rPr>
        <w:t>’</w:t>
      </w:r>
      <w:r>
        <w:rPr>
          <w:rFonts w:ascii="Arial"/>
          <w:color w:val="000000"/>
          <w:sz w:val="24"/>
        </w:rPr>
        <w:t xml:space="preserve"> </w:t>
      </w:r>
      <w:r>
        <w:rPr>
          <w:rFonts w:ascii="Arial"/>
          <w:color w:val="000000"/>
          <w:sz w:val="24"/>
        </w:rPr>
        <w:t>framing of the issue conflates a finding of jurisdictional error with its consequences. A finding of jurisdictional error has the effect that the decision is properly to be regarded as no decision at all which</w:t>
      </w:r>
      <w:r>
        <w:rPr>
          <w:rFonts w:ascii="Arial"/>
          <w:color w:val="000000"/>
          <w:sz w:val="24"/>
        </w:rPr>
        <w:t xml:space="preserve">, usually, will result in </w:t>
      </w:r>
      <w:r>
        <w:rPr>
          <w:rFonts w:ascii="Arial"/>
          <w:color w:val="000000"/>
          <w:sz w:val="24"/>
        </w:rPr>
        <w:t xml:space="preserve">a declaration of invalidity. Extending </w:t>
      </w:r>
      <w:r>
        <w:rPr>
          <w:rFonts w:ascii="Arial"/>
          <w:i/>
          <w:color w:val="000000"/>
          <w:sz w:val="24"/>
        </w:rPr>
        <w:t>Ralan</w:t>
      </w:r>
      <w:r>
        <w:rPr>
          <w:rFonts w:ascii="Arial"/>
          <w:i/>
          <w:color w:val="000000"/>
          <w:sz w:val="24"/>
        </w:rPr>
        <w:t>’</w:t>
      </w:r>
      <w:r>
        <w:rPr>
          <w:rFonts w:ascii="Arial"/>
          <w:i/>
          <w:color w:val="000000"/>
          <w:sz w:val="24"/>
        </w:rPr>
        <w:t>s</w:t>
      </w:r>
      <w:r>
        <w:rPr>
          <w:rFonts w:ascii="Arial"/>
          <w:color w:val="000000"/>
          <w:sz w:val="24"/>
        </w:rPr>
        <w:t xml:space="preserve"> </w:t>
      </w:r>
      <w:r>
        <w:rPr>
          <w:rFonts w:ascii="Arial"/>
          <w:color w:val="000000"/>
          <w:sz w:val="24"/>
        </w:rPr>
        <w:t>reasoning to jurisdictional error</w:t>
      </w:r>
      <w:r>
        <w:rPr>
          <w:rFonts w:ascii="Arial"/>
          <w:color w:val="000000"/>
          <w:sz w:val="24"/>
        </w:rPr>
        <w:t xml:space="preserve"> </w:t>
      </w:r>
      <w:r>
        <w:rPr>
          <w:rFonts w:ascii="Arial"/>
          <w:color w:val="000000"/>
          <w:sz w:val="24"/>
        </w:rPr>
        <w:t>is problematic</w:t>
      </w:r>
      <w:r>
        <w:rPr>
          <w:rFonts w:ascii="Arial"/>
          <w:color w:val="000000"/>
          <w:sz w:val="24"/>
        </w:rPr>
        <w:t xml:space="preserve">. </w:t>
      </w:r>
      <w:r>
        <w:rPr>
          <w:rFonts w:ascii="Arial"/>
          <w:color w:val="000000"/>
          <w:sz w:val="24"/>
        </w:rPr>
        <w:t>If</w:t>
      </w:r>
      <w:r>
        <w:rPr>
          <w:rFonts w:ascii="Arial"/>
          <w:color w:val="000000"/>
          <w:sz w:val="24"/>
        </w:rPr>
        <w:t xml:space="preserve"> </w:t>
      </w:r>
      <w:r>
        <w:rPr>
          <w:rFonts w:ascii="Arial"/>
          <w:color w:val="000000"/>
          <w:sz w:val="24"/>
        </w:rPr>
        <w:t>the decision-maker acted outside their legal authority, invalidity follows naturally from this finding</w:t>
      </w:r>
      <w:r>
        <w:rPr>
          <w:rFonts w:ascii="Arial"/>
          <w:color w:val="000000"/>
          <w:sz w:val="24"/>
        </w:rPr>
        <w:t>.</w:t>
      </w:r>
      <w:r>
        <w:rPr>
          <w:rFonts w:ascii="Arial"/>
          <w:color w:val="000000"/>
          <w:sz w:val="24"/>
        </w:rPr>
        <w:t xml:space="preserve"> </w:t>
      </w:r>
    </w:p>
    <w:p>
      <w:pPr>
        <w:pStyle w:val="CaselawNumbered10"/>
        <w:numPr>
          <w:ilvl w:val="0"/>
          <w:numId w:val="111"/>
        </w:numPr>
        <w:spacing w:before="150" w:after="0"/>
        <w:ind w:left="600" w:hanging="600"/>
      </w:pPr>
      <w:r>
        <w:rPr>
          <w:rFonts w:ascii="Arial"/>
          <w:color w:val="000000"/>
          <w:sz w:val="24"/>
        </w:rPr>
        <w:t xml:space="preserve">The </w:t>
      </w:r>
      <w:r>
        <w:rPr>
          <w:rFonts w:ascii="Arial"/>
          <w:color w:val="000000"/>
          <w:sz w:val="24"/>
        </w:rPr>
        <w:t>Council</w:t>
      </w:r>
      <w:r>
        <w:rPr>
          <w:rFonts w:ascii="Arial"/>
          <w:color w:val="000000"/>
          <w:sz w:val="24"/>
        </w:rPr>
        <w:t xml:space="preserve"> </w:t>
      </w:r>
      <w:r>
        <w:rPr>
          <w:rFonts w:ascii="Arial"/>
          <w:color w:val="000000"/>
          <w:sz w:val="24"/>
        </w:rPr>
        <w:t xml:space="preserve">also </w:t>
      </w:r>
      <w:r>
        <w:rPr>
          <w:rFonts w:ascii="Arial"/>
          <w:color w:val="000000"/>
          <w:sz w:val="24"/>
        </w:rPr>
        <w:t>submitted</w:t>
      </w:r>
      <w:r>
        <w:rPr>
          <w:rFonts w:ascii="Arial"/>
          <w:color w:val="000000"/>
          <w:sz w:val="24"/>
        </w:rPr>
        <w:t xml:space="preserve"> </w:t>
      </w:r>
      <w:r>
        <w:rPr>
          <w:rFonts w:ascii="Arial"/>
          <w:color w:val="000000"/>
          <w:sz w:val="24"/>
        </w:rPr>
        <w:t xml:space="preserve">that </w:t>
      </w:r>
      <w:r>
        <w:rPr>
          <w:rFonts w:ascii="Arial"/>
          <w:color w:val="000000"/>
          <w:sz w:val="24"/>
        </w:rPr>
        <w:t>s 9.46</w:t>
      </w:r>
      <w:r>
        <w:rPr>
          <w:rFonts w:ascii="Arial"/>
          <w:color w:val="000000"/>
          <w:sz w:val="24"/>
        </w:rPr>
        <w:t xml:space="preserve"> </w:t>
      </w:r>
      <w:r>
        <w:rPr>
          <w:rFonts w:ascii="Arial"/>
          <w:color w:val="000000"/>
          <w:sz w:val="24"/>
        </w:rPr>
        <w:t>of the EPA Act</w:t>
      </w:r>
      <w:r>
        <w:rPr>
          <w:rFonts w:ascii="Arial"/>
          <w:color w:val="000000"/>
          <w:sz w:val="24"/>
        </w:rPr>
        <w:t xml:space="preserve"> </w:t>
      </w:r>
      <w:r>
        <w:rPr>
          <w:rFonts w:ascii="Arial"/>
          <w:color w:val="000000"/>
          <w:sz w:val="24"/>
        </w:rPr>
        <w:t xml:space="preserve">was available as a source of power for the Land and Environment Court to set aside the construction certificate in part. The </w:t>
      </w:r>
      <w:r>
        <w:rPr>
          <w:rFonts w:ascii="Arial"/>
          <w:color w:val="000000"/>
          <w:sz w:val="24"/>
        </w:rPr>
        <w:t>Council</w:t>
      </w:r>
      <w:r>
        <w:rPr>
          <w:rFonts w:ascii="Arial"/>
          <w:color w:val="000000"/>
          <w:sz w:val="24"/>
        </w:rPr>
        <w:t xml:space="preserve"> </w:t>
      </w:r>
      <w:r>
        <w:rPr>
          <w:rFonts w:ascii="Arial"/>
          <w:color w:val="000000"/>
          <w:sz w:val="24"/>
        </w:rPr>
        <w:t xml:space="preserve">cited in support </w:t>
      </w:r>
      <w:r>
        <w:rPr>
          <w:rFonts w:ascii="Arial"/>
          <w:i/>
          <w:color w:val="000000"/>
          <w:sz w:val="24"/>
        </w:rPr>
        <w:t>Tanlane</w:t>
      </w:r>
      <w:r>
        <w:rPr>
          <w:rFonts w:ascii="Arial"/>
          <w:color w:val="000000"/>
          <w:sz w:val="24"/>
        </w:rPr>
        <w:t>.</w:t>
      </w:r>
    </w:p>
    <w:p>
      <w:pPr>
        <w:pStyle w:val="CaselawHeading3"/>
        <w:keepNext/>
        <w:spacing w:before="150" w:after="150" w:line="264"/>
        <w:ind w:left="0"/>
        <w:jc w:val="left"/>
      </w:pPr>
      <w:r>
        <w:rPr>
          <w:rFonts w:ascii="Arial"/>
        </w:rPr>
        <w:t xml:space="preserve">Consideration of ground </w:t>
      </w:r>
      <w:r>
        <w:rPr>
          <w:rFonts w:ascii="Arial"/>
        </w:rPr>
        <w:t>3</w:t>
      </w:r>
    </w:p>
    <w:p>
      <w:pPr>
        <w:pStyle w:val="CaselawHeading4"/>
        <w:keepNext/>
        <w:spacing w:before="150" w:after="150" w:line="264"/>
        <w:ind w:left="600"/>
        <w:jc w:val="left"/>
      </w:pPr>
      <w:r>
        <w:rPr>
          <w:rFonts w:ascii="Arial"/>
        </w:rPr>
        <w:t>Jurisdictional error</w:t>
      </w:r>
    </w:p>
    <w:p>
      <w:pPr>
        <w:pStyle w:val="CaselawNumbered10"/>
        <w:numPr>
          <w:ilvl w:val="0"/>
          <w:numId w:val="112"/>
        </w:numPr>
        <w:spacing w:before="150" w:after="0"/>
        <w:ind w:left="600" w:hanging="600"/>
      </w:pPr>
      <w:r>
        <w:rPr>
          <w:rFonts w:ascii="Arial"/>
          <w:color w:val="000000"/>
          <w:sz w:val="24"/>
        </w:rPr>
        <w:t xml:space="preserve">As </w:t>
      </w:r>
      <w:r>
        <w:rPr>
          <w:rFonts w:ascii="Arial"/>
          <w:color w:val="000000"/>
          <w:sz w:val="24"/>
        </w:rPr>
        <w:t>Kiefel</w:t>
      </w:r>
      <w:r>
        <w:rPr>
          <w:rFonts w:ascii="Arial"/>
          <w:color w:val="000000"/>
          <w:sz w:val="24"/>
        </w:rPr>
        <w:t xml:space="preserve"> </w:t>
      </w:r>
      <w:r>
        <w:rPr>
          <w:rFonts w:ascii="Arial"/>
          <w:color w:val="000000"/>
          <w:sz w:val="24"/>
        </w:rPr>
        <w:t xml:space="preserve">CJ, </w:t>
      </w:r>
      <w:r>
        <w:rPr>
          <w:rFonts w:ascii="Arial"/>
          <w:color w:val="000000"/>
          <w:sz w:val="24"/>
        </w:rPr>
        <w:t>Gageler</w:t>
      </w:r>
      <w:r>
        <w:rPr>
          <w:rFonts w:ascii="Arial"/>
          <w:color w:val="000000"/>
          <w:sz w:val="24"/>
        </w:rPr>
        <w:t xml:space="preserve"> </w:t>
      </w:r>
      <w:r>
        <w:rPr>
          <w:rFonts w:ascii="Arial"/>
          <w:color w:val="000000"/>
          <w:sz w:val="24"/>
        </w:rPr>
        <w:t xml:space="preserve">and Keane JJ </w:t>
      </w:r>
      <w:r>
        <w:rPr>
          <w:rFonts w:ascii="Arial"/>
          <w:color w:val="000000"/>
          <w:sz w:val="24"/>
        </w:rPr>
        <w:t xml:space="preserve">explained in </w:t>
      </w:r>
      <w:r>
        <w:rPr>
          <w:rFonts w:ascii="Arial"/>
          <w:i/>
          <w:color w:val="000000"/>
          <w:sz w:val="24"/>
        </w:rPr>
        <w:t>Hossain v Minister for Immigration and Border Protection</w:t>
      </w:r>
      <w:r>
        <w:rPr>
          <w:rFonts w:ascii="Arial"/>
          <w:color w:val="000000"/>
          <w:sz w:val="24"/>
        </w:rPr>
        <w:t xml:space="preserve"> </w:t>
      </w:r>
      <w:r>
        <w:rPr>
          <w:rFonts w:ascii="Arial"/>
          <w:color w:val="000000"/>
          <w:sz w:val="24"/>
        </w:rPr>
        <w:t>(2018) 264 CLR 123; [2018] HCA 34</w:t>
      </w:r>
      <w:r>
        <w:rPr>
          <w:rFonts w:ascii="Arial"/>
          <w:color w:val="000000"/>
          <w:sz w:val="24"/>
        </w:rPr>
        <w:t xml:space="preserve"> </w:t>
      </w:r>
      <w:r>
        <w:rPr>
          <w:rFonts w:ascii="Arial"/>
          <w:color w:val="000000"/>
          <w:sz w:val="24"/>
        </w:rPr>
        <w:t xml:space="preserve">at [23], </w:t>
      </w:r>
      <w:r>
        <w:rPr>
          <w:rFonts w:ascii="Arial"/>
          <w:color w:val="000000"/>
          <w:sz w:val="24"/>
        </w:rPr>
        <w:t>“</w:t>
      </w:r>
      <w:r>
        <w:rPr>
          <w:rFonts w:ascii="Arial"/>
          <w:color w:val="000000"/>
          <w:sz w:val="24"/>
        </w:rPr>
        <w:t>[</w:t>
      </w:r>
      <w:r>
        <w:rPr>
          <w:rFonts w:ascii="Arial"/>
          <w:color w:val="000000"/>
          <w:sz w:val="24"/>
        </w:rPr>
        <w:t>j</w:t>
      </w:r>
      <w:r>
        <w:rPr>
          <w:rFonts w:ascii="Arial"/>
          <w:color w:val="000000"/>
          <w:sz w:val="24"/>
        </w:rPr>
        <w:t>]</w:t>
      </w:r>
      <w:r>
        <w:rPr>
          <w:rFonts w:ascii="Arial"/>
          <w:color w:val="000000"/>
          <w:sz w:val="24"/>
        </w:rPr>
        <w:t>urisdiction</w:t>
      </w:r>
      <w:r>
        <w:rPr>
          <w:rFonts w:ascii="Arial"/>
          <w:color w:val="000000"/>
          <w:sz w:val="24"/>
        </w:rPr>
        <w:t>, in the most generic sense in which it has come to be used</w:t>
      </w:r>
      <w:r>
        <w:rPr>
          <w:rFonts w:ascii="Arial"/>
          <w:color w:val="000000"/>
          <w:sz w:val="24"/>
        </w:rPr>
        <w:t xml:space="preserve"> </w:t>
      </w:r>
      <w:r>
        <w:rPr>
          <w:rFonts w:ascii="Arial"/>
          <w:color w:val="000000"/>
          <w:sz w:val="24"/>
        </w:rPr>
        <w:t>…</w:t>
      </w:r>
      <w:r>
        <w:rPr>
          <w:rFonts w:ascii="Arial"/>
          <w:color w:val="000000"/>
          <w:sz w:val="24"/>
        </w:rPr>
        <w:t xml:space="preserve"> </w:t>
      </w:r>
      <w:r>
        <w:rPr>
          <w:rFonts w:ascii="Arial"/>
          <w:color w:val="000000"/>
          <w:sz w:val="24"/>
        </w:rPr>
        <w:t>refers to the scope of the authority that is conferred on a repository</w:t>
      </w:r>
      <w:r>
        <w:rPr>
          <w:rFonts w:ascii="Arial"/>
          <w:color w:val="000000"/>
          <w:sz w:val="24"/>
        </w:rPr>
        <w:t>”</w:t>
      </w:r>
      <w:r>
        <w:rPr>
          <w:rFonts w:ascii="Arial"/>
          <w:color w:val="000000"/>
          <w:sz w:val="24"/>
        </w:rPr>
        <w:t xml:space="preserve">. </w:t>
      </w:r>
      <w:r>
        <w:rPr>
          <w:rFonts w:ascii="Arial"/>
          <w:color w:val="000000"/>
          <w:sz w:val="24"/>
        </w:rPr>
        <w:t>I</w:t>
      </w:r>
      <w:r>
        <w:rPr>
          <w:rFonts w:ascii="Arial"/>
          <w:color w:val="000000"/>
          <w:sz w:val="24"/>
        </w:rPr>
        <w:t xml:space="preserve">n its application to judicial review of administrative action the taking of which is authorised by statute, </w:t>
      </w:r>
      <w:r>
        <w:rPr>
          <w:rFonts w:ascii="Arial"/>
          <w:color w:val="000000"/>
          <w:sz w:val="24"/>
        </w:rPr>
        <w:t>jurisdiction</w:t>
      </w:r>
      <w:r>
        <w:rPr>
          <w:rFonts w:ascii="Arial"/>
          <w:color w:val="000000"/>
          <w:sz w:val="24"/>
        </w:rPr>
        <w:t xml:space="preserve"> </w:t>
      </w:r>
      <w:r>
        <w:rPr>
          <w:rFonts w:ascii="Arial"/>
          <w:color w:val="000000"/>
          <w:sz w:val="24"/>
        </w:rPr>
        <w:t>refers to the scope of the authority which a statute confers on a decision-maker to make a decision of a kind to which the statute then attaches legal consequences.</w:t>
      </w:r>
      <w:r>
        <w:rPr>
          <w:rFonts w:ascii="Arial"/>
          <w:color w:val="000000"/>
          <w:sz w:val="24"/>
        </w:rPr>
        <w:t xml:space="preserve"> </w:t>
      </w:r>
      <w:r>
        <w:rPr>
          <w:rFonts w:ascii="Arial"/>
          <w:color w:val="000000"/>
          <w:sz w:val="24"/>
        </w:rPr>
        <w:t>It encompasses in that application all of the preconditions which the statute requires to exist in order for the decision-maker to embark on the decision-making process.</w:t>
      </w:r>
      <w:r>
        <w:rPr>
          <w:rFonts w:ascii="Arial"/>
          <w:color w:val="000000"/>
          <w:sz w:val="24"/>
        </w:rPr>
        <w:t xml:space="preserve"> </w:t>
      </w:r>
      <w:r>
        <w:rPr>
          <w:rFonts w:ascii="Arial"/>
          <w:color w:val="000000"/>
          <w:sz w:val="24"/>
        </w:rPr>
        <w:t xml:space="preserve">It also encompasses all of the conditions which the statute expressly or impliedly requires to be observed in or in relation to the decision-making process in order for the decision-maker to make a decision of that kind. A decision made within jurisdiction is a decision which sufficiently complies with those statutory preconditions and conditions to have </w:t>
      </w:r>
      <w:r>
        <w:rPr>
          <w:rFonts w:ascii="Arial"/>
          <w:color w:val="000000"/>
          <w:sz w:val="24"/>
        </w:rPr>
        <w:t>“</w:t>
      </w:r>
      <w:r>
        <w:rPr>
          <w:rFonts w:ascii="Arial"/>
          <w:color w:val="000000"/>
          <w:sz w:val="24"/>
        </w:rPr>
        <w:t>such force and effect as is given to it by the law pursuant to which it was made</w:t>
      </w:r>
      <w:r>
        <w:rPr>
          <w:rFonts w:ascii="Arial"/>
          <w:color w:val="000000"/>
          <w:sz w:val="24"/>
        </w:rPr>
        <w:t>”</w:t>
      </w:r>
      <w:r>
        <w:rPr>
          <w:rFonts w:ascii="Arial"/>
          <w:color w:val="000000"/>
          <w:sz w:val="24"/>
        </w:rPr>
        <w:t xml:space="preserve">: </w:t>
      </w:r>
      <w:r>
        <w:rPr>
          <w:rFonts w:ascii="Arial"/>
          <w:i/>
          <w:color w:val="000000"/>
          <w:sz w:val="24"/>
        </w:rPr>
        <w:t>Minister for Immigration and Multicultural Affairs v Bhardwaj</w:t>
      </w:r>
      <w:r>
        <w:rPr>
          <w:rFonts w:ascii="Arial"/>
          <w:color w:val="000000"/>
          <w:sz w:val="24"/>
        </w:rPr>
        <w:t xml:space="preserve"> </w:t>
      </w:r>
      <w:r>
        <w:rPr>
          <w:rFonts w:ascii="Arial"/>
          <w:color w:val="000000"/>
          <w:sz w:val="24"/>
        </w:rPr>
        <w:t>(2002) 209 CLR 597; [2002] HCA 11</w:t>
      </w:r>
      <w:r>
        <w:rPr>
          <w:rFonts w:ascii="Arial"/>
          <w:color w:val="000000"/>
          <w:sz w:val="24"/>
        </w:rPr>
        <w:t xml:space="preserve"> </w:t>
      </w:r>
      <w:r>
        <w:rPr>
          <w:rFonts w:ascii="Arial"/>
          <w:color w:val="000000"/>
          <w:sz w:val="24"/>
        </w:rPr>
        <w:t>at [46]</w:t>
      </w:r>
      <w:r>
        <w:rPr>
          <w:rFonts w:ascii="Arial"/>
          <w:color w:val="000000"/>
          <w:sz w:val="24"/>
        </w:rPr>
        <w:t>.</w:t>
      </w:r>
    </w:p>
    <w:p>
      <w:pPr>
        <w:pStyle w:val="CaselawNumbered10"/>
        <w:numPr>
          <w:ilvl w:val="0"/>
          <w:numId w:val="112"/>
        </w:numPr>
        <w:spacing w:before="150" w:after="0"/>
        <w:ind w:left="600" w:hanging="600"/>
      </w:pPr>
      <w:r>
        <w:rPr>
          <w:rFonts w:ascii="Arial"/>
          <w:color w:val="000000"/>
          <w:sz w:val="24"/>
        </w:rPr>
        <w:t xml:space="preserve">In the same case their Honours (at [24]) explained that </w:t>
      </w:r>
      <w:r>
        <w:rPr>
          <w:rFonts w:ascii="Arial"/>
          <w:i/>
          <w:color w:val="000000"/>
          <w:sz w:val="24"/>
        </w:rPr>
        <w:t>j</w:t>
      </w:r>
      <w:r>
        <w:rPr>
          <w:rFonts w:ascii="Arial"/>
          <w:i/>
          <w:color w:val="000000"/>
          <w:sz w:val="24"/>
        </w:rPr>
        <w:t>urisdictional error</w:t>
      </w:r>
      <w:r>
        <w:rPr>
          <w:rFonts w:ascii="Arial"/>
          <w:color w:val="000000"/>
          <w:sz w:val="24"/>
        </w:rPr>
        <w:t xml:space="preserve"> </w:t>
      </w:r>
      <w:r>
        <w:rPr>
          <w:rFonts w:ascii="Arial"/>
          <w:color w:val="000000"/>
          <w:sz w:val="24"/>
        </w:rPr>
        <w:t>describe</w:t>
      </w:r>
      <w:r>
        <w:rPr>
          <w:rFonts w:ascii="Arial"/>
          <w:color w:val="000000"/>
          <w:sz w:val="24"/>
        </w:rPr>
        <w:t>s</w:t>
      </w:r>
      <w:r>
        <w:rPr>
          <w:rFonts w:ascii="Arial"/>
          <w:color w:val="000000"/>
          <w:sz w:val="24"/>
        </w:rPr>
        <w:t xml:space="preserve"> </w:t>
      </w:r>
      <w:r>
        <w:rPr>
          <w:rFonts w:ascii="Arial"/>
          <w:color w:val="000000"/>
          <w:sz w:val="24"/>
        </w:rPr>
        <w:t xml:space="preserve">an error in a statutory decision-making process, </w:t>
      </w:r>
      <w:r>
        <w:rPr>
          <w:rFonts w:ascii="Arial"/>
          <w:color w:val="000000"/>
          <w:sz w:val="24"/>
        </w:rPr>
        <w:t>being</w:t>
      </w:r>
      <w:r>
        <w:rPr>
          <w:rFonts w:ascii="Arial"/>
          <w:color w:val="000000"/>
          <w:sz w:val="24"/>
        </w:rPr>
        <w:t xml:space="preserve"> </w:t>
      </w:r>
      <w:r>
        <w:rPr>
          <w:rFonts w:ascii="Arial"/>
          <w:color w:val="000000"/>
          <w:sz w:val="24"/>
        </w:rPr>
        <w:t>a failure to comply with one or more statutory preconditions or conditions to an extent which results in a decision lacking characteristics necessary for it to be given force and effect by the statute pursuant to which the decision-maker purported to make it.</w:t>
      </w:r>
      <w:r>
        <w:rPr>
          <w:rFonts w:ascii="Arial"/>
          <w:color w:val="000000"/>
          <w:sz w:val="24"/>
        </w:rPr>
        <w:t xml:space="preserve"> </w:t>
      </w:r>
      <w:r>
        <w:rPr>
          <w:rFonts w:ascii="Arial"/>
          <w:color w:val="000000"/>
          <w:sz w:val="24"/>
        </w:rPr>
        <w:t xml:space="preserve">To describe a decision as </w:t>
      </w:r>
      <w:r>
        <w:rPr>
          <w:rFonts w:ascii="Arial"/>
          <w:color w:val="000000"/>
          <w:sz w:val="24"/>
        </w:rPr>
        <w:t>“</w:t>
      </w:r>
      <w:r>
        <w:rPr>
          <w:rFonts w:ascii="Arial"/>
          <w:color w:val="000000"/>
          <w:sz w:val="24"/>
        </w:rPr>
        <w:t>involving jurisdictional error</w:t>
      </w:r>
      <w:r>
        <w:rPr>
          <w:rFonts w:ascii="Arial"/>
          <w:color w:val="000000"/>
          <w:sz w:val="24"/>
        </w:rPr>
        <w:t>”</w:t>
      </w:r>
      <w:r>
        <w:rPr>
          <w:rFonts w:ascii="Arial"/>
          <w:color w:val="000000"/>
          <w:sz w:val="24"/>
        </w:rPr>
        <w:t xml:space="preserve"> </w:t>
      </w:r>
      <w:r>
        <w:rPr>
          <w:rFonts w:ascii="Arial"/>
          <w:color w:val="000000"/>
          <w:sz w:val="24"/>
        </w:rPr>
        <w:t>is to describe that decision as having been made outside jurisdiction</w:t>
      </w:r>
      <w:r>
        <w:rPr>
          <w:rFonts w:ascii="Arial"/>
          <w:color w:val="000000"/>
          <w:sz w:val="24"/>
        </w:rPr>
        <w:t xml:space="preserve">: </w:t>
      </w:r>
      <w:r>
        <w:rPr>
          <w:rFonts w:ascii="Arial"/>
          <w:i/>
          <w:color w:val="000000"/>
          <w:sz w:val="24"/>
        </w:rPr>
        <w:t>Bhardwaj</w:t>
      </w:r>
      <w:r>
        <w:rPr>
          <w:rFonts w:ascii="Arial"/>
          <w:color w:val="000000"/>
          <w:sz w:val="24"/>
        </w:rPr>
        <w:t xml:space="preserve"> </w:t>
      </w:r>
      <w:r>
        <w:rPr>
          <w:rFonts w:ascii="Arial"/>
          <w:color w:val="000000"/>
          <w:sz w:val="24"/>
        </w:rPr>
        <w:t>at [17].</w:t>
      </w:r>
      <w:r>
        <w:rPr>
          <w:rFonts w:ascii="Arial"/>
          <w:color w:val="000000"/>
          <w:sz w:val="24"/>
        </w:rPr>
        <w:t xml:space="preserve"> </w:t>
      </w:r>
    </w:p>
    <w:p>
      <w:pPr>
        <w:pStyle w:val="CaselawNumbered10"/>
        <w:numPr>
          <w:ilvl w:val="0"/>
          <w:numId w:val="112"/>
        </w:numPr>
        <w:spacing w:before="150" w:after="0"/>
        <w:ind w:left="600" w:hanging="600"/>
      </w:pPr>
      <w:r>
        <w:rPr>
          <w:rFonts w:ascii="Arial"/>
          <w:color w:val="000000"/>
          <w:sz w:val="24"/>
        </w:rPr>
        <w:t>Their Honours emphasised that a</w:t>
      </w:r>
      <w:r>
        <w:rPr>
          <w:rFonts w:ascii="Arial"/>
          <w:color w:val="000000"/>
          <w:sz w:val="24"/>
        </w:rPr>
        <w:t xml:space="preserve"> </w:t>
      </w:r>
      <w:r>
        <w:rPr>
          <w:rFonts w:ascii="Arial"/>
          <w:color w:val="000000"/>
          <w:sz w:val="24"/>
        </w:rPr>
        <w:t xml:space="preserve">decision made outside jurisdiction </w:t>
      </w:r>
      <w:r>
        <w:rPr>
          <w:rFonts w:ascii="Arial"/>
          <w:color w:val="000000"/>
          <w:sz w:val="24"/>
        </w:rPr>
        <w:t xml:space="preserve">is not necessarily to be regarded as a </w:t>
      </w:r>
      <w:r>
        <w:rPr>
          <w:rFonts w:ascii="Arial"/>
          <w:color w:val="000000"/>
          <w:sz w:val="24"/>
        </w:rPr>
        <w:t>“</w:t>
      </w:r>
      <w:r>
        <w:rPr>
          <w:rFonts w:ascii="Arial"/>
          <w:color w:val="000000"/>
          <w:sz w:val="24"/>
        </w:rPr>
        <w:t>nullity</w:t>
      </w:r>
      <w:r>
        <w:rPr>
          <w:rFonts w:ascii="Arial"/>
          <w:color w:val="000000"/>
          <w:sz w:val="24"/>
        </w:rPr>
        <w:t>”</w:t>
      </w:r>
      <w:r>
        <w:rPr>
          <w:rFonts w:ascii="Arial"/>
          <w:color w:val="000000"/>
          <w:sz w:val="24"/>
        </w:rPr>
        <w:t xml:space="preserve">, </w:t>
      </w:r>
      <w:r>
        <w:rPr>
          <w:rFonts w:ascii="Arial"/>
          <w:color w:val="000000"/>
          <w:sz w:val="24"/>
        </w:rPr>
        <w:t>in that it remains a decision in fact which may yet have some status in law</w:t>
      </w:r>
      <w:r>
        <w:rPr>
          <w:rFonts w:ascii="Arial"/>
          <w:color w:val="000000"/>
          <w:sz w:val="24"/>
        </w:rPr>
        <w:t xml:space="preserve">: </w:t>
      </w:r>
      <w:r>
        <w:rPr>
          <w:rFonts w:ascii="Arial"/>
          <w:i/>
          <w:color w:val="000000"/>
          <w:sz w:val="24"/>
        </w:rPr>
        <w:t>Bhardwaj</w:t>
      </w:r>
      <w:r>
        <w:rPr>
          <w:rFonts w:ascii="Arial"/>
          <w:color w:val="000000"/>
          <w:sz w:val="24"/>
        </w:rPr>
        <w:t xml:space="preserve"> </w:t>
      </w:r>
      <w:r>
        <w:rPr>
          <w:rFonts w:ascii="Arial"/>
          <w:color w:val="000000"/>
          <w:sz w:val="24"/>
        </w:rPr>
        <w:t>at [46];</w:t>
      </w:r>
      <w:r>
        <w:rPr>
          <w:rFonts w:ascii="Arial"/>
          <w:i/>
          <w:color w:val="000000"/>
          <w:sz w:val="24"/>
        </w:rPr>
        <w:t xml:space="preserve"> Hossain </w:t>
      </w:r>
      <w:r>
        <w:rPr>
          <w:rFonts w:ascii="Arial"/>
          <w:color w:val="000000"/>
          <w:sz w:val="24"/>
        </w:rPr>
        <w:t>at [24];</w:t>
      </w:r>
      <w:r>
        <w:rPr>
          <w:rFonts w:ascii="Arial"/>
          <w:color w:val="000000"/>
          <w:sz w:val="24"/>
        </w:rPr>
        <w:t xml:space="preserve"> </w:t>
      </w:r>
      <w:r>
        <w:rPr>
          <w:rFonts w:ascii="Arial"/>
          <w:i/>
          <w:color w:val="000000"/>
          <w:sz w:val="24"/>
        </w:rPr>
        <w:t xml:space="preserve">Oakey Coal Action Alliance Inc v New Acland Coal Pty Ltd </w:t>
      </w:r>
      <w:r>
        <w:rPr>
          <w:rFonts w:ascii="Arial"/>
          <w:color w:val="000000"/>
          <w:sz w:val="24"/>
        </w:rPr>
        <w:t>(2021) 272 CLR 33; [2021] HCA 2 at [49]-[50];</w:t>
      </w:r>
      <w:r>
        <w:rPr>
          <w:rFonts w:ascii="Arial"/>
          <w:color w:val="000000"/>
          <w:sz w:val="24"/>
        </w:rPr>
        <w:t xml:space="preserve"> </w:t>
      </w:r>
      <w:r>
        <w:rPr>
          <w:rFonts w:ascii="Arial"/>
          <w:i/>
          <w:color w:val="000000"/>
          <w:sz w:val="24"/>
        </w:rPr>
        <w:t xml:space="preserve">Minister for Immigration, Citizenship, Migrant Services and Multicultural Affairs v Moorcroft </w:t>
      </w:r>
      <w:r>
        <w:rPr>
          <w:rFonts w:ascii="Arial"/>
          <w:color w:val="000000"/>
          <w:sz w:val="24"/>
        </w:rPr>
        <w:t>(2021) 273 CLR 21; [2021] HCA 19;</w:t>
      </w:r>
      <w:r>
        <w:rPr>
          <w:rFonts w:ascii="Arial"/>
          <w:i/>
          <w:color w:val="000000"/>
          <w:sz w:val="24"/>
        </w:rPr>
        <w:t xml:space="preserve"> </w:t>
      </w:r>
      <w:r>
        <w:rPr>
          <w:rFonts w:ascii="Arial"/>
          <w:i/>
          <w:color w:val="000000"/>
          <w:sz w:val="24"/>
        </w:rPr>
        <w:t>Jadwan</w:t>
      </w:r>
      <w:r>
        <w:rPr>
          <w:rFonts w:ascii="Arial"/>
          <w:i/>
          <w:color w:val="000000"/>
          <w:sz w:val="24"/>
        </w:rPr>
        <w:t xml:space="preserve"> Pty Ltd v Secretary, Department of Health and Aged Care</w:t>
      </w:r>
      <w:r>
        <w:rPr>
          <w:rFonts w:ascii="Arial"/>
          <w:color w:val="000000"/>
          <w:sz w:val="24"/>
        </w:rPr>
        <w:t xml:space="preserve"> </w:t>
      </w:r>
      <w:r>
        <w:rPr>
          <w:rFonts w:ascii="Arial"/>
          <w:color w:val="000000"/>
          <w:sz w:val="24"/>
        </w:rPr>
        <w:t>(2003) 145 FCR 1</w:t>
      </w:r>
      <w:r>
        <w:rPr>
          <w:rFonts w:ascii="Arial"/>
          <w:color w:val="000000"/>
          <w:sz w:val="24"/>
        </w:rPr>
        <w:t>; [2003] FCAFC 288</w:t>
      </w:r>
      <w:r>
        <w:rPr>
          <w:rFonts w:ascii="Arial"/>
          <w:color w:val="000000"/>
          <w:sz w:val="24"/>
        </w:rPr>
        <w:t xml:space="preserve"> </w:t>
      </w:r>
      <w:r>
        <w:rPr>
          <w:rFonts w:ascii="Arial"/>
          <w:color w:val="000000"/>
          <w:sz w:val="24"/>
        </w:rPr>
        <w:t>at [42].</w:t>
      </w:r>
      <w:r>
        <w:rPr>
          <w:rFonts w:ascii="Arial"/>
          <w:color w:val="000000"/>
          <w:sz w:val="24"/>
        </w:rPr>
        <w:t xml:space="preserve"> </w:t>
      </w:r>
      <w:r>
        <w:rPr>
          <w:rFonts w:ascii="Arial"/>
          <w:color w:val="000000"/>
          <w:sz w:val="24"/>
        </w:rPr>
        <w:t xml:space="preserve">But a decision made outside jurisdiction is a decision in fact which is properly to be regarded for the purposes of the law pursuant to which it was purported to be made as </w:t>
      </w:r>
      <w:r>
        <w:rPr>
          <w:rFonts w:ascii="Arial"/>
          <w:color w:val="000000"/>
          <w:sz w:val="24"/>
        </w:rPr>
        <w:t>“</w:t>
      </w:r>
      <w:r>
        <w:rPr>
          <w:rFonts w:ascii="Arial"/>
          <w:color w:val="000000"/>
          <w:sz w:val="24"/>
        </w:rPr>
        <w:t>no decision at all</w:t>
      </w:r>
      <w:r>
        <w:rPr>
          <w:rFonts w:ascii="Arial"/>
          <w:color w:val="000000"/>
          <w:sz w:val="24"/>
        </w:rPr>
        <w:t>”</w:t>
      </w:r>
      <w:r>
        <w:rPr>
          <w:rFonts w:ascii="Arial"/>
          <w:color w:val="000000"/>
          <w:sz w:val="24"/>
        </w:rPr>
        <w:t xml:space="preserve">: </w:t>
      </w:r>
      <w:r>
        <w:rPr>
          <w:rFonts w:ascii="Arial"/>
          <w:i/>
          <w:color w:val="000000"/>
          <w:sz w:val="24"/>
        </w:rPr>
        <w:t>Bhardwa</w:t>
      </w:r>
      <w:r>
        <w:rPr>
          <w:rFonts w:ascii="Arial"/>
          <w:color w:val="000000"/>
          <w:sz w:val="24"/>
        </w:rPr>
        <w:t>j at [51]</w:t>
      </w:r>
      <w:r>
        <w:rPr>
          <w:rFonts w:ascii="Arial"/>
          <w:color w:val="000000"/>
          <w:sz w:val="24"/>
        </w:rPr>
        <w:t>.</w:t>
      </w:r>
      <w:r>
        <w:rPr>
          <w:rFonts w:ascii="Arial"/>
          <w:color w:val="000000"/>
          <w:sz w:val="24"/>
        </w:rPr>
        <w:t xml:space="preserve"> </w:t>
      </w:r>
    </w:p>
    <w:p>
      <w:pPr>
        <w:pStyle w:val="CaselawNumbered10"/>
        <w:numPr>
          <w:ilvl w:val="0"/>
          <w:numId w:val="112"/>
        </w:numPr>
        <w:spacing w:before="150" w:after="0"/>
        <w:ind w:left="600" w:hanging="600"/>
      </w:pPr>
      <w:r>
        <w:rPr>
          <w:rFonts w:ascii="Arial"/>
          <w:color w:val="000000"/>
          <w:sz w:val="24"/>
        </w:rPr>
        <w:t>As the High Court explained, t</w:t>
      </w:r>
      <w:r>
        <w:rPr>
          <w:rFonts w:ascii="Arial"/>
          <w:color w:val="000000"/>
          <w:sz w:val="24"/>
        </w:rPr>
        <w:t xml:space="preserve">o that extent, the decision is </w:t>
      </w:r>
      <w:r>
        <w:rPr>
          <w:rFonts w:ascii="Arial"/>
          <w:color w:val="000000"/>
          <w:sz w:val="24"/>
        </w:rPr>
        <w:t>“</w:t>
      </w:r>
      <w:r>
        <w:rPr>
          <w:rFonts w:ascii="Arial"/>
          <w:color w:val="000000"/>
          <w:sz w:val="24"/>
        </w:rPr>
        <w:t>invalid</w:t>
      </w:r>
      <w:r>
        <w:rPr>
          <w:rFonts w:ascii="Arial"/>
          <w:color w:val="000000"/>
          <w:sz w:val="24"/>
        </w:rPr>
        <w:t>”</w:t>
      </w:r>
      <w:r>
        <w:rPr>
          <w:rFonts w:ascii="Arial"/>
          <w:color w:val="000000"/>
          <w:sz w:val="24"/>
        </w:rPr>
        <w:t xml:space="preserve"> </w:t>
      </w:r>
      <w:r>
        <w:rPr>
          <w:rFonts w:ascii="Arial"/>
          <w:color w:val="000000"/>
          <w:sz w:val="24"/>
        </w:rPr>
        <w:t xml:space="preserve">or </w:t>
      </w:r>
      <w:r>
        <w:rPr>
          <w:rFonts w:ascii="Arial"/>
          <w:color w:val="000000"/>
          <w:sz w:val="24"/>
        </w:rPr>
        <w:t>“</w:t>
      </w:r>
      <w:r>
        <w:rPr>
          <w:rFonts w:ascii="Arial"/>
          <w:color w:val="000000"/>
          <w:sz w:val="24"/>
        </w:rPr>
        <w:t>void</w:t>
      </w:r>
      <w:r>
        <w:rPr>
          <w:rFonts w:ascii="Arial"/>
          <w:color w:val="000000"/>
          <w:sz w:val="24"/>
        </w:rPr>
        <w:t>”</w:t>
      </w:r>
      <w:r>
        <w:rPr>
          <w:rFonts w:ascii="Arial"/>
          <w:color w:val="000000"/>
          <w:sz w:val="24"/>
        </w:rPr>
        <w:t xml:space="preserve">: </w:t>
      </w:r>
      <w:r>
        <w:rPr>
          <w:rFonts w:ascii="Arial"/>
          <w:i/>
          <w:color w:val="000000"/>
          <w:sz w:val="24"/>
        </w:rPr>
        <w:t>Baxter v New South Wales Clickers</w:t>
      </w:r>
      <w:r>
        <w:rPr>
          <w:rFonts w:ascii="Arial"/>
          <w:i/>
          <w:color w:val="000000"/>
          <w:sz w:val="24"/>
        </w:rPr>
        <w:t>’</w:t>
      </w:r>
      <w:r>
        <w:rPr>
          <w:rFonts w:ascii="Arial"/>
          <w:i/>
          <w:color w:val="000000"/>
          <w:sz w:val="24"/>
        </w:rPr>
        <w:t xml:space="preserve"> Association</w:t>
      </w:r>
      <w:r>
        <w:rPr>
          <w:rFonts w:ascii="Arial"/>
          <w:color w:val="000000"/>
          <w:sz w:val="24"/>
        </w:rPr>
        <w:t xml:space="preserve"> </w:t>
      </w:r>
      <w:r>
        <w:rPr>
          <w:rFonts w:ascii="Arial"/>
          <w:color w:val="000000"/>
          <w:sz w:val="24"/>
        </w:rPr>
        <w:t xml:space="preserve">(1909) 10 CLR 114 at 157; </w:t>
      </w:r>
      <w:r>
        <w:rPr>
          <w:rFonts w:ascii="Arial"/>
          <w:i/>
          <w:color w:val="000000"/>
          <w:sz w:val="24"/>
        </w:rPr>
        <w:t>Probuild</w:t>
      </w:r>
      <w:r>
        <w:rPr>
          <w:rFonts w:ascii="Arial"/>
          <w:i/>
          <w:color w:val="000000"/>
          <w:sz w:val="24"/>
        </w:rPr>
        <w:t xml:space="preserve"> Constructions (Aust) Pty Ltd v Shade Systems Pty Ltd</w:t>
      </w:r>
      <w:r>
        <w:rPr>
          <w:rFonts w:ascii="Arial"/>
          <w:color w:val="000000"/>
          <w:sz w:val="24"/>
        </w:rPr>
        <w:t xml:space="preserve"> </w:t>
      </w:r>
      <w:r>
        <w:rPr>
          <w:rFonts w:ascii="Arial"/>
          <w:color w:val="000000"/>
          <w:sz w:val="24"/>
        </w:rPr>
        <w:t xml:space="preserve">(2018) </w:t>
      </w:r>
      <w:r>
        <w:rPr>
          <w:rFonts w:ascii="Arial"/>
          <w:color w:val="000000"/>
          <w:sz w:val="24"/>
        </w:rPr>
        <w:t>264 CLR 1</w:t>
      </w:r>
      <w:r>
        <w:rPr>
          <w:rFonts w:ascii="Arial"/>
          <w:color w:val="000000"/>
          <w:sz w:val="24"/>
        </w:rPr>
        <w:t>; [2018] HCA 4</w:t>
      </w:r>
      <w:r>
        <w:rPr>
          <w:rFonts w:ascii="Arial"/>
          <w:color w:val="000000"/>
          <w:sz w:val="24"/>
        </w:rPr>
        <w:t xml:space="preserve"> </w:t>
      </w:r>
      <w:r>
        <w:rPr>
          <w:rFonts w:ascii="Arial"/>
          <w:color w:val="000000"/>
          <w:sz w:val="24"/>
        </w:rPr>
        <w:t xml:space="preserve">at [63]; </w:t>
      </w:r>
      <w:r>
        <w:rPr>
          <w:rFonts w:ascii="Arial"/>
          <w:i/>
          <w:color w:val="000000"/>
          <w:sz w:val="24"/>
        </w:rPr>
        <w:t xml:space="preserve">MZAPC v Minister for Immigration and Border Protection </w:t>
      </w:r>
      <w:r>
        <w:rPr>
          <w:rFonts w:ascii="Arial"/>
          <w:color w:val="000000"/>
          <w:sz w:val="24"/>
        </w:rPr>
        <w:t>(2021) 273 CLR 506; [2021] HCA 17 at [29]</w:t>
      </w:r>
      <w:r>
        <w:rPr>
          <w:rFonts w:ascii="Arial"/>
          <w:color w:val="000000"/>
          <w:sz w:val="24"/>
        </w:rPr>
        <w:t>.</w:t>
      </w:r>
    </w:p>
    <w:p>
      <w:pPr>
        <w:pStyle w:val="CaselawHeading4"/>
        <w:keepNext/>
        <w:spacing w:before="150" w:after="150" w:line="264"/>
        <w:ind w:left="600"/>
        <w:jc w:val="left"/>
      </w:pPr>
      <w:r>
        <w:rPr>
          <w:rFonts w:ascii="Arial"/>
        </w:rPr>
        <w:t>Establishing jurisdictional error vs the consequences of jurisdictional error</w:t>
      </w:r>
    </w:p>
    <w:p>
      <w:pPr>
        <w:pStyle w:val="CaselawNumbered10"/>
        <w:numPr>
          <w:ilvl w:val="0"/>
          <w:numId w:val="113"/>
        </w:numPr>
        <w:spacing w:before="150" w:after="0"/>
        <w:ind w:left="600" w:hanging="600"/>
      </w:pPr>
      <w:r>
        <w:rPr>
          <w:rFonts w:ascii="Arial"/>
          <w:color w:val="000000"/>
          <w:sz w:val="24"/>
        </w:rPr>
        <w:t>It is important at the outset to delineate two quite different things.</w:t>
      </w:r>
      <w:r>
        <w:rPr>
          <w:rFonts w:ascii="Arial"/>
          <w:color w:val="000000"/>
          <w:sz w:val="24"/>
        </w:rPr>
        <w:t xml:space="preserve"> </w:t>
      </w:r>
      <w:r>
        <w:rPr>
          <w:rFonts w:ascii="Arial"/>
          <w:color w:val="000000"/>
          <w:sz w:val="24"/>
        </w:rPr>
        <w:t>The first is whether an administrative decision is amenable to being set aside for jurisdictional error. Not all errors are jurisdictional. Some error</w:t>
      </w:r>
      <w:r>
        <w:rPr>
          <w:rFonts w:ascii="Arial"/>
          <w:color w:val="000000"/>
          <w:sz w:val="24"/>
        </w:rPr>
        <w:t>s</w:t>
      </w:r>
      <w:r>
        <w:rPr>
          <w:rFonts w:ascii="Arial"/>
          <w:color w:val="000000"/>
          <w:sz w:val="24"/>
        </w:rPr>
        <w:t xml:space="preserve"> </w:t>
      </w:r>
      <w:r>
        <w:rPr>
          <w:rFonts w:ascii="Arial"/>
          <w:color w:val="000000"/>
          <w:sz w:val="24"/>
        </w:rPr>
        <w:t>of law are errors within jurisdiction.</w:t>
      </w:r>
      <w:r>
        <w:rPr>
          <w:rFonts w:ascii="Arial"/>
          <w:color w:val="000000"/>
          <w:sz w:val="24"/>
        </w:rPr>
        <w:t xml:space="preserve"> </w:t>
      </w:r>
      <w:r>
        <w:rPr>
          <w:rFonts w:ascii="Arial"/>
          <w:color w:val="000000"/>
          <w:sz w:val="24"/>
        </w:rPr>
        <w:t>Jurisdictional error is an expression not simply of the existence of an error but of the gravity of that error.</w:t>
      </w:r>
      <w:r>
        <w:rPr>
          <w:rFonts w:ascii="Arial"/>
          <w:color w:val="000000"/>
          <w:sz w:val="24"/>
        </w:rPr>
        <w:t xml:space="preserve"> </w:t>
      </w:r>
      <w:r>
        <w:rPr>
          <w:rFonts w:ascii="Arial"/>
          <w:color w:val="000000"/>
          <w:sz w:val="24"/>
        </w:rPr>
        <w:t xml:space="preserve">The unavoidable distinction between jurisdictional errors and non-jurisdictional errors is ultimately </w:t>
      </w:r>
      <w:r>
        <w:rPr>
          <w:rFonts w:ascii="Arial"/>
          <w:color w:val="000000"/>
          <w:sz w:val="24"/>
        </w:rPr>
        <w:t>“</w:t>
      </w:r>
      <w:r>
        <w:rPr>
          <w:rFonts w:ascii="Arial"/>
          <w:color w:val="000000"/>
          <w:sz w:val="24"/>
        </w:rPr>
        <w:t>a distinction between errors that are authorised and errors that are not; between acts that are unauthorised by law and acts that are authorised.</w:t>
      </w:r>
      <w:r>
        <w:rPr>
          <w:rFonts w:ascii="Arial"/>
          <w:color w:val="000000"/>
          <w:sz w:val="24"/>
        </w:rPr>
        <w:t xml:space="preserve"> </w:t>
      </w:r>
      <w:r>
        <w:rPr>
          <w:rFonts w:ascii="Arial"/>
          <w:color w:val="000000"/>
          <w:sz w:val="24"/>
        </w:rPr>
        <w:t>Thus, w</w:t>
      </w:r>
      <w:r>
        <w:rPr>
          <w:rFonts w:ascii="Arial"/>
          <w:color w:val="000000"/>
          <w:sz w:val="24"/>
        </w:rPr>
        <w:t xml:space="preserve">hether an error is jurisdictional </w:t>
      </w:r>
      <w:r>
        <w:rPr>
          <w:rFonts w:ascii="Arial"/>
          <w:color w:val="000000"/>
          <w:sz w:val="24"/>
        </w:rPr>
        <w:t xml:space="preserve">or not </w:t>
      </w:r>
      <w:r>
        <w:rPr>
          <w:rFonts w:ascii="Arial"/>
          <w:color w:val="000000"/>
          <w:sz w:val="24"/>
        </w:rPr>
        <w:t xml:space="preserve">is a question of statutory construction: </w:t>
      </w:r>
      <w:r>
        <w:rPr>
          <w:rFonts w:ascii="Arial"/>
          <w:i/>
          <w:color w:val="000000"/>
          <w:sz w:val="24"/>
        </w:rPr>
        <w:t xml:space="preserve">Hossain </w:t>
      </w:r>
      <w:r>
        <w:rPr>
          <w:rFonts w:ascii="Arial"/>
          <w:color w:val="000000"/>
          <w:sz w:val="24"/>
        </w:rPr>
        <w:t>at [25].</w:t>
      </w:r>
      <w:r>
        <w:rPr>
          <w:rFonts w:ascii="Arial"/>
          <w:color w:val="000000"/>
          <w:sz w:val="24"/>
        </w:rPr>
        <w:t xml:space="preserve"> </w:t>
      </w:r>
    </w:p>
    <w:p>
      <w:pPr>
        <w:pStyle w:val="CaselawNumbered10"/>
        <w:numPr>
          <w:ilvl w:val="0"/>
          <w:numId w:val="113"/>
        </w:numPr>
        <w:spacing w:before="150" w:after="0"/>
        <w:ind w:left="600" w:hanging="600"/>
      </w:pPr>
      <w:r>
        <w:rPr>
          <w:rFonts w:ascii="Arial"/>
          <w:color w:val="000000"/>
          <w:sz w:val="24"/>
        </w:rPr>
        <w:t xml:space="preserve">The second is </w:t>
      </w:r>
      <w:r>
        <w:rPr>
          <w:rFonts w:ascii="Arial"/>
          <w:color w:val="000000"/>
          <w:sz w:val="24"/>
        </w:rPr>
        <w:t>that</w:t>
      </w:r>
      <w:r>
        <w:rPr>
          <w:rFonts w:ascii="Arial"/>
          <w:color w:val="000000"/>
          <w:sz w:val="24"/>
        </w:rPr>
        <w:t xml:space="preserve"> </w:t>
      </w:r>
      <w:r>
        <w:rPr>
          <w:rFonts w:ascii="Arial"/>
          <w:color w:val="000000"/>
          <w:sz w:val="24"/>
        </w:rPr>
        <w:t>a</w:t>
      </w:r>
      <w:r>
        <w:rPr>
          <w:rFonts w:ascii="Arial"/>
          <w:color w:val="000000"/>
          <w:sz w:val="24"/>
        </w:rPr>
        <w:t xml:space="preserve"> </w:t>
      </w:r>
      <w:r>
        <w:rPr>
          <w:rFonts w:ascii="Arial"/>
          <w:color w:val="000000"/>
          <w:sz w:val="24"/>
        </w:rPr>
        <w:t xml:space="preserve">decision affected by jurisdictional error </w:t>
      </w:r>
      <w:r>
        <w:rPr>
          <w:rFonts w:ascii="Arial"/>
          <w:color w:val="000000"/>
          <w:sz w:val="24"/>
        </w:rPr>
        <w:t xml:space="preserve">is not necessarily to be regarded as a </w:t>
      </w:r>
      <w:r>
        <w:rPr>
          <w:rFonts w:ascii="Arial"/>
          <w:color w:val="000000"/>
          <w:sz w:val="24"/>
        </w:rPr>
        <w:t>“</w:t>
      </w:r>
      <w:r>
        <w:rPr>
          <w:rFonts w:ascii="Arial"/>
          <w:color w:val="000000"/>
          <w:sz w:val="24"/>
        </w:rPr>
        <w:t>nullity</w:t>
      </w:r>
      <w:r>
        <w:rPr>
          <w:rFonts w:ascii="Arial"/>
          <w:color w:val="000000"/>
          <w:sz w:val="24"/>
        </w:rPr>
        <w:t>”</w:t>
      </w:r>
      <w:r>
        <w:rPr>
          <w:rFonts w:ascii="Arial"/>
          <w:color w:val="000000"/>
          <w:sz w:val="24"/>
        </w:rPr>
        <w:t xml:space="preserve">, </w:t>
      </w:r>
      <w:r>
        <w:rPr>
          <w:rFonts w:ascii="Arial"/>
          <w:color w:val="000000"/>
          <w:sz w:val="24"/>
        </w:rPr>
        <w:t xml:space="preserve">in that it remains a decision in fact which may yet </w:t>
      </w:r>
      <w:r>
        <w:rPr>
          <w:rFonts w:ascii="Arial"/>
          <w:color w:val="000000"/>
          <w:sz w:val="24"/>
        </w:rPr>
        <w:t>have some status in law</w:t>
      </w:r>
      <w:r>
        <w:rPr>
          <w:rFonts w:ascii="Arial"/>
          <w:color w:val="000000"/>
          <w:sz w:val="24"/>
        </w:rPr>
        <w:t xml:space="preserve">. In </w:t>
      </w:r>
      <w:r>
        <w:rPr>
          <w:rFonts w:ascii="Arial"/>
          <w:i/>
          <w:color w:val="000000"/>
          <w:sz w:val="24"/>
        </w:rPr>
        <w:t>New South Wales v Kable</w:t>
      </w:r>
      <w:r>
        <w:rPr>
          <w:rFonts w:ascii="Arial"/>
          <w:color w:val="000000"/>
          <w:sz w:val="24"/>
        </w:rPr>
        <w:t xml:space="preserve"> </w:t>
      </w:r>
      <w:r>
        <w:rPr>
          <w:rFonts w:ascii="Arial"/>
          <w:color w:val="000000"/>
          <w:sz w:val="24"/>
        </w:rPr>
        <w:t xml:space="preserve">(2013) 252 CLR 118; [2013] HCA 26 </w:t>
      </w:r>
      <w:r>
        <w:rPr>
          <w:rFonts w:ascii="Arial"/>
          <w:color w:val="000000"/>
          <w:sz w:val="24"/>
        </w:rPr>
        <w:t>Gageler</w:t>
      </w:r>
      <w:r>
        <w:rPr>
          <w:rFonts w:ascii="Arial"/>
          <w:color w:val="000000"/>
          <w:sz w:val="24"/>
        </w:rPr>
        <w:t xml:space="preserve"> </w:t>
      </w:r>
      <w:r>
        <w:rPr>
          <w:rFonts w:ascii="Arial"/>
          <w:color w:val="000000"/>
          <w:sz w:val="24"/>
        </w:rPr>
        <w:t>J speaking of an invalid law said:</w:t>
      </w:r>
    </w:p>
    <w:p>
      <w:pPr>
        <w:pStyle w:val="CaselawQuote"/>
        <w:spacing w:before="150" w:after="150"/>
        <w:ind w:left="1350"/>
        <w:jc w:val="left"/>
      </w:pPr>
      <w:r>
        <w:rPr>
          <w:rFonts w:ascii="Arial"/>
          <w:color w:val="000000"/>
          <w:sz w:val="22"/>
        </w:rPr>
        <w:t>“</w:t>
      </w:r>
      <w:r>
        <w:rPr>
          <w:rFonts w:ascii="Arial"/>
          <w:color w:val="000000"/>
          <w:sz w:val="22"/>
        </w:rPr>
        <w:t xml:space="preserve">[52] Yet a purported but invalid law, like a thing done in the purported but invalid exercise of a power conferred by law, remains at all times a thing in fact. That is so whether or not it has been judicially determined to be invalid. The thing is, as is sometimes said, a </w:t>
      </w:r>
      <w:r>
        <w:rPr>
          <w:rFonts w:ascii="Arial"/>
          <w:color w:val="000000"/>
          <w:sz w:val="22"/>
        </w:rPr>
        <w:t>“nullity”</w:t>
      </w:r>
      <w:r>
        <w:rPr>
          <w:rFonts w:ascii="Arial"/>
          <w:color w:val="000000"/>
          <w:sz w:val="22"/>
        </w:rPr>
        <w:t xml:space="preserve"> in the sense that it lacks the legal force it purports to have. But the thing is not a nullity in the sense that it has no existence at all or that it is incapable of having legal consequences. The factual existence of the thing might be the foundation of rights or duties that arise by force of another, valid, law. The factual existence of the thing might have led to the taking of some other action in fact. The action so taken might then have consequences for the creation or extinguishment or alteration of legal rights or legal obligations, which consequences do not depend on the legal force of the thing itself.</w:t>
      </w:r>
      <w:r>
        <w:rPr>
          <w:rFonts w:ascii="Arial"/>
          <w:color w:val="000000"/>
          <w:sz w:val="22"/>
        </w:rPr>
        <w:t>”</w:t>
      </w:r>
    </w:p>
    <w:p>
      <w:pPr>
        <w:pStyle w:val="CaselawNumbered10"/>
        <w:numPr>
          <w:ilvl w:val="0"/>
          <w:numId w:val="114"/>
        </w:numPr>
        <w:spacing w:before="150" w:after="0"/>
        <w:ind w:left="600" w:hanging="600"/>
      </w:pPr>
      <w:r>
        <w:rPr>
          <w:rFonts w:ascii="Arial"/>
          <w:color w:val="000000"/>
          <w:sz w:val="24"/>
        </w:rPr>
        <w:t xml:space="preserve">It will also be a question </w:t>
      </w:r>
      <w:r>
        <w:rPr>
          <w:rFonts w:ascii="Arial"/>
          <w:color w:val="000000"/>
          <w:sz w:val="24"/>
        </w:rPr>
        <w:t>of</w:t>
      </w:r>
      <w:r>
        <w:rPr>
          <w:rFonts w:ascii="Arial"/>
          <w:color w:val="000000"/>
          <w:sz w:val="24"/>
        </w:rPr>
        <w:t xml:space="preserve"> </w:t>
      </w:r>
      <w:r>
        <w:rPr>
          <w:rFonts w:ascii="Arial"/>
          <w:color w:val="000000"/>
          <w:sz w:val="24"/>
        </w:rPr>
        <w:t xml:space="preserve">statutory </w:t>
      </w:r>
      <w:r>
        <w:rPr>
          <w:rFonts w:ascii="Arial"/>
          <w:color w:val="000000"/>
          <w:sz w:val="24"/>
        </w:rPr>
        <w:t>construction to determine the consequences of a finding of jurisdictional error.</w:t>
      </w:r>
      <w:r>
        <w:rPr>
          <w:rFonts w:ascii="Arial"/>
          <w:color w:val="000000"/>
          <w:sz w:val="24"/>
        </w:rPr>
        <w:t xml:space="preserve"> </w:t>
      </w:r>
      <w:r>
        <w:rPr>
          <w:rFonts w:ascii="Arial"/>
          <w:color w:val="000000"/>
          <w:sz w:val="24"/>
        </w:rPr>
        <w:t xml:space="preserve">A fairly recent example is provided by </w:t>
      </w:r>
      <w:r>
        <w:rPr>
          <w:rFonts w:ascii="Arial"/>
          <w:color w:val="000000"/>
          <w:sz w:val="24"/>
        </w:rPr>
        <w:t xml:space="preserve">s 32A of the </w:t>
      </w:r>
      <w:r>
        <w:rPr>
          <w:rFonts w:ascii="Arial"/>
          <w:i/>
          <w:color w:val="000000"/>
          <w:sz w:val="24"/>
        </w:rPr>
        <w:t>Building and Construction Industry Security of Payment Act 1999</w:t>
      </w:r>
      <w:r>
        <w:rPr>
          <w:rFonts w:ascii="Arial"/>
          <w:color w:val="000000"/>
          <w:sz w:val="24"/>
        </w:rPr>
        <w:t xml:space="preserve"> </w:t>
      </w:r>
      <w:r>
        <w:rPr>
          <w:rFonts w:ascii="Arial"/>
          <w:color w:val="000000"/>
          <w:sz w:val="24"/>
        </w:rPr>
        <w:t xml:space="preserve">(NSW), which has the effect that only those parts of a payment determination found to be affected by jurisdictional error are set aside </w:t>
      </w:r>
      <w:r>
        <w:rPr>
          <w:rFonts w:ascii="Arial"/>
          <w:color w:val="000000"/>
          <w:sz w:val="24"/>
        </w:rPr>
        <w:t xml:space="preserve">– </w:t>
      </w:r>
      <w:r>
        <w:rPr>
          <w:rFonts w:ascii="Arial"/>
          <w:color w:val="000000"/>
          <w:sz w:val="24"/>
        </w:rPr>
        <w:t xml:space="preserve">that is, the determination is not a nullity: see </w:t>
      </w:r>
      <w:r>
        <w:rPr>
          <w:rFonts w:ascii="Arial"/>
          <w:i/>
          <w:color w:val="000000"/>
          <w:sz w:val="24"/>
        </w:rPr>
        <w:t>Ceerose</w:t>
      </w:r>
      <w:r>
        <w:rPr>
          <w:rFonts w:ascii="Arial"/>
          <w:i/>
          <w:color w:val="000000"/>
          <w:sz w:val="24"/>
        </w:rPr>
        <w:t xml:space="preserve"> Pty Ltd v A-Civil Aust Pty Ltd</w:t>
      </w:r>
      <w:r>
        <w:rPr>
          <w:rFonts w:ascii="Arial"/>
          <w:color w:val="000000"/>
          <w:sz w:val="24"/>
        </w:rPr>
        <w:t xml:space="preserve"> </w:t>
      </w:r>
      <w:r>
        <w:rPr>
          <w:rFonts w:ascii="Arial"/>
          <w:color w:val="000000"/>
          <w:sz w:val="24"/>
        </w:rPr>
        <w:t xml:space="preserve">(2023) 112 NSWLR 225; </w:t>
      </w:r>
      <w:r>
        <w:rPr>
          <w:rFonts w:ascii="Arial"/>
          <w:color w:val="000000"/>
          <w:sz w:val="24"/>
        </w:rPr>
        <w:t>[2023] NSWCA 215.</w:t>
      </w:r>
    </w:p>
    <w:p>
      <w:pPr>
        <w:pStyle w:val="CaselawNumbered10"/>
        <w:numPr>
          <w:ilvl w:val="0"/>
          <w:numId w:val="114"/>
        </w:numPr>
        <w:spacing w:before="150" w:after="0"/>
        <w:ind w:left="600" w:hanging="600"/>
      </w:pPr>
      <w:r>
        <w:rPr>
          <w:rFonts w:ascii="Arial"/>
          <w:color w:val="000000"/>
          <w:sz w:val="24"/>
        </w:rPr>
        <w:t xml:space="preserve">The difference </w:t>
      </w:r>
      <w:r>
        <w:rPr>
          <w:rFonts w:ascii="Arial"/>
          <w:color w:val="000000"/>
          <w:sz w:val="24"/>
        </w:rPr>
        <w:t xml:space="preserve">between the first and second </w:t>
      </w:r>
      <w:r>
        <w:rPr>
          <w:rFonts w:ascii="Arial"/>
          <w:color w:val="000000"/>
          <w:sz w:val="24"/>
        </w:rPr>
        <w:t>matters</w:t>
      </w:r>
      <w:r>
        <w:rPr>
          <w:rFonts w:ascii="Arial"/>
          <w:color w:val="000000"/>
          <w:sz w:val="24"/>
        </w:rPr>
        <w:t xml:space="preserve"> </w:t>
      </w:r>
      <w:r>
        <w:rPr>
          <w:rFonts w:ascii="Arial"/>
          <w:color w:val="000000"/>
          <w:sz w:val="24"/>
        </w:rPr>
        <w:t xml:space="preserve">I have </w:t>
      </w:r>
      <w:r>
        <w:rPr>
          <w:rFonts w:ascii="Arial"/>
          <w:color w:val="000000"/>
          <w:sz w:val="24"/>
        </w:rPr>
        <w:t xml:space="preserve">just </w:t>
      </w:r>
      <w:r>
        <w:rPr>
          <w:rFonts w:ascii="Arial"/>
          <w:color w:val="000000"/>
          <w:sz w:val="24"/>
        </w:rPr>
        <w:t>described is important</w:t>
      </w:r>
      <w:r>
        <w:rPr>
          <w:rFonts w:ascii="Arial"/>
          <w:color w:val="000000"/>
          <w:sz w:val="24"/>
        </w:rPr>
        <w:t xml:space="preserve"> </w:t>
      </w:r>
      <w:r>
        <w:rPr>
          <w:rFonts w:ascii="Arial"/>
          <w:color w:val="000000"/>
          <w:sz w:val="24"/>
        </w:rPr>
        <w:t>in the present case</w:t>
      </w:r>
      <w:r>
        <w:rPr>
          <w:rFonts w:ascii="Arial"/>
          <w:color w:val="000000"/>
          <w:sz w:val="24"/>
        </w:rPr>
        <w:t>.</w:t>
      </w:r>
      <w:r>
        <w:rPr>
          <w:rFonts w:ascii="Arial"/>
          <w:color w:val="000000"/>
          <w:sz w:val="24"/>
        </w:rPr>
        <w:t xml:space="preserve"> </w:t>
      </w:r>
      <w:r>
        <w:rPr>
          <w:rFonts w:ascii="Arial"/>
          <w:color w:val="000000"/>
          <w:sz w:val="24"/>
        </w:rPr>
        <w:t>This is because, in relation to the first issue, the case was conducted on the basis that the decision to make a construction certificate was amenable to review for jurisdictional error.</w:t>
      </w:r>
      <w:r>
        <w:rPr>
          <w:rFonts w:ascii="Arial"/>
          <w:color w:val="000000"/>
          <w:sz w:val="24"/>
        </w:rPr>
        <w:t xml:space="preserve"> </w:t>
      </w:r>
      <w:r>
        <w:rPr>
          <w:rFonts w:ascii="Arial"/>
          <w:color w:val="000000"/>
          <w:sz w:val="24"/>
        </w:rPr>
        <w:t>The appellant</w:t>
      </w:r>
      <w:r>
        <w:rPr>
          <w:rFonts w:ascii="Arial"/>
          <w:color w:val="000000"/>
          <w:sz w:val="24"/>
        </w:rPr>
        <w:t>s</w:t>
      </w:r>
      <w:r>
        <w:rPr>
          <w:rFonts w:ascii="Arial"/>
          <w:color w:val="000000"/>
          <w:sz w:val="24"/>
        </w:rPr>
        <w:t xml:space="preserve"> </w:t>
      </w:r>
      <w:r>
        <w:rPr>
          <w:rFonts w:ascii="Arial"/>
          <w:color w:val="000000"/>
          <w:sz w:val="24"/>
        </w:rPr>
        <w:t>accepted this premise</w:t>
      </w:r>
      <w:r>
        <w:rPr>
          <w:rFonts w:ascii="Arial"/>
          <w:color w:val="000000"/>
          <w:sz w:val="24"/>
        </w:rPr>
        <w:t xml:space="preserve"> </w:t>
      </w:r>
      <w:r>
        <w:rPr>
          <w:rFonts w:ascii="Arial"/>
          <w:color w:val="000000"/>
          <w:sz w:val="24"/>
        </w:rPr>
        <w:t xml:space="preserve">that </w:t>
      </w:r>
      <w:r>
        <w:rPr>
          <w:rFonts w:ascii="Arial"/>
          <w:color w:val="000000"/>
          <w:sz w:val="24"/>
        </w:rPr>
        <w:t>“</w:t>
      </w:r>
      <w:r>
        <w:rPr>
          <w:rFonts w:ascii="Arial"/>
          <w:color w:val="000000"/>
          <w:sz w:val="24"/>
        </w:rPr>
        <w:t>[t]he ability to challenge on the basis of a jurisdictional error is available</w:t>
      </w:r>
      <w:r>
        <w:rPr>
          <w:rFonts w:ascii="Arial"/>
          <w:color w:val="000000"/>
          <w:sz w:val="24"/>
        </w:rPr>
        <w:t>”</w:t>
      </w:r>
      <w:r>
        <w:rPr>
          <w:rFonts w:ascii="Arial"/>
          <w:color w:val="000000"/>
          <w:sz w:val="24"/>
        </w:rPr>
        <w:t xml:space="preserve">. </w:t>
      </w:r>
      <w:r>
        <w:rPr>
          <w:rFonts w:ascii="Arial"/>
          <w:color w:val="000000"/>
          <w:sz w:val="24"/>
        </w:rPr>
        <w:t xml:space="preserve">That is, </w:t>
      </w:r>
      <w:r>
        <w:rPr>
          <w:rFonts w:ascii="Arial"/>
          <w:color w:val="000000"/>
          <w:sz w:val="24"/>
        </w:rPr>
        <w:t>a sufficiently important</w:t>
      </w:r>
      <w:r>
        <w:rPr>
          <w:rFonts w:ascii="Arial"/>
          <w:color w:val="000000"/>
          <w:sz w:val="24"/>
        </w:rPr>
        <w:t xml:space="preserve"> </w:t>
      </w:r>
      <w:r>
        <w:rPr>
          <w:rFonts w:ascii="Arial"/>
          <w:color w:val="000000"/>
          <w:sz w:val="24"/>
        </w:rPr>
        <w:t xml:space="preserve">error in making and issuing a construction certificate would be jurisdictional and not an error within jurisdiction. </w:t>
      </w:r>
    </w:p>
    <w:p>
      <w:pPr>
        <w:pStyle w:val="CaselawNumbered10"/>
        <w:numPr>
          <w:ilvl w:val="0"/>
          <w:numId w:val="114"/>
        </w:numPr>
        <w:spacing w:before="150" w:after="0"/>
        <w:ind w:left="600" w:hanging="600"/>
      </w:pPr>
      <w:r>
        <w:rPr>
          <w:rFonts w:ascii="Arial"/>
          <w:color w:val="000000"/>
          <w:sz w:val="24"/>
        </w:rPr>
        <w:t>There may have been a possible argument that as a matter of statutory construction</w:t>
      </w:r>
      <w:r>
        <w:rPr>
          <w:rFonts w:ascii="Arial"/>
          <w:color w:val="000000"/>
          <w:sz w:val="24"/>
        </w:rPr>
        <w:t xml:space="preserve">, </w:t>
      </w:r>
      <w:r>
        <w:rPr>
          <w:rFonts w:ascii="Arial"/>
          <w:color w:val="000000"/>
          <w:sz w:val="24"/>
        </w:rPr>
        <w:t>s 6.32 of the EPA Act</w:t>
      </w:r>
      <w:r>
        <w:rPr>
          <w:rFonts w:ascii="Arial"/>
          <w:color w:val="000000"/>
          <w:sz w:val="24"/>
        </w:rPr>
        <w:t xml:space="preserve"> </w:t>
      </w:r>
      <w:r>
        <w:rPr>
          <w:rFonts w:ascii="Arial"/>
          <w:color w:val="000000"/>
          <w:sz w:val="24"/>
        </w:rPr>
        <w:t>was</w:t>
      </w:r>
      <w:r>
        <w:rPr>
          <w:rFonts w:ascii="Arial"/>
          <w:color w:val="000000"/>
          <w:sz w:val="24"/>
        </w:rPr>
        <w:t xml:space="preserve"> </w:t>
      </w:r>
      <w:r>
        <w:rPr>
          <w:rFonts w:ascii="Arial"/>
          <w:color w:val="000000"/>
          <w:sz w:val="24"/>
        </w:rPr>
        <w:t xml:space="preserve">a time limited privative provision, </w:t>
      </w:r>
      <w:r>
        <w:rPr>
          <w:rFonts w:ascii="Arial"/>
          <w:color w:val="000000"/>
          <w:sz w:val="24"/>
        </w:rPr>
        <w:t xml:space="preserve">which </w:t>
      </w:r>
      <w:r>
        <w:rPr>
          <w:rFonts w:ascii="Arial"/>
          <w:color w:val="000000"/>
          <w:sz w:val="24"/>
        </w:rPr>
        <w:t>in context, exclude</w:t>
      </w:r>
      <w:r>
        <w:rPr>
          <w:rFonts w:ascii="Arial"/>
          <w:color w:val="000000"/>
          <w:sz w:val="24"/>
        </w:rPr>
        <w:t>d</w:t>
      </w:r>
      <w:r>
        <w:rPr>
          <w:rFonts w:ascii="Arial"/>
          <w:color w:val="000000"/>
          <w:sz w:val="24"/>
        </w:rPr>
        <w:t xml:space="preserve"> </w:t>
      </w:r>
      <w:r>
        <w:rPr>
          <w:rFonts w:ascii="Arial"/>
          <w:color w:val="000000"/>
          <w:sz w:val="24"/>
        </w:rPr>
        <w:t xml:space="preserve">judicial review </w:t>
      </w:r>
      <w:r>
        <w:rPr>
          <w:rFonts w:ascii="Arial"/>
          <w:color w:val="000000"/>
          <w:sz w:val="24"/>
        </w:rPr>
        <w:t>for jurisdictional error.</w:t>
      </w:r>
      <w:r>
        <w:rPr>
          <w:rFonts w:ascii="Arial"/>
          <w:color w:val="000000"/>
          <w:sz w:val="24"/>
        </w:rPr>
        <w:t xml:space="preserve"> </w:t>
      </w:r>
      <w:r>
        <w:rPr>
          <w:rFonts w:ascii="Arial"/>
          <w:color w:val="000000"/>
          <w:sz w:val="24"/>
        </w:rPr>
        <w:t>A</w:t>
      </w:r>
      <w:r>
        <w:rPr>
          <w:rFonts w:ascii="Arial"/>
          <w:color w:val="000000"/>
          <w:sz w:val="24"/>
        </w:rPr>
        <w:t xml:space="preserve">ny suggestion that </w:t>
      </w:r>
      <w:r>
        <w:rPr>
          <w:rFonts w:ascii="Arial"/>
          <w:color w:val="000000"/>
          <w:sz w:val="24"/>
        </w:rPr>
        <w:t>an</w:t>
      </w:r>
      <w:r>
        <w:rPr>
          <w:rFonts w:ascii="Arial"/>
          <w:color w:val="000000"/>
          <w:sz w:val="24"/>
        </w:rPr>
        <w:t xml:space="preserve"> </w:t>
      </w:r>
      <w:r>
        <w:rPr>
          <w:rFonts w:ascii="Arial"/>
          <w:color w:val="000000"/>
          <w:sz w:val="24"/>
        </w:rPr>
        <w:t xml:space="preserve">argument </w:t>
      </w:r>
      <w:r>
        <w:rPr>
          <w:rFonts w:ascii="Arial"/>
          <w:color w:val="000000"/>
          <w:sz w:val="24"/>
        </w:rPr>
        <w:t xml:space="preserve">of this kind </w:t>
      </w:r>
      <w:r>
        <w:rPr>
          <w:rFonts w:ascii="Arial"/>
          <w:color w:val="000000"/>
          <w:sz w:val="24"/>
        </w:rPr>
        <w:t>was being pursued was disavowed by senior counsel for the appellants.</w:t>
      </w:r>
      <w:r>
        <w:rPr>
          <w:rFonts w:ascii="Arial"/>
          <w:color w:val="000000"/>
          <w:sz w:val="24"/>
        </w:rPr>
        <w:t xml:space="preserve"> </w:t>
      </w:r>
      <w:r>
        <w:rPr>
          <w:rFonts w:ascii="Arial"/>
          <w:color w:val="000000"/>
          <w:sz w:val="24"/>
        </w:rPr>
        <w:t>I thus express no views about its likely merits.</w:t>
      </w:r>
      <w:r>
        <w:rPr>
          <w:rFonts w:ascii="Arial"/>
          <w:color w:val="000000"/>
          <w:sz w:val="24"/>
        </w:rPr>
        <w:t xml:space="preserve"> </w:t>
      </w:r>
    </w:p>
    <w:p>
      <w:pPr>
        <w:pStyle w:val="CaselawHeading4"/>
        <w:keepNext/>
        <w:spacing w:before="150" w:after="150" w:line="264"/>
        <w:ind w:left="600"/>
        <w:jc w:val="left"/>
      </w:pPr>
      <w:r>
        <w:rPr>
          <w:rFonts w:ascii="Arial"/>
        </w:rPr>
        <w:t xml:space="preserve">The effect of </w:t>
      </w:r>
      <w:r>
        <w:rPr>
          <w:rFonts w:ascii="Arial"/>
        </w:rPr>
        <w:t>the finding of jurisdictional error in this case</w:t>
      </w:r>
    </w:p>
    <w:p>
      <w:pPr>
        <w:pStyle w:val="CaselawNumbered10"/>
        <w:numPr>
          <w:ilvl w:val="0"/>
          <w:numId w:val="115"/>
        </w:numPr>
        <w:spacing w:before="150" w:after="0"/>
        <w:ind w:left="600" w:hanging="600"/>
      </w:pPr>
      <w:r>
        <w:rPr>
          <w:rFonts w:ascii="Arial"/>
          <w:color w:val="000000"/>
          <w:sz w:val="24"/>
        </w:rPr>
        <w:t xml:space="preserve">As to the second issue, </w:t>
      </w:r>
      <w:r>
        <w:rPr>
          <w:rFonts w:ascii="Arial"/>
          <w:color w:val="000000"/>
          <w:sz w:val="24"/>
        </w:rPr>
        <w:t xml:space="preserve">on the assumption that grounds 1-3 were otherwise dismissed, </w:t>
      </w:r>
      <w:r>
        <w:rPr>
          <w:rFonts w:ascii="Arial"/>
          <w:color w:val="000000"/>
          <w:sz w:val="24"/>
        </w:rPr>
        <w:t xml:space="preserve">both parties were content with the orders made by the primary judge to set aside the construction certificate in part. The Council submitted that the power to set aside part of the </w:t>
      </w:r>
      <w:r>
        <w:rPr>
          <w:rFonts w:ascii="Arial"/>
          <w:color w:val="000000"/>
          <w:sz w:val="24"/>
        </w:rPr>
        <w:t xml:space="preserve">construction certificate </w:t>
      </w:r>
      <w:r>
        <w:rPr>
          <w:rFonts w:ascii="Arial"/>
          <w:color w:val="000000"/>
          <w:sz w:val="24"/>
        </w:rPr>
        <w:t xml:space="preserve">was contained in former s 124 (now 9.46) of the </w:t>
      </w:r>
      <w:r>
        <w:rPr>
          <w:rFonts w:ascii="Arial"/>
          <w:color w:val="000000"/>
          <w:sz w:val="24"/>
        </w:rPr>
        <w:t>EPA Act</w:t>
      </w:r>
      <w:r>
        <w:rPr>
          <w:rFonts w:ascii="Arial"/>
          <w:color w:val="000000"/>
          <w:sz w:val="24"/>
        </w:rPr>
        <w:t xml:space="preserve">. </w:t>
      </w:r>
      <w:r>
        <w:rPr>
          <w:rFonts w:ascii="Arial"/>
          <w:color w:val="000000"/>
          <w:sz w:val="24"/>
        </w:rPr>
        <w:t xml:space="preserve">I have extracted s 9.46 </w:t>
      </w:r>
      <w:r>
        <w:rPr>
          <w:rFonts w:ascii="Arial"/>
          <w:color w:val="000000"/>
          <w:sz w:val="24"/>
        </w:rPr>
        <w:t>at</w:t>
      </w:r>
      <w:r>
        <w:rPr>
          <w:rFonts w:ascii="Arial"/>
          <w:color w:val="000000"/>
          <w:sz w:val="24"/>
        </w:rPr>
        <w:t xml:space="preserve"> </w:t>
      </w:r>
      <w:r>
        <w:rPr>
          <w:rFonts w:ascii="Arial"/>
          <w:color w:val="000000"/>
          <w:sz w:val="24"/>
        </w:rPr>
        <w:t>[</w:t>
      </w:r>
      <w:hyperlink r:id="rId30">
        <w:r>
          <w:rPr>
            <w:rFonts w:ascii="Arial"/>
            <w:color w:val="000000"/>
            <w:sz w:val="24"/>
            <w:u w:val="single"/>
          </w:rPr>
          <w:t/>
        </w:r>
        <w:r>
          <w:rPr>
            <w:rFonts w:ascii="Arial"/>
            <w:color w:val="000000"/>
            <w:sz w:val="24"/>
          </w:rPr>
          <w:t>53</w:t>
        </w:r>
      </w:hyperlink>
      <w:hyperlink r:id="rId31">
        <w:r>
          <w:rPr>
            <w:rFonts w:ascii="Arial"/>
            <w:color w:val="000000"/>
            <w:sz w:val="24"/>
          </w:rPr>
          <w:t/>
        </w:r>
      </w:hyperlink>
      <w:r>
        <w:rPr>
          <w:rFonts w:ascii="Arial"/>
          <w:color w:val="000000"/>
          <w:sz w:val="24"/>
        </w:rPr>
        <w:t>]</w:t>
      </w:r>
      <w:r>
        <w:rPr>
          <w:rFonts w:ascii="Arial"/>
          <w:color w:val="000000"/>
          <w:sz w:val="24"/>
        </w:rPr>
        <w:t xml:space="preserve"> </w:t>
      </w:r>
      <w:r>
        <w:rPr>
          <w:rFonts w:ascii="Arial"/>
          <w:color w:val="000000"/>
          <w:sz w:val="24"/>
        </w:rPr>
        <w:t xml:space="preserve">above, </w:t>
      </w:r>
    </w:p>
    <w:p>
      <w:pPr>
        <w:pStyle w:val="CaselawNumbered10"/>
        <w:numPr>
          <w:ilvl w:val="0"/>
          <w:numId w:val="115"/>
        </w:numPr>
        <w:spacing w:before="150" w:after="0"/>
        <w:ind w:left="600" w:hanging="600"/>
      </w:pPr>
      <w:r>
        <w:rPr>
          <w:rFonts w:ascii="Arial"/>
          <w:color w:val="000000"/>
          <w:sz w:val="24"/>
        </w:rPr>
        <w:t xml:space="preserve">The Council submitted that s 9.46(1) supported the making of the order by the primary judge, and cited </w:t>
      </w:r>
      <w:r>
        <w:rPr>
          <w:rFonts w:ascii="Arial"/>
          <w:i/>
          <w:color w:val="000000"/>
          <w:sz w:val="24"/>
        </w:rPr>
        <w:t>Tanlane</w:t>
      </w:r>
      <w:r>
        <w:rPr>
          <w:rFonts w:ascii="Arial"/>
          <w:i/>
          <w:color w:val="000000"/>
          <w:sz w:val="24"/>
        </w:rPr>
        <w:t xml:space="preserve"> </w:t>
      </w:r>
      <w:r>
        <w:rPr>
          <w:rFonts w:ascii="Arial"/>
          <w:color w:val="000000"/>
          <w:sz w:val="24"/>
        </w:rPr>
        <w:t>in support.</w:t>
      </w:r>
      <w:r>
        <w:rPr>
          <w:rFonts w:ascii="Arial"/>
          <w:color w:val="000000"/>
          <w:sz w:val="24"/>
        </w:rPr>
        <w:t xml:space="preserve"> </w:t>
      </w:r>
      <w:r>
        <w:rPr>
          <w:rFonts w:ascii="Arial"/>
          <w:color w:val="000000"/>
          <w:sz w:val="24"/>
        </w:rPr>
        <w:t xml:space="preserve">In </w:t>
      </w:r>
      <w:r>
        <w:rPr>
          <w:rFonts w:ascii="Arial"/>
          <w:i/>
          <w:color w:val="000000"/>
          <w:sz w:val="24"/>
        </w:rPr>
        <w:t>Tanlane</w:t>
      </w:r>
      <w:r>
        <w:rPr>
          <w:rFonts w:ascii="Arial"/>
          <w:color w:val="000000"/>
          <w:sz w:val="24"/>
        </w:rPr>
        <w:t xml:space="preserve">, the Court was faced with a submission that </w:t>
      </w:r>
      <w:r>
        <w:rPr>
          <w:rFonts w:ascii="Arial"/>
          <w:color w:val="000000"/>
          <w:sz w:val="24"/>
        </w:rPr>
        <w:t>“</w:t>
      </w:r>
      <w:r>
        <w:rPr>
          <w:rFonts w:ascii="Arial"/>
          <w:color w:val="000000"/>
          <w:sz w:val="24"/>
        </w:rPr>
        <w:t xml:space="preserve">these proceedings have been and are, we contend </w:t>
      </w:r>
      <w:r>
        <w:rPr>
          <w:rFonts w:ascii="Arial"/>
          <w:color w:val="000000"/>
          <w:sz w:val="24"/>
        </w:rPr>
        <w:t>…</w:t>
      </w:r>
      <w:r>
        <w:rPr>
          <w:rFonts w:ascii="Arial"/>
          <w:color w:val="000000"/>
          <w:sz w:val="24"/>
        </w:rPr>
        <w:t xml:space="preserve"> </w:t>
      </w:r>
      <w:r>
        <w:rPr>
          <w:rFonts w:ascii="Arial"/>
          <w:color w:val="000000"/>
          <w:sz w:val="24"/>
        </w:rPr>
        <w:t>judicial review proceedings</w:t>
      </w:r>
      <w:r>
        <w:rPr>
          <w:rFonts w:ascii="Arial"/>
          <w:color w:val="000000"/>
          <w:sz w:val="24"/>
        </w:rPr>
        <w:t>”</w:t>
      </w:r>
      <w:r>
        <w:rPr>
          <w:rFonts w:ascii="Arial"/>
          <w:color w:val="000000"/>
          <w:sz w:val="24"/>
        </w:rPr>
        <w:t xml:space="preserve"> </w:t>
      </w:r>
      <w:r>
        <w:rPr>
          <w:rFonts w:ascii="Arial"/>
          <w:color w:val="000000"/>
          <w:sz w:val="24"/>
        </w:rPr>
        <w:t xml:space="preserve">and not </w:t>
      </w:r>
      <w:r>
        <w:rPr>
          <w:rFonts w:ascii="Arial"/>
          <w:color w:val="000000"/>
          <w:sz w:val="24"/>
        </w:rPr>
        <w:t>“</w:t>
      </w:r>
      <w:r>
        <w:rPr>
          <w:rFonts w:ascii="Arial"/>
          <w:color w:val="000000"/>
          <w:sz w:val="24"/>
        </w:rPr>
        <w:t>civil enforcement in which [the appellant] can contend there has been a breach and that breach should be remedied pursuant to s 124</w:t>
      </w:r>
      <w:r>
        <w:rPr>
          <w:rFonts w:ascii="Arial"/>
          <w:color w:val="000000"/>
          <w:sz w:val="24"/>
        </w:rPr>
        <w:t>”</w:t>
      </w:r>
      <w:r>
        <w:rPr>
          <w:rFonts w:ascii="Arial"/>
          <w:color w:val="000000"/>
          <w:sz w:val="24"/>
        </w:rPr>
        <w:t xml:space="preserve">. </w:t>
      </w:r>
      <w:r>
        <w:rPr>
          <w:rFonts w:ascii="Arial"/>
          <w:color w:val="000000"/>
          <w:sz w:val="24"/>
        </w:rPr>
        <w:t xml:space="preserve">Importantly, for present purposes, this Court </w:t>
      </w:r>
      <w:r>
        <w:rPr>
          <w:rFonts w:ascii="Arial"/>
          <w:color w:val="000000"/>
          <w:sz w:val="24"/>
        </w:rPr>
        <w:t xml:space="preserve">rejected that submission and </w:t>
      </w:r>
      <w:r>
        <w:rPr>
          <w:rFonts w:ascii="Arial"/>
          <w:color w:val="000000"/>
          <w:sz w:val="24"/>
        </w:rPr>
        <w:t xml:space="preserve">decided that </w:t>
      </w:r>
      <w:r>
        <w:rPr>
          <w:rFonts w:ascii="Arial"/>
          <w:color w:val="000000"/>
          <w:sz w:val="24"/>
        </w:rPr>
        <w:t>both judicial review and civil enforcement for breach had been pleaded and litigated (see my judgment at [78]-[82]).</w:t>
      </w:r>
    </w:p>
    <w:p>
      <w:pPr>
        <w:pStyle w:val="CaselawNumbered10"/>
        <w:numPr>
          <w:ilvl w:val="0"/>
          <w:numId w:val="115"/>
        </w:numPr>
        <w:spacing w:before="150" w:after="0"/>
        <w:ind w:left="600" w:hanging="600"/>
      </w:pPr>
      <w:r>
        <w:rPr>
          <w:rFonts w:ascii="Arial"/>
          <w:color w:val="000000"/>
          <w:sz w:val="24"/>
        </w:rPr>
        <w:t xml:space="preserve">My judgment in </w:t>
      </w:r>
      <w:r>
        <w:rPr>
          <w:rFonts w:ascii="Arial"/>
          <w:i/>
          <w:color w:val="000000"/>
          <w:sz w:val="24"/>
        </w:rPr>
        <w:t>Tanlane</w:t>
      </w:r>
      <w:r>
        <w:rPr>
          <w:rFonts w:ascii="Arial"/>
          <w:color w:val="000000"/>
          <w:sz w:val="24"/>
        </w:rPr>
        <w:t xml:space="preserve">, which was cited by the Council in support, is diametrically opposed to the submission that s 9.46 orders may be made in judicial review proceedings. My conclusion in </w:t>
      </w:r>
      <w:r>
        <w:rPr>
          <w:rFonts w:ascii="Arial"/>
          <w:i/>
          <w:color w:val="000000"/>
          <w:sz w:val="24"/>
        </w:rPr>
        <w:t>Tanlane</w:t>
      </w:r>
      <w:r>
        <w:rPr>
          <w:rFonts w:ascii="Arial"/>
          <w:i/>
          <w:color w:val="000000"/>
          <w:sz w:val="24"/>
        </w:rPr>
        <w:t xml:space="preserve"> </w:t>
      </w:r>
      <w:r>
        <w:rPr>
          <w:rFonts w:ascii="Arial"/>
          <w:color w:val="000000"/>
          <w:sz w:val="24"/>
        </w:rPr>
        <w:t>at</w:t>
      </w:r>
      <w:r>
        <w:rPr>
          <w:rFonts w:ascii="Arial"/>
          <w:i/>
          <w:color w:val="000000"/>
          <w:sz w:val="24"/>
        </w:rPr>
        <w:t xml:space="preserve"> </w:t>
      </w:r>
      <w:r>
        <w:rPr>
          <w:rFonts w:ascii="Arial"/>
          <w:color w:val="000000"/>
          <w:sz w:val="24"/>
        </w:rPr>
        <w:t>[78]-[82]</w:t>
      </w:r>
      <w:r>
        <w:rPr>
          <w:rFonts w:ascii="Arial"/>
          <w:i/>
          <w:color w:val="000000"/>
          <w:sz w:val="24"/>
        </w:rPr>
        <w:t xml:space="preserve"> </w:t>
      </w:r>
      <w:r>
        <w:rPr>
          <w:rFonts w:ascii="Arial"/>
          <w:color w:val="000000"/>
          <w:sz w:val="24"/>
        </w:rPr>
        <w:t xml:space="preserve">was that the pleading </w:t>
      </w:r>
      <w:r>
        <w:rPr>
          <w:rFonts w:ascii="Arial"/>
          <w:color w:val="000000"/>
          <w:sz w:val="24"/>
        </w:rPr>
        <w:t xml:space="preserve">by the appellant in that case </w:t>
      </w:r>
      <w:r>
        <w:rPr>
          <w:rFonts w:ascii="Arial"/>
          <w:color w:val="000000"/>
          <w:sz w:val="24"/>
        </w:rPr>
        <w:t xml:space="preserve">of s 9.46 (then numbered s 124) made clear that the case was </w:t>
      </w:r>
      <w:r>
        <w:rPr>
          <w:rFonts w:ascii="Arial"/>
          <w:i/>
          <w:color w:val="000000"/>
          <w:sz w:val="24"/>
        </w:rPr>
        <w:t>not</w:t>
      </w:r>
      <w:r>
        <w:rPr>
          <w:rFonts w:ascii="Arial"/>
          <w:color w:val="000000"/>
          <w:sz w:val="24"/>
        </w:rPr>
        <w:t xml:space="preserve"> </w:t>
      </w:r>
      <w:r>
        <w:rPr>
          <w:rFonts w:ascii="Arial"/>
          <w:color w:val="000000"/>
          <w:sz w:val="24"/>
        </w:rPr>
        <w:t xml:space="preserve">limited to judicial review proceedings commenced under s 20(2) of the </w:t>
      </w:r>
      <w:r>
        <w:rPr>
          <w:rFonts w:ascii="Arial"/>
          <w:i/>
          <w:color w:val="000000"/>
          <w:sz w:val="24"/>
        </w:rPr>
        <w:t>Land and Environment Court Act</w:t>
      </w:r>
      <w:r>
        <w:rPr>
          <w:rFonts w:ascii="Arial"/>
          <w:color w:val="000000"/>
          <w:sz w:val="24"/>
        </w:rPr>
        <w:t xml:space="preserve">; </w:t>
      </w:r>
      <w:r>
        <w:rPr>
          <w:rFonts w:ascii="Arial"/>
          <w:color w:val="000000"/>
          <w:sz w:val="24"/>
        </w:rPr>
        <w:t xml:space="preserve">that is, that the breach or apprehended breach of the EPA Act case advanced by the appellant in </w:t>
      </w:r>
      <w:r>
        <w:rPr>
          <w:rFonts w:ascii="Arial"/>
          <w:i/>
          <w:color w:val="000000"/>
          <w:sz w:val="24"/>
        </w:rPr>
        <w:t>Tanlane</w:t>
      </w:r>
      <w:r>
        <w:rPr>
          <w:rFonts w:ascii="Arial"/>
          <w:color w:val="000000"/>
          <w:sz w:val="24"/>
        </w:rPr>
        <w:t xml:space="preserve"> </w:t>
      </w:r>
      <w:r>
        <w:rPr>
          <w:rFonts w:ascii="Arial"/>
          <w:color w:val="000000"/>
          <w:sz w:val="24"/>
        </w:rPr>
        <w:t>had been pleaded.</w:t>
      </w:r>
      <w:r>
        <w:rPr>
          <w:rFonts w:ascii="Arial"/>
          <w:color w:val="000000"/>
          <w:sz w:val="24"/>
        </w:rPr>
        <w:t xml:space="preserve"> </w:t>
      </w:r>
      <w:r>
        <w:rPr>
          <w:rFonts w:ascii="Arial"/>
          <w:color w:val="000000"/>
          <w:sz w:val="24"/>
        </w:rPr>
        <w:t>The fact that both types of case were engaged</w:t>
      </w:r>
      <w:r>
        <w:rPr>
          <w:rFonts w:ascii="Arial"/>
          <w:color w:val="000000"/>
          <w:sz w:val="24"/>
        </w:rPr>
        <w:t xml:space="preserve"> </w:t>
      </w:r>
      <w:r>
        <w:rPr>
          <w:rFonts w:ascii="Arial"/>
          <w:color w:val="000000"/>
          <w:sz w:val="24"/>
        </w:rPr>
        <w:t xml:space="preserve">also </w:t>
      </w:r>
      <w:r>
        <w:rPr>
          <w:rFonts w:ascii="Arial"/>
          <w:color w:val="000000"/>
          <w:sz w:val="24"/>
        </w:rPr>
        <w:t xml:space="preserve">explains the passage in </w:t>
      </w:r>
      <w:r>
        <w:rPr>
          <w:rFonts w:ascii="Arial"/>
          <w:i/>
          <w:color w:val="000000"/>
          <w:sz w:val="24"/>
        </w:rPr>
        <w:t>Tanlane</w:t>
      </w:r>
      <w:r>
        <w:rPr>
          <w:rFonts w:ascii="Arial"/>
          <w:i/>
          <w:color w:val="000000"/>
          <w:sz w:val="24"/>
        </w:rPr>
        <w:t xml:space="preserve"> </w:t>
      </w:r>
      <w:r>
        <w:rPr>
          <w:rFonts w:ascii="Arial"/>
          <w:color w:val="000000"/>
          <w:sz w:val="24"/>
        </w:rPr>
        <w:t xml:space="preserve">relied upon by the </w:t>
      </w:r>
      <w:r>
        <w:rPr>
          <w:rFonts w:ascii="Arial"/>
          <w:color w:val="000000"/>
          <w:sz w:val="24"/>
        </w:rPr>
        <w:t>Council</w:t>
      </w:r>
      <w:r>
        <w:rPr>
          <w:rFonts w:ascii="Arial"/>
          <w:color w:val="000000"/>
          <w:sz w:val="24"/>
        </w:rPr>
        <w:t xml:space="preserve"> </w:t>
      </w:r>
      <w:r>
        <w:rPr>
          <w:rFonts w:ascii="Arial"/>
          <w:color w:val="000000"/>
          <w:sz w:val="24"/>
        </w:rPr>
        <w:t xml:space="preserve">here </w:t>
      </w:r>
      <w:r>
        <w:rPr>
          <w:rFonts w:ascii="Arial"/>
          <w:color w:val="000000"/>
          <w:sz w:val="24"/>
        </w:rPr>
        <w:t xml:space="preserve">where </w:t>
      </w:r>
      <w:r>
        <w:rPr>
          <w:rFonts w:ascii="Arial"/>
          <w:color w:val="000000"/>
          <w:sz w:val="24"/>
        </w:rPr>
        <w:t>Basten</w:t>
      </w:r>
      <w:r>
        <w:rPr>
          <w:rFonts w:ascii="Arial"/>
          <w:color w:val="000000"/>
          <w:sz w:val="24"/>
        </w:rPr>
        <w:t xml:space="preserve"> </w:t>
      </w:r>
      <w:r>
        <w:rPr>
          <w:rFonts w:ascii="Arial"/>
          <w:color w:val="000000"/>
          <w:sz w:val="24"/>
        </w:rPr>
        <w:t>JA explained</w:t>
      </w:r>
      <w:r>
        <w:rPr>
          <w:rFonts w:ascii="Arial"/>
          <w:color w:val="000000"/>
          <w:sz w:val="24"/>
        </w:rPr>
        <w:t xml:space="preserve"> </w:t>
      </w:r>
      <w:r>
        <w:rPr>
          <w:rFonts w:ascii="Arial"/>
          <w:color w:val="000000"/>
          <w:sz w:val="24"/>
        </w:rPr>
        <w:t>that in proceedings referable to the EPA Act (</w:t>
      </w:r>
      <w:r>
        <w:rPr>
          <w:rFonts w:ascii="Arial"/>
          <w:color w:val="000000"/>
          <w:sz w:val="24"/>
        </w:rPr>
        <w:t>relating to</w:t>
      </w:r>
      <w:r>
        <w:rPr>
          <w:rFonts w:ascii="Arial"/>
          <w:color w:val="000000"/>
          <w:sz w:val="24"/>
        </w:rPr>
        <w:t xml:space="preserve"> </w:t>
      </w:r>
      <w:r>
        <w:rPr>
          <w:rFonts w:ascii="Arial"/>
          <w:color w:val="000000"/>
          <w:sz w:val="24"/>
        </w:rPr>
        <w:t xml:space="preserve">powers now found in 9.45 and 9.46 of the EPA Act) </w:t>
      </w:r>
      <w:r>
        <w:rPr>
          <w:rFonts w:ascii="Arial"/>
          <w:i/>
          <w:color w:val="000000"/>
          <w:sz w:val="24"/>
        </w:rPr>
        <w:t>and</w:t>
      </w:r>
      <w:r>
        <w:rPr>
          <w:rFonts w:ascii="Arial"/>
          <w:color w:val="000000"/>
          <w:sz w:val="24"/>
        </w:rPr>
        <w:t xml:space="preserve"> </w:t>
      </w:r>
      <w:r>
        <w:rPr>
          <w:rFonts w:ascii="Arial"/>
          <w:color w:val="000000"/>
          <w:sz w:val="24"/>
        </w:rPr>
        <w:t xml:space="preserve">the </w:t>
      </w:r>
      <w:r>
        <w:rPr>
          <w:rFonts w:ascii="Arial"/>
          <w:i/>
          <w:color w:val="000000"/>
          <w:sz w:val="24"/>
        </w:rPr>
        <w:t>Land and Environment Court Act</w:t>
      </w:r>
      <w:r>
        <w:rPr>
          <w:rFonts w:ascii="Arial"/>
          <w:color w:val="000000"/>
          <w:sz w:val="24"/>
        </w:rPr>
        <w:t xml:space="preserve"> </w:t>
      </w:r>
      <w:r>
        <w:rPr>
          <w:rFonts w:ascii="Arial"/>
          <w:color w:val="000000"/>
          <w:sz w:val="24"/>
        </w:rPr>
        <w:t xml:space="preserve">(which engaged an equivalent jurisdiction to that reflected in s 69 of the </w:t>
      </w:r>
      <w:r>
        <w:rPr>
          <w:rFonts w:ascii="Arial"/>
          <w:i/>
          <w:color w:val="000000"/>
          <w:sz w:val="24"/>
        </w:rPr>
        <w:t>Supreme Court Act</w:t>
      </w:r>
      <w:r>
        <w:rPr>
          <w:rFonts w:ascii="Arial"/>
          <w:color w:val="000000"/>
          <w:sz w:val="24"/>
        </w:rPr>
        <w:t xml:space="preserve"> </w:t>
      </w:r>
      <w:r>
        <w:rPr>
          <w:rFonts w:ascii="Arial"/>
          <w:color w:val="000000"/>
          <w:sz w:val="24"/>
        </w:rPr>
        <w:t>1970 (NSW))</w:t>
      </w:r>
      <w:r>
        <w:rPr>
          <w:rFonts w:ascii="Arial"/>
          <w:color w:val="000000"/>
          <w:sz w:val="24"/>
        </w:rPr>
        <w:t>,</w:t>
      </w:r>
      <w:r>
        <w:rPr>
          <w:rFonts w:ascii="Arial"/>
          <w:color w:val="000000"/>
          <w:sz w:val="24"/>
        </w:rPr>
        <w:t xml:space="preserve"> </w:t>
      </w:r>
      <w:r>
        <w:rPr>
          <w:rFonts w:ascii="Arial"/>
          <w:color w:val="000000"/>
          <w:sz w:val="24"/>
        </w:rPr>
        <w:t>“</w:t>
      </w:r>
      <w:r>
        <w:rPr>
          <w:rFonts w:ascii="Arial"/>
          <w:color w:val="000000"/>
          <w:sz w:val="24"/>
        </w:rPr>
        <w:t>the powers will be exercised by reference to both the statutory scheme and general law principles relevant to the validity of the exercise of statutory functions</w:t>
      </w:r>
      <w:r>
        <w:rPr>
          <w:rFonts w:ascii="Arial"/>
          <w:color w:val="000000"/>
          <w:sz w:val="24"/>
        </w:rPr>
        <w:t>”</w:t>
      </w:r>
      <w:r>
        <w:rPr>
          <w:rFonts w:ascii="Arial"/>
          <w:color w:val="000000"/>
          <w:sz w:val="24"/>
        </w:rPr>
        <w:t>.</w:t>
      </w:r>
      <w:r>
        <w:rPr>
          <w:rFonts w:ascii="Arial"/>
          <w:color w:val="000000"/>
          <w:sz w:val="24"/>
        </w:rPr>
        <w:t xml:space="preserve"> </w:t>
      </w:r>
      <w:r>
        <w:rPr>
          <w:rFonts w:ascii="Arial"/>
          <w:color w:val="000000"/>
          <w:sz w:val="24"/>
        </w:rPr>
        <w:t>His Honour said</w:t>
      </w:r>
      <w:r>
        <w:rPr>
          <w:rFonts w:ascii="Arial"/>
          <w:color w:val="000000"/>
          <w:sz w:val="24"/>
        </w:rPr>
        <w:t>:</w:t>
      </w:r>
    </w:p>
    <w:p>
      <w:pPr>
        <w:pStyle w:val="CaselawQuote"/>
        <w:spacing w:before="150" w:after="150"/>
        <w:ind w:left="1350"/>
        <w:jc w:val="left"/>
      </w:pPr>
      <w:r>
        <w:rPr>
          <w:rFonts w:ascii="Arial"/>
          <w:color w:val="000000"/>
          <w:sz w:val="22"/>
        </w:rPr>
        <w:t>“</w:t>
      </w:r>
      <w:r>
        <w:rPr>
          <w:rFonts w:ascii="Arial"/>
          <w:color w:val="000000"/>
          <w:sz w:val="22"/>
        </w:rPr>
        <w:t xml:space="preserve">[35] It is not necessary for present purposes to determine whether the relief available pursuant to ss 123 and 124 is broader than the powers of the </w:t>
      </w:r>
      <w:r>
        <w:rPr>
          <w:rFonts w:ascii="Arial"/>
          <w:color w:val="000000"/>
          <w:sz w:val="22"/>
        </w:rPr>
        <w:t>Supreme Court in exercising its judicial review jurisdiction to make quashing orders, direct the carrying out of a duty or grant injunctive relief. It is sufficient to note that, in general terms, similar forms of relief will be available in proceedings brought by way of judicial review under s 20(2)(b) of the Land and Environment Court Act. In proceedings referable to the jurisdiction conferred by the Planning Act and the Land and Environment Court Act, the powers will be exercised by reference to both the statutory scheme and general law principles relevant to the validity of the exercise of statutory functions.”</w:t>
      </w:r>
    </w:p>
    <w:p>
      <w:pPr>
        <w:pStyle w:val="CaselawNumbered10"/>
        <w:numPr>
          <w:ilvl w:val="0"/>
          <w:numId w:val="116"/>
        </w:numPr>
        <w:spacing w:before="150" w:after="0"/>
        <w:ind w:left="600" w:hanging="600"/>
      </w:pPr>
      <w:r>
        <w:rPr>
          <w:rFonts w:ascii="Arial"/>
          <w:color w:val="000000"/>
          <w:sz w:val="24"/>
        </w:rPr>
        <w:t xml:space="preserve">I harbour a doubt about whether </w:t>
      </w:r>
      <w:r>
        <w:rPr>
          <w:rFonts w:ascii="Arial"/>
          <w:color w:val="000000"/>
          <w:sz w:val="24"/>
        </w:rPr>
        <w:t xml:space="preserve">s 9.46 </w:t>
      </w:r>
      <w:r>
        <w:rPr>
          <w:rFonts w:ascii="Arial"/>
          <w:color w:val="000000"/>
          <w:sz w:val="24"/>
        </w:rPr>
        <w:t xml:space="preserve">of the EPA Act </w:t>
      </w:r>
      <w:r>
        <w:rPr>
          <w:rFonts w:ascii="Arial"/>
          <w:color w:val="000000"/>
          <w:sz w:val="24"/>
        </w:rPr>
        <w:t xml:space="preserve">provides a basis to make the order </w:t>
      </w:r>
      <w:r>
        <w:rPr>
          <w:rFonts w:ascii="Arial"/>
          <w:color w:val="000000"/>
          <w:sz w:val="24"/>
        </w:rPr>
        <w:t>of partial invalidity</w:t>
      </w:r>
      <w:r>
        <w:rPr>
          <w:rFonts w:ascii="Arial"/>
          <w:color w:val="000000"/>
          <w:sz w:val="24"/>
        </w:rPr>
        <w:t xml:space="preserve"> </w:t>
      </w:r>
      <w:r>
        <w:rPr>
          <w:rFonts w:ascii="Arial"/>
          <w:color w:val="000000"/>
          <w:sz w:val="24"/>
        </w:rPr>
        <w:t xml:space="preserve">made by the primary judge. This is not a case like </w:t>
      </w:r>
      <w:r>
        <w:rPr>
          <w:rFonts w:ascii="Arial"/>
          <w:i/>
          <w:color w:val="000000"/>
          <w:sz w:val="24"/>
        </w:rPr>
        <w:t>Tanlane</w:t>
      </w:r>
      <w:r>
        <w:rPr>
          <w:rFonts w:ascii="Arial"/>
          <w:color w:val="000000"/>
          <w:sz w:val="24"/>
        </w:rPr>
        <w:t xml:space="preserve">. The extent of the powers of the Supreme Court in exercising its judicial review jurisdiction, which are the powers engaged here, was not addressed by any ground of appeal or notice of contention. </w:t>
      </w:r>
      <w:r>
        <w:rPr>
          <w:rFonts w:ascii="Arial"/>
          <w:color w:val="000000"/>
          <w:sz w:val="24"/>
        </w:rPr>
        <w:t xml:space="preserve">As </w:t>
      </w:r>
      <w:r>
        <w:rPr>
          <w:rFonts w:ascii="Arial"/>
          <w:color w:val="000000"/>
          <w:sz w:val="24"/>
        </w:rPr>
        <w:t>Basten</w:t>
      </w:r>
      <w:r>
        <w:rPr>
          <w:rFonts w:ascii="Arial"/>
          <w:color w:val="000000"/>
          <w:sz w:val="24"/>
        </w:rPr>
        <w:t xml:space="preserve"> </w:t>
      </w:r>
      <w:r>
        <w:rPr>
          <w:rFonts w:ascii="Arial"/>
          <w:color w:val="000000"/>
          <w:sz w:val="24"/>
        </w:rPr>
        <w:t xml:space="preserve">JA said in the cited passage in </w:t>
      </w:r>
      <w:r>
        <w:rPr>
          <w:rFonts w:ascii="Arial"/>
          <w:i/>
          <w:color w:val="000000"/>
          <w:sz w:val="24"/>
        </w:rPr>
        <w:t>Tanlane</w:t>
      </w:r>
      <w:r>
        <w:rPr>
          <w:rFonts w:ascii="Arial"/>
          <w:color w:val="000000"/>
          <w:sz w:val="24"/>
        </w:rPr>
        <w:t xml:space="preserve">: </w:t>
      </w:r>
      <w:r>
        <w:rPr>
          <w:rFonts w:ascii="Arial"/>
          <w:color w:val="000000"/>
          <w:sz w:val="24"/>
        </w:rPr>
        <w:t>“</w:t>
      </w:r>
      <w:r>
        <w:rPr>
          <w:rFonts w:ascii="Arial"/>
          <w:color w:val="000000"/>
          <w:sz w:val="24"/>
        </w:rPr>
        <w:t>[</w:t>
      </w:r>
      <w:r>
        <w:rPr>
          <w:rFonts w:ascii="Arial"/>
          <w:color w:val="000000"/>
          <w:sz w:val="24"/>
        </w:rPr>
        <w:t>i</w:t>
      </w:r>
      <w:r>
        <w:rPr>
          <w:rFonts w:ascii="Arial"/>
          <w:color w:val="000000"/>
          <w:sz w:val="24"/>
        </w:rPr>
        <w:t>]t is not necessary for present purposes to determine whether the relief available pursuant to ss 123 and 124 is broader than the powers of the Supreme Court in exercising its judicial review jurisdiction to make quashing orders, direct the carrying out of a duty or grant injunctive relief.</w:t>
      </w:r>
      <w:r>
        <w:rPr>
          <w:rFonts w:ascii="Arial"/>
          <w:color w:val="000000"/>
          <w:sz w:val="24"/>
        </w:rPr>
        <w:t>”</w:t>
      </w:r>
      <w:r>
        <w:rPr>
          <w:rFonts w:ascii="Arial"/>
          <w:color w:val="000000"/>
          <w:sz w:val="24"/>
        </w:rPr>
        <w:t xml:space="preserve"> </w:t>
      </w:r>
    </w:p>
    <w:p>
      <w:pPr>
        <w:pStyle w:val="CaselawNumbered10"/>
        <w:numPr>
          <w:ilvl w:val="0"/>
          <w:numId w:val="116"/>
        </w:numPr>
        <w:spacing w:before="150" w:after="0"/>
        <w:ind w:left="600" w:hanging="600"/>
      </w:pPr>
      <w:r>
        <w:rPr>
          <w:rFonts w:ascii="Arial"/>
          <w:color w:val="000000"/>
          <w:sz w:val="24"/>
        </w:rPr>
        <w:t xml:space="preserve">Neither is such a determination necessary here. </w:t>
      </w:r>
      <w:r>
        <w:rPr>
          <w:rFonts w:ascii="Arial"/>
          <w:color w:val="000000"/>
          <w:sz w:val="24"/>
        </w:rPr>
        <w:t>As there has been no challenge by either party to the making of the order recorded at</w:t>
      </w:r>
      <w:r>
        <w:rPr>
          <w:rFonts w:ascii="Arial"/>
          <w:color w:val="000000"/>
          <w:sz w:val="24"/>
        </w:rPr>
        <w:t xml:space="preserve"> </w:t>
      </w:r>
      <w:r>
        <w:rPr>
          <w:rFonts w:ascii="Arial"/>
          <w:color w:val="000000"/>
          <w:sz w:val="24"/>
        </w:rPr>
        <w:t>[</w:t>
      </w:r>
      <w:hyperlink r:id="rId32">
        <w:r>
          <w:rPr>
            <w:rFonts w:ascii="Arial"/>
            <w:color w:val="000000"/>
            <w:sz w:val="24"/>
            <w:u w:val="single"/>
          </w:rPr>
          <w:t/>
        </w:r>
        <w:r>
          <w:rPr>
            <w:rFonts w:ascii="Arial"/>
            <w:color w:val="000000"/>
            <w:sz w:val="24"/>
          </w:rPr>
          <w:t>15</w:t>
        </w:r>
      </w:hyperlink>
      <w:hyperlink r:id="rId33">
        <w:r>
          <w:rPr>
            <w:rFonts w:ascii="Arial"/>
            <w:color w:val="000000"/>
            <w:sz w:val="24"/>
          </w:rPr>
          <w:t/>
        </w:r>
      </w:hyperlink>
      <w:r>
        <w:rPr>
          <w:rFonts w:ascii="Arial"/>
          <w:color w:val="000000"/>
          <w:sz w:val="24"/>
        </w:rPr>
        <w:t>]</w:t>
      </w:r>
      <w:r>
        <w:rPr>
          <w:rFonts w:ascii="Arial"/>
          <w:color w:val="000000"/>
          <w:sz w:val="24"/>
        </w:rPr>
        <w:t>, there is no basis to set aside the order of the primary judge. Resolution of this issue needs to await a case where the issue has been litigated.</w:t>
      </w:r>
    </w:p>
    <w:p>
      <w:pPr>
        <w:pStyle w:val="CaselawHeading4"/>
        <w:keepNext/>
        <w:spacing w:before="150" w:after="150" w:line="264"/>
        <w:ind w:left="600"/>
        <w:jc w:val="left"/>
      </w:pPr>
      <w:r>
        <w:rPr>
          <w:rFonts w:ascii="Arial"/>
        </w:rPr>
        <w:t xml:space="preserve">The effect of </w:t>
      </w:r>
      <w:r>
        <w:rPr>
          <w:rFonts w:ascii="Arial"/>
        </w:rPr>
        <w:t>Ralan</w:t>
      </w:r>
    </w:p>
    <w:p>
      <w:pPr>
        <w:pStyle w:val="CaselawNumbered10"/>
        <w:numPr>
          <w:ilvl w:val="0"/>
          <w:numId w:val="117"/>
        </w:numPr>
        <w:spacing w:before="150" w:after="0"/>
        <w:ind w:left="600" w:hanging="600"/>
      </w:pPr>
      <w:r>
        <w:rPr>
          <w:rFonts w:ascii="Arial"/>
          <w:i/>
          <w:color w:val="000000"/>
          <w:sz w:val="24"/>
        </w:rPr>
        <w:t>Ralan</w:t>
      </w:r>
      <w:r>
        <w:rPr>
          <w:rFonts w:ascii="Arial"/>
          <w:color w:val="000000"/>
          <w:sz w:val="24"/>
        </w:rPr>
        <w:t xml:space="preserve"> </w:t>
      </w:r>
      <w:r>
        <w:rPr>
          <w:rFonts w:ascii="Arial"/>
          <w:color w:val="000000"/>
          <w:sz w:val="24"/>
        </w:rPr>
        <w:t>is an important case about statutory construction. The facts were that by the time Class 4 proceedings were commenced, the strata development was complete. The development comprised three towers on a retail/commercial podium. It incorporated 268 residential units and 62 retail and commercial suites, together with parking and other ancillary facilities. Two of the towers had 19 levels and the third had 16 levels.</w:t>
      </w:r>
    </w:p>
    <w:p>
      <w:pPr>
        <w:pStyle w:val="CaselawNumbered10"/>
        <w:numPr>
          <w:ilvl w:val="0"/>
          <w:numId w:val="117"/>
        </w:numPr>
        <w:spacing w:before="150" w:after="0"/>
        <w:ind w:left="600" w:hanging="600"/>
      </w:pPr>
      <w:r>
        <w:rPr>
          <w:rFonts w:ascii="Arial"/>
          <w:color w:val="000000"/>
          <w:sz w:val="24"/>
        </w:rPr>
        <w:t>Critically, the proceedings were pursuant to s 123 of the EPA Act</w:t>
      </w:r>
      <w:r>
        <w:rPr>
          <w:rFonts w:ascii="Arial"/>
          <w:color w:val="000000"/>
          <w:sz w:val="24"/>
        </w:rPr>
        <w:t xml:space="preserve"> </w:t>
      </w:r>
      <w:r>
        <w:rPr>
          <w:rFonts w:ascii="Arial"/>
          <w:color w:val="000000"/>
          <w:sz w:val="24"/>
        </w:rPr>
        <w:t xml:space="preserve">(now 9.45) </w:t>
      </w:r>
      <w:r>
        <w:rPr>
          <w:rFonts w:ascii="Arial"/>
          <w:color w:val="000000"/>
          <w:sz w:val="24"/>
        </w:rPr>
        <w:t>and r</w:t>
      </w:r>
      <w:r>
        <w:rPr>
          <w:rFonts w:ascii="Arial"/>
          <w:color w:val="000000"/>
          <w:sz w:val="24"/>
        </w:rPr>
        <w:t xml:space="preserve">elief was sought pursuant </w:t>
      </w:r>
      <w:r>
        <w:rPr>
          <w:rFonts w:ascii="Arial"/>
          <w:color w:val="000000"/>
          <w:sz w:val="24"/>
        </w:rPr>
        <w:t xml:space="preserve">to </w:t>
      </w:r>
      <w:r>
        <w:rPr>
          <w:rFonts w:ascii="Arial"/>
          <w:color w:val="000000"/>
          <w:sz w:val="24"/>
        </w:rPr>
        <w:t>s 124 of the EPA Act (now s</w:t>
      </w:r>
      <w:r>
        <w:rPr>
          <w:rFonts w:ascii="Arial"/>
          <w:color w:val="000000"/>
          <w:sz w:val="24"/>
        </w:rPr>
        <w:t xml:space="preserve"> </w:t>
      </w:r>
      <w:r>
        <w:rPr>
          <w:rFonts w:ascii="Arial"/>
          <w:color w:val="000000"/>
          <w:sz w:val="24"/>
        </w:rPr>
        <w:t>9</w:t>
      </w:r>
      <w:r>
        <w:rPr>
          <w:rFonts w:ascii="Arial"/>
          <w:color w:val="000000"/>
          <w:sz w:val="24"/>
        </w:rPr>
        <w:t>.</w:t>
      </w:r>
      <w:r>
        <w:rPr>
          <w:rFonts w:ascii="Arial"/>
          <w:color w:val="000000"/>
          <w:sz w:val="24"/>
        </w:rPr>
        <w:t>46</w:t>
      </w:r>
      <w:r>
        <w:rPr>
          <w:rFonts w:ascii="Arial"/>
          <w:color w:val="000000"/>
          <w:sz w:val="24"/>
        </w:rPr>
        <w:t xml:space="preserve"> </w:t>
      </w:r>
      <w:r>
        <w:rPr>
          <w:rFonts w:ascii="Arial"/>
          <w:color w:val="000000"/>
          <w:sz w:val="24"/>
        </w:rPr>
        <w:t>which I have set out above</w:t>
      </w:r>
      <w:r>
        <w:rPr>
          <w:rFonts w:ascii="Arial"/>
          <w:color w:val="000000"/>
          <w:sz w:val="24"/>
        </w:rPr>
        <w:t xml:space="preserve"> </w:t>
      </w:r>
      <w:r>
        <w:rPr>
          <w:rFonts w:ascii="Arial"/>
          <w:color w:val="000000"/>
          <w:sz w:val="24"/>
        </w:rPr>
        <w:t>at [</w:t>
      </w:r>
      <w:hyperlink r:id="rId34">
        <w:r>
          <w:rPr>
            <w:rFonts w:ascii="Arial"/>
            <w:color w:val="000000"/>
            <w:sz w:val="24"/>
            <w:u w:val="single"/>
          </w:rPr>
          <w:t/>
        </w:r>
        <w:r>
          <w:rPr>
            <w:rFonts w:ascii="Arial"/>
            <w:color w:val="000000"/>
            <w:sz w:val="24"/>
          </w:rPr>
          <w:t>53</w:t>
        </w:r>
      </w:hyperlink>
      <w:hyperlink r:id="rId35">
        <w:r>
          <w:rPr>
            <w:rFonts w:ascii="Arial"/>
            <w:color w:val="000000"/>
            <w:sz w:val="24"/>
          </w:rPr>
          <w:t/>
        </w:r>
      </w:hyperlink>
      <w:r>
        <w:rPr>
          <w:rFonts w:ascii="Arial"/>
          <w:color w:val="000000"/>
          <w:sz w:val="24"/>
        </w:rPr>
        <w:t>]</w:t>
      </w:r>
      <w:r>
        <w:rPr>
          <w:rFonts w:ascii="Arial"/>
          <w:color w:val="000000"/>
          <w:sz w:val="24"/>
        </w:rPr>
        <w:t>)</w:t>
      </w:r>
      <w:r>
        <w:rPr>
          <w:rFonts w:ascii="Arial"/>
          <w:color w:val="000000"/>
          <w:sz w:val="24"/>
        </w:rPr>
        <w:t>.</w:t>
      </w:r>
      <w:r>
        <w:rPr>
          <w:rFonts w:ascii="Arial"/>
          <w:color w:val="000000"/>
          <w:sz w:val="24"/>
        </w:rPr>
        <w:t xml:space="preserve"> </w:t>
      </w:r>
    </w:p>
    <w:p>
      <w:pPr>
        <w:pStyle w:val="CaselawNumbered10"/>
        <w:numPr>
          <w:ilvl w:val="0"/>
          <w:numId w:val="117"/>
        </w:numPr>
        <w:spacing w:before="150" w:after="0"/>
        <w:ind w:left="600" w:hanging="600"/>
      </w:pPr>
      <w:r>
        <w:rPr>
          <w:rFonts w:ascii="Arial"/>
          <w:color w:val="000000"/>
          <w:sz w:val="24"/>
        </w:rPr>
        <w:t>The Council</w:t>
      </w:r>
      <w:r>
        <w:rPr>
          <w:rFonts w:ascii="Arial"/>
          <w:color w:val="000000"/>
          <w:sz w:val="24"/>
        </w:rPr>
        <w:t>’</w:t>
      </w:r>
      <w:r>
        <w:rPr>
          <w:rFonts w:ascii="Arial"/>
          <w:color w:val="000000"/>
          <w:sz w:val="24"/>
        </w:rPr>
        <w:t>s case in the L</w:t>
      </w:r>
      <w:r>
        <w:rPr>
          <w:rFonts w:ascii="Arial"/>
          <w:color w:val="000000"/>
          <w:sz w:val="24"/>
        </w:rPr>
        <w:t>and</w:t>
      </w:r>
      <w:r>
        <w:rPr>
          <w:rFonts w:ascii="Arial"/>
          <w:color w:val="000000"/>
          <w:sz w:val="24"/>
        </w:rPr>
        <w:t xml:space="preserve"> </w:t>
      </w:r>
      <w:r>
        <w:rPr>
          <w:rFonts w:ascii="Arial"/>
          <w:color w:val="000000"/>
          <w:sz w:val="24"/>
        </w:rPr>
        <w:t xml:space="preserve">and </w:t>
      </w:r>
      <w:r>
        <w:rPr>
          <w:rFonts w:ascii="Arial"/>
          <w:color w:val="000000"/>
          <w:sz w:val="24"/>
        </w:rPr>
        <w:t>E</w:t>
      </w:r>
      <w:r>
        <w:rPr>
          <w:rFonts w:ascii="Arial"/>
          <w:color w:val="000000"/>
          <w:sz w:val="24"/>
        </w:rPr>
        <w:t>nvironment</w:t>
      </w:r>
      <w:r>
        <w:rPr>
          <w:rFonts w:ascii="Arial"/>
          <w:color w:val="000000"/>
          <w:sz w:val="24"/>
        </w:rPr>
        <w:t xml:space="preserve"> </w:t>
      </w:r>
      <w:r>
        <w:rPr>
          <w:rFonts w:ascii="Arial"/>
          <w:color w:val="000000"/>
          <w:sz w:val="24"/>
        </w:rPr>
        <w:t>Court was that the fa</w:t>
      </w:r>
      <w:r>
        <w:rPr>
          <w:rFonts w:ascii="Arial"/>
          <w:color w:val="000000"/>
          <w:sz w:val="24"/>
        </w:rPr>
        <w:t>çade of the building b</w:t>
      </w:r>
      <w:r>
        <w:rPr>
          <w:rFonts w:ascii="Arial"/>
          <w:color w:val="000000"/>
          <w:sz w:val="24"/>
        </w:rPr>
        <w:t>ore</w:t>
      </w:r>
      <w:r>
        <w:rPr>
          <w:rFonts w:ascii="Arial"/>
          <w:color w:val="000000"/>
          <w:sz w:val="24"/>
        </w:rPr>
        <w:t xml:space="preserve"> </w:t>
      </w:r>
      <w:r>
        <w:rPr>
          <w:rFonts w:ascii="Arial"/>
          <w:color w:val="000000"/>
          <w:sz w:val="24"/>
        </w:rPr>
        <w:t xml:space="preserve">little relationship to the plans and specifications incorporated in the </w:t>
      </w:r>
      <w:r>
        <w:rPr>
          <w:rFonts w:ascii="Arial"/>
          <w:color w:val="000000"/>
          <w:sz w:val="24"/>
        </w:rPr>
        <w:t>development consent</w:t>
      </w:r>
      <w:r>
        <w:rPr>
          <w:rFonts w:ascii="Arial"/>
          <w:color w:val="000000"/>
          <w:sz w:val="24"/>
        </w:rPr>
        <w:t>. The Council accepted that the fa</w:t>
      </w:r>
      <w:r>
        <w:rPr>
          <w:rFonts w:ascii="Arial"/>
          <w:color w:val="000000"/>
          <w:sz w:val="24"/>
        </w:rPr>
        <w:t xml:space="preserve">çade conformed with the plans and specifications provided by the private certifiers, who issued the </w:t>
      </w:r>
      <w:r>
        <w:rPr>
          <w:rFonts w:ascii="Arial"/>
          <w:color w:val="000000"/>
          <w:sz w:val="24"/>
        </w:rPr>
        <w:t>construction certificates</w:t>
      </w:r>
      <w:r>
        <w:rPr>
          <w:rFonts w:ascii="Arial"/>
          <w:color w:val="000000"/>
          <w:sz w:val="24"/>
        </w:rPr>
        <w:t>. Th</w:t>
      </w:r>
      <w:r>
        <w:rPr>
          <w:rFonts w:ascii="Arial"/>
          <w:color w:val="000000"/>
          <w:sz w:val="24"/>
        </w:rPr>
        <w:t>is</w:t>
      </w:r>
      <w:r>
        <w:rPr>
          <w:rFonts w:ascii="Arial"/>
          <w:color w:val="000000"/>
          <w:sz w:val="24"/>
        </w:rPr>
        <w:t xml:space="preserve"> </w:t>
      </w:r>
      <w:r>
        <w:rPr>
          <w:rFonts w:ascii="Arial"/>
          <w:color w:val="000000"/>
          <w:sz w:val="24"/>
        </w:rPr>
        <w:t xml:space="preserve">Court proceeded on the basis that the </w:t>
      </w:r>
      <w:r>
        <w:rPr>
          <w:rFonts w:ascii="Arial"/>
          <w:color w:val="000000"/>
          <w:sz w:val="24"/>
        </w:rPr>
        <w:t xml:space="preserve">construction certificates </w:t>
      </w:r>
      <w:r>
        <w:rPr>
          <w:rFonts w:ascii="Arial"/>
          <w:color w:val="000000"/>
          <w:sz w:val="24"/>
        </w:rPr>
        <w:t xml:space="preserve">wrongly stated that the plans and specifications provided to the certifiers </w:t>
      </w:r>
      <w:r>
        <w:rPr>
          <w:rFonts w:ascii="Arial"/>
          <w:color w:val="000000"/>
          <w:sz w:val="24"/>
        </w:rPr>
        <w:t>were</w:t>
      </w:r>
      <w:r>
        <w:rPr>
          <w:rFonts w:ascii="Arial"/>
          <w:color w:val="000000"/>
          <w:sz w:val="24"/>
        </w:rPr>
        <w:t xml:space="preserve"> </w:t>
      </w:r>
      <w:r>
        <w:rPr>
          <w:rFonts w:ascii="Arial"/>
          <w:color w:val="000000"/>
          <w:sz w:val="24"/>
        </w:rPr>
        <w:t xml:space="preserve">consistent with the </w:t>
      </w:r>
      <w:r>
        <w:rPr>
          <w:rFonts w:ascii="Arial"/>
          <w:color w:val="000000"/>
          <w:sz w:val="24"/>
        </w:rPr>
        <w:t>development consent</w:t>
      </w:r>
      <w:r>
        <w:rPr>
          <w:rFonts w:ascii="Arial"/>
          <w:color w:val="000000"/>
          <w:sz w:val="24"/>
        </w:rPr>
        <w:t>. It follow</w:t>
      </w:r>
      <w:r>
        <w:rPr>
          <w:rFonts w:ascii="Arial"/>
          <w:color w:val="000000"/>
          <w:sz w:val="24"/>
        </w:rPr>
        <w:t>ed</w:t>
      </w:r>
      <w:r>
        <w:rPr>
          <w:rFonts w:ascii="Arial"/>
          <w:color w:val="000000"/>
          <w:sz w:val="24"/>
        </w:rPr>
        <w:t xml:space="preserve">, the Council </w:t>
      </w:r>
      <w:r>
        <w:rPr>
          <w:rFonts w:ascii="Arial"/>
          <w:color w:val="000000"/>
          <w:sz w:val="24"/>
        </w:rPr>
        <w:t>said</w:t>
      </w:r>
      <w:r>
        <w:rPr>
          <w:rFonts w:ascii="Arial"/>
          <w:color w:val="000000"/>
          <w:sz w:val="24"/>
        </w:rPr>
        <w:t xml:space="preserve">, that the </w:t>
      </w:r>
      <w:r>
        <w:rPr>
          <w:rFonts w:ascii="Arial"/>
          <w:color w:val="000000"/>
          <w:sz w:val="24"/>
        </w:rPr>
        <w:t xml:space="preserve">construction certificates </w:t>
      </w:r>
      <w:r>
        <w:rPr>
          <w:rFonts w:ascii="Arial"/>
          <w:color w:val="000000"/>
          <w:sz w:val="24"/>
        </w:rPr>
        <w:t xml:space="preserve">were </w:t>
      </w:r>
      <w:r>
        <w:rPr>
          <w:rFonts w:ascii="Arial"/>
          <w:color w:val="000000"/>
          <w:sz w:val="24"/>
        </w:rPr>
        <w:t>void and provide</w:t>
      </w:r>
      <w:r>
        <w:rPr>
          <w:rFonts w:ascii="Arial"/>
          <w:color w:val="000000"/>
          <w:sz w:val="24"/>
        </w:rPr>
        <w:t>d</w:t>
      </w:r>
      <w:r>
        <w:rPr>
          <w:rFonts w:ascii="Arial"/>
          <w:color w:val="000000"/>
          <w:sz w:val="24"/>
        </w:rPr>
        <w:t xml:space="preserve"> </w:t>
      </w:r>
      <w:r>
        <w:rPr>
          <w:rFonts w:ascii="Arial"/>
          <w:color w:val="000000"/>
          <w:sz w:val="24"/>
        </w:rPr>
        <w:t xml:space="preserve">no protection to </w:t>
      </w:r>
      <w:r>
        <w:rPr>
          <w:rFonts w:ascii="Arial"/>
          <w:color w:val="000000"/>
          <w:sz w:val="24"/>
        </w:rPr>
        <w:t>Ralan</w:t>
      </w:r>
      <w:r>
        <w:rPr>
          <w:rFonts w:ascii="Arial"/>
          <w:color w:val="000000"/>
          <w:sz w:val="24"/>
        </w:rPr>
        <w:t xml:space="preserve"> </w:t>
      </w:r>
      <w:r>
        <w:rPr>
          <w:rFonts w:ascii="Arial"/>
          <w:color w:val="000000"/>
          <w:sz w:val="24"/>
        </w:rPr>
        <w:t xml:space="preserve">against the relief sought by the Council. This is said to be so even though the building </w:t>
      </w:r>
      <w:r>
        <w:rPr>
          <w:rFonts w:ascii="Arial"/>
          <w:color w:val="000000"/>
          <w:sz w:val="24"/>
        </w:rPr>
        <w:t>was</w:t>
      </w:r>
      <w:r>
        <w:rPr>
          <w:rFonts w:ascii="Arial"/>
          <w:color w:val="000000"/>
          <w:sz w:val="24"/>
        </w:rPr>
        <w:t xml:space="preserve"> </w:t>
      </w:r>
      <w:r>
        <w:rPr>
          <w:rFonts w:ascii="Arial"/>
          <w:color w:val="000000"/>
          <w:sz w:val="24"/>
        </w:rPr>
        <w:t>complete and the vast majority of units in the Strata Plan ha</w:t>
      </w:r>
      <w:r>
        <w:rPr>
          <w:rFonts w:ascii="Arial"/>
          <w:color w:val="000000"/>
          <w:sz w:val="24"/>
        </w:rPr>
        <w:t>d</w:t>
      </w:r>
      <w:r>
        <w:rPr>
          <w:rFonts w:ascii="Arial"/>
          <w:color w:val="000000"/>
          <w:sz w:val="24"/>
        </w:rPr>
        <w:t xml:space="preserve"> </w:t>
      </w:r>
      <w:r>
        <w:rPr>
          <w:rFonts w:ascii="Arial"/>
          <w:color w:val="000000"/>
          <w:sz w:val="24"/>
        </w:rPr>
        <w:t>been sold and the new owners (or their tenants) ha</w:t>
      </w:r>
      <w:r>
        <w:rPr>
          <w:rFonts w:ascii="Arial"/>
          <w:color w:val="000000"/>
          <w:sz w:val="24"/>
        </w:rPr>
        <w:t>d</w:t>
      </w:r>
      <w:r>
        <w:rPr>
          <w:rFonts w:ascii="Arial"/>
          <w:color w:val="000000"/>
          <w:sz w:val="24"/>
        </w:rPr>
        <w:t xml:space="preserve"> </w:t>
      </w:r>
      <w:r>
        <w:rPr>
          <w:rFonts w:ascii="Arial"/>
          <w:color w:val="000000"/>
          <w:sz w:val="24"/>
        </w:rPr>
        <w:t xml:space="preserve">taken possession. </w:t>
      </w:r>
    </w:p>
    <w:p>
      <w:pPr>
        <w:pStyle w:val="CaselawNumbered10"/>
        <w:numPr>
          <w:ilvl w:val="0"/>
          <w:numId w:val="117"/>
        </w:numPr>
        <w:spacing w:before="150" w:after="0"/>
        <w:ind w:left="600" w:hanging="600"/>
      </w:pPr>
      <w:r>
        <w:rPr>
          <w:rFonts w:ascii="Arial"/>
          <w:color w:val="000000"/>
          <w:sz w:val="24"/>
        </w:rPr>
        <w:t xml:space="preserve">Clause 145(1) of the </w:t>
      </w:r>
      <w:r>
        <w:rPr>
          <w:rFonts w:ascii="Arial"/>
          <w:i/>
          <w:color w:val="000000"/>
          <w:sz w:val="24"/>
        </w:rPr>
        <w:t xml:space="preserve">Environmental Planning and Assessment Regulation 2000 </w:t>
      </w:r>
      <w:r>
        <w:rPr>
          <w:rFonts w:ascii="Arial"/>
          <w:color w:val="000000"/>
          <w:sz w:val="24"/>
        </w:rPr>
        <w:t>(which is now cl 19</w:t>
      </w:r>
      <w:r>
        <w:rPr>
          <w:rFonts w:ascii="Arial"/>
          <w:color w:val="000000"/>
          <w:sz w:val="24"/>
        </w:rPr>
        <w:t xml:space="preserve"> </w:t>
      </w:r>
      <w:r>
        <w:rPr>
          <w:rFonts w:ascii="Arial"/>
          <w:color w:val="000000"/>
          <w:sz w:val="24"/>
        </w:rPr>
        <w:t>of the Certification Regulation</w:t>
      </w:r>
      <w:r>
        <w:rPr>
          <w:rFonts w:ascii="Arial"/>
          <w:color w:val="000000"/>
          <w:sz w:val="24"/>
        </w:rPr>
        <w:t xml:space="preserve">) </w:t>
      </w:r>
      <w:r>
        <w:rPr>
          <w:rFonts w:ascii="Arial"/>
          <w:color w:val="000000"/>
          <w:sz w:val="24"/>
        </w:rPr>
        <w:t>relevantly provided as follows:</w:t>
      </w:r>
    </w:p>
    <w:p>
      <w:pPr>
        <w:pStyle w:val="CaselawQuote"/>
        <w:spacing w:before="150" w:after="150"/>
        <w:ind w:left="1350"/>
        <w:jc w:val="left"/>
      </w:pPr>
      <w:r>
        <w:rPr>
          <w:rFonts w:ascii="Arial"/>
          <w:color w:val="000000"/>
          <w:sz w:val="22"/>
        </w:rPr>
        <w:t xml:space="preserve">(1) A certifying authority </w:t>
      </w:r>
      <w:r>
        <w:rPr>
          <w:rFonts w:ascii="Arial"/>
          <w:b/>
          <w:i/>
          <w:color w:val="000000"/>
          <w:sz w:val="22"/>
        </w:rPr>
        <w:t>must not issue</w:t>
      </w:r>
      <w:r>
        <w:rPr>
          <w:rFonts w:ascii="Arial"/>
          <w:color w:val="000000"/>
          <w:sz w:val="22"/>
        </w:rPr>
        <w:t xml:space="preserve"> a construction certificate for building work unless:</w:t>
      </w:r>
    </w:p>
    <w:p>
      <w:pPr>
        <w:pStyle w:val="CaselawQuote"/>
        <w:spacing w:before="150" w:after="150"/>
        <w:ind w:left="1350"/>
        <w:jc w:val="left"/>
      </w:pPr>
      <w:r>
        <w:rPr>
          <w:rFonts w:ascii="Arial"/>
          <w:color w:val="000000"/>
          <w:sz w:val="22"/>
        </w:rPr>
        <w:t>...</w:t>
      </w:r>
    </w:p>
    <w:p>
      <w:pPr>
        <w:pStyle w:val="CaselawQuote"/>
        <w:spacing w:before="150" w:after="150"/>
        <w:ind w:left="1350"/>
        <w:jc w:val="left"/>
      </w:pPr>
      <w:r>
        <w:rPr>
          <w:rFonts w:ascii="Arial"/>
          <w:color w:val="000000"/>
          <w:sz w:val="22"/>
        </w:rPr>
        <w:t xml:space="preserve">(a) the design and construction of the building (as depicted in the plans and specifications and as described in any other information furnished to the certifying authority under clause 140) </w:t>
      </w:r>
      <w:r>
        <w:rPr>
          <w:rFonts w:ascii="Arial"/>
          <w:b/>
          <w:i/>
          <w:color w:val="000000"/>
          <w:sz w:val="22"/>
        </w:rPr>
        <w:t>are not inconsistent with the development consent</w:t>
      </w:r>
      <w:r>
        <w:rPr>
          <w:rFonts w:ascii="Arial"/>
          <w:color w:val="000000"/>
          <w:sz w:val="22"/>
        </w:rPr>
        <w:t>, and (emphasis added)</w:t>
      </w:r>
    </w:p>
    <w:p>
      <w:pPr>
        <w:pStyle w:val="CaselawNumbered10"/>
        <w:numPr>
          <w:ilvl w:val="0"/>
          <w:numId w:val="118"/>
        </w:numPr>
        <w:spacing w:before="150" w:after="0"/>
        <w:ind w:left="600" w:hanging="600"/>
      </w:pPr>
      <w:r>
        <w:rPr>
          <w:rFonts w:ascii="Arial"/>
          <w:color w:val="000000"/>
          <w:sz w:val="24"/>
        </w:rPr>
        <w:t xml:space="preserve">The Court of Appeal found that the primary judge had erred in determining that the </w:t>
      </w:r>
      <w:r>
        <w:rPr>
          <w:rFonts w:ascii="Arial"/>
          <w:color w:val="000000"/>
          <w:sz w:val="24"/>
        </w:rPr>
        <w:t>construction certificates were not inconsistent with the development consent</w:t>
      </w:r>
      <w:r>
        <w:rPr>
          <w:rFonts w:ascii="Arial"/>
          <w:color w:val="000000"/>
          <w:sz w:val="24"/>
        </w:rPr>
        <w:t>.</w:t>
      </w:r>
      <w:r>
        <w:rPr>
          <w:rFonts w:ascii="Arial"/>
          <w:color w:val="000000"/>
          <w:sz w:val="24"/>
        </w:rPr>
        <w:t xml:space="preserve"> </w:t>
      </w:r>
      <w:r>
        <w:rPr>
          <w:rFonts w:ascii="Arial"/>
          <w:color w:val="000000"/>
          <w:sz w:val="24"/>
        </w:rPr>
        <w:t xml:space="preserve">The Court proceeded to address the question of breach on the assumption that the construction certificates </w:t>
      </w:r>
      <w:r>
        <w:rPr>
          <w:rFonts w:ascii="Arial"/>
          <w:i/>
          <w:color w:val="000000"/>
          <w:sz w:val="24"/>
        </w:rPr>
        <w:t>were</w:t>
      </w:r>
      <w:r>
        <w:rPr>
          <w:rFonts w:ascii="Arial"/>
          <w:color w:val="000000"/>
          <w:sz w:val="24"/>
        </w:rPr>
        <w:t xml:space="preserve"> </w:t>
      </w:r>
      <w:r>
        <w:rPr>
          <w:rFonts w:ascii="Arial"/>
          <w:color w:val="000000"/>
          <w:sz w:val="24"/>
        </w:rPr>
        <w:t>inconsistent with the development consent at [124].</w:t>
      </w:r>
    </w:p>
    <w:p>
      <w:pPr>
        <w:pStyle w:val="CaselawNumbered10"/>
        <w:numPr>
          <w:ilvl w:val="0"/>
          <w:numId w:val="118"/>
        </w:numPr>
        <w:spacing w:before="150" w:after="0"/>
        <w:ind w:left="600" w:hanging="600"/>
      </w:pPr>
      <w:r>
        <w:rPr>
          <w:rFonts w:ascii="Arial"/>
          <w:color w:val="000000"/>
          <w:sz w:val="24"/>
        </w:rPr>
        <w:t xml:space="preserve">Sackville AJA provided five reasons (at [167]-[184]) for his conclusion in </w:t>
      </w:r>
      <w:r>
        <w:rPr>
          <w:rFonts w:ascii="Arial"/>
          <w:i/>
          <w:color w:val="000000"/>
          <w:sz w:val="24"/>
        </w:rPr>
        <w:t>Ralan</w:t>
      </w:r>
      <w:r>
        <w:rPr>
          <w:rFonts w:ascii="Arial"/>
          <w:color w:val="000000"/>
          <w:sz w:val="24"/>
        </w:rPr>
        <w:t xml:space="preserve"> </w:t>
      </w:r>
      <w:r>
        <w:rPr>
          <w:rFonts w:ascii="Arial"/>
          <w:color w:val="000000"/>
          <w:sz w:val="24"/>
        </w:rPr>
        <w:t xml:space="preserve">that the scope and object of the legislation, construed as a whole, does not require a construction certificate issued in breach of the EPA Act to be held invalid. In particular, the scope and object of the legislation do not require a construction certificate issued in breach of cl 145(1) of the </w:t>
      </w:r>
      <w:r>
        <w:rPr>
          <w:rFonts w:ascii="Arial"/>
          <w:i/>
          <w:color w:val="000000"/>
          <w:sz w:val="24"/>
        </w:rPr>
        <w:t xml:space="preserve">Environmental </w:t>
      </w:r>
      <w:r>
        <w:rPr>
          <w:rFonts w:ascii="Arial"/>
          <w:i/>
          <w:color w:val="000000"/>
          <w:sz w:val="24"/>
        </w:rPr>
        <w:t>Planning and Assessment Regulation 2000</w:t>
      </w:r>
      <w:r>
        <w:rPr>
          <w:rFonts w:ascii="Arial"/>
          <w:color w:val="000000"/>
          <w:sz w:val="24"/>
        </w:rPr>
        <w:t xml:space="preserve"> </w:t>
      </w:r>
      <w:r>
        <w:rPr>
          <w:rFonts w:ascii="Arial"/>
          <w:color w:val="000000"/>
          <w:sz w:val="24"/>
        </w:rPr>
        <w:t xml:space="preserve">to be held invalid. None of </w:t>
      </w:r>
      <w:r>
        <w:rPr>
          <w:rFonts w:ascii="Arial"/>
          <w:color w:val="000000"/>
          <w:sz w:val="24"/>
        </w:rPr>
        <w:t>his Honour</w:t>
      </w:r>
      <w:r>
        <w:rPr>
          <w:rFonts w:ascii="Arial"/>
          <w:color w:val="000000"/>
          <w:sz w:val="24"/>
        </w:rPr>
        <w:t>’</w:t>
      </w:r>
      <w:r>
        <w:rPr>
          <w:rFonts w:ascii="Arial"/>
          <w:color w:val="000000"/>
          <w:sz w:val="24"/>
        </w:rPr>
        <w:t>s</w:t>
      </w:r>
      <w:r>
        <w:rPr>
          <w:rFonts w:ascii="Arial"/>
          <w:color w:val="000000"/>
          <w:sz w:val="24"/>
        </w:rPr>
        <w:t xml:space="preserve"> </w:t>
      </w:r>
      <w:r>
        <w:rPr>
          <w:rFonts w:ascii="Arial"/>
          <w:color w:val="000000"/>
          <w:sz w:val="24"/>
        </w:rPr>
        <w:t xml:space="preserve">reasons </w:t>
      </w:r>
      <w:r>
        <w:rPr>
          <w:rFonts w:ascii="Arial"/>
          <w:color w:val="000000"/>
          <w:sz w:val="24"/>
        </w:rPr>
        <w:t xml:space="preserve">addressed the availability of </w:t>
      </w:r>
      <w:r>
        <w:rPr>
          <w:rFonts w:ascii="Arial"/>
          <w:color w:val="000000"/>
          <w:sz w:val="24"/>
        </w:rPr>
        <w:t xml:space="preserve">judicial </w:t>
      </w:r>
      <w:r>
        <w:rPr>
          <w:rFonts w:ascii="Arial"/>
          <w:color w:val="000000"/>
          <w:sz w:val="24"/>
        </w:rPr>
        <w:t xml:space="preserve">review </w:t>
      </w:r>
      <w:r>
        <w:rPr>
          <w:rFonts w:ascii="Arial"/>
          <w:color w:val="000000"/>
          <w:sz w:val="24"/>
        </w:rPr>
        <w:t xml:space="preserve">of </w:t>
      </w:r>
      <w:r>
        <w:rPr>
          <w:rFonts w:ascii="Arial"/>
          <w:color w:val="000000"/>
          <w:sz w:val="24"/>
        </w:rPr>
        <w:t>the decision to issue a construction certificate for jurisdictional error.</w:t>
      </w:r>
    </w:p>
    <w:p>
      <w:pPr>
        <w:pStyle w:val="CaselawNumbered10"/>
        <w:numPr>
          <w:ilvl w:val="0"/>
          <w:numId w:val="118"/>
        </w:numPr>
        <w:spacing w:before="150" w:after="0"/>
        <w:ind w:left="600" w:hanging="600"/>
      </w:pPr>
      <w:r>
        <w:rPr>
          <w:rFonts w:ascii="Arial"/>
          <w:color w:val="000000"/>
          <w:sz w:val="24"/>
        </w:rPr>
        <w:t>As to that</w:t>
      </w:r>
      <w:r>
        <w:rPr>
          <w:rFonts w:ascii="Arial"/>
          <w:color w:val="000000"/>
          <w:sz w:val="24"/>
        </w:rPr>
        <w:t xml:space="preserve"> </w:t>
      </w:r>
      <w:r>
        <w:rPr>
          <w:rFonts w:ascii="Arial"/>
          <w:color w:val="000000"/>
          <w:sz w:val="24"/>
        </w:rPr>
        <w:t xml:space="preserve">question, </w:t>
      </w:r>
      <w:r>
        <w:rPr>
          <w:rFonts w:ascii="Arial"/>
          <w:color w:val="000000"/>
          <w:sz w:val="24"/>
        </w:rPr>
        <w:t xml:space="preserve">the availability of </w:t>
      </w:r>
      <w:r>
        <w:rPr>
          <w:rFonts w:ascii="Arial"/>
          <w:color w:val="000000"/>
          <w:sz w:val="24"/>
        </w:rPr>
        <w:t xml:space="preserve">judicial </w:t>
      </w:r>
      <w:r>
        <w:rPr>
          <w:rFonts w:ascii="Arial"/>
          <w:color w:val="000000"/>
          <w:sz w:val="24"/>
        </w:rPr>
        <w:t xml:space="preserve">review for the decision to issue a construction certificate for jurisdictional error </w:t>
      </w:r>
      <w:r>
        <w:rPr>
          <w:rFonts w:ascii="Arial"/>
          <w:color w:val="000000"/>
          <w:sz w:val="24"/>
        </w:rPr>
        <w:t>(under the Supreme Court</w:t>
      </w:r>
      <w:r>
        <w:rPr>
          <w:rFonts w:ascii="Arial"/>
          <w:color w:val="000000"/>
          <w:sz w:val="24"/>
        </w:rPr>
        <w:t>’</w:t>
      </w:r>
      <w:r>
        <w:rPr>
          <w:rFonts w:ascii="Arial"/>
          <w:color w:val="000000"/>
          <w:sz w:val="24"/>
        </w:rPr>
        <w:t xml:space="preserve">s s 69 </w:t>
      </w:r>
      <w:r>
        <w:rPr>
          <w:rFonts w:ascii="Arial"/>
          <w:i/>
          <w:color w:val="000000"/>
          <w:sz w:val="24"/>
        </w:rPr>
        <w:t xml:space="preserve">Supreme Court Act </w:t>
      </w:r>
      <w:r>
        <w:rPr>
          <w:rFonts w:ascii="Arial"/>
          <w:color w:val="000000"/>
          <w:sz w:val="24"/>
        </w:rPr>
        <w:t xml:space="preserve">power vested in the Land and Environment Court by s 20(2) </w:t>
      </w:r>
      <w:r>
        <w:rPr>
          <w:rFonts w:ascii="Arial"/>
          <w:color w:val="000000"/>
          <w:sz w:val="24"/>
        </w:rPr>
        <w:t xml:space="preserve">of the </w:t>
      </w:r>
      <w:r>
        <w:rPr>
          <w:rFonts w:ascii="Arial"/>
          <w:i/>
          <w:color w:val="000000"/>
          <w:sz w:val="24"/>
        </w:rPr>
        <w:t xml:space="preserve">Land and Environment Court Act </w:t>
      </w:r>
      <w:r>
        <w:rPr>
          <w:rFonts w:ascii="Arial"/>
          <w:color w:val="000000"/>
          <w:sz w:val="24"/>
        </w:rPr>
        <w:t xml:space="preserve">for this purpose), Sackville AJA </w:t>
      </w:r>
      <w:r>
        <w:rPr>
          <w:rFonts w:ascii="Arial"/>
          <w:color w:val="000000"/>
          <w:sz w:val="24"/>
        </w:rPr>
        <w:t>said this</w:t>
      </w:r>
      <w:r>
        <w:rPr>
          <w:rFonts w:ascii="Arial"/>
          <w:color w:val="000000"/>
          <w:sz w:val="24"/>
        </w:rPr>
        <w:t>:</w:t>
      </w:r>
    </w:p>
    <w:p>
      <w:pPr>
        <w:pStyle w:val="CaselawQuote"/>
        <w:spacing w:before="150" w:after="150"/>
        <w:ind w:left="1350"/>
        <w:jc w:val="left"/>
      </w:pPr>
      <w:r>
        <w:rPr>
          <w:rFonts w:ascii="Arial"/>
          <w:color w:val="000000"/>
          <w:sz w:val="22"/>
        </w:rPr>
        <w:t>“[171] The statutory regime relating to construction certificates is to be contrasted with that applying to development consents. The validity of a development consent may be challenged on the ground that the consent authority has failed to comply with the requirements laid down by the EPA Act, for example in s 79C(1) (which specifies the matters to be taken into account by a consent authority in determining a development application). But s 101 of the EPA Act specifically provides that if public notice of the development consent has been given, the validity of the development consent cannot be challenged in any proceedings except those commenced in the L &amp; E Court within three months. Parliament has therefore expressly recognised that the validity of a development consent may be challenged, but has imposed temporal constraints on the availability of any such challenge. By contrast, Parliament has not recognised that the validity of construction certificates may be challenged, except in the limited circumstances covered by s 109F(1A). (</w:t>
      </w:r>
      <w:r>
        <w:rPr>
          <w:rFonts w:ascii="Arial"/>
          <w:b/>
          <w:i/>
          <w:color w:val="000000"/>
          <w:sz w:val="22"/>
        </w:rPr>
        <w:t>I leave to one side complications introduced by the constitutional entrenchment of the Supreme Court’</w:t>
      </w:r>
      <w:r>
        <w:rPr>
          <w:rFonts w:ascii="Arial"/>
          <w:b/>
          <w:i/>
          <w:color w:val="000000"/>
          <w:sz w:val="22"/>
        </w:rPr>
        <w:t xml:space="preserve">s jurisdiction to intervene in cases of </w:t>
      </w:r>
      <w:r>
        <w:rPr>
          <w:rFonts w:ascii="Arial"/>
          <w:b/>
          <w:i/>
          <w:color w:val="000000"/>
          <w:sz w:val="22"/>
        </w:rPr>
        <w:t>“jurisdictional error”:</w:t>
      </w:r>
      <w:r>
        <w:rPr>
          <w:rFonts w:ascii="Arial"/>
          <w:color w:val="000000"/>
          <w:sz w:val="22"/>
        </w:rPr>
        <w:t xml:space="preserve"> </w:t>
      </w:r>
      <w:r>
        <w:rPr>
          <w:rFonts w:ascii="Arial"/>
          <w:i/>
          <w:color w:val="000000"/>
          <w:sz w:val="22"/>
        </w:rPr>
        <w:t>Kirk v Industrial Court of New South Wales</w:t>
      </w:r>
      <w:r>
        <w:rPr>
          <w:rFonts w:ascii="Arial"/>
          <w:color w:val="000000"/>
          <w:sz w:val="22"/>
        </w:rPr>
        <w:t xml:space="preserve"> [2010] HCA 1; 239 CLR 531).</w:t>
      </w:r>
      <w:r>
        <w:rPr>
          <w:rFonts w:ascii="Arial"/>
          <w:color w:val="000000"/>
          <w:sz w:val="22"/>
        </w:rPr>
        <w:t>”</w:t>
      </w:r>
      <w:r>
        <w:rPr>
          <w:rFonts w:ascii="Arial"/>
          <w:color w:val="000000"/>
          <w:sz w:val="22"/>
        </w:rPr>
        <w:t xml:space="preserve"> (emphasis added)</w:t>
      </w:r>
    </w:p>
    <w:p>
      <w:pPr>
        <w:pStyle w:val="CaselawNumbered10"/>
        <w:numPr>
          <w:ilvl w:val="0"/>
          <w:numId w:val="119"/>
        </w:numPr>
        <w:spacing w:before="150" w:after="0"/>
        <w:ind w:left="600" w:hanging="600"/>
      </w:pPr>
      <w:r>
        <w:rPr>
          <w:rFonts w:ascii="Arial"/>
          <w:color w:val="000000"/>
          <w:sz w:val="24"/>
        </w:rPr>
        <w:t xml:space="preserve">It </w:t>
      </w:r>
      <w:r>
        <w:rPr>
          <w:rFonts w:ascii="Arial"/>
          <w:color w:val="000000"/>
          <w:sz w:val="24"/>
        </w:rPr>
        <w:t xml:space="preserve">clear that </w:t>
      </w:r>
      <w:r>
        <w:rPr>
          <w:rFonts w:ascii="Arial"/>
          <w:i/>
          <w:color w:val="000000"/>
          <w:sz w:val="24"/>
        </w:rPr>
        <w:t>Ralan</w:t>
      </w:r>
      <w:r>
        <w:rPr>
          <w:rFonts w:ascii="Arial"/>
          <w:color w:val="000000"/>
          <w:sz w:val="24"/>
        </w:rPr>
        <w:t xml:space="preserve"> </w:t>
      </w:r>
      <w:r>
        <w:rPr>
          <w:rFonts w:ascii="Arial"/>
          <w:color w:val="000000"/>
          <w:sz w:val="24"/>
        </w:rPr>
        <w:t xml:space="preserve">was not a judicial review case relying on the powers of the Court under s 20(2) of the </w:t>
      </w:r>
      <w:r>
        <w:rPr>
          <w:rFonts w:ascii="Arial"/>
          <w:i/>
          <w:color w:val="000000"/>
          <w:sz w:val="24"/>
        </w:rPr>
        <w:t>Land and Environment Court Act</w:t>
      </w:r>
      <w:r>
        <w:rPr>
          <w:rFonts w:ascii="Arial"/>
          <w:color w:val="000000"/>
          <w:sz w:val="24"/>
        </w:rPr>
        <w:t xml:space="preserve">. Amongst other reasons, </w:t>
      </w:r>
      <w:r>
        <w:rPr>
          <w:rFonts w:ascii="Arial"/>
          <w:color w:val="000000"/>
          <w:sz w:val="24"/>
        </w:rPr>
        <w:t xml:space="preserve">given </w:t>
      </w:r>
      <w:r>
        <w:rPr>
          <w:rFonts w:ascii="Arial"/>
          <w:color w:val="000000"/>
          <w:sz w:val="24"/>
        </w:rPr>
        <w:t>the time at which the proceedings were commenced (</w:t>
      </w:r>
      <w:r>
        <w:rPr>
          <w:rFonts w:ascii="Arial"/>
          <w:color w:val="000000"/>
          <w:sz w:val="24"/>
        </w:rPr>
        <w:t xml:space="preserve">long </w:t>
      </w:r>
      <w:r>
        <w:rPr>
          <w:rFonts w:ascii="Arial"/>
          <w:color w:val="000000"/>
          <w:sz w:val="24"/>
        </w:rPr>
        <w:t>after the building had been completed</w:t>
      </w:r>
      <w:r>
        <w:rPr>
          <w:rFonts w:ascii="Arial"/>
          <w:color w:val="000000"/>
          <w:sz w:val="24"/>
        </w:rPr>
        <w:t xml:space="preserve"> </w:t>
      </w:r>
      <w:r>
        <w:rPr>
          <w:rFonts w:ascii="Arial"/>
          <w:color w:val="000000"/>
          <w:sz w:val="24"/>
        </w:rPr>
        <w:t>and units sold</w:t>
      </w:r>
      <w:r>
        <w:rPr>
          <w:rFonts w:ascii="Arial"/>
          <w:color w:val="000000"/>
          <w:sz w:val="24"/>
        </w:rPr>
        <w:t>) there would have been insurmountable obstacles to any extension of time application.</w:t>
      </w:r>
      <w:r>
        <w:rPr>
          <w:rFonts w:ascii="Arial"/>
          <w:color w:val="000000"/>
          <w:sz w:val="24"/>
        </w:rPr>
        <w:t xml:space="preserve"> </w:t>
      </w:r>
      <w:r>
        <w:rPr>
          <w:rFonts w:ascii="Arial"/>
          <w:color w:val="000000"/>
          <w:sz w:val="24"/>
        </w:rPr>
        <w:t>Critically, n</w:t>
      </w:r>
      <w:r>
        <w:rPr>
          <w:rFonts w:ascii="Arial"/>
          <w:color w:val="000000"/>
          <w:sz w:val="24"/>
        </w:rPr>
        <w:t xml:space="preserve">o submission was made </w:t>
      </w:r>
      <w:r>
        <w:rPr>
          <w:rFonts w:ascii="Arial"/>
          <w:color w:val="000000"/>
          <w:sz w:val="24"/>
        </w:rPr>
        <w:t xml:space="preserve">in the present case </w:t>
      </w:r>
      <w:r>
        <w:rPr>
          <w:rFonts w:ascii="Arial"/>
          <w:color w:val="000000"/>
          <w:sz w:val="24"/>
        </w:rPr>
        <w:t xml:space="preserve">that judicial review of a construction certificate was </w:t>
      </w:r>
      <w:r>
        <w:rPr>
          <w:rFonts w:ascii="Arial"/>
          <w:color w:val="000000"/>
          <w:sz w:val="24"/>
        </w:rPr>
        <w:t>excluded, in whole or in part, on the proper construction of the statutory scheme</w:t>
      </w:r>
      <w:r>
        <w:rPr>
          <w:rFonts w:ascii="Arial"/>
          <w:color w:val="000000"/>
          <w:sz w:val="24"/>
        </w:rPr>
        <w:t xml:space="preserve">, much less that </w:t>
      </w:r>
      <w:r>
        <w:rPr>
          <w:rFonts w:ascii="Arial"/>
          <w:i/>
          <w:color w:val="000000"/>
          <w:sz w:val="24"/>
        </w:rPr>
        <w:t>Ralan</w:t>
      </w:r>
      <w:r>
        <w:rPr>
          <w:rFonts w:ascii="Arial"/>
          <w:color w:val="000000"/>
          <w:sz w:val="24"/>
        </w:rPr>
        <w:t xml:space="preserve"> </w:t>
      </w:r>
      <w:r>
        <w:rPr>
          <w:rFonts w:ascii="Arial"/>
          <w:color w:val="000000"/>
          <w:sz w:val="24"/>
        </w:rPr>
        <w:t>was authority for that proposition</w:t>
      </w:r>
      <w:r>
        <w:rPr>
          <w:rFonts w:ascii="Arial"/>
          <w:color w:val="000000"/>
          <w:sz w:val="24"/>
        </w:rPr>
        <w:t>.</w:t>
      </w:r>
    </w:p>
    <w:p>
      <w:pPr>
        <w:pStyle w:val="CaselawNumbered10"/>
        <w:numPr>
          <w:ilvl w:val="0"/>
          <w:numId w:val="119"/>
        </w:numPr>
        <w:spacing w:before="150" w:after="0"/>
        <w:ind w:left="600" w:hanging="600"/>
      </w:pPr>
      <w:r>
        <w:rPr>
          <w:rFonts w:ascii="Arial"/>
          <w:color w:val="000000"/>
          <w:sz w:val="24"/>
        </w:rPr>
        <w:t>Special leave w</w:t>
      </w:r>
      <w:r>
        <w:rPr>
          <w:rFonts w:ascii="Arial"/>
          <w:color w:val="000000"/>
          <w:sz w:val="24"/>
        </w:rPr>
        <w:t>as</w:t>
      </w:r>
      <w:r>
        <w:rPr>
          <w:rFonts w:ascii="Arial"/>
          <w:color w:val="000000"/>
          <w:sz w:val="24"/>
        </w:rPr>
        <w:t xml:space="preserve"> </w:t>
      </w:r>
      <w:r>
        <w:rPr>
          <w:rFonts w:ascii="Arial"/>
          <w:color w:val="000000"/>
          <w:sz w:val="24"/>
        </w:rPr>
        <w:t xml:space="preserve">refused in </w:t>
      </w:r>
      <w:r>
        <w:rPr>
          <w:rFonts w:ascii="Arial"/>
          <w:i/>
          <w:color w:val="000000"/>
          <w:sz w:val="24"/>
        </w:rPr>
        <w:t>Ralan</w:t>
      </w:r>
      <w:r>
        <w:rPr>
          <w:rFonts w:ascii="Arial"/>
          <w:color w:val="000000"/>
          <w:sz w:val="24"/>
        </w:rPr>
        <w:t>: S309/2014.</w:t>
      </w:r>
      <w:r>
        <w:rPr>
          <w:rFonts w:ascii="Arial"/>
          <w:color w:val="000000"/>
          <w:sz w:val="24"/>
        </w:rPr>
        <w:t xml:space="preserve"> </w:t>
      </w:r>
      <w:r>
        <w:rPr>
          <w:rFonts w:ascii="Arial"/>
          <w:i/>
          <w:color w:val="000000"/>
          <w:sz w:val="24"/>
        </w:rPr>
        <w:t>Ralan</w:t>
      </w:r>
      <w:r>
        <w:rPr>
          <w:rFonts w:ascii="Arial"/>
          <w:color w:val="000000"/>
          <w:sz w:val="24"/>
        </w:rPr>
        <w:t xml:space="preserve"> </w:t>
      </w:r>
      <w:r>
        <w:rPr>
          <w:rFonts w:ascii="Arial"/>
          <w:color w:val="000000"/>
          <w:sz w:val="24"/>
        </w:rPr>
        <w:t xml:space="preserve">has been followed in this Court: </w:t>
      </w:r>
      <w:r>
        <w:rPr>
          <w:rFonts w:ascii="Arial"/>
          <w:i/>
          <w:color w:val="000000"/>
          <w:sz w:val="24"/>
        </w:rPr>
        <w:t>Bunderra</w:t>
      </w:r>
      <w:r>
        <w:rPr>
          <w:rFonts w:ascii="Arial"/>
          <w:color w:val="000000"/>
          <w:sz w:val="24"/>
        </w:rPr>
        <w:t xml:space="preserve">; </w:t>
      </w:r>
      <w:r>
        <w:rPr>
          <w:rFonts w:ascii="Arial"/>
          <w:i/>
          <w:color w:val="000000"/>
          <w:sz w:val="24"/>
        </w:rPr>
        <w:t>Settlers Estate Pty Ltd v Penrith City Council</w:t>
      </w:r>
      <w:r>
        <w:rPr>
          <w:rFonts w:ascii="Arial"/>
          <w:color w:val="000000"/>
          <w:sz w:val="24"/>
        </w:rPr>
        <w:t xml:space="preserve"> </w:t>
      </w:r>
      <w:r>
        <w:rPr>
          <w:rFonts w:ascii="Arial"/>
          <w:color w:val="000000"/>
          <w:sz w:val="24"/>
        </w:rPr>
        <w:t>[2021] NSWCA 13.</w:t>
      </w:r>
    </w:p>
    <w:p>
      <w:pPr>
        <w:pStyle w:val="CaselawHeading3"/>
        <w:keepNext/>
        <w:spacing w:before="150" w:after="150" w:line="264"/>
        <w:ind w:left="0"/>
        <w:jc w:val="left"/>
      </w:pPr>
      <w:r>
        <w:rPr>
          <w:rFonts w:ascii="Arial"/>
        </w:rPr>
        <w:t>Conclusion on ground 3</w:t>
      </w:r>
    </w:p>
    <w:p>
      <w:pPr>
        <w:pStyle w:val="CaselawNumbered10"/>
        <w:numPr>
          <w:ilvl w:val="0"/>
          <w:numId w:val="120"/>
        </w:numPr>
        <w:spacing w:before="150" w:after="0"/>
        <w:ind w:left="600" w:hanging="600"/>
      </w:pPr>
      <w:r>
        <w:rPr>
          <w:rFonts w:ascii="Arial"/>
          <w:color w:val="000000"/>
          <w:sz w:val="24"/>
        </w:rPr>
        <w:t xml:space="preserve">Ground 3 in this appeal proceeds on a misconception about the </w:t>
      </w:r>
      <w:r>
        <w:rPr>
          <w:rFonts w:ascii="Arial"/>
          <w:color w:val="000000"/>
          <w:sz w:val="24"/>
        </w:rPr>
        <w:t>e</w:t>
      </w:r>
      <w:r>
        <w:rPr>
          <w:rFonts w:ascii="Arial"/>
          <w:color w:val="000000"/>
          <w:sz w:val="24"/>
        </w:rPr>
        <w:t xml:space="preserve">ffect of </w:t>
      </w:r>
      <w:r>
        <w:rPr>
          <w:rFonts w:ascii="Arial"/>
          <w:i/>
          <w:color w:val="000000"/>
          <w:sz w:val="24"/>
        </w:rPr>
        <w:t>Ralan</w:t>
      </w:r>
      <w:r>
        <w:rPr>
          <w:rFonts w:ascii="Arial"/>
          <w:color w:val="000000"/>
          <w:sz w:val="24"/>
        </w:rPr>
        <w:t xml:space="preserve">. </w:t>
      </w:r>
      <w:r>
        <w:rPr>
          <w:rFonts w:ascii="Arial"/>
          <w:i/>
          <w:color w:val="000000"/>
          <w:sz w:val="24"/>
        </w:rPr>
        <w:t>Ralan</w:t>
      </w:r>
      <w:r>
        <w:rPr>
          <w:rFonts w:ascii="Arial"/>
          <w:color w:val="000000"/>
          <w:sz w:val="24"/>
        </w:rPr>
        <w:t xml:space="preserve"> </w:t>
      </w:r>
      <w:r>
        <w:rPr>
          <w:rFonts w:ascii="Arial"/>
          <w:color w:val="000000"/>
          <w:sz w:val="24"/>
        </w:rPr>
        <w:t xml:space="preserve">simply does not address </w:t>
      </w:r>
      <w:r>
        <w:rPr>
          <w:rFonts w:ascii="Arial"/>
          <w:color w:val="000000"/>
          <w:sz w:val="24"/>
        </w:rPr>
        <w:t xml:space="preserve">the availability of </w:t>
      </w:r>
      <w:r>
        <w:rPr>
          <w:rFonts w:ascii="Arial"/>
          <w:color w:val="000000"/>
          <w:sz w:val="24"/>
        </w:rPr>
        <w:t xml:space="preserve">judicial review for jurisdictional error under s 20(2) of the </w:t>
      </w:r>
      <w:r>
        <w:rPr>
          <w:rFonts w:ascii="Arial"/>
          <w:i/>
          <w:color w:val="000000"/>
          <w:sz w:val="24"/>
        </w:rPr>
        <w:t>Land and Environment Court Act</w:t>
      </w:r>
      <w:r>
        <w:rPr>
          <w:rFonts w:ascii="Arial"/>
          <w:i/>
          <w:color w:val="000000"/>
          <w:sz w:val="24"/>
        </w:rPr>
        <w:t xml:space="preserve">, </w:t>
      </w:r>
      <w:r>
        <w:rPr>
          <w:rFonts w:ascii="Arial"/>
          <w:color w:val="000000"/>
          <w:sz w:val="24"/>
        </w:rPr>
        <w:t>nor the consequences of a finding of jurisdictional error.</w:t>
      </w:r>
      <w:r>
        <w:rPr>
          <w:rFonts w:ascii="Arial"/>
          <w:color w:val="000000"/>
          <w:sz w:val="24"/>
        </w:rPr>
        <w:t xml:space="preserve"> </w:t>
      </w:r>
    </w:p>
    <w:p>
      <w:pPr>
        <w:pStyle w:val="CaselawNumbered10"/>
        <w:numPr>
          <w:ilvl w:val="0"/>
          <w:numId w:val="120"/>
        </w:numPr>
        <w:spacing w:before="150" w:after="0"/>
        <w:ind w:left="600" w:hanging="600"/>
      </w:pPr>
      <w:r>
        <w:rPr>
          <w:rFonts w:ascii="Arial"/>
          <w:color w:val="000000"/>
          <w:sz w:val="24"/>
        </w:rPr>
        <w:t xml:space="preserve">I agree with the </w:t>
      </w:r>
      <w:r>
        <w:rPr>
          <w:rFonts w:ascii="Arial"/>
          <w:color w:val="000000"/>
          <w:sz w:val="24"/>
        </w:rPr>
        <w:t>Council</w:t>
      </w:r>
      <w:r>
        <w:rPr>
          <w:rFonts w:ascii="Arial"/>
          <w:color w:val="000000"/>
          <w:sz w:val="24"/>
        </w:rPr>
        <w:t>’</w:t>
      </w:r>
      <w:r>
        <w:rPr>
          <w:rFonts w:ascii="Arial"/>
          <w:color w:val="000000"/>
          <w:sz w:val="24"/>
        </w:rPr>
        <w:t xml:space="preserve">s </w:t>
      </w:r>
      <w:r>
        <w:rPr>
          <w:rFonts w:ascii="Arial"/>
          <w:color w:val="000000"/>
          <w:sz w:val="24"/>
        </w:rPr>
        <w:t>submission that the appellants</w:t>
      </w:r>
      <w:r>
        <w:rPr>
          <w:rFonts w:ascii="Arial"/>
          <w:color w:val="000000"/>
          <w:sz w:val="24"/>
        </w:rPr>
        <w:t>’</w:t>
      </w:r>
      <w:r>
        <w:rPr>
          <w:rFonts w:ascii="Arial"/>
          <w:color w:val="000000"/>
          <w:sz w:val="24"/>
        </w:rPr>
        <w:t xml:space="preserve"> </w:t>
      </w:r>
      <w:r>
        <w:rPr>
          <w:rFonts w:ascii="Arial"/>
          <w:color w:val="000000"/>
          <w:sz w:val="24"/>
        </w:rPr>
        <w:t xml:space="preserve">argument on ground 3 conflates a finding of jurisdictional error with its consequences. A finding of jurisdictional error has the effect that the decision is properly to be regarded as no decision at all which, usually, will result in a declaration of invalidity. As it happens, the parties are here agreed that in this statutory scheme a finding of jurisdictional error permits the setting aside of the construction certificate in part rather than in whole. </w:t>
      </w:r>
      <w:r>
        <w:rPr>
          <w:rFonts w:ascii="Arial"/>
          <w:color w:val="000000"/>
          <w:sz w:val="24"/>
        </w:rPr>
        <w:t xml:space="preserve">As Kirk JA, writing extra-judicially has explained (J Kirk SC, </w:t>
      </w:r>
      <w:r>
        <w:rPr>
          <w:rFonts w:ascii="Arial"/>
          <w:color w:val="000000"/>
          <w:sz w:val="24"/>
        </w:rPr>
        <w:t>‘</w:t>
      </w:r>
      <w:r>
        <w:rPr>
          <w:rFonts w:ascii="Arial"/>
          <w:color w:val="000000"/>
          <w:sz w:val="24"/>
        </w:rPr>
        <w:t>The Concept of Jurisdictional Error</w:t>
      </w:r>
      <w:r>
        <w:rPr>
          <w:rFonts w:ascii="Arial"/>
          <w:color w:val="000000"/>
          <w:sz w:val="24"/>
        </w:rPr>
        <w:t>’</w:t>
      </w:r>
      <w:r>
        <w:rPr>
          <w:rFonts w:ascii="Arial"/>
          <w:color w:val="000000"/>
          <w:sz w:val="24"/>
        </w:rPr>
        <w:t xml:space="preserve"> </w:t>
      </w:r>
      <w:r>
        <w:rPr>
          <w:rFonts w:ascii="Arial"/>
          <w:color w:val="000000"/>
          <w:sz w:val="24"/>
        </w:rPr>
        <w:t xml:space="preserve">in </w:t>
      </w:r>
      <w:r>
        <w:rPr>
          <w:rFonts w:ascii="Arial"/>
          <w:i/>
          <w:color w:val="000000"/>
          <w:sz w:val="24"/>
        </w:rPr>
        <w:t>Key Issues in Judicial Review</w:t>
      </w:r>
      <w:r>
        <w:rPr>
          <w:rFonts w:ascii="Arial"/>
          <w:color w:val="000000"/>
          <w:sz w:val="24"/>
        </w:rPr>
        <w:t xml:space="preserve"> </w:t>
      </w:r>
      <w:r>
        <w:rPr>
          <w:rFonts w:ascii="Arial"/>
          <w:color w:val="000000"/>
          <w:sz w:val="24"/>
        </w:rPr>
        <w:t>(Neil Williams SC ed, Federation Press, 2014)):</w:t>
      </w:r>
    </w:p>
    <w:p>
      <w:pPr>
        <w:pStyle w:val="CaselawQuote"/>
        <w:spacing w:before="150" w:after="150"/>
        <w:ind w:left="1350"/>
        <w:jc w:val="left"/>
      </w:pPr>
      <w:r>
        <w:rPr>
          <w:rFonts w:ascii="Arial"/>
          <w:color w:val="000000"/>
          <w:sz w:val="22"/>
        </w:rPr>
        <w:t>“It is not a matter of identifying whether there is jurisdictional error and then asking if such error was intended to lead to invalidity, for they are two sides of the same coin. One could ask if there has been error or non-compliance with the express or implied requirements of the statute. If there has been, the question then is whether it was intended that such error lead to invalidity. If it was, then any error is jurisdictional. If it was not then, at least in general, any error will not be jurisdictional.”</w:t>
      </w:r>
    </w:p>
    <w:p>
      <w:pPr>
        <w:pStyle w:val="CaselawNumbered10"/>
        <w:numPr>
          <w:ilvl w:val="0"/>
          <w:numId w:val="121"/>
        </w:numPr>
        <w:spacing w:before="150" w:after="0"/>
        <w:ind w:left="600" w:hanging="600"/>
      </w:pPr>
      <w:r>
        <w:rPr>
          <w:rFonts w:ascii="Arial"/>
          <w:color w:val="000000"/>
          <w:sz w:val="24"/>
        </w:rPr>
        <w:t>Th</w:t>
      </w:r>
      <w:r>
        <w:rPr>
          <w:rFonts w:ascii="Arial"/>
          <w:color w:val="000000"/>
          <w:sz w:val="24"/>
        </w:rPr>
        <w:t xml:space="preserve">e present case involves </w:t>
      </w:r>
      <w:r>
        <w:rPr>
          <w:rFonts w:ascii="Arial"/>
          <w:color w:val="000000"/>
          <w:sz w:val="24"/>
        </w:rPr>
        <w:t xml:space="preserve">constitutionally entrenched </w:t>
      </w:r>
      <w:r>
        <w:rPr>
          <w:rFonts w:ascii="Arial"/>
          <w:color w:val="000000"/>
          <w:sz w:val="24"/>
        </w:rPr>
        <w:t xml:space="preserve">judicial review for jurisdictional error. </w:t>
      </w:r>
      <w:r>
        <w:rPr>
          <w:rFonts w:ascii="Arial"/>
          <w:i/>
          <w:color w:val="000000"/>
          <w:sz w:val="24"/>
        </w:rPr>
        <w:t>Ralan</w:t>
      </w:r>
      <w:r>
        <w:rPr>
          <w:rFonts w:ascii="Arial"/>
          <w:color w:val="000000"/>
          <w:sz w:val="24"/>
        </w:rPr>
        <w:t xml:space="preserve">, expressly, </w:t>
      </w:r>
      <w:r>
        <w:rPr>
          <w:rFonts w:ascii="Arial"/>
          <w:color w:val="000000"/>
          <w:sz w:val="24"/>
        </w:rPr>
        <w:t>says nothing about that subject.</w:t>
      </w:r>
      <w:r>
        <w:rPr>
          <w:rFonts w:ascii="Arial"/>
          <w:color w:val="000000"/>
          <w:sz w:val="24"/>
        </w:rPr>
        <w:t xml:space="preserve"> </w:t>
      </w:r>
      <w:r>
        <w:rPr>
          <w:rFonts w:ascii="Arial"/>
          <w:i/>
          <w:color w:val="000000"/>
          <w:sz w:val="24"/>
        </w:rPr>
        <w:t>Ralan</w:t>
      </w:r>
      <w:r>
        <w:rPr>
          <w:rFonts w:ascii="Arial"/>
          <w:color w:val="000000"/>
          <w:sz w:val="24"/>
        </w:rPr>
        <w:t xml:space="preserve"> </w:t>
      </w:r>
      <w:r>
        <w:rPr>
          <w:rFonts w:ascii="Arial"/>
          <w:color w:val="000000"/>
          <w:sz w:val="24"/>
        </w:rPr>
        <w:t xml:space="preserve">commences by describing, </w:t>
      </w:r>
      <w:r>
        <w:rPr>
          <w:rFonts w:ascii="Arial"/>
          <w:color w:val="000000"/>
          <w:sz w:val="24"/>
        </w:rPr>
        <w:t>uncontroversial</w:t>
      </w:r>
      <w:r>
        <w:rPr>
          <w:rFonts w:ascii="Arial"/>
          <w:color w:val="000000"/>
          <w:sz w:val="24"/>
        </w:rPr>
        <w:t>ly</w:t>
      </w:r>
      <w:r>
        <w:rPr>
          <w:rFonts w:ascii="Arial"/>
          <w:color w:val="000000"/>
          <w:sz w:val="24"/>
        </w:rPr>
        <w:t xml:space="preserve">, the test in </w:t>
      </w:r>
      <w:r>
        <w:rPr>
          <w:rFonts w:ascii="Arial"/>
          <w:i/>
          <w:color w:val="000000"/>
          <w:sz w:val="24"/>
        </w:rPr>
        <w:t>Project Blue Sky</w:t>
      </w:r>
      <w:r>
        <w:rPr>
          <w:rFonts w:ascii="Arial"/>
          <w:color w:val="000000"/>
          <w:sz w:val="24"/>
        </w:rPr>
        <w:t>. The test for determining whether an act done in breach of a statutory provision is</w:t>
      </w:r>
      <w:r>
        <w:rPr>
          <w:rFonts w:ascii="Arial"/>
          <w:color w:val="000000"/>
          <w:sz w:val="24"/>
        </w:rPr>
        <w:t xml:space="preserve"> </w:t>
      </w:r>
      <w:r>
        <w:rPr>
          <w:rFonts w:ascii="Arial"/>
          <w:color w:val="000000"/>
          <w:sz w:val="24"/>
        </w:rPr>
        <w:t>invalid is</w:t>
      </w:r>
      <w:r>
        <w:rPr>
          <w:rFonts w:ascii="Arial"/>
          <w:color w:val="000000"/>
          <w:sz w:val="24"/>
        </w:rPr>
        <w:t>:</w:t>
      </w:r>
    </w:p>
    <w:p>
      <w:pPr>
        <w:pStyle w:val="CaselawQuote"/>
        <w:spacing w:before="150" w:after="150"/>
        <w:ind w:left="1350"/>
        <w:jc w:val="left"/>
      </w:pPr>
      <w:r>
        <w:rPr>
          <w:rFonts w:ascii="Arial"/>
          <w:color w:val="000000"/>
          <w:sz w:val="22"/>
        </w:rPr>
        <w:t>“</w:t>
      </w:r>
      <w:r>
        <w:rPr>
          <w:rFonts w:ascii="Arial"/>
          <w:color w:val="000000"/>
          <w:sz w:val="22"/>
        </w:rPr>
        <w:t xml:space="preserve">[93] </w:t>
      </w:r>
      <w:r>
        <w:rPr>
          <w:rFonts w:ascii="Arial"/>
          <w:color w:val="000000"/>
          <w:sz w:val="22"/>
        </w:rPr>
        <w:t>to ask whether it was a purpose of the legislation that an act done in breach of the provision should be invalid. ...</w:t>
      </w:r>
    </w:p>
    <w:p>
      <w:pPr>
        <w:pStyle w:val="CaselawQuote"/>
        <w:spacing w:before="150" w:after="150"/>
        <w:ind w:left="1350"/>
        <w:jc w:val="left"/>
      </w:pPr>
      <w:r>
        <w:rPr>
          <w:rFonts w:ascii="Arial"/>
          <w:color w:val="000000"/>
          <w:sz w:val="22"/>
        </w:rPr>
        <w:t xml:space="preserve">In determining the question of purpose, regard must be had to </w:t>
      </w:r>
      <w:r>
        <w:rPr>
          <w:rFonts w:ascii="Arial"/>
          <w:color w:val="000000"/>
          <w:sz w:val="22"/>
        </w:rPr>
        <w:t>‘the language of the relevant provision and the scope and object of the whole statute’.”</w:t>
      </w:r>
      <w:r>
        <w:rPr>
          <w:rFonts w:ascii="Arial"/>
          <w:color w:val="000000"/>
          <w:sz w:val="22"/>
        </w:rPr>
        <w:t xml:space="preserve"> (</w:t>
      </w:r>
      <w:r>
        <w:rPr>
          <w:rFonts w:ascii="Arial"/>
          <w:color w:val="000000"/>
          <w:sz w:val="22"/>
        </w:rPr>
        <w:t>c</w:t>
      </w:r>
      <w:r>
        <w:rPr>
          <w:rFonts w:ascii="Arial"/>
          <w:color w:val="000000"/>
          <w:sz w:val="22"/>
        </w:rPr>
        <w:t xml:space="preserve">itations </w:t>
      </w:r>
      <w:r>
        <w:rPr>
          <w:rFonts w:ascii="Arial"/>
          <w:color w:val="000000"/>
          <w:sz w:val="22"/>
        </w:rPr>
        <w:t>omitted)</w:t>
      </w:r>
    </w:p>
    <w:p>
      <w:pPr>
        <w:pStyle w:val="CaselawNumbered10"/>
        <w:numPr>
          <w:ilvl w:val="0"/>
          <w:numId w:val="122"/>
        </w:numPr>
        <w:spacing w:before="150" w:after="0"/>
        <w:ind w:left="600" w:hanging="600"/>
      </w:pPr>
      <w:r>
        <w:rPr>
          <w:rFonts w:ascii="Arial"/>
          <w:color w:val="000000"/>
          <w:sz w:val="24"/>
        </w:rPr>
        <w:t xml:space="preserve">Sackville AJA regarded it as significant that the amendments introduced in 2006 did not expressly state that a construction certificate issued in breach of then s </w:t>
      </w:r>
      <w:r>
        <w:rPr>
          <w:rFonts w:ascii="Arial"/>
          <w:color w:val="000000"/>
          <w:sz w:val="24"/>
        </w:rPr>
        <w:t xml:space="preserve">109F(1)(a) </w:t>
      </w:r>
      <w:r>
        <w:rPr>
          <w:rFonts w:ascii="Arial"/>
          <w:color w:val="000000"/>
          <w:sz w:val="24"/>
        </w:rPr>
        <w:t>was</w:t>
      </w:r>
      <w:r>
        <w:rPr>
          <w:rFonts w:ascii="Arial"/>
          <w:color w:val="000000"/>
          <w:sz w:val="24"/>
        </w:rPr>
        <w:t xml:space="preserve"> </w:t>
      </w:r>
      <w:r>
        <w:rPr>
          <w:rFonts w:ascii="Arial"/>
          <w:color w:val="000000"/>
          <w:sz w:val="24"/>
        </w:rPr>
        <w:t xml:space="preserve">invalid and of no effect. The omission was significant since at the time s 109F(1A) (which had been inserted in 2005) expressly provided that a construction certificate issued after building work had physically commenced </w:t>
      </w:r>
      <w:r>
        <w:rPr>
          <w:rFonts w:ascii="Arial"/>
          <w:color w:val="000000"/>
          <w:sz w:val="24"/>
        </w:rPr>
        <w:t>“</w:t>
      </w:r>
      <w:r>
        <w:rPr>
          <w:rFonts w:ascii="Arial"/>
          <w:color w:val="000000"/>
          <w:sz w:val="24"/>
        </w:rPr>
        <w:t>ha[d] no effect</w:t>
      </w:r>
      <w:r>
        <w:rPr>
          <w:rFonts w:ascii="Arial"/>
          <w:color w:val="000000"/>
          <w:sz w:val="24"/>
        </w:rPr>
        <w:t>”</w:t>
      </w:r>
      <w:r>
        <w:rPr>
          <w:rFonts w:ascii="Arial"/>
          <w:color w:val="000000"/>
          <w:sz w:val="24"/>
        </w:rPr>
        <w:t>. His Honour stated that had Parliament intended that a construction certificate issued in breach of s 109F(1)(a) should be invalid, it might have been expected to say so.</w:t>
      </w:r>
      <w:r>
        <w:rPr>
          <w:rFonts w:ascii="Arial"/>
          <w:color w:val="000000"/>
          <w:sz w:val="24"/>
        </w:rPr>
        <w:t xml:space="preserve"> </w:t>
      </w:r>
      <w:r>
        <w:rPr>
          <w:rFonts w:ascii="Arial"/>
          <w:color w:val="000000"/>
          <w:sz w:val="24"/>
        </w:rPr>
        <w:t xml:space="preserve">His Honour also found that the legislative history was consistent with Parliament simply intending to make it clear that an accredited certifier who issues a construction certificate which is in fact inconsistent with a development consent, breached cl 145(1) of the </w:t>
      </w:r>
      <w:r>
        <w:rPr>
          <w:rFonts w:ascii="Arial"/>
          <w:i/>
          <w:color w:val="000000"/>
          <w:sz w:val="24"/>
        </w:rPr>
        <w:t xml:space="preserve">Environmental Planning and Assessment Regulation 2000 </w:t>
      </w:r>
      <w:r>
        <w:rPr>
          <w:rFonts w:ascii="Arial"/>
          <w:color w:val="000000"/>
          <w:sz w:val="24"/>
        </w:rPr>
        <w:t>and s 109F(1)(a) of the EPA Act.</w:t>
      </w:r>
    </w:p>
    <w:p>
      <w:pPr>
        <w:pStyle w:val="CaselawNumbered10"/>
        <w:numPr>
          <w:ilvl w:val="0"/>
          <w:numId w:val="122"/>
        </w:numPr>
        <w:spacing w:before="150" w:after="0"/>
        <w:ind w:left="600" w:hanging="600"/>
      </w:pPr>
      <w:r>
        <w:rPr>
          <w:rFonts w:ascii="Arial"/>
          <w:color w:val="000000"/>
          <w:sz w:val="24"/>
        </w:rPr>
        <w:t>As I have earlier explained</w:t>
      </w:r>
      <w:r>
        <w:rPr>
          <w:rFonts w:ascii="Arial"/>
          <w:color w:val="000000"/>
          <w:sz w:val="24"/>
        </w:rPr>
        <w:t xml:space="preserve"> </w:t>
      </w:r>
      <w:r>
        <w:rPr>
          <w:rFonts w:ascii="Arial"/>
          <w:color w:val="000000"/>
          <w:sz w:val="24"/>
        </w:rPr>
        <w:t>(at [</w:t>
      </w:r>
      <w:hyperlink r:id="rId36">
        <w:r>
          <w:rPr>
            <w:rFonts w:ascii="Arial"/>
            <w:color w:val="000000"/>
            <w:sz w:val="24"/>
            <w:u w:val="single"/>
          </w:rPr>
          <w:t/>
        </w:r>
        <w:r>
          <w:rPr>
            <w:rFonts w:ascii="Arial"/>
            <w:color w:val="000000"/>
            <w:sz w:val="24"/>
          </w:rPr>
          <w:t>68</w:t>
        </w:r>
      </w:hyperlink>
      <w:hyperlink r:id="rId37">
        <w:r>
          <w:rPr>
            <w:rFonts w:ascii="Arial"/>
            <w:color w:val="000000"/>
            <w:sz w:val="24"/>
          </w:rPr>
          <w:t/>
        </w:r>
      </w:hyperlink>
      <w:r>
        <w:rPr>
          <w:rFonts w:ascii="Arial"/>
          <w:color w:val="000000"/>
          <w:sz w:val="24"/>
        </w:rPr>
        <w:t>])</w:t>
      </w:r>
      <w:r>
        <w:rPr>
          <w:rFonts w:ascii="Arial"/>
          <w:color w:val="000000"/>
          <w:sz w:val="24"/>
        </w:rPr>
        <w:t>, t</w:t>
      </w:r>
      <w:r>
        <w:rPr>
          <w:rFonts w:ascii="Arial"/>
          <w:color w:val="000000"/>
          <w:sz w:val="24"/>
        </w:rPr>
        <w:t xml:space="preserve">he appellants accept that the decision to issue the construction certificate in this case is amenable to judicial review for jurisdictional error. </w:t>
      </w:r>
      <w:r>
        <w:rPr>
          <w:rFonts w:ascii="Arial"/>
          <w:color w:val="000000"/>
          <w:sz w:val="24"/>
        </w:rPr>
        <w:t xml:space="preserve">The assumption upon which ground 3 is </w:t>
      </w:r>
      <w:r>
        <w:rPr>
          <w:rFonts w:ascii="Arial"/>
          <w:color w:val="000000"/>
          <w:sz w:val="24"/>
        </w:rPr>
        <w:t>being considered</w:t>
      </w:r>
      <w:r>
        <w:rPr>
          <w:rFonts w:ascii="Arial"/>
          <w:color w:val="000000"/>
          <w:sz w:val="24"/>
        </w:rPr>
        <w:t xml:space="preserve"> </w:t>
      </w:r>
      <w:r>
        <w:rPr>
          <w:rFonts w:ascii="Arial"/>
          <w:color w:val="000000"/>
          <w:sz w:val="24"/>
        </w:rPr>
        <w:t xml:space="preserve">is that in </w:t>
      </w:r>
      <w:r>
        <w:rPr>
          <w:rFonts w:ascii="Arial"/>
          <w:color w:val="000000"/>
          <w:sz w:val="24"/>
        </w:rPr>
        <w:t>issuing</w:t>
      </w:r>
      <w:r>
        <w:rPr>
          <w:rFonts w:ascii="Arial"/>
          <w:color w:val="000000"/>
          <w:sz w:val="24"/>
        </w:rPr>
        <w:t xml:space="preserve"> </w:t>
      </w:r>
      <w:r>
        <w:rPr>
          <w:rFonts w:ascii="Arial"/>
          <w:color w:val="000000"/>
          <w:sz w:val="24"/>
        </w:rPr>
        <w:t xml:space="preserve">the construction certificate, the certifier fell into jurisdictional error. Jurisdictional error having been established, and no submission being advanced that the assumed error was not material, it follows that in the usual course the appropriate remedy is to set the decision aside. This outcome is a fundamental aspect of successful review for jurisdictional error. As </w:t>
      </w:r>
      <w:r>
        <w:rPr>
          <w:rFonts w:ascii="Arial"/>
          <w:color w:val="000000"/>
          <w:sz w:val="24"/>
        </w:rPr>
        <w:t>Gaudron</w:t>
      </w:r>
      <w:r>
        <w:rPr>
          <w:rFonts w:ascii="Arial"/>
          <w:color w:val="000000"/>
          <w:sz w:val="24"/>
        </w:rPr>
        <w:t xml:space="preserve"> </w:t>
      </w:r>
      <w:r>
        <w:rPr>
          <w:rFonts w:ascii="Arial"/>
          <w:color w:val="000000"/>
          <w:sz w:val="24"/>
        </w:rPr>
        <w:t xml:space="preserve">J, writing separately but agreeing with the majority in </w:t>
      </w:r>
      <w:r>
        <w:rPr>
          <w:rFonts w:ascii="Arial"/>
          <w:i/>
          <w:color w:val="000000"/>
          <w:sz w:val="24"/>
        </w:rPr>
        <w:t>Corporation of the City of Enfield v Development Assessment Commission</w:t>
      </w:r>
      <w:r>
        <w:rPr>
          <w:rFonts w:ascii="Arial"/>
          <w:color w:val="000000"/>
          <w:sz w:val="24"/>
        </w:rPr>
        <w:t xml:space="preserve"> </w:t>
      </w:r>
      <w:r>
        <w:rPr>
          <w:rFonts w:ascii="Arial"/>
          <w:color w:val="000000"/>
          <w:sz w:val="24"/>
        </w:rPr>
        <w:t>(2000) 199 CLR 135; [2000] HCA 5 said:</w:t>
      </w:r>
    </w:p>
    <w:p>
      <w:pPr>
        <w:pStyle w:val="CaselawQuote"/>
        <w:spacing w:before="150" w:after="150"/>
        <w:ind w:left="1350"/>
        <w:jc w:val="left"/>
      </w:pPr>
      <w:r>
        <w:rPr>
          <w:rFonts w:ascii="Arial"/>
          <w:color w:val="000000"/>
          <w:sz w:val="22"/>
        </w:rPr>
        <w:t>“[56] Those exercising executive and administrative powers are as much subject to the law as those who are or may be affected by the exercise of those powers.</w:t>
      </w:r>
      <w:r>
        <w:rPr>
          <w:rFonts w:ascii="Arial"/>
          <w:color w:val="000000"/>
          <w:sz w:val="22"/>
        </w:rPr>
        <w:t xml:space="preserve"> </w:t>
      </w:r>
      <w:r>
        <w:rPr>
          <w:rFonts w:ascii="Arial"/>
          <w:color w:val="000000"/>
          <w:sz w:val="22"/>
        </w:rPr>
        <w:t>It follows that, within the limits of their jurisdiction and consistent with their obligation to act judicially, the courts should provide whatever remedies are available and appropriate to ensure that those possessed of executive and administrative powers exercise them only in accordance with the laws which govern their exercise.</w:t>
      </w:r>
      <w:r>
        <w:rPr>
          <w:rFonts w:ascii="Arial"/>
          <w:color w:val="000000"/>
          <w:sz w:val="22"/>
        </w:rPr>
        <w:t xml:space="preserve"> </w:t>
      </w:r>
      <w:r>
        <w:rPr>
          <w:rFonts w:ascii="Arial"/>
          <w:color w:val="000000"/>
          <w:sz w:val="22"/>
        </w:rPr>
        <w:t>The rule of law requires no less.”</w:t>
      </w:r>
      <w:r>
        <w:rPr>
          <w:rFonts w:ascii="Arial"/>
          <w:color w:val="000000"/>
          <w:sz w:val="22"/>
        </w:rPr>
        <w:t xml:space="preserve"> (footnote omitted)</w:t>
      </w:r>
    </w:p>
    <w:p>
      <w:pPr>
        <w:pStyle w:val="CaselawNumbered10"/>
        <w:numPr>
          <w:ilvl w:val="0"/>
          <w:numId w:val="123"/>
        </w:numPr>
        <w:spacing w:before="150" w:after="0"/>
        <w:ind w:left="600" w:hanging="600"/>
      </w:pPr>
      <w:r>
        <w:rPr>
          <w:rFonts w:ascii="Arial"/>
          <w:color w:val="000000"/>
          <w:sz w:val="24"/>
        </w:rPr>
        <w:t xml:space="preserve">For these reasons, </w:t>
      </w:r>
      <w:r>
        <w:rPr>
          <w:rFonts w:ascii="Arial"/>
          <w:color w:val="000000"/>
          <w:sz w:val="24"/>
        </w:rPr>
        <w:t xml:space="preserve">I would reject </w:t>
      </w:r>
      <w:r>
        <w:rPr>
          <w:rFonts w:ascii="Arial"/>
          <w:color w:val="000000"/>
          <w:sz w:val="24"/>
        </w:rPr>
        <w:t>G</w:t>
      </w:r>
      <w:r>
        <w:rPr>
          <w:rFonts w:ascii="Arial"/>
          <w:color w:val="000000"/>
          <w:sz w:val="24"/>
        </w:rPr>
        <w:t>round 3</w:t>
      </w:r>
      <w:r>
        <w:rPr>
          <w:rFonts w:ascii="Arial"/>
          <w:color w:val="000000"/>
          <w:sz w:val="24"/>
        </w:rPr>
        <w:t>.</w:t>
      </w:r>
    </w:p>
    <w:p>
      <w:pPr>
        <w:pStyle w:val="CaselawHeading2"/>
        <w:keepNext/>
        <w:spacing w:before="150" w:after="150" w:line="264"/>
        <w:ind w:left="0"/>
        <w:jc w:val="left"/>
      </w:pPr>
      <w:r>
        <w:rPr>
          <w:rFonts w:ascii="Arial"/>
        </w:rPr>
        <w:t>Conclusion and proposed orders</w:t>
      </w:r>
    </w:p>
    <w:p>
      <w:pPr>
        <w:pStyle w:val="CaselawNumbered10"/>
        <w:numPr>
          <w:ilvl w:val="0"/>
          <w:numId w:val="124"/>
        </w:numPr>
        <w:spacing w:before="150" w:after="0"/>
        <w:ind w:left="600" w:hanging="600"/>
      </w:pPr>
      <w:r>
        <w:rPr>
          <w:rFonts w:ascii="Arial"/>
          <w:color w:val="000000"/>
          <w:sz w:val="24"/>
        </w:rPr>
        <w:t>For the foregoing reasons I propose the following orders:</w:t>
      </w:r>
    </w:p>
    <w:p>
      <w:pPr>
        <w:pStyle w:val="CaselawNumbered1"/>
        <w:numPr>
          <w:ilvl w:val="0"/>
          <w:numId w:val="125"/>
        </w:numPr>
        <w:spacing w:before="150" w:after="0"/>
        <w:ind w:left="1350" w:hanging="750"/>
      </w:pPr>
      <w:r>
        <w:rPr>
          <w:rFonts w:ascii="Arial"/>
          <w:color w:val="000000"/>
          <w:sz w:val="24"/>
        </w:rPr>
        <w:t>Appeal dismissed.</w:t>
      </w:r>
    </w:p>
    <w:p>
      <w:pPr>
        <w:pStyle w:val="CaselawNumbered1"/>
        <w:numPr>
          <w:ilvl w:val="0"/>
          <w:numId w:val="125"/>
        </w:numPr>
        <w:spacing w:before="150" w:after="0"/>
        <w:ind w:left="1350" w:hanging="750"/>
      </w:pPr>
      <w:r>
        <w:rPr>
          <w:rFonts w:ascii="Arial"/>
          <w:color w:val="000000"/>
          <w:sz w:val="24"/>
        </w:rPr>
        <w:t>Appellant</w:t>
      </w:r>
      <w:r>
        <w:rPr>
          <w:rFonts w:ascii="Arial"/>
          <w:color w:val="000000"/>
          <w:sz w:val="24"/>
        </w:rPr>
        <w:t>s</w:t>
      </w:r>
      <w:r>
        <w:rPr>
          <w:rFonts w:ascii="Arial"/>
          <w:color w:val="000000"/>
          <w:sz w:val="24"/>
        </w:rPr>
        <w:t xml:space="preserve"> </w:t>
      </w:r>
      <w:r>
        <w:rPr>
          <w:rFonts w:ascii="Arial"/>
          <w:color w:val="000000"/>
          <w:sz w:val="24"/>
        </w:rPr>
        <w:t xml:space="preserve">to pay the </w:t>
      </w:r>
      <w:r>
        <w:rPr>
          <w:rFonts w:ascii="Arial"/>
          <w:color w:val="000000"/>
          <w:sz w:val="24"/>
        </w:rPr>
        <w:t xml:space="preserve">first </w:t>
      </w:r>
      <w:r>
        <w:rPr>
          <w:rFonts w:ascii="Arial"/>
          <w:color w:val="000000"/>
          <w:sz w:val="24"/>
        </w:rPr>
        <w:t>respondent</w:t>
      </w:r>
      <w:r>
        <w:rPr>
          <w:rFonts w:ascii="Arial"/>
          <w:color w:val="000000"/>
          <w:sz w:val="24"/>
        </w:rPr>
        <w:t>’</w:t>
      </w:r>
      <w:r>
        <w:rPr>
          <w:rFonts w:ascii="Arial"/>
          <w:color w:val="000000"/>
          <w:sz w:val="24"/>
        </w:rPr>
        <w:t>s</w:t>
      </w:r>
      <w:r>
        <w:rPr>
          <w:rFonts w:ascii="Arial"/>
          <w:color w:val="000000"/>
          <w:sz w:val="24"/>
        </w:rPr>
        <w:t xml:space="preserve"> </w:t>
      </w:r>
      <w:r>
        <w:rPr>
          <w:rFonts w:ascii="Arial"/>
          <w:color w:val="000000"/>
          <w:sz w:val="24"/>
        </w:rPr>
        <w:t>costs of the appeal.</w:t>
      </w:r>
    </w:p>
    <w:p>
      <w:pPr>
        <w:pStyle w:val="CaselawNumbered10"/>
        <w:numPr>
          <w:ilvl w:val="0"/>
          <w:numId w:val="126"/>
        </w:numPr>
        <w:spacing w:before="150" w:after="0"/>
        <w:ind w:left="600" w:hanging="600"/>
      </w:pPr>
      <w:r>
        <w:rPr>
          <w:rFonts w:ascii="Arial"/>
          <w:b/>
          <w:color w:val="000000"/>
          <w:sz w:val="24"/>
        </w:rPr>
        <w:t>WHITE JA</w:t>
      </w:r>
      <w:r>
        <w:rPr>
          <w:rFonts w:ascii="Arial"/>
          <w:color w:val="000000"/>
          <w:sz w:val="24"/>
        </w:rPr>
        <w:t>:</w:t>
      </w:r>
      <w:r>
        <w:rPr>
          <w:rFonts w:ascii="Arial"/>
          <w:color w:val="000000"/>
          <w:sz w:val="24"/>
        </w:rPr>
        <w:t xml:space="preserve"> </w:t>
      </w:r>
      <w:r>
        <w:rPr>
          <w:rFonts w:ascii="Arial"/>
          <w:color w:val="000000"/>
          <w:sz w:val="24"/>
        </w:rPr>
        <w:t>I agree with Payne JA.</w:t>
      </w:r>
    </w:p>
    <w:p>
      <w:pPr>
        <w:pStyle w:val="CaselawNumbered10"/>
        <w:numPr>
          <w:ilvl w:val="0"/>
          <w:numId w:val="126"/>
        </w:numPr>
        <w:spacing w:before="150" w:after="0"/>
        <w:ind w:left="600" w:hanging="600"/>
      </w:pPr>
      <w:r>
        <w:rPr>
          <w:rFonts w:ascii="Arial"/>
          <w:b/>
          <w:color w:val="000000"/>
          <w:sz w:val="24"/>
        </w:rPr>
        <w:t>PRICE AJA</w:t>
      </w:r>
      <w:r>
        <w:rPr>
          <w:rFonts w:ascii="Arial"/>
          <w:color w:val="000000"/>
          <w:sz w:val="24"/>
        </w:rPr>
        <w:t>:</w:t>
      </w:r>
      <w:r>
        <w:rPr>
          <w:rFonts w:ascii="Arial"/>
          <w:color w:val="000000"/>
          <w:sz w:val="24"/>
        </w:rPr>
        <w:t xml:space="preserve"> </w:t>
      </w:r>
      <w:r>
        <w:rPr>
          <w:rFonts w:ascii="Arial"/>
          <w:color w:val="000000"/>
          <w:sz w:val="24"/>
        </w:rPr>
        <w:t>I agree with Payne JA.</w:t>
      </w:r>
    </w:p>
    <w:p>
      <w:pPr>
        <w:pStyle w:val="CaselawNormal"/>
        <w:spacing w:before="150" w:after="150"/>
        <w:ind w:left="600"/>
        <w:jc w:val="left"/>
      </w:pPr>
      <w:r>
        <w:rPr>
          <w:rFonts w:ascii="Arial"/>
          <w:color w:val="000000"/>
          <w:sz w:val="24"/>
        </w:rPr>
        <w:t>**********</w:t>
      </w:r>
    </w:p>
    <w:p w:rsidR="00F65F85" w:rsidP="00F65F85" w:rsidRDefault="00F65F85">
      <w:pPr>
        <w:shd w:val="clear" w:color="auto" w:fill="FFFFFF"/>
        <w:spacing w:after="0" w:line="240" w:lineRule="auto"/>
        <w:ind w:left="119"/>
        <w:rPr>
          <w:rFonts w:cs="Arial"/>
          <w:color w:val="737373"/>
          <w:sz w:val="20"/>
          <w:szCs w:val="20"/>
          <w:lang w:eastAsia="en-US"/>
        </w:rPr>
      </w:pPr>
    </w:p>
    <w:p w:rsidR="00121EC3" w:rsidP="00F65F85" w:rsidRDefault="00121EC3">
      <w:pPr>
        <w:shd w:val="clear" w:color="auto" w:fill="FFFFFF"/>
        <w:spacing w:after="0" w:line="240" w:lineRule="auto"/>
        <w:ind w:left="119"/>
        <w:rPr>
          <w:rFonts w:cs="Arial"/>
          <w:color w:val="737373"/>
          <w:sz w:val="20"/>
          <w:szCs w:val="20"/>
          <w:lang w:eastAsia="en-US"/>
        </w:rPr>
      </w:pPr>
      <w:bookmarkStart w:name="_GoBack" w:id="0"/>
      <w:bookmarkEnd w:id="0"/>
    </w:p>
    <w:p w:rsidRPr="00820AFE" w:rsidR="004C5062" w:rsidP="00121EC3" w:rsidRDefault="00121EC3">
      <w:pPr>
        <w:shd w:val="clear" w:color="auto" w:fill="FFFFFF"/>
        <w:spacing w:after="0" w:line="240" w:lineRule="auto"/>
        <w:ind w:left="119"/>
        <w:rPr>
          <w:rFonts w:cs="Arial"/>
          <w:color w:val="000000"/>
          <w:lang w:eastAsia="en-US"/>
        </w:rPr>
      </w:pPr>
      <w:r w:rsidRPr="00575FAB">
        <w:rPr>
          <w:rFonts w:cs="Arial"/>
          <w:color w:val="737373"/>
          <w:sz w:val="20"/>
          <w:szCs w:val="20"/>
          <w:lang w:eastAsia="en-US"/>
        </w:rPr>
        <w:t>DISCLAIMER - Every effort has been made to comply with suppression orders or statutory provisions prohibiting publication that may apply to this judgment or decision. The onus remains on any person using material in the judgment or decision to ensure that the intended use of that material does not breach any such order or provision. Further e</w:t>
      </w:r>
      <w:r>
        <w:rPr>
          <w:rFonts w:cs="Arial"/>
          <w:color w:val="737373"/>
          <w:sz w:val="20"/>
          <w:szCs w:val="20"/>
          <w:lang w:eastAsia="en-US"/>
        </w:rPr>
        <w:t xml:space="preserve">nquiries may be directed to the </w:t>
      </w:r>
      <w:r w:rsidRPr="00575FAB">
        <w:rPr>
          <w:rFonts w:cs="Arial"/>
          <w:color w:val="737373"/>
          <w:sz w:val="20"/>
          <w:szCs w:val="20"/>
          <w:lang w:eastAsia="en-US"/>
        </w:rPr>
        <w:t>Registry of the Court or Tribunal in which it was generated.</w:t>
      </w:r>
    </w:p>
    <w:sectPr w:rsidRPr="00820AFE" w:rsidR="004C5062">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882F5B" w:rsidRDefault="00882F5B" w:rsidP="0049645A">
      <w:pPr>
        <w:spacing w:after="0" w:line="240" w:lineRule="auto"/>
      </w:pPr>
      <w:r>
        <w:separator/>
      </w:r>
    </w:p>
  </w:endnote>
  <w:endnote w:type="continuationSeparator" w:id="0">
    <w:p w:rsidR="00882F5B" w:rsidRDefault="00882F5B" w:rsidP="0049645A">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libri">
    <w:panose1 w:val="020F0502020204030204"/>
    <w:charset w:val="00"/>
    <w:family w:val="swiss"/>
    <w:pitch w:val="variable"/>
    <w:sig w:usb0="E10002FF" w:usb1="4000ACFF" w:usb2="00000009" w:usb3="00000000" w:csb0="0000019F" w:csb1="00000000"/>
  </w:font>
  <w:font w:name="Cambria">
    <w:panose1 w:val="02040503050406030204"/>
    <w:charset w:val="00"/>
    <w:family w:val="roman"/>
    <w:pitch w:val="variable"/>
    <w:sig w:usb0="E00002FF" w:usb1="400004FF" w:usb2="00000000" w:usb3="00000000" w:csb0="0000019F" w:csb1="00000000"/>
  </w:font>
  <w:font w:name="MS Gothic">
    <w:altName w:val="ＭＳ ゴシック"/>
    <w:panose1 w:val="020B0609070205080204"/>
    <w:charset w:val="80"/>
    <w:family w:val="modern"/>
    <w:pitch w:val="fixed"/>
    <w:sig w:usb0="E00002FF" w:usb1="6AC7FDFB" w:usb2="00000012" w:usb3="00000000" w:csb0="0002009F" w:csb1="00000000"/>
  </w:font>
  <w:font w:name="Tahoma">
    <w:panose1 w:val="020B0604030504040204"/>
    <w:charset w:val="00"/>
    <w:family w:val="swiss"/>
    <w:pitch w:val="variable"/>
    <w:sig w:usb0="E1002EFF" w:usb1="C000605B" w:usb2="00000029" w:usb3="00000000" w:csb0="000101FF" w:csb1="00000000"/>
  </w:font>
  <w:font w:name="Lucida Grande">
    <w:charset w:val="00"/>
    <w:family w:val="auto"/>
    <w:pitch w:val="variable"/>
    <w:sig w:usb0="E1000AEF" w:usb1="5000A1FF" w:usb2="00000000" w:usb3="00000000" w:csb0="000001BF" w:csb1="00000000"/>
  </w:font>
  <w:font w:name="MS Mincho">
    <w:altName w:val="ＭＳ 明朝"/>
    <w:panose1 w:val="02020609040205080304"/>
    <w:charset w:val="80"/>
    <w:family w:val="modern"/>
    <w:pitch w:val="fixed"/>
    <w:sig w:usb0="E00002FF" w:usb1="6AC7FDFB" w:usb2="00000012" w:usb3="00000000" w:csb0="0002009F" w:csb1="00000000"/>
  </w:font>
  <w:font w:name="Arial(W1)">
    <w:panose1 w:val="00000000000000000000"/>
    <w:charset w:val="00"/>
    <w:family w:val="swiss"/>
    <w:notTrueType/>
    <w:pitch w:val="variable"/>
    <w:sig w:usb0="00000003" w:usb1="00000000" w:usb2="00000000" w:usb3="00000000" w:csb0="00000001" w:csb1="00000000"/>
  </w:font>
  <w:font w:name="Arial (W1)">
    <w:altName w:val="Arial"/>
    <w:charset w:val="00"/>
    <w:family w:val="swiss"/>
    <w:pitch w:val="variable"/>
    <w:sig w:usb0="00000000" w:usb1="80000000" w:usb2="00000008" w:usb3="00000000" w:csb0="000001FF" w:csb1="00000000"/>
  </w:font>
  <w:font w:name="Arial Bold">
    <w:panose1 w:val="020B0704020202020204"/>
    <w:charset w:val="00"/>
    <w:family w:val="swiss"/>
    <w:notTrueType/>
    <w:pitch w:val="default"/>
    <w:sig w:usb0="00000003" w:usb1="00000000" w:usb2="00000000" w:usb3="00000000" w:csb0="00000001" w:csb1="00000000"/>
  </w:font>
  <w:font w:name="Helvetica">
    <w:panose1 w:val="020B0604020202020204"/>
    <w:charset w:val="00"/>
    <w:family w:val="swiss"/>
    <w:notTrueType/>
    <w:pitch w:val="variable"/>
    <w:sig w:usb0="00000003" w:usb1="00000000" w:usb2="00000000" w:usb3="00000000" w:csb0="00000001" w:csb1="00000000"/>
  </w:font>
  <w:font w:name="Times">
    <w:panose1 w:val="02020603050405020304"/>
    <w:charset w:val="00"/>
    <w:family w:val="roman"/>
    <w:pitch w:val="variable"/>
    <w:sig w:usb0="E0002AFF" w:usb1="C0007841" w:usb2="00000009" w:usb3="00000000" w:csb0="000001FF" w:csb1="00000000"/>
  </w:font>
</w:fonts>
</file>

<file path=word/footnotes.xml><?xml version="1.0" encoding="utf-8"?>
<w:footnotes xmlns:w="http://schemas.openxmlformats.org/wordprocessingml/2006/main" xmlns:m="http://schemas.openxmlformats.org/officeDocument/2006/math" xmlns:w14="http://schemas.microsoft.com/office/word/2010/wordml" xmlns:r="http://schemas.openxmlformats.org/officeDocument/2006/relationships" xmlns:wp="http://schemas.openxmlformats.org/drawingml/2006/wordprocessingDrawing" xmlns:a="http://schemas.openxmlformats.org/drawingml/2006/main" xmlns:wp14="http://schemas.microsoft.com/office/word/2010/wordprocessingDrawing" xmlns:w15="http://schemas.microsoft.com/office/word/2012/wordml" xmlns:mc="http://schemas.openxmlformats.org/markup-compatibility/2006" xmlns:a14="http://schemas.microsoft.com/office/drawing/2010/main" xmlns:sl="http://schemas.openxmlformats.org/schemaLibrary/2006/main" xmlns:wne="http://schemas.microsoft.com/office/word/2006/wordml" xmlns:c="http://schemas.openxmlformats.org/drawingml/2006/chart" xmlns:cdr="http://schemas.openxmlformats.org/drawingml/2006/chartDrawing" xmlns:c14="http://schemas.microsoft.com/office/drawing/2007/8/2/chart" xmlns:dgm="http://schemas.openxmlformats.org/drawingml/2006/diagram" xmlns:pic="http://schemas.openxmlformats.org/drawingml/2006/picture" xmlns:xdr="http://schemas.openxmlformats.org/drawingml/2006/spreadsheetDrawing" xmlns:dsp="http://schemas.microsoft.com/office/drawing/2008/diagram" xmlns:o="urn:schemas-microsoft-com:office:office" xmlns:v="urn:schemas-microsoft-com:vml" xmlns:xvml="urn:schemas-microsoft-com:office:excel" xmlns:w10="urn:schemas-microsoft-com:office:word" xmlns:pvml="urn:schemas-microsoft-com:office:powerpoint" xmlns:cppr="http://schemas.microsoft.com/office/2006/coverPageProps" xmlns:odx="http://opendope.org/xpaths" xmlns:odc="http://opendope.org/conditions" xmlns:odq="http://opendope.org/questions" xmlns:oda="http://opendope.org/answers" xmlns:odi="http://opendope.org/components" xmlns:odgm="http://opendope.org/SmartArt/DataHierarchy" xmlns:b="http://schemas.openxmlformats.org/officeDocument/2006/bibliography" xmlns:msink="http://schemas.microsoft.com/ink/2010/main" xmlns:cdr14="http://schemas.microsoft.com/office/drawing/2010/chartDrawing" xmlns:c15="http://schemas.microsoft.com/office/drawing/2012/chart" xmlns:cs="http://schemas.microsoft.com/office/drawing/2012/chartStyle" xmlns:ns38="http://www.w3.org/1998/Math/MathML" xmlns:ns39="http://www.w3.org/2003/InkML" xmlns:a13cmd="http://schemas.microsoft.com/office/drawing/2013/main/command" xmlns:cx="http://schemas.microsoft.com/office/drawing/2014/chartex" xmlns:c16="http://schemas.microsoft.com/office/drawing/2014/chart" xmlns:dgm1611="http://schemas.microsoft.com/office/drawing/2016/11/diagram" xmlns:c173="http://schemas.microsoft.com/office/drawing/2017/03/chart" xmlns:am3d="http://schemas.microsoft.com/office/drawing/2017/model3d" xmlns:an18="http://schemas.microsoft.com/office/drawing/2018/animation" xmlns:anam3d="http://schemas.microsoft.com/office/drawing/2018/animation/model3d" xmlns:iact="http://schemas.microsoft.com/office/powerpoint/2014/inkAction" xmlns:thm15="http://schemas.microsoft.com/office/thememl/2012/main" xmlns:wps="http://schemas.microsoft.com/office/word/2010/wordprocessingShape" xmlns:wpc="http://schemas.microsoft.com/office/word/2010/wordprocessingCanvas" xmlns:wpg="http://schemas.microsoft.com/office/word/2010/wordprocessingGroup" xmlns:w16se="http://schemas.microsoft.com/office/word/2015/wordml/symex" xmlns:w16cid="http://schemas.microsoft.com/office/word/2016/wordml/cid" xmlns:wetp="http://schemas.microsoft.com/office/webextensions/taskpanes/2010/11" xmlns:we="http://schemas.microsoft.com/office/webextensions/webextension/2010/11" xmlns:comp="http://schemas.openxmlformats.org/drawingml/2006/compatibility" xmlns:lc="http://schemas.openxmlformats.org/drawingml/2006/lockedCanvas" xmlns:dgm14="http://schemas.microsoft.com/office/drawing/2010/diagram" xmlns:a15="http://schemas.microsoft.com/office/drawing/2012/main" xmlns:pic14="http://schemas.microsoft.com/office/drawing/2010/picture" xmlns:c16ac="http://schemas.microsoft.com/office/drawing/2014/chart/ac" xmlns:a16="http://schemas.microsoft.com/office/drawing/2014/main" xmlns:a1611="http://schemas.microsoft.com/office/drawing/2016/11/main" xmlns:dgm1612="http://schemas.microsoft.com/office/drawing/2016/12/diagram" xmlns:a16svg="http://schemas.microsoft.com/office/drawing/2016/SVG/main" xmlns:adec="http://schemas.microsoft.com/office/drawing/2017/decorative" xmlns:a18hc="http://schemas.microsoft.com/office/drawing/2018/hyperlinkcolor" xmlns:wp15="http://schemas.microsoft.com/office/word/2012/wordprocessingDrawing" mc:Ignorable="w14 wp14">
  <w:footnote w:type="separator" w:id="-1">
    <w:p w:rsidR="00882F5B" w:rsidP="0049645A" w:rsidRDefault="00882F5B">
      <w:pPr>
        <w:spacing w:after="0" w:line="240" w:lineRule="auto"/>
      </w:pPr>
      <w:r>
        <w:separator/>
      </w:r>
    </w:p>
  </w:footnote>
  <w:footnote w:type="continuationSeparator" w:id="0">
    <w:p w:rsidR="00882F5B" w:rsidP="0049645A" w:rsidRDefault="00882F5B">
      <w:pPr>
        <w:spacing w:after="0" w:line="240" w:lineRule="auto"/>
      </w:pPr>
      <w:r>
        <w:continuationSeparator/>
      </w:r>
    </w:p>
  </w:footnote>
  <w:footnote w:id="1">
    <w:p>
      <w:pPr>
        <w:pStyle w:val="FootnoteText"/>
      </w:pPr>
      <w:r>
        <w:rPr>
          <w:rStyle w:val="FootnoteReference"/>
        </w:rPr>
        <w:footnoteRef/>
      </w:r>
      <w:r>
        <w:t xml:space="preserve"> Section 71 is not presently relevant. It provides: Proceedings in Supreme Court (1) Subject to section 58, proceedings of the kind referred to in section 20(1)(e) may not be commenced or entertained in the Supreme Court. (2) The jurisdiction conferred on the Court in respect of proceedings referred to in section 20(1)(e) is not limited by any provision of the Civil Procedure Act 2005 or the uniform rules under that Act.</w:t>
      </w:r>
    </w:p>
  </w:footnote>
  <w:footnote w:id="2">
    <w:p>
      <w:pPr>
        <w:pStyle w:val="FootnoteText"/>
      </w:pPr>
      <w:r>
        <w:rPr>
          <w:rStyle w:val="FootnoteReference"/>
        </w:rPr>
        <w:footnoteRef/>
      </w:r>
      <w:r>
        <w:t xml:space="preserve"> See Lesnewski v Mosman Municipal Council [2005] NSWCA 99.</w:t>
      </w:r>
    </w:p>
  </w:footnote>
</w:footnotes>
</file>

<file path=word/numbering.xml><?xml version="1.0" encoding="utf-8"?>
<w:numbering xmlns:w="http://schemas.openxmlformats.org/wordprocessingml/2006/main" xmlns:m="http://schemas.openxmlformats.org/officeDocument/2006/math" xmlns:w14="http://schemas.microsoft.com/office/word/2010/wordml" xmlns:r="http://schemas.openxmlformats.org/officeDocument/2006/relationships" xmlns:wp="http://schemas.openxmlformats.org/drawingml/2006/wordprocessingDrawing" xmlns:a="http://schemas.openxmlformats.org/drawingml/2006/main" xmlns:wp14="http://schemas.microsoft.com/office/word/2010/wordprocessingDrawing" xmlns:w15="http://schemas.microsoft.com/office/word/2012/wordml" xmlns:mc="http://schemas.openxmlformats.org/markup-compatibility/2006" xmlns:a14="http://schemas.microsoft.com/office/drawing/2010/main" xmlns:sl="http://schemas.openxmlformats.org/schemaLibrary/2006/main" xmlns:wne="http://schemas.microsoft.com/office/word/2006/wordml" xmlns:c="http://schemas.openxmlformats.org/drawingml/2006/chart" xmlns:cdr="http://schemas.openxmlformats.org/drawingml/2006/chartDrawing" xmlns:c14="http://schemas.microsoft.com/office/drawing/2007/8/2/chart" xmlns:dgm="http://schemas.openxmlformats.org/drawingml/2006/diagram" xmlns:pic="http://schemas.openxmlformats.org/drawingml/2006/picture" xmlns:xdr="http://schemas.openxmlformats.org/drawingml/2006/spreadsheetDrawing" xmlns:dsp="http://schemas.microsoft.com/office/drawing/2008/diagram" xmlns:o="urn:schemas-microsoft-com:office:office" xmlns:v="urn:schemas-microsoft-com:vml" xmlns:xvml="urn:schemas-microsoft-com:office:excel" xmlns:w10="urn:schemas-microsoft-com:office:word" xmlns:pvml="urn:schemas-microsoft-com:office:powerpoint" xmlns:cppr="http://schemas.microsoft.com/office/2006/coverPageProps" xmlns:odx="http://opendope.org/xpaths" xmlns:odc="http://opendope.org/conditions" xmlns:odq="http://opendope.org/questions" xmlns:oda="http://opendope.org/answers" xmlns:odi="http://opendope.org/components" xmlns:odgm="http://opendope.org/SmartArt/DataHierarchy" xmlns:b="http://schemas.openxmlformats.org/officeDocument/2006/bibliography" xmlns:msink="http://schemas.microsoft.com/ink/2010/main" xmlns:cdr14="http://schemas.microsoft.com/office/drawing/2010/chartDrawing" xmlns:c15="http://schemas.microsoft.com/office/drawing/2012/chart" xmlns:cs="http://schemas.microsoft.com/office/drawing/2012/chartStyle" xmlns:ns38="http://www.w3.org/1998/Math/MathML" xmlns:ns39="http://www.w3.org/2003/InkML" xmlns:a13cmd="http://schemas.microsoft.com/office/drawing/2013/main/command" xmlns:cx="http://schemas.microsoft.com/office/drawing/2014/chartex" xmlns:c16="http://schemas.microsoft.com/office/drawing/2014/chart" xmlns:dgm1611="http://schemas.microsoft.com/office/drawing/2016/11/diagram" xmlns:c173="http://schemas.microsoft.com/office/drawing/2017/03/chart" xmlns:am3d="http://schemas.microsoft.com/office/drawing/2017/model3d" xmlns:an18="http://schemas.microsoft.com/office/drawing/2018/animation" xmlns:anam3d="http://schemas.microsoft.com/office/drawing/2018/animation/model3d" xmlns:iact="http://schemas.microsoft.com/office/powerpoint/2014/inkAction" xmlns:thm15="http://schemas.microsoft.com/office/thememl/2012/main" xmlns:wps="http://schemas.microsoft.com/office/word/2010/wordprocessingShape" xmlns:wpc="http://schemas.microsoft.com/office/word/2010/wordprocessingCanvas" xmlns:wpg="http://schemas.microsoft.com/office/word/2010/wordprocessingGroup" xmlns:w16se="http://schemas.microsoft.com/office/word/2015/wordml/symex" xmlns:w16cid="http://schemas.microsoft.com/office/word/2016/wordml/cid" xmlns:wetp="http://schemas.microsoft.com/office/webextensions/taskpanes/2010/11" xmlns:we="http://schemas.microsoft.com/office/webextensions/webextension/2010/11" xmlns:comp="http://schemas.openxmlformats.org/drawingml/2006/compatibility" xmlns:lc="http://schemas.openxmlformats.org/drawingml/2006/lockedCanvas" xmlns:dgm14="http://schemas.microsoft.com/office/drawing/2010/diagram" xmlns:a15="http://schemas.microsoft.com/office/drawing/2012/main" xmlns:pic14="http://schemas.microsoft.com/office/drawing/2010/picture" xmlns:c16ac="http://schemas.microsoft.com/office/drawing/2014/chart/ac" xmlns:a16="http://schemas.microsoft.com/office/drawing/2014/main" xmlns:a1611="http://schemas.microsoft.com/office/drawing/2016/11/main" xmlns:dgm1612="http://schemas.microsoft.com/office/drawing/2016/12/diagram" xmlns:a16svg="http://schemas.microsoft.com/office/drawing/2016/SVG/main" xmlns:adec="http://schemas.microsoft.com/office/drawing/2017/decorative" xmlns:a18hc="http://schemas.microsoft.com/office/drawing/2018/hyperlinkcolor" xmlns:wp15="http://schemas.microsoft.com/office/word/2012/wordprocessingDrawing" mc:Ignorable="w14 wp14">
  <w:abstractNum w:abstractNumId="0">
    <w:nsid w:val="FFFFFF89"/>
    <w:multiLevelType w:val="singleLevel"/>
    <w:tmpl w:val="37A06812"/>
    <w:lvl w:ilvl="0">
      <w:start w:val="1"/>
      <w:numFmt w:val="bullet"/>
      <w:pStyle w:val="ListBullet"/>
      <w:lvlText w:val=""/>
      <w:lvlJc w:val="left"/>
      <w:pPr>
        <w:tabs>
          <w:tab w:val="num" w:pos="360"/>
        </w:tabs>
        <w:ind w:left="360" w:hanging="360"/>
      </w:pPr>
      <w:rPr>
        <w:rFonts w:hint="default" w:ascii="Symbol" w:hAnsi="Symbol"/>
      </w:rPr>
    </w:lvl>
  </w:abstractNum>
  <w:abstractNum w:abstractNumId="1">
    <w:nsid w:val="0E515A52"/>
    <w:multiLevelType w:val="hybridMultilevel"/>
    <w:tmpl w:val="A3AEE4F8"/>
    <w:lvl w:ilvl="0" w:tplc="8E3C1F56">
      <w:start w:val="1"/>
      <w:numFmt w:val="bullet"/>
      <w:pStyle w:val="Bulletforunderhdr12"/>
      <w:lvlText w:val=""/>
      <w:lvlJc w:val="left"/>
      <w:pPr>
        <w:tabs>
          <w:tab w:val="num" w:pos="1287"/>
        </w:tabs>
        <w:ind w:left="1287" w:hanging="360"/>
      </w:pPr>
      <w:rPr>
        <w:rFonts w:hint="default" w:ascii="Symbol" w:hAnsi="Symbol"/>
      </w:rPr>
    </w:lvl>
    <w:lvl w:ilvl="1" w:tplc="04090003">
      <w:start w:val="1"/>
      <w:numFmt w:val="bullet"/>
      <w:lvlText w:val="o"/>
      <w:lvlJc w:val="left"/>
      <w:pPr>
        <w:tabs>
          <w:tab w:val="num" w:pos="2007"/>
        </w:tabs>
        <w:ind w:left="2007" w:hanging="360"/>
      </w:pPr>
      <w:rPr>
        <w:rFonts w:hint="default" w:ascii="Courier New" w:hAnsi="Courier New" w:cs="Times New Roman"/>
      </w:rPr>
    </w:lvl>
    <w:lvl w:ilvl="2" w:tplc="04090005">
      <w:start w:val="1"/>
      <w:numFmt w:val="bullet"/>
      <w:lvlText w:val=""/>
      <w:lvlJc w:val="left"/>
      <w:pPr>
        <w:tabs>
          <w:tab w:val="num" w:pos="2727"/>
        </w:tabs>
        <w:ind w:left="2727" w:hanging="360"/>
      </w:pPr>
      <w:rPr>
        <w:rFonts w:hint="default" w:ascii="Wingdings" w:hAnsi="Wingdings"/>
      </w:rPr>
    </w:lvl>
    <w:lvl w:ilvl="3" w:tplc="04090001">
      <w:start w:val="1"/>
      <w:numFmt w:val="bullet"/>
      <w:lvlText w:val=""/>
      <w:lvlJc w:val="left"/>
      <w:pPr>
        <w:tabs>
          <w:tab w:val="num" w:pos="3447"/>
        </w:tabs>
        <w:ind w:left="3447" w:hanging="360"/>
      </w:pPr>
      <w:rPr>
        <w:rFonts w:hint="default" w:ascii="Symbol" w:hAnsi="Symbol"/>
      </w:rPr>
    </w:lvl>
    <w:lvl w:ilvl="4" w:tplc="04090003">
      <w:start w:val="1"/>
      <w:numFmt w:val="bullet"/>
      <w:lvlText w:val="o"/>
      <w:lvlJc w:val="left"/>
      <w:pPr>
        <w:tabs>
          <w:tab w:val="num" w:pos="4167"/>
        </w:tabs>
        <w:ind w:left="4167" w:hanging="360"/>
      </w:pPr>
      <w:rPr>
        <w:rFonts w:hint="default" w:ascii="Courier New" w:hAnsi="Courier New" w:cs="Times New Roman"/>
      </w:rPr>
    </w:lvl>
    <w:lvl w:ilvl="5" w:tplc="04090005">
      <w:start w:val="1"/>
      <w:numFmt w:val="bullet"/>
      <w:lvlText w:val=""/>
      <w:lvlJc w:val="left"/>
      <w:pPr>
        <w:tabs>
          <w:tab w:val="num" w:pos="4887"/>
        </w:tabs>
        <w:ind w:left="4887" w:hanging="360"/>
      </w:pPr>
      <w:rPr>
        <w:rFonts w:hint="default" w:ascii="Wingdings" w:hAnsi="Wingdings"/>
      </w:rPr>
    </w:lvl>
    <w:lvl w:ilvl="6" w:tplc="04090001">
      <w:start w:val="1"/>
      <w:numFmt w:val="bullet"/>
      <w:lvlText w:val=""/>
      <w:lvlJc w:val="left"/>
      <w:pPr>
        <w:tabs>
          <w:tab w:val="num" w:pos="5607"/>
        </w:tabs>
        <w:ind w:left="5607" w:hanging="360"/>
      </w:pPr>
      <w:rPr>
        <w:rFonts w:hint="default" w:ascii="Symbol" w:hAnsi="Symbol"/>
      </w:rPr>
    </w:lvl>
    <w:lvl w:ilvl="7" w:tplc="04090003">
      <w:start w:val="1"/>
      <w:numFmt w:val="bullet"/>
      <w:lvlText w:val="o"/>
      <w:lvlJc w:val="left"/>
      <w:pPr>
        <w:tabs>
          <w:tab w:val="num" w:pos="6327"/>
        </w:tabs>
        <w:ind w:left="6327" w:hanging="360"/>
      </w:pPr>
      <w:rPr>
        <w:rFonts w:hint="default" w:ascii="Courier New" w:hAnsi="Courier New" w:cs="Times New Roman"/>
      </w:rPr>
    </w:lvl>
    <w:lvl w:ilvl="8" w:tplc="04090005">
      <w:start w:val="1"/>
      <w:numFmt w:val="bullet"/>
      <w:lvlText w:val=""/>
      <w:lvlJc w:val="left"/>
      <w:pPr>
        <w:tabs>
          <w:tab w:val="num" w:pos="7047"/>
        </w:tabs>
        <w:ind w:left="7047" w:hanging="360"/>
      </w:pPr>
      <w:rPr>
        <w:rFonts w:hint="default" w:ascii="Wingdings" w:hAnsi="Wingdings"/>
      </w:rPr>
    </w:lvl>
  </w:abstractNum>
  <w:abstractNum w:abstractNumId="2">
    <w:nsid w:val="138E60B1"/>
    <w:multiLevelType w:val="singleLevel"/>
    <w:tmpl w:val="1EBA084E"/>
    <w:lvl w:ilvl="0">
      <w:start w:val="1"/>
      <w:numFmt w:val="bullet"/>
      <w:pStyle w:val="ListwithBullet"/>
      <w:lvlText w:val=""/>
      <w:lvlJc w:val="left"/>
      <w:pPr>
        <w:tabs>
          <w:tab w:val="num" w:pos="720"/>
        </w:tabs>
        <w:ind w:left="720" w:hanging="360"/>
      </w:pPr>
      <w:rPr>
        <w:rFonts w:hint="default" w:ascii="Wingdings" w:hAnsi="Wingdings"/>
        <w:sz w:val="12"/>
      </w:rPr>
    </w:lvl>
  </w:abstractNum>
  <w:abstractNum w:abstractNumId="3">
    <w:nsid w:val="1399788B"/>
    <w:multiLevelType w:val="hybridMultilevel"/>
    <w:tmpl w:val="8DFA16E2"/>
    <w:lvl w:ilvl="0" w:tplc="41E6A8CC">
      <w:start w:val="1"/>
      <w:numFmt w:val="bullet"/>
      <w:lvlText w:val="•"/>
      <w:lvlJc w:val="left"/>
      <w:pPr>
        <w:tabs>
          <w:tab w:val="num" w:pos="720"/>
        </w:tabs>
        <w:ind w:left="720" w:hanging="360"/>
      </w:pPr>
      <w:rPr>
        <w:rFonts w:hint="default" w:ascii="Arial" w:hAnsi="Arial" w:cs="Times New Roman"/>
      </w:rPr>
    </w:lvl>
    <w:lvl w:ilvl="1" w:tplc="3D0A3894">
      <w:start w:val="1"/>
      <w:numFmt w:val="bullet"/>
      <w:lvlText w:val="•"/>
      <w:lvlJc w:val="left"/>
      <w:pPr>
        <w:tabs>
          <w:tab w:val="num" w:pos="1440"/>
        </w:tabs>
        <w:ind w:left="1440" w:hanging="360"/>
      </w:pPr>
      <w:rPr>
        <w:rFonts w:hint="default" w:ascii="Arial" w:hAnsi="Arial" w:cs="Times New Roman"/>
      </w:rPr>
    </w:lvl>
    <w:lvl w:ilvl="2" w:tplc="D6DE8A02">
      <w:start w:val="1"/>
      <w:numFmt w:val="bullet"/>
      <w:lvlText w:val="•"/>
      <w:lvlJc w:val="left"/>
      <w:pPr>
        <w:tabs>
          <w:tab w:val="num" w:pos="2160"/>
        </w:tabs>
        <w:ind w:left="2160" w:hanging="360"/>
      </w:pPr>
      <w:rPr>
        <w:rFonts w:hint="default" w:ascii="Arial" w:hAnsi="Arial" w:cs="Times New Roman"/>
      </w:rPr>
    </w:lvl>
    <w:lvl w:ilvl="3" w:tplc="0DEEE040">
      <w:start w:val="1"/>
      <w:numFmt w:val="bullet"/>
      <w:lvlText w:val="•"/>
      <w:lvlJc w:val="left"/>
      <w:pPr>
        <w:tabs>
          <w:tab w:val="num" w:pos="2880"/>
        </w:tabs>
        <w:ind w:left="2880" w:hanging="360"/>
      </w:pPr>
      <w:rPr>
        <w:rFonts w:hint="default" w:ascii="Arial" w:hAnsi="Arial" w:cs="Times New Roman"/>
      </w:rPr>
    </w:lvl>
    <w:lvl w:ilvl="4" w:tplc="9D2C3098">
      <w:start w:val="1"/>
      <w:numFmt w:val="bullet"/>
      <w:lvlText w:val="•"/>
      <w:lvlJc w:val="left"/>
      <w:pPr>
        <w:tabs>
          <w:tab w:val="num" w:pos="3600"/>
        </w:tabs>
        <w:ind w:left="3600" w:hanging="360"/>
      </w:pPr>
      <w:rPr>
        <w:rFonts w:hint="default" w:ascii="Arial" w:hAnsi="Arial" w:cs="Times New Roman"/>
      </w:rPr>
    </w:lvl>
    <w:lvl w:ilvl="5" w:tplc="8E34C874">
      <w:start w:val="1"/>
      <w:numFmt w:val="bullet"/>
      <w:lvlText w:val="•"/>
      <w:lvlJc w:val="left"/>
      <w:pPr>
        <w:tabs>
          <w:tab w:val="num" w:pos="4320"/>
        </w:tabs>
        <w:ind w:left="4320" w:hanging="360"/>
      </w:pPr>
      <w:rPr>
        <w:rFonts w:hint="default" w:ascii="Arial" w:hAnsi="Arial" w:cs="Times New Roman"/>
      </w:rPr>
    </w:lvl>
    <w:lvl w:ilvl="6" w:tplc="861EB0D4">
      <w:start w:val="1"/>
      <w:numFmt w:val="bullet"/>
      <w:lvlText w:val="•"/>
      <w:lvlJc w:val="left"/>
      <w:pPr>
        <w:tabs>
          <w:tab w:val="num" w:pos="5040"/>
        </w:tabs>
        <w:ind w:left="5040" w:hanging="360"/>
      </w:pPr>
      <w:rPr>
        <w:rFonts w:hint="default" w:ascii="Arial" w:hAnsi="Arial" w:cs="Times New Roman"/>
      </w:rPr>
    </w:lvl>
    <w:lvl w:ilvl="7" w:tplc="5932446E">
      <w:start w:val="1"/>
      <w:numFmt w:val="bullet"/>
      <w:lvlText w:val="•"/>
      <w:lvlJc w:val="left"/>
      <w:pPr>
        <w:tabs>
          <w:tab w:val="num" w:pos="5760"/>
        </w:tabs>
        <w:ind w:left="5760" w:hanging="360"/>
      </w:pPr>
      <w:rPr>
        <w:rFonts w:hint="default" w:ascii="Arial" w:hAnsi="Arial" w:cs="Times New Roman"/>
      </w:rPr>
    </w:lvl>
    <w:lvl w:ilvl="8" w:tplc="969C7920">
      <w:start w:val="1"/>
      <w:numFmt w:val="bullet"/>
      <w:lvlText w:val="•"/>
      <w:lvlJc w:val="left"/>
      <w:pPr>
        <w:tabs>
          <w:tab w:val="num" w:pos="6480"/>
        </w:tabs>
        <w:ind w:left="6480" w:hanging="360"/>
      </w:pPr>
      <w:rPr>
        <w:rFonts w:hint="default" w:ascii="Arial" w:hAnsi="Arial" w:cs="Times New Roman"/>
      </w:rPr>
    </w:lvl>
  </w:abstractNum>
  <w:abstractNum w:abstractNumId="4">
    <w:nsid w:val="18A93517"/>
    <w:multiLevelType w:val="hybridMultilevel"/>
    <w:tmpl w:val="DFEC12B2"/>
    <w:lvl w:ilvl="0" w:tplc="D91818DA">
      <w:start w:val="1"/>
      <w:numFmt w:val="decimal"/>
      <w:pStyle w:val="DBRNumbering"/>
      <w:lvlText w:val="DBR_%1."/>
      <w:lvlJc w:val="left"/>
      <w:pPr>
        <w:ind w:left="360" w:hanging="360"/>
      </w:pPr>
    </w:lvl>
    <w:lvl w:ilvl="1" w:tplc="0C090019">
      <w:start w:val="1"/>
      <w:numFmt w:val="lowerLetter"/>
      <w:lvlText w:val="%2."/>
      <w:lvlJc w:val="left"/>
      <w:pPr>
        <w:ind w:left="1440" w:hanging="360"/>
      </w:pPr>
    </w:lvl>
    <w:lvl w:ilvl="2" w:tplc="0C09001B">
      <w:start w:val="1"/>
      <w:numFmt w:val="lowerRoman"/>
      <w:lvlText w:val="%3."/>
      <w:lvlJc w:val="right"/>
      <w:pPr>
        <w:ind w:left="2160" w:hanging="180"/>
      </w:pPr>
    </w:lvl>
    <w:lvl w:ilvl="3" w:tplc="0C09000F">
      <w:start w:val="1"/>
      <w:numFmt w:val="decimal"/>
      <w:lvlText w:val="%4."/>
      <w:lvlJc w:val="left"/>
      <w:pPr>
        <w:ind w:left="2880" w:hanging="360"/>
      </w:pPr>
    </w:lvl>
    <w:lvl w:ilvl="4" w:tplc="0C090019">
      <w:start w:val="1"/>
      <w:numFmt w:val="lowerLetter"/>
      <w:lvlText w:val="%5."/>
      <w:lvlJc w:val="left"/>
      <w:pPr>
        <w:ind w:left="3600" w:hanging="360"/>
      </w:pPr>
    </w:lvl>
    <w:lvl w:ilvl="5" w:tplc="0C09001B">
      <w:start w:val="1"/>
      <w:numFmt w:val="lowerRoman"/>
      <w:lvlText w:val="%6."/>
      <w:lvlJc w:val="right"/>
      <w:pPr>
        <w:ind w:left="4320" w:hanging="180"/>
      </w:pPr>
    </w:lvl>
    <w:lvl w:ilvl="6" w:tplc="0C09000F">
      <w:start w:val="1"/>
      <w:numFmt w:val="decimal"/>
      <w:lvlText w:val="%7."/>
      <w:lvlJc w:val="left"/>
      <w:pPr>
        <w:ind w:left="5040" w:hanging="360"/>
      </w:pPr>
    </w:lvl>
    <w:lvl w:ilvl="7" w:tplc="0C090019">
      <w:start w:val="1"/>
      <w:numFmt w:val="lowerLetter"/>
      <w:lvlText w:val="%8."/>
      <w:lvlJc w:val="left"/>
      <w:pPr>
        <w:ind w:left="5760" w:hanging="360"/>
      </w:pPr>
    </w:lvl>
    <w:lvl w:ilvl="8" w:tplc="0C09001B">
      <w:start w:val="1"/>
      <w:numFmt w:val="lowerRoman"/>
      <w:lvlText w:val="%9."/>
      <w:lvlJc w:val="right"/>
      <w:pPr>
        <w:ind w:left="6480" w:hanging="180"/>
      </w:pPr>
    </w:lvl>
  </w:abstractNum>
  <w:abstractNum w:abstractNumId="5">
    <w:nsid w:val="236B011C"/>
    <w:multiLevelType w:val="hybridMultilevel"/>
    <w:tmpl w:val="A1D054F8"/>
    <w:lvl w:ilvl="0" w:tplc="345AD890">
      <w:start w:val="1"/>
      <w:numFmt w:val="bullet"/>
      <w:lvlText w:val="•"/>
      <w:lvlJc w:val="left"/>
      <w:pPr>
        <w:tabs>
          <w:tab w:val="num" w:pos="720"/>
        </w:tabs>
        <w:ind w:left="720" w:hanging="360"/>
      </w:pPr>
      <w:rPr>
        <w:rFonts w:hint="default" w:ascii="Arial" w:hAnsi="Arial" w:cs="Times New Roman"/>
      </w:rPr>
    </w:lvl>
    <w:lvl w:ilvl="1" w:tplc="C2A25116">
      <w:start w:val="1"/>
      <w:numFmt w:val="bullet"/>
      <w:lvlText w:val="•"/>
      <w:lvlJc w:val="left"/>
      <w:pPr>
        <w:tabs>
          <w:tab w:val="num" w:pos="1440"/>
        </w:tabs>
        <w:ind w:left="1440" w:hanging="360"/>
      </w:pPr>
      <w:rPr>
        <w:rFonts w:hint="default" w:ascii="Arial" w:hAnsi="Arial" w:cs="Times New Roman"/>
      </w:rPr>
    </w:lvl>
    <w:lvl w:ilvl="2" w:tplc="1952B01E">
      <w:start w:val="1"/>
      <w:numFmt w:val="bullet"/>
      <w:lvlText w:val="•"/>
      <w:lvlJc w:val="left"/>
      <w:pPr>
        <w:tabs>
          <w:tab w:val="num" w:pos="2160"/>
        </w:tabs>
        <w:ind w:left="2160" w:hanging="360"/>
      </w:pPr>
      <w:rPr>
        <w:rFonts w:hint="default" w:ascii="Arial" w:hAnsi="Arial" w:cs="Times New Roman"/>
      </w:rPr>
    </w:lvl>
    <w:lvl w:ilvl="3" w:tplc="FAF67244">
      <w:start w:val="1"/>
      <w:numFmt w:val="bullet"/>
      <w:lvlText w:val="•"/>
      <w:lvlJc w:val="left"/>
      <w:pPr>
        <w:tabs>
          <w:tab w:val="num" w:pos="2880"/>
        </w:tabs>
        <w:ind w:left="2880" w:hanging="360"/>
      </w:pPr>
      <w:rPr>
        <w:rFonts w:hint="default" w:ascii="Arial" w:hAnsi="Arial" w:cs="Times New Roman"/>
      </w:rPr>
    </w:lvl>
    <w:lvl w:ilvl="4" w:tplc="2C68FAE2">
      <w:start w:val="1"/>
      <w:numFmt w:val="bullet"/>
      <w:lvlText w:val="•"/>
      <w:lvlJc w:val="left"/>
      <w:pPr>
        <w:tabs>
          <w:tab w:val="num" w:pos="3600"/>
        </w:tabs>
        <w:ind w:left="3600" w:hanging="360"/>
      </w:pPr>
      <w:rPr>
        <w:rFonts w:hint="default" w:ascii="Arial" w:hAnsi="Arial" w:cs="Times New Roman"/>
      </w:rPr>
    </w:lvl>
    <w:lvl w:ilvl="5" w:tplc="665AEB92">
      <w:start w:val="1"/>
      <w:numFmt w:val="bullet"/>
      <w:lvlText w:val="•"/>
      <w:lvlJc w:val="left"/>
      <w:pPr>
        <w:tabs>
          <w:tab w:val="num" w:pos="4320"/>
        </w:tabs>
        <w:ind w:left="4320" w:hanging="360"/>
      </w:pPr>
      <w:rPr>
        <w:rFonts w:hint="default" w:ascii="Arial" w:hAnsi="Arial" w:cs="Times New Roman"/>
      </w:rPr>
    </w:lvl>
    <w:lvl w:ilvl="6" w:tplc="E1841134">
      <w:start w:val="1"/>
      <w:numFmt w:val="bullet"/>
      <w:lvlText w:val="•"/>
      <w:lvlJc w:val="left"/>
      <w:pPr>
        <w:tabs>
          <w:tab w:val="num" w:pos="5040"/>
        </w:tabs>
        <w:ind w:left="5040" w:hanging="360"/>
      </w:pPr>
      <w:rPr>
        <w:rFonts w:hint="default" w:ascii="Arial" w:hAnsi="Arial" w:cs="Times New Roman"/>
      </w:rPr>
    </w:lvl>
    <w:lvl w:ilvl="7" w:tplc="786C417E">
      <w:start w:val="1"/>
      <w:numFmt w:val="bullet"/>
      <w:lvlText w:val="•"/>
      <w:lvlJc w:val="left"/>
      <w:pPr>
        <w:tabs>
          <w:tab w:val="num" w:pos="5760"/>
        </w:tabs>
        <w:ind w:left="5760" w:hanging="360"/>
      </w:pPr>
      <w:rPr>
        <w:rFonts w:hint="default" w:ascii="Arial" w:hAnsi="Arial" w:cs="Times New Roman"/>
      </w:rPr>
    </w:lvl>
    <w:lvl w:ilvl="8" w:tplc="DCEE5316">
      <w:start w:val="1"/>
      <w:numFmt w:val="bullet"/>
      <w:lvlText w:val="•"/>
      <w:lvlJc w:val="left"/>
      <w:pPr>
        <w:tabs>
          <w:tab w:val="num" w:pos="6480"/>
        </w:tabs>
        <w:ind w:left="6480" w:hanging="360"/>
      </w:pPr>
      <w:rPr>
        <w:rFonts w:hint="default" w:ascii="Arial" w:hAnsi="Arial" w:cs="Times New Roman"/>
      </w:rPr>
    </w:lvl>
  </w:abstractNum>
  <w:abstractNum w:abstractNumId="6">
    <w:nsid w:val="2377446C"/>
    <w:multiLevelType w:val="hybridMultilevel"/>
    <w:tmpl w:val="1D28DDB4"/>
    <w:lvl w:ilvl="0" w:tplc="D8E08AF4">
      <w:start w:val="1"/>
      <w:numFmt w:val="bullet"/>
      <w:pStyle w:val="Index1"/>
      <w:lvlText w:val=""/>
      <w:lvlJc w:val="left"/>
      <w:pPr>
        <w:ind w:left="720" w:hanging="360"/>
      </w:pPr>
      <w:rPr>
        <w:rFonts w:hint="default" w:ascii="Symbol" w:hAnsi="Symbol"/>
      </w:rPr>
    </w:lvl>
    <w:lvl w:ilvl="1" w:tplc="0C090003">
      <w:start w:val="1"/>
      <w:numFmt w:val="bullet"/>
      <w:lvlText w:val="o"/>
      <w:lvlJc w:val="left"/>
      <w:pPr>
        <w:ind w:left="1440" w:hanging="360"/>
      </w:pPr>
      <w:rPr>
        <w:rFonts w:hint="default" w:ascii="Courier New" w:hAnsi="Courier New" w:cs="Courier New"/>
      </w:rPr>
    </w:lvl>
    <w:lvl w:ilvl="2" w:tplc="0C090005">
      <w:start w:val="1"/>
      <w:numFmt w:val="bullet"/>
      <w:lvlText w:val=""/>
      <w:lvlJc w:val="left"/>
      <w:pPr>
        <w:ind w:left="2160" w:hanging="360"/>
      </w:pPr>
      <w:rPr>
        <w:rFonts w:hint="default" w:ascii="Wingdings" w:hAnsi="Wingdings"/>
      </w:rPr>
    </w:lvl>
    <w:lvl w:ilvl="3" w:tplc="0C090001">
      <w:start w:val="1"/>
      <w:numFmt w:val="bullet"/>
      <w:lvlText w:val=""/>
      <w:lvlJc w:val="left"/>
      <w:pPr>
        <w:ind w:left="2880" w:hanging="360"/>
      </w:pPr>
      <w:rPr>
        <w:rFonts w:hint="default" w:ascii="Symbol" w:hAnsi="Symbol"/>
      </w:rPr>
    </w:lvl>
    <w:lvl w:ilvl="4" w:tplc="0C090003">
      <w:start w:val="1"/>
      <w:numFmt w:val="bullet"/>
      <w:lvlText w:val="o"/>
      <w:lvlJc w:val="left"/>
      <w:pPr>
        <w:ind w:left="3600" w:hanging="360"/>
      </w:pPr>
      <w:rPr>
        <w:rFonts w:hint="default" w:ascii="Courier New" w:hAnsi="Courier New" w:cs="Courier New"/>
      </w:rPr>
    </w:lvl>
    <w:lvl w:ilvl="5" w:tplc="0C090005">
      <w:start w:val="1"/>
      <w:numFmt w:val="bullet"/>
      <w:lvlText w:val=""/>
      <w:lvlJc w:val="left"/>
      <w:pPr>
        <w:ind w:left="4320" w:hanging="360"/>
      </w:pPr>
      <w:rPr>
        <w:rFonts w:hint="default" w:ascii="Wingdings" w:hAnsi="Wingdings"/>
      </w:rPr>
    </w:lvl>
    <w:lvl w:ilvl="6" w:tplc="0C090001">
      <w:start w:val="1"/>
      <w:numFmt w:val="bullet"/>
      <w:lvlText w:val=""/>
      <w:lvlJc w:val="left"/>
      <w:pPr>
        <w:ind w:left="5040" w:hanging="360"/>
      </w:pPr>
      <w:rPr>
        <w:rFonts w:hint="default" w:ascii="Symbol" w:hAnsi="Symbol"/>
      </w:rPr>
    </w:lvl>
    <w:lvl w:ilvl="7" w:tplc="0C090003">
      <w:start w:val="1"/>
      <w:numFmt w:val="bullet"/>
      <w:lvlText w:val="o"/>
      <w:lvlJc w:val="left"/>
      <w:pPr>
        <w:ind w:left="5760" w:hanging="360"/>
      </w:pPr>
      <w:rPr>
        <w:rFonts w:hint="default" w:ascii="Courier New" w:hAnsi="Courier New" w:cs="Courier New"/>
      </w:rPr>
    </w:lvl>
    <w:lvl w:ilvl="8" w:tplc="0C090005">
      <w:start w:val="1"/>
      <w:numFmt w:val="bullet"/>
      <w:lvlText w:val=""/>
      <w:lvlJc w:val="left"/>
      <w:pPr>
        <w:ind w:left="6480" w:hanging="360"/>
      </w:pPr>
      <w:rPr>
        <w:rFonts w:hint="default" w:ascii="Wingdings" w:hAnsi="Wingdings"/>
      </w:rPr>
    </w:lvl>
  </w:abstractNum>
  <w:abstractNum w:abstractNumId="7">
    <w:nsid w:val="28854318"/>
    <w:multiLevelType w:val="hybridMultilevel"/>
    <w:tmpl w:val="613233AA"/>
    <w:lvl w:ilvl="0" w:tplc="63647648">
      <w:start w:val="1"/>
      <w:numFmt w:val="bullet"/>
      <w:lvlText w:val="•"/>
      <w:lvlJc w:val="left"/>
      <w:pPr>
        <w:tabs>
          <w:tab w:val="num" w:pos="720"/>
        </w:tabs>
        <w:ind w:left="720" w:hanging="360"/>
      </w:pPr>
      <w:rPr>
        <w:rFonts w:hint="default" w:ascii="Arial" w:hAnsi="Arial" w:cs="Times New Roman"/>
      </w:rPr>
    </w:lvl>
    <w:lvl w:ilvl="1" w:tplc="4E50CA74">
      <w:start w:val="1"/>
      <w:numFmt w:val="bullet"/>
      <w:lvlText w:val="•"/>
      <w:lvlJc w:val="left"/>
      <w:pPr>
        <w:tabs>
          <w:tab w:val="num" w:pos="1440"/>
        </w:tabs>
        <w:ind w:left="1440" w:hanging="360"/>
      </w:pPr>
      <w:rPr>
        <w:rFonts w:hint="default" w:ascii="Arial" w:hAnsi="Arial" w:cs="Times New Roman"/>
      </w:rPr>
    </w:lvl>
    <w:lvl w:ilvl="2" w:tplc="7C24DACA">
      <w:start w:val="1"/>
      <w:numFmt w:val="bullet"/>
      <w:lvlText w:val="•"/>
      <w:lvlJc w:val="left"/>
      <w:pPr>
        <w:tabs>
          <w:tab w:val="num" w:pos="2160"/>
        </w:tabs>
        <w:ind w:left="2160" w:hanging="360"/>
      </w:pPr>
      <w:rPr>
        <w:rFonts w:hint="default" w:ascii="Arial" w:hAnsi="Arial" w:cs="Times New Roman"/>
      </w:rPr>
    </w:lvl>
    <w:lvl w:ilvl="3" w:tplc="26840C80">
      <w:start w:val="1"/>
      <w:numFmt w:val="bullet"/>
      <w:lvlText w:val="•"/>
      <w:lvlJc w:val="left"/>
      <w:pPr>
        <w:tabs>
          <w:tab w:val="num" w:pos="2880"/>
        </w:tabs>
        <w:ind w:left="2880" w:hanging="360"/>
      </w:pPr>
      <w:rPr>
        <w:rFonts w:hint="default" w:ascii="Arial" w:hAnsi="Arial" w:cs="Times New Roman"/>
      </w:rPr>
    </w:lvl>
    <w:lvl w:ilvl="4" w:tplc="10B09236">
      <w:start w:val="1"/>
      <w:numFmt w:val="bullet"/>
      <w:lvlText w:val="•"/>
      <w:lvlJc w:val="left"/>
      <w:pPr>
        <w:tabs>
          <w:tab w:val="num" w:pos="3600"/>
        </w:tabs>
        <w:ind w:left="3600" w:hanging="360"/>
      </w:pPr>
      <w:rPr>
        <w:rFonts w:hint="default" w:ascii="Arial" w:hAnsi="Arial" w:cs="Times New Roman"/>
      </w:rPr>
    </w:lvl>
    <w:lvl w:ilvl="5" w:tplc="CFDCCB16">
      <w:start w:val="1"/>
      <w:numFmt w:val="bullet"/>
      <w:lvlText w:val="•"/>
      <w:lvlJc w:val="left"/>
      <w:pPr>
        <w:tabs>
          <w:tab w:val="num" w:pos="4320"/>
        </w:tabs>
        <w:ind w:left="4320" w:hanging="360"/>
      </w:pPr>
      <w:rPr>
        <w:rFonts w:hint="default" w:ascii="Arial" w:hAnsi="Arial" w:cs="Times New Roman"/>
      </w:rPr>
    </w:lvl>
    <w:lvl w:ilvl="6" w:tplc="C706D966">
      <w:start w:val="1"/>
      <w:numFmt w:val="bullet"/>
      <w:lvlText w:val="•"/>
      <w:lvlJc w:val="left"/>
      <w:pPr>
        <w:tabs>
          <w:tab w:val="num" w:pos="5040"/>
        </w:tabs>
        <w:ind w:left="5040" w:hanging="360"/>
      </w:pPr>
      <w:rPr>
        <w:rFonts w:hint="default" w:ascii="Arial" w:hAnsi="Arial" w:cs="Times New Roman"/>
      </w:rPr>
    </w:lvl>
    <w:lvl w:ilvl="7" w:tplc="9BBABC10">
      <w:start w:val="1"/>
      <w:numFmt w:val="bullet"/>
      <w:lvlText w:val="•"/>
      <w:lvlJc w:val="left"/>
      <w:pPr>
        <w:tabs>
          <w:tab w:val="num" w:pos="5760"/>
        </w:tabs>
        <w:ind w:left="5760" w:hanging="360"/>
      </w:pPr>
      <w:rPr>
        <w:rFonts w:hint="default" w:ascii="Arial" w:hAnsi="Arial" w:cs="Times New Roman"/>
      </w:rPr>
    </w:lvl>
    <w:lvl w:ilvl="8" w:tplc="4258B410">
      <w:start w:val="1"/>
      <w:numFmt w:val="bullet"/>
      <w:lvlText w:val="•"/>
      <w:lvlJc w:val="left"/>
      <w:pPr>
        <w:tabs>
          <w:tab w:val="num" w:pos="6480"/>
        </w:tabs>
        <w:ind w:left="6480" w:hanging="360"/>
      </w:pPr>
      <w:rPr>
        <w:rFonts w:hint="default" w:ascii="Arial" w:hAnsi="Arial" w:cs="Times New Roman"/>
      </w:rPr>
    </w:lvl>
  </w:abstractNum>
  <w:abstractNum w:abstractNumId="8">
    <w:nsid w:val="294A3A9A"/>
    <w:multiLevelType w:val="hybridMultilevel"/>
    <w:tmpl w:val="D95C3AE0"/>
    <w:lvl w:ilvl="0" w:tplc="2C2E32B2">
      <w:start w:val="1"/>
      <w:numFmt w:val="bullet"/>
      <w:pStyle w:val="CaselawBullet"/>
      <w:lvlText w:val=""/>
      <w:lvlJc w:val="left"/>
      <w:pPr>
        <w:ind w:left="1440" w:hanging="360"/>
      </w:pPr>
      <w:rPr>
        <w:rFonts w:hint="default" w:ascii="Symbol" w:hAnsi="Symbol"/>
      </w:rPr>
    </w:lvl>
    <w:lvl w:ilvl="1" w:tplc="0C090003" w:tentative="true">
      <w:start w:val="1"/>
      <w:numFmt w:val="bullet"/>
      <w:lvlText w:val="o"/>
      <w:lvlJc w:val="left"/>
      <w:pPr>
        <w:ind w:left="2160" w:hanging="360"/>
      </w:pPr>
      <w:rPr>
        <w:rFonts w:hint="default" w:ascii="Courier New" w:hAnsi="Courier New" w:cs="Courier New"/>
      </w:rPr>
    </w:lvl>
    <w:lvl w:ilvl="2" w:tplc="0C090005" w:tentative="true">
      <w:start w:val="1"/>
      <w:numFmt w:val="bullet"/>
      <w:lvlText w:val=""/>
      <w:lvlJc w:val="left"/>
      <w:pPr>
        <w:ind w:left="2880" w:hanging="360"/>
      </w:pPr>
      <w:rPr>
        <w:rFonts w:hint="default" w:ascii="Wingdings" w:hAnsi="Wingdings"/>
      </w:rPr>
    </w:lvl>
    <w:lvl w:ilvl="3" w:tplc="0C090001" w:tentative="true">
      <w:start w:val="1"/>
      <w:numFmt w:val="bullet"/>
      <w:lvlText w:val=""/>
      <w:lvlJc w:val="left"/>
      <w:pPr>
        <w:ind w:left="3600" w:hanging="360"/>
      </w:pPr>
      <w:rPr>
        <w:rFonts w:hint="default" w:ascii="Symbol" w:hAnsi="Symbol"/>
      </w:rPr>
    </w:lvl>
    <w:lvl w:ilvl="4" w:tplc="0C090003" w:tentative="true">
      <w:start w:val="1"/>
      <w:numFmt w:val="bullet"/>
      <w:lvlText w:val="o"/>
      <w:lvlJc w:val="left"/>
      <w:pPr>
        <w:ind w:left="4320" w:hanging="360"/>
      </w:pPr>
      <w:rPr>
        <w:rFonts w:hint="default" w:ascii="Courier New" w:hAnsi="Courier New" w:cs="Courier New"/>
      </w:rPr>
    </w:lvl>
    <w:lvl w:ilvl="5" w:tplc="0C090005" w:tentative="true">
      <w:start w:val="1"/>
      <w:numFmt w:val="bullet"/>
      <w:lvlText w:val=""/>
      <w:lvlJc w:val="left"/>
      <w:pPr>
        <w:ind w:left="5040" w:hanging="360"/>
      </w:pPr>
      <w:rPr>
        <w:rFonts w:hint="default" w:ascii="Wingdings" w:hAnsi="Wingdings"/>
      </w:rPr>
    </w:lvl>
    <w:lvl w:ilvl="6" w:tplc="0C090001" w:tentative="true">
      <w:start w:val="1"/>
      <w:numFmt w:val="bullet"/>
      <w:lvlText w:val=""/>
      <w:lvlJc w:val="left"/>
      <w:pPr>
        <w:ind w:left="5760" w:hanging="360"/>
      </w:pPr>
      <w:rPr>
        <w:rFonts w:hint="default" w:ascii="Symbol" w:hAnsi="Symbol"/>
      </w:rPr>
    </w:lvl>
    <w:lvl w:ilvl="7" w:tplc="0C090003" w:tentative="true">
      <w:start w:val="1"/>
      <w:numFmt w:val="bullet"/>
      <w:lvlText w:val="o"/>
      <w:lvlJc w:val="left"/>
      <w:pPr>
        <w:ind w:left="6480" w:hanging="360"/>
      </w:pPr>
      <w:rPr>
        <w:rFonts w:hint="default" w:ascii="Courier New" w:hAnsi="Courier New" w:cs="Courier New"/>
      </w:rPr>
    </w:lvl>
    <w:lvl w:ilvl="8" w:tplc="0C090005" w:tentative="true">
      <w:start w:val="1"/>
      <w:numFmt w:val="bullet"/>
      <w:lvlText w:val=""/>
      <w:lvlJc w:val="left"/>
      <w:pPr>
        <w:ind w:left="7200" w:hanging="360"/>
      </w:pPr>
      <w:rPr>
        <w:rFonts w:hint="default" w:ascii="Wingdings" w:hAnsi="Wingdings"/>
      </w:rPr>
    </w:lvl>
  </w:abstractNum>
  <w:abstractNum w:abstractNumId="9">
    <w:nsid w:val="31D62726"/>
    <w:multiLevelType w:val="hybridMultilevel"/>
    <w:tmpl w:val="7CEA8C86"/>
    <w:lvl w:ilvl="0" w:tplc="08090001">
      <w:start w:val="1"/>
      <w:numFmt w:val="bullet"/>
      <w:pStyle w:val="TableBullet"/>
      <w:lvlText w:val=""/>
      <w:lvlJc w:val="left"/>
      <w:pPr>
        <w:tabs>
          <w:tab w:val="num" w:pos="1287"/>
        </w:tabs>
        <w:ind w:left="1287" w:hanging="360"/>
      </w:pPr>
      <w:rPr>
        <w:rFonts w:hint="default" w:ascii="Symbol" w:hAnsi="Symbol"/>
      </w:rPr>
    </w:lvl>
    <w:lvl w:ilvl="1" w:tplc="08090003">
      <w:start w:val="1"/>
      <w:numFmt w:val="bullet"/>
      <w:lvlText w:val="o"/>
      <w:lvlJc w:val="left"/>
      <w:pPr>
        <w:tabs>
          <w:tab w:val="num" w:pos="2007"/>
        </w:tabs>
        <w:ind w:left="2007" w:hanging="360"/>
      </w:pPr>
      <w:rPr>
        <w:rFonts w:hint="default" w:ascii="Courier New" w:hAnsi="Courier New" w:cs="Courier New"/>
      </w:rPr>
    </w:lvl>
    <w:lvl w:ilvl="2" w:tplc="08090005">
      <w:start w:val="1"/>
      <w:numFmt w:val="bullet"/>
      <w:lvlText w:val=""/>
      <w:lvlJc w:val="left"/>
      <w:pPr>
        <w:tabs>
          <w:tab w:val="num" w:pos="2727"/>
        </w:tabs>
        <w:ind w:left="2727" w:hanging="360"/>
      </w:pPr>
      <w:rPr>
        <w:rFonts w:hint="default" w:ascii="Wingdings" w:hAnsi="Wingdings"/>
      </w:rPr>
    </w:lvl>
    <w:lvl w:ilvl="3" w:tplc="08090001">
      <w:start w:val="1"/>
      <w:numFmt w:val="bullet"/>
      <w:lvlText w:val=""/>
      <w:lvlJc w:val="left"/>
      <w:pPr>
        <w:tabs>
          <w:tab w:val="num" w:pos="3447"/>
        </w:tabs>
        <w:ind w:left="3447" w:hanging="360"/>
      </w:pPr>
      <w:rPr>
        <w:rFonts w:hint="default" w:ascii="Symbol" w:hAnsi="Symbol"/>
      </w:rPr>
    </w:lvl>
    <w:lvl w:ilvl="4" w:tplc="08090003">
      <w:start w:val="1"/>
      <w:numFmt w:val="bullet"/>
      <w:lvlText w:val="o"/>
      <w:lvlJc w:val="left"/>
      <w:pPr>
        <w:tabs>
          <w:tab w:val="num" w:pos="4167"/>
        </w:tabs>
        <w:ind w:left="4167" w:hanging="360"/>
      </w:pPr>
      <w:rPr>
        <w:rFonts w:hint="default" w:ascii="Courier New" w:hAnsi="Courier New" w:cs="Courier New"/>
      </w:rPr>
    </w:lvl>
    <w:lvl w:ilvl="5" w:tplc="08090005">
      <w:start w:val="1"/>
      <w:numFmt w:val="bullet"/>
      <w:lvlText w:val=""/>
      <w:lvlJc w:val="left"/>
      <w:pPr>
        <w:tabs>
          <w:tab w:val="num" w:pos="4887"/>
        </w:tabs>
        <w:ind w:left="4887" w:hanging="360"/>
      </w:pPr>
      <w:rPr>
        <w:rFonts w:hint="default" w:ascii="Wingdings" w:hAnsi="Wingdings"/>
      </w:rPr>
    </w:lvl>
    <w:lvl w:ilvl="6" w:tplc="08090001">
      <w:start w:val="1"/>
      <w:numFmt w:val="bullet"/>
      <w:lvlText w:val=""/>
      <w:lvlJc w:val="left"/>
      <w:pPr>
        <w:tabs>
          <w:tab w:val="num" w:pos="5607"/>
        </w:tabs>
        <w:ind w:left="5607" w:hanging="360"/>
      </w:pPr>
      <w:rPr>
        <w:rFonts w:hint="default" w:ascii="Symbol" w:hAnsi="Symbol"/>
      </w:rPr>
    </w:lvl>
    <w:lvl w:ilvl="7" w:tplc="08090003">
      <w:start w:val="1"/>
      <w:numFmt w:val="bullet"/>
      <w:lvlText w:val="o"/>
      <w:lvlJc w:val="left"/>
      <w:pPr>
        <w:tabs>
          <w:tab w:val="num" w:pos="6327"/>
        </w:tabs>
        <w:ind w:left="6327" w:hanging="360"/>
      </w:pPr>
      <w:rPr>
        <w:rFonts w:hint="default" w:ascii="Courier New" w:hAnsi="Courier New" w:cs="Courier New"/>
      </w:rPr>
    </w:lvl>
    <w:lvl w:ilvl="8" w:tplc="08090005">
      <w:start w:val="1"/>
      <w:numFmt w:val="bullet"/>
      <w:lvlText w:val=""/>
      <w:lvlJc w:val="left"/>
      <w:pPr>
        <w:tabs>
          <w:tab w:val="num" w:pos="7047"/>
        </w:tabs>
        <w:ind w:left="7047" w:hanging="360"/>
      </w:pPr>
      <w:rPr>
        <w:rFonts w:hint="default" w:ascii="Wingdings" w:hAnsi="Wingdings"/>
      </w:rPr>
    </w:lvl>
  </w:abstractNum>
  <w:abstractNum w:abstractNumId="10">
    <w:nsid w:val="32C84D31"/>
    <w:multiLevelType w:val="hybridMultilevel"/>
    <w:tmpl w:val="6EA29FB4"/>
    <w:lvl w:ilvl="0" w:tplc="3AFAE3D2">
      <w:start w:val="1"/>
      <w:numFmt w:val="decimal"/>
      <w:pStyle w:val="CaselawNumbered1"/>
      <w:lvlText w:val="(%1)"/>
      <w:lvlJc w:val="left"/>
      <w:pPr>
        <w:ind w:left="720" w:hanging="360"/>
      </w:pPr>
      <w:rPr>
        <w:rFonts w:hint="default"/>
      </w:rPr>
    </w:lvl>
    <w:lvl w:ilvl="1" w:tplc="0C090019" w:tentative="true">
      <w:start w:val="1"/>
      <w:numFmt w:val="lowerLetter"/>
      <w:lvlText w:val="%2."/>
      <w:lvlJc w:val="left"/>
      <w:pPr>
        <w:ind w:left="1440" w:hanging="360"/>
      </w:pPr>
    </w:lvl>
    <w:lvl w:ilvl="2" w:tplc="0C09001B" w:tentative="true">
      <w:start w:val="1"/>
      <w:numFmt w:val="lowerRoman"/>
      <w:lvlText w:val="%3."/>
      <w:lvlJc w:val="right"/>
      <w:pPr>
        <w:ind w:left="2160" w:hanging="180"/>
      </w:pPr>
    </w:lvl>
    <w:lvl w:ilvl="3" w:tplc="0C09000F" w:tentative="true">
      <w:start w:val="1"/>
      <w:numFmt w:val="decimal"/>
      <w:lvlText w:val="%4."/>
      <w:lvlJc w:val="left"/>
      <w:pPr>
        <w:ind w:left="2880" w:hanging="360"/>
      </w:pPr>
    </w:lvl>
    <w:lvl w:ilvl="4" w:tplc="0C090019" w:tentative="true">
      <w:start w:val="1"/>
      <w:numFmt w:val="lowerLetter"/>
      <w:lvlText w:val="%5."/>
      <w:lvlJc w:val="left"/>
      <w:pPr>
        <w:ind w:left="3600" w:hanging="360"/>
      </w:pPr>
    </w:lvl>
    <w:lvl w:ilvl="5" w:tplc="0C09001B" w:tentative="true">
      <w:start w:val="1"/>
      <w:numFmt w:val="lowerRoman"/>
      <w:lvlText w:val="%6."/>
      <w:lvlJc w:val="right"/>
      <w:pPr>
        <w:ind w:left="4320" w:hanging="180"/>
      </w:pPr>
    </w:lvl>
    <w:lvl w:ilvl="6" w:tplc="0C09000F" w:tentative="true">
      <w:start w:val="1"/>
      <w:numFmt w:val="decimal"/>
      <w:lvlText w:val="%7."/>
      <w:lvlJc w:val="left"/>
      <w:pPr>
        <w:ind w:left="5040" w:hanging="360"/>
      </w:pPr>
    </w:lvl>
    <w:lvl w:ilvl="7" w:tplc="0C090019" w:tentative="true">
      <w:start w:val="1"/>
      <w:numFmt w:val="lowerLetter"/>
      <w:lvlText w:val="%8."/>
      <w:lvlJc w:val="left"/>
      <w:pPr>
        <w:ind w:left="5760" w:hanging="360"/>
      </w:pPr>
    </w:lvl>
    <w:lvl w:ilvl="8" w:tplc="0C09001B" w:tentative="true">
      <w:start w:val="1"/>
      <w:numFmt w:val="lowerRoman"/>
      <w:lvlText w:val="%9."/>
      <w:lvlJc w:val="right"/>
      <w:pPr>
        <w:ind w:left="6480" w:hanging="180"/>
      </w:pPr>
    </w:lvl>
  </w:abstractNum>
  <w:abstractNum w:abstractNumId="11">
    <w:nsid w:val="33DF2FB6"/>
    <w:multiLevelType w:val="hybridMultilevel"/>
    <w:tmpl w:val="33CC98FE"/>
    <w:lvl w:ilvl="0" w:tplc="DBA8805A">
      <w:start w:val="1"/>
      <w:numFmt w:val="decimal"/>
      <w:pStyle w:val="NFRNumbering"/>
      <w:lvlText w:val="NFR_%1."/>
      <w:lvlJc w:val="left"/>
      <w:pPr>
        <w:ind w:left="360" w:hanging="360"/>
      </w:pPr>
    </w:lvl>
    <w:lvl w:ilvl="1" w:tplc="0C090019">
      <w:start w:val="1"/>
      <w:numFmt w:val="lowerLetter"/>
      <w:lvlText w:val="%2."/>
      <w:lvlJc w:val="left"/>
      <w:pPr>
        <w:ind w:left="1080" w:hanging="360"/>
      </w:pPr>
    </w:lvl>
    <w:lvl w:ilvl="2" w:tplc="0C09001B">
      <w:start w:val="1"/>
      <w:numFmt w:val="lowerRoman"/>
      <w:lvlText w:val="%3."/>
      <w:lvlJc w:val="right"/>
      <w:pPr>
        <w:ind w:left="1800" w:hanging="180"/>
      </w:pPr>
    </w:lvl>
    <w:lvl w:ilvl="3" w:tplc="0C09000F">
      <w:start w:val="1"/>
      <w:numFmt w:val="decimal"/>
      <w:lvlText w:val="%4."/>
      <w:lvlJc w:val="left"/>
      <w:pPr>
        <w:ind w:left="2520" w:hanging="360"/>
      </w:pPr>
    </w:lvl>
    <w:lvl w:ilvl="4" w:tplc="0C090019">
      <w:start w:val="1"/>
      <w:numFmt w:val="lowerLetter"/>
      <w:lvlText w:val="%5."/>
      <w:lvlJc w:val="left"/>
      <w:pPr>
        <w:ind w:left="3240" w:hanging="360"/>
      </w:pPr>
    </w:lvl>
    <w:lvl w:ilvl="5" w:tplc="0C09001B">
      <w:start w:val="1"/>
      <w:numFmt w:val="lowerRoman"/>
      <w:lvlText w:val="%6."/>
      <w:lvlJc w:val="right"/>
      <w:pPr>
        <w:ind w:left="3960" w:hanging="180"/>
      </w:pPr>
    </w:lvl>
    <w:lvl w:ilvl="6" w:tplc="0C09000F">
      <w:start w:val="1"/>
      <w:numFmt w:val="decimal"/>
      <w:lvlText w:val="%7."/>
      <w:lvlJc w:val="left"/>
      <w:pPr>
        <w:ind w:left="4680" w:hanging="360"/>
      </w:pPr>
    </w:lvl>
    <w:lvl w:ilvl="7" w:tplc="0C090019">
      <w:start w:val="1"/>
      <w:numFmt w:val="lowerLetter"/>
      <w:lvlText w:val="%8."/>
      <w:lvlJc w:val="left"/>
      <w:pPr>
        <w:ind w:left="5400" w:hanging="360"/>
      </w:pPr>
    </w:lvl>
    <w:lvl w:ilvl="8" w:tplc="0C09001B">
      <w:start w:val="1"/>
      <w:numFmt w:val="lowerRoman"/>
      <w:lvlText w:val="%9."/>
      <w:lvlJc w:val="right"/>
      <w:pPr>
        <w:ind w:left="6120" w:hanging="180"/>
      </w:pPr>
    </w:lvl>
  </w:abstractNum>
  <w:abstractNum w:abstractNumId="12">
    <w:nsid w:val="353D152B"/>
    <w:multiLevelType w:val="hybridMultilevel"/>
    <w:tmpl w:val="87261C24"/>
    <w:lvl w:ilvl="0" w:tplc="F3C2251E">
      <w:start w:val="1"/>
      <w:numFmt w:val="lowerRoman"/>
      <w:pStyle w:val="CaselawNumberedi"/>
      <w:lvlText w:val="(%1)"/>
      <w:lvlJc w:val="left"/>
      <w:pPr>
        <w:ind w:left="2160" w:hanging="360"/>
      </w:pPr>
      <w:rPr>
        <w:rFonts w:hint="default"/>
      </w:rPr>
    </w:lvl>
    <w:lvl w:ilvl="1" w:tplc="0C090019" w:tentative="true">
      <w:start w:val="1"/>
      <w:numFmt w:val="lowerLetter"/>
      <w:lvlText w:val="%2."/>
      <w:lvlJc w:val="left"/>
      <w:pPr>
        <w:ind w:left="2880" w:hanging="360"/>
      </w:pPr>
    </w:lvl>
    <w:lvl w:ilvl="2" w:tplc="0C09001B" w:tentative="true">
      <w:start w:val="1"/>
      <w:numFmt w:val="lowerRoman"/>
      <w:lvlText w:val="%3."/>
      <w:lvlJc w:val="right"/>
      <w:pPr>
        <w:ind w:left="3600" w:hanging="180"/>
      </w:pPr>
    </w:lvl>
    <w:lvl w:ilvl="3" w:tplc="0C09000F" w:tentative="true">
      <w:start w:val="1"/>
      <w:numFmt w:val="decimal"/>
      <w:lvlText w:val="%4."/>
      <w:lvlJc w:val="left"/>
      <w:pPr>
        <w:ind w:left="4320" w:hanging="360"/>
      </w:pPr>
    </w:lvl>
    <w:lvl w:ilvl="4" w:tplc="0C090019" w:tentative="true">
      <w:start w:val="1"/>
      <w:numFmt w:val="lowerLetter"/>
      <w:lvlText w:val="%5."/>
      <w:lvlJc w:val="left"/>
      <w:pPr>
        <w:ind w:left="5040" w:hanging="360"/>
      </w:pPr>
    </w:lvl>
    <w:lvl w:ilvl="5" w:tplc="0C09001B" w:tentative="true">
      <w:start w:val="1"/>
      <w:numFmt w:val="lowerRoman"/>
      <w:lvlText w:val="%6."/>
      <w:lvlJc w:val="right"/>
      <w:pPr>
        <w:ind w:left="5760" w:hanging="180"/>
      </w:pPr>
    </w:lvl>
    <w:lvl w:ilvl="6" w:tplc="0C09000F" w:tentative="true">
      <w:start w:val="1"/>
      <w:numFmt w:val="decimal"/>
      <w:lvlText w:val="%7."/>
      <w:lvlJc w:val="left"/>
      <w:pPr>
        <w:ind w:left="6480" w:hanging="360"/>
      </w:pPr>
    </w:lvl>
    <w:lvl w:ilvl="7" w:tplc="0C090019" w:tentative="true">
      <w:start w:val="1"/>
      <w:numFmt w:val="lowerLetter"/>
      <w:lvlText w:val="%8."/>
      <w:lvlJc w:val="left"/>
      <w:pPr>
        <w:ind w:left="7200" w:hanging="360"/>
      </w:pPr>
    </w:lvl>
    <w:lvl w:ilvl="8" w:tplc="0C09001B" w:tentative="true">
      <w:start w:val="1"/>
      <w:numFmt w:val="lowerRoman"/>
      <w:lvlText w:val="%9."/>
      <w:lvlJc w:val="right"/>
      <w:pPr>
        <w:ind w:left="7920" w:hanging="180"/>
      </w:pPr>
    </w:lvl>
  </w:abstractNum>
  <w:abstractNum w:abstractNumId="13">
    <w:nsid w:val="46736775"/>
    <w:multiLevelType w:val="hybridMultilevel"/>
    <w:tmpl w:val="81BEEDF8"/>
    <w:lvl w:ilvl="0" w:tplc="0C090001">
      <w:start w:val="1"/>
      <w:numFmt w:val="bullet"/>
      <w:lvlText w:val=""/>
      <w:lvlJc w:val="left"/>
      <w:pPr>
        <w:ind w:left="720" w:hanging="360"/>
      </w:pPr>
      <w:rPr>
        <w:rFonts w:hint="default" w:ascii="Symbol" w:hAnsi="Symbol"/>
      </w:rPr>
    </w:lvl>
    <w:lvl w:ilvl="1" w:tplc="0C090003">
      <w:start w:val="1"/>
      <w:numFmt w:val="bullet"/>
      <w:lvlText w:val="o"/>
      <w:lvlJc w:val="left"/>
      <w:pPr>
        <w:ind w:left="1440" w:hanging="360"/>
      </w:pPr>
      <w:rPr>
        <w:rFonts w:hint="default" w:ascii="Courier New" w:hAnsi="Courier New" w:cs="Courier New"/>
      </w:rPr>
    </w:lvl>
    <w:lvl w:ilvl="2" w:tplc="0C090005">
      <w:start w:val="1"/>
      <w:numFmt w:val="bullet"/>
      <w:lvlText w:val=""/>
      <w:lvlJc w:val="left"/>
      <w:pPr>
        <w:ind w:left="2160" w:hanging="360"/>
      </w:pPr>
      <w:rPr>
        <w:rFonts w:hint="default" w:ascii="Wingdings" w:hAnsi="Wingdings"/>
      </w:rPr>
    </w:lvl>
    <w:lvl w:ilvl="3" w:tplc="0C090001">
      <w:start w:val="1"/>
      <w:numFmt w:val="bullet"/>
      <w:lvlText w:val=""/>
      <w:lvlJc w:val="left"/>
      <w:pPr>
        <w:ind w:left="2880" w:hanging="360"/>
      </w:pPr>
      <w:rPr>
        <w:rFonts w:hint="default" w:ascii="Symbol" w:hAnsi="Symbol"/>
      </w:rPr>
    </w:lvl>
    <w:lvl w:ilvl="4" w:tplc="0C090003">
      <w:start w:val="1"/>
      <w:numFmt w:val="bullet"/>
      <w:lvlText w:val="o"/>
      <w:lvlJc w:val="left"/>
      <w:pPr>
        <w:ind w:left="3600" w:hanging="360"/>
      </w:pPr>
      <w:rPr>
        <w:rFonts w:hint="default" w:ascii="Courier New" w:hAnsi="Courier New" w:cs="Courier New"/>
      </w:rPr>
    </w:lvl>
    <w:lvl w:ilvl="5" w:tplc="0C090005">
      <w:start w:val="1"/>
      <w:numFmt w:val="bullet"/>
      <w:lvlText w:val=""/>
      <w:lvlJc w:val="left"/>
      <w:pPr>
        <w:ind w:left="4320" w:hanging="360"/>
      </w:pPr>
      <w:rPr>
        <w:rFonts w:hint="default" w:ascii="Wingdings" w:hAnsi="Wingdings"/>
      </w:rPr>
    </w:lvl>
    <w:lvl w:ilvl="6" w:tplc="0C090001">
      <w:start w:val="1"/>
      <w:numFmt w:val="bullet"/>
      <w:lvlText w:val=""/>
      <w:lvlJc w:val="left"/>
      <w:pPr>
        <w:ind w:left="5040" w:hanging="360"/>
      </w:pPr>
      <w:rPr>
        <w:rFonts w:hint="default" w:ascii="Symbol" w:hAnsi="Symbol"/>
      </w:rPr>
    </w:lvl>
    <w:lvl w:ilvl="7" w:tplc="0C090003">
      <w:start w:val="1"/>
      <w:numFmt w:val="bullet"/>
      <w:lvlText w:val="o"/>
      <w:lvlJc w:val="left"/>
      <w:pPr>
        <w:ind w:left="5760" w:hanging="360"/>
      </w:pPr>
      <w:rPr>
        <w:rFonts w:hint="default" w:ascii="Courier New" w:hAnsi="Courier New" w:cs="Courier New"/>
      </w:rPr>
    </w:lvl>
    <w:lvl w:ilvl="8" w:tplc="0C090005">
      <w:start w:val="1"/>
      <w:numFmt w:val="bullet"/>
      <w:lvlText w:val=""/>
      <w:lvlJc w:val="left"/>
      <w:pPr>
        <w:ind w:left="6480" w:hanging="360"/>
      </w:pPr>
      <w:rPr>
        <w:rFonts w:hint="default" w:ascii="Wingdings" w:hAnsi="Wingdings"/>
      </w:rPr>
    </w:lvl>
  </w:abstractNum>
  <w:abstractNum w:abstractNumId="14">
    <w:nsid w:val="4A6E132D"/>
    <w:multiLevelType w:val="multilevel"/>
    <w:tmpl w:val="EFFE9968"/>
    <w:lvl w:ilvl="0">
      <w:start w:val="1"/>
      <w:numFmt w:val="upperLetter"/>
      <w:lvlText w:val="%1."/>
      <w:lvlJc w:val="left"/>
      <w:pPr>
        <w:tabs>
          <w:tab w:val="num" w:pos="-288"/>
        </w:tabs>
        <w:ind w:left="-288" w:hanging="432"/>
      </w:pPr>
    </w:lvl>
    <w:lvl w:ilvl="1">
      <w:start w:val="1"/>
      <w:numFmt w:val="decimal"/>
      <w:pStyle w:val="AppendixHeading2"/>
      <w:lvlText w:val="%1.%2"/>
      <w:lvlJc w:val="left"/>
      <w:pPr>
        <w:tabs>
          <w:tab w:val="num" w:pos="-144"/>
        </w:tabs>
        <w:ind w:left="-144" w:hanging="576"/>
      </w:pPr>
    </w:lvl>
    <w:lvl w:ilvl="2">
      <w:start w:val="1"/>
      <w:numFmt w:val="decimal"/>
      <w:lvlText w:val="%2.%1.%3"/>
      <w:lvlJc w:val="left"/>
      <w:pPr>
        <w:tabs>
          <w:tab w:val="num" w:pos="360"/>
        </w:tabs>
        <w:ind w:left="0" w:hanging="720"/>
      </w:pPr>
    </w:lvl>
    <w:lvl w:ilvl="3">
      <w:start w:val="1"/>
      <w:numFmt w:val="decimal"/>
      <w:lvlText w:val="%1.%2.%3.%4"/>
      <w:lvlJc w:val="left"/>
      <w:pPr>
        <w:tabs>
          <w:tab w:val="num" w:pos="144"/>
        </w:tabs>
        <w:ind w:left="144" w:hanging="864"/>
      </w:pPr>
    </w:lvl>
    <w:lvl w:ilvl="4">
      <w:start w:val="1"/>
      <w:numFmt w:val="decimal"/>
      <w:lvlText w:val="%1.%2.%3.%4.%5"/>
      <w:lvlJc w:val="left"/>
      <w:pPr>
        <w:tabs>
          <w:tab w:val="num" w:pos="288"/>
        </w:tabs>
        <w:ind w:left="288" w:hanging="1008"/>
      </w:pPr>
    </w:lvl>
    <w:lvl w:ilvl="5">
      <w:start w:val="1"/>
      <w:numFmt w:val="decimal"/>
      <w:lvlText w:val="%1.%2.%3.%4.%5.%6"/>
      <w:lvlJc w:val="left"/>
      <w:pPr>
        <w:tabs>
          <w:tab w:val="num" w:pos="432"/>
        </w:tabs>
        <w:ind w:left="432" w:hanging="1152"/>
      </w:pPr>
    </w:lvl>
    <w:lvl w:ilvl="6">
      <w:start w:val="1"/>
      <w:numFmt w:val="decimal"/>
      <w:lvlText w:val="%1.%2.%3.%4.%5.%6.%7"/>
      <w:lvlJc w:val="left"/>
      <w:pPr>
        <w:tabs>
          <w:tab w:val="num" w:pos="576"/>
        </w:tabs>
        <w:ind w:left="576" w:hanging="1296"/>
      </w:pPr>
    </w:lvl>
    <w:lvl w:ilvl="7">
      <w:start w:val="1"/>
      <w:numFmt w:val="decimal"/>
      <w:lvlText w:val="%1.%2.%3.%4.%5.%6.%7.%8"/>
      <w:lvlJc w:val="left"/>
      <w:pPr>
        <w:tabs>
          <w:tab w:val="num" w:pos="720"/>
        </w:tabs>
        <w:ind w:left="720" w:hanging="1440"/>
      </w:pPr>
    </w:lvl>
    <w:lvl w:ilvl="8">
      <w:start w:val="1"/>
      <w:numFmt w:val="decimal"/>
      <w:lvlText w:val="%1.%2.%3.%4.%5.%6.%7.%8.%9"/>
      <w:lvlJc w:val="left"/>
      <w:pPr>
        <w:tabs>
          <w:tab w:val="num" w:pos="864"/>
        </w:tabs>
        <w:ind w:left="864" w:hanging="1584"/>
      </w:pPr>
    </w:lvl>
  </w:abstractNum>
  <w:abstractNum w:abstractNumId="15">
    <w:nsid w:val="50702DEE"/>
    <w:multiLevelType w:val="hybridMultilevel"/>
    <w:tmpl w:val="4DA6461C"/>
    <w:lvl w:ilvl="0" w:tplc="00C27798">
      <w:start w:val="1"/>
      <w:numFmt w:val="lowerLetter"/>
      <w:pStyle w:val="CaselawNumbereda"/>
      <w:lvlText w:val="(%1)"/>
      <w:lvlJc w:val="left"/>
      <w:pPr>
        <w:ind w:left="1440" w:hanging="360"/>
      </w:pPr>
      <w:rPr>
        <w:rFonts w:hint="default"/>
      </w:rPr>
    </w:lvl>
    <w:lvl w:ilvl="1" w:tplc="0C090019" w:tentative="true">
      <w:start w:val="1"/>
      <w:numFmt w:val="lowerLetter"/>
      <w:lvlText w:val="%2."/>
      <w:lvlJc w:val="left"/>
      <w:pPr>
        <w:ind w:left="2160" w:hanging="360"/>
      </w:pPr>
    </w:lvl>
    <w:lvl w:ilvl="2" w:tplc="0C09001B" w:tentative="true">
      <w:start w:val="1"/>
      <w:numFmt w:val="lowerRoman"/>
      <w:lvlText w:val="%3."/>
      <w:lvlJc w:val="right"/>
      <w:pPr>
        <w:ind w:left="2880" w:hanging="180"/>
      </w:pPr>
    </w:lvl>
    <w:lvl w:ilvl="3" w:tplc="0C09000F" w:tentative="true">
      <w:start w:val="1"/>
      <w:numFmt w:val="decimal"/>
      <w:lvlText w:val="%4."/>
      <w:lvlJc w:val="left"/>
      <w:pPr>
        <w:ind w:left="3600" w:hanging="360"/>
      </w:pPr>
    </w:lvl>
    <w:lvl w:ilvl="4" w:tplc="0C090019" w:tentative="true">
      <w:start w:val="1"/>
      <w:numFmt w:val="lowerLetter"/>
      <w:lvlText w:val="%5."/>
      <w:lvlJc w:val="left"/>
      <w:pPr>
        <w:ind w:left="4320" w:hanging="360"/>
      </w:pPr>
    </w:lvl>
    <w:lvl w:ilvl="5" w:tplc="0C09001B" w:tentative="true">
      <w:start w:val="1"/>
      <w:numFmt w:val="lowerRoman"/>
      <w:lvlText w:val="%6."/>
      <w:lvlJc w:val="right"/>
      <w:pPr>
        <w:ind w:left="5040" w:hanging="180"/>
      </w:pPr>
    </w:lvl>
    <w:lvl w:ilvl="6" w:tplc="0C09000F" w:tentative="true">
      <w:start w:val="1"/>
      <w:numFmt w:val="decimal"/>
      <w:lvlText w:val="%7."/>
      <w:lvlJc w:val="left"/>
      <w:pPr>
        <w:ind w:left="5760" w:hanging="360"/>
      </w:pPr>
    </w:lvl>
    <w:lvl w:ilvl="7" w:tplc="0C090019" w:tentative="true">
      <w:start w:val="1"/>
      <w:numFmt w:val="lowerLetter"/>
      <w:lvlText w:val="%8."/>
      <w:lvlJc w:val="left"/>
      <w:pPr>
        <w:ind w:left="6480" w:hanging="360"/>
      </w:pPr>
    </w:lvl>
    <w:lvl w:ilvl="8" w:tplc="0C09001B" w:tentative="true">
      <w:start w:val="1"/>
      <w:numFmt w:val="lowerRoman"/>
      <w:lvlText w:val="%9."/>
      <w:lvlJc w:val="right"/>
      <w:pPr>
        <w:ind w:left="7200" w:hanging="180"/>
      </w:pPr>
    </w:lvl>
  </w:abstractNum>
  <w:abstractNum w:abstractNumId="16">
    <w:nsid w:val="52623F3D"/>
    <w:multiLevelType w:val="hybridMultilevel"/>
    <w:tmpl w:val="A106EF2E"/>
    <w:lvl w:ilvl="0" w:tplc="4DAC301C">
      <w:start w:val="1"/>
      <w:numFmt w:val="decimal"/>
      <w:pStyle w:val="CaselawNumbered10"/>
      <w:lvlText w:val="%1"/>
      <w:lvlJc w:val="left"/>
      <w:pPr>
        <w:ind w:left="360" w:hanging="360"/>
      </w:pPr>
      <w:rPr>
        <w:rFonts w:hint="default"/>
      </w:rPr>
    </w:lvl>
    <w:lvl w:ilvl="1" w:tplc="0C090019" w:tentative="true">
      <w:start w:val="1"/>
      <w:numFmt w:val="lowerLetter"/>
      <w:lvlText w:val="%2."/>
      <w:lvlJc w:val="left"/>
      <w:pPr>
        <w:ind w:left="2160" w:hanging="360"/>
      </w:pPr>
    </w:lvl>
    <w:lvl w:ilvl="2" w:tplc="0C09001B" w:tentative="true">
      <w:start w:val="1"/>
      <w:numFmt w:val="lowerRoman"/>
      <w:lvlText w:val="%3."/>
      <w:lvlJc w:val="right"/>
      <w:pPr>
        <w:ind w:left="2880" w:hanging="180"/>
      </w:pPr>
    </w:lvl>
    <w:lvl w:ilvl="3" w:tplc="0C09000F" w:tentative="true">
      <w:start w:val="1"/>
      <w:numFmt w:val="decimal"/>
      <w:lvlText w:val="%4."/>
      <w:lvlJc w:val="left"/>
      <w:pPr>
        <w:ind w:left="3600" w:hanging="360"/>
      </w:pPr>
    </w:lvl>
    <w:lvl w:ilvl="4" w:tplc="0C090019" w:tentative="true">
      <w:start w:val="1"/>
      <w:numFmt w:val="lowerLetter"/>
      <w:lvlText w:val="%5."/>
      <w:lvlJc w:val="left"/>
      <w:pPr>
        <w:ind w:left="4320" w:hanging="360"/>
      </w:pPr>
    </w:lvl>
    <w:lvl w:ilvl="5" w:tplc="0C09001B" w:tentative="true">
      <w:start w:val="1"/>
      <w:numFmt w:val="lowerRoman"/>
      <w:lvlText w:val="%6."/>
      <w:lvlJc w:val="right"/>
      <w:pPr>
        <w:ind w:left="5040" w:hanging="180"/>
      </w:pPr>
    </w:lvl>
    <w:lvl w:ilvl="6" w:tplc="0C09000F" w:tentative="true">
      <w:start w:val="1"/>
      <w:numFmt w:val="decimal"/>
      <w:lvlText w:val="%7."/>
      <w:lvlJc w:val="left"/>
      <w:pPr>
        <w:ind w:left="5760" w:hanging="360"/>
      </w:pPr>
    </w:lvl>
    <w:lvl w:ilvl="7" w:tplc="0C090019" w:tentative="true">
      <w:start w:val="1"/>
      <w:numFmt w:val="lowerLetter"/>
      <w:lvlText w:val="%8."/>
      <w:lvlJc w:val="left"/>
      <w:pPr>
        <w:ind w:left="6480" w:hanging="360"/>
      </w:pPr>
    </w:lvl>
    <w:lvl w:ilvl="8" w:tplc="0C09001B" w:tentative="true">
      <w:start w:val="1"/>
      <w:numFmt w:val="lowerRoman"/>
      <w:lvlText w:val="%9."/>
      <w:lvlJc w:val="right"/>
      <w:pPr>
        <w:ind w:left="7200" w:hanging="180"/>
      </w:pPr>
    </w:lvl>
  </w:abstractNum>
  <w:abstractNum w:abstractNumId="17">
    <w:nsid w:val="52CC25B4"/>
    <w:multiLevelType w:val="hybridMultilevel"/>
    <w:tmpl w:val="3DEE3746"/>
    <w:lvl w:ilvl="0" w:tplc="779C3EE2">
      <w:start w:val="1"/>
      <w:numFmt w:val="bullet"/>
      <w:pStyle w:val="ListBulletIndent"/>
      <w:lvlText w:val="o"/>
      <w:lvlJc w:val="left"/>
      <w:pPr>
        <w:tabs>
          <w:tab w:val="num" w:pos="1159"/>
        </w:tabs>
        <w:ind w:left="1159" w:hanging="360"/>
      </w:pPr>
      <w:rPr>
        <w:rFonts w:hint="default" w:ascii="Courier New" w:hAnsi="Courier New" w:cs="Times New Roman"/>
      </w:rPr>
    </w:lvl>
    <w:lvl w:ilvl="1" w:tplc="04090003">
      <w:start w:val="1"/>
      <w:numFmt w:val="bullet"/>
      <w:lvlText w:val="o"/>
      <w:lvlJc w:val="left"/>
      <w:pPr>
        <w:tabs>
          <w:tab w:val="num" w:pos="2160"/>
        </w:tabs>
        <w:ind w:left="2160" w:hanging="360"/>
      </w:pPr>
      <w:rPr>
        <w:rFonts w:hint="default" w:ascii="Courier New" w:hAnsi="Courier New" w:cs="Times New Roman"/>
      </w:rPr>
    </w:lvl>
    <w:lvl w:ilvl="2" w:tplc="04090005">
      <w:start w:val="1"/>
      <w:numFmt w:val="bullet"/>
      <w:lvlText w:val=""/>
      <w:lvlJc w:val="left"/>
      <w:pPr>
        <w:tabs>
          <w:tab w:val="num" w:pos="2880"/>
        </w:tabs>
        <w:ind w:left="2880" w:hanging="360"/>
      </w:pPr>
      <w:rPr>
        <w:rFonts w:hint="default" w:ascii="Wingdings" w:hAnsi="Wingdings"/>
      </w:rPr>
    </w:lvl>
    <w:lvl w:ilvl="3" w:tplc="04090001">
      <w:start w:val="1"/>
      <w:numFmt w:val="bullet"/>
      <w:lvlText w:val=""/>
      <w:lvlJc w:val="left"/>
      <w:pPr>
        <w:tabs>
          <w:tab w:val="num" w:pos="3600"/>
        </w:tabs>
        <w:ind w:left="3600" w:hanging="360"/>
      </w:pPr>
      <w:rPr>
        <w:rFonts w:hint="default" w:ascii="Symbol" w:hAnsi="Symbol"/>
      </w:rPr>
    </w:lvl>
    <w:lvl w:ilvl="4" w:tplc="04090003">
      <w:start w:val="1"/>
      <w:numFmt w:val="bullet"/>
      <w:lvlText w:val="o"/>
      <w:lvlJc w:val="left"/>
      <w:pPr>
        <w:tabs>
          <w:tab w:val="num" w:pos="4320"/>
        </w:tabs>
        <w:ind w:left="4320" w:hanging="360"/>
      </w:pPr>
      <w:rPr>
        <w:rFonts w:hint="default" w:ascii="Courier New" w:hAnsi="Courier New" w:cs="Times New Roman"/>
      </w:rPr>
    </w:lvl>
    <w:lvl w:ilvl="5" w:tplc="04090005">
      <w:start w:val="1"/>
      <w:numFmt w:val="bullet"/>
      <w:lvlText w:val=""/>
      <w:lvlJc w:val="left"/>
      <w:pPr>
        <w:tabs>
          <w:tab w:val="num" w:pos="5040"/>
        </w:tabs>
        <w:ind w:left="5040" w:hanging="360"/>
      </w:pPr>
      <w:rPr>
        <w:rFonts w:hint="default" w:ascii="Wingdings" w:hAnsi="Wingdings"/>
      </w:rPr>
    </w:lvl>
    <w:lvl w:ilvl="6" w:tplc="04090001">
      <w:start w:val="1"/>
      <w:numFmt w:val="bullet"/>
      <w:lvlText w:val=""/>
      <w:lvlJc w:val="left"/>
      <w:pPr>
        <w:tabs>
          <w:tab w:val="num" w:pos="5760"/>
        </w:tabs>
        <w:ind w:left="5760" w:hanging="360"/>
      </w:pPr>
      <w:rPr>
        <w:rFonts w:hint="default" w:ascii="Symbol" w:hAnsi="Symbol"/>
      </w:rPr>
    </w:lvl>
    <w:lvl w:ilvl="7" w:tplc="04090003">
      <w:start w:val="1"/>
      <w:numFmt w:val="bullet"/>
      <w:lvlText w:val="o"/>
      <w:lvlJc w:val="left"/>
      <w:pPr>
        <w:tabs>
          <w:tab w:val="num" w:pos="6480"/>
        </w:tabs>
        <w:ind w:left="6480" w:hanging="360"/>
      </w:pPr>
      <w:rPr>
        <w:rFonts w:hint="default" w:ascii="Courier New" w:hAnsi="Courier New" w:cs="Times New Roman"/>
      </w:rPr>
    </w:lvl>
    <w:lvl w:ilvl="8" w:tplc="04090005">
      <w:start w:val="1"/>
      <w:numFmt w:val="bullet"/>
      <w:lvlText w:val=""/>
      <w:lvlJc w:val="left"/>
      <w:pPr>
        <w:tabs>
          <w:tab w:val="num" w:pos="7200"/>
        </w:tabs>
        <w:ind w:left="7200" w:hanging="360"/>
      </w:pPr>
      <w:rPr>
        <w:rFonts w:hint="default" w:ascii="Wingdings" w:hAnsi="Wingdings"/>
      </w:rPr>
    </w:lvl>
  </w:abstractNum>
  <w:abstractNum w:abstractNumId="18">
    <w:nsid w:val="63917B65"/>
    <w:multiLevelType w:val="hybridMultilevel"/>
    <w:tmpl w:val="28DA8504"/>
    <w:lvl w:ilvl="0" w:tplc="7EBEE17E">
      <w:start w:val="1"/>
      <w:numFmt w:val="bullet"/>
      <w:lvlText w:val="•"/>
      <w:lvlJc w:val="left"/>
      <w:pPr>
        <w:tabs>
          <w:tab w:val="num" w:pos="720"/>
        </w:tabs>
        <w:ind w:left="720" w:hanging="360"/>
      </w:pPr>
      <w:rPr>
        <w:rFonts w:hint="default" w:ascii="Arial" w:hAnsi="Arial" w:cs="Times New Roman"/>
      </w:rPr>
    </w:lvl>
    <w:lvl w:ilvl="1" w:tplc="1DCC5FE4">
      <w:start w:val="1"/>
      <w:numFmt w:val="bullet"/>
      <w:lvlText w:val="•"/>
      <w:lvlJc w:val="left"/>
      <w:pPr>
        <w:tabs>
          <w:tab w:val="num" w:pos="1440"/>
        </w:tabs>
        <w:ind w:left="1440" w:hanging="360"/>
      </w:pPr>
      <w:rPr>
        <w:rFonts w:hint="default" w:ascii="Arial" w:hAnsi="Arial" w:cs="Times New Roman"/>
      </w:rPr>
    </w:lvl>
    <w:lvl w:ilvl="2" w:tplc="2E2254E0">
      <w:start w:val="1"/>
      <w:numFmt w:val="bullet"/>
      <w:lvlText w:val="•"/>
      <w:lvlJc w:val="left"/>
      <w:pPr>
        <w:tabs>
          <w:tab w:val="num" w:pos="2160"/>
        </w:tabs>
        <w:ind w:left="2160" w:hanging="360"/>
      </w:pPr>
      <w:rPr>
        <w:rFonts w:hint="default" w:ascii="Arial" w:hAnsi="Arial" w:cs="Times New Roman"/>
      </w:rPr>
    </w:lvl>
    <w:lvl w:ilvl="3" w:tplc="A5A07C72">
      <w:start w:val="1"/>
      <w:numFmt w:val="bullet"/>
      <w:lvlText w:val="•"/>
      <w:lvlJc w:val="left"/>
      <w:pPr>
        <w:tabs>
          <w:tab w:val="num" w:pos="2880"/>
        </w:tabs>
        <w:ind w:left="2880" w:hanging="360"/>
      </w:pPr>
      <w:rPr>
        <w:rFonts w:hint="default" w:ascii="Arial" w:hAnsi="Arial" w:cs="Times New Roman"/>
      </w:rPr>
    </w:lvl>
    <w:lvl w:ilvl="4" w:tplc="9E8A9A4E">
      <w:start w:val="1"/>
      <w:numFmt w:val="bullet"/>
      <w:lvlText w:val="•"/>
      <w:lvlJc w:val="left"/>
      <w:pPr>
        <w:tabs>
          <w:tab w:val="num" w:pos="3600"/>
        </w:tabs>
        <w:ind w:left="3600" w:hanging="360"/>
      </w:pPr>
      <w:rPr>
        <w:rFonts w:hint="default" w:ascii="Arial" w:hAnsi="Arial" w:cs="Times New Roman"/>
      </w:rPr>
    </w:lvl>
    <w:lvl w:ilvl="5" w:tplc="31ACE6B0">
      <w:start w:val="1"/>
      <w:numFmt w:val="bullet"/>
      <w:lvlText w:val="•"/>
      <w:lvlJc w:val="left"/>
      <w:pPr>
        <w:tabs>
          <w:tab w:val="num" w:pos="4320"/>
        </w:tabs>
        <w:ind w:left="4320" w:hanging="360"/>
      </w:pPr>
      <w:rPr>
        <w:rFonts w:hint="default" w:ascii="Arial" w:hAnsi="Arial" w:cs="Times New Roman"/>
      </w:rPr>
    </w:lvl>
    <w:lvl w:ilvl="6" w:tplc="AB685CD0">
      <w:start w:val="1"/>
      <w:numFmt w:val="bullet"/>
      <w:lvlText w:val="•"/>
      <w:lvlJc w:val="left"/>
      <w:pPr>
        <w:tabs>
          <w:tab w:val="num" w:pos="5040"/>
        </w:tabs>
        <w:ind w:left="5040" w:hanging="360"/>
      </w:pPr>
      <w:rPr>
        <w:rFonts w:hint="default" w:ascii="Arial" w:hAnsi="Arial" w:cs="Times New Roman"/>
      </w:rPr>
    </w:lvl>
    <w:lvl w:ilvl="7" w:tplc="FC002C06">
      <w:start w:val="1"/>
      <w:numFmt w:val="bullet"/>
      <w:lvlText w:val="•"/>
      <w:lvlJc w:val="left"/>
      <w:pPr>
        <w:tabs>
          <w:tab w:val="num" w:pos="5760"/>
        </w:tabs>
        <w:ind w:left="5760" w:hanging="360"/>
      </w:pPr>
      <w:rPr>
        <w:rFonts w:hint="default" w:ascii="Arial" w:hAnsi="Arial" w:cs="Times New Roman"/>
      </w:rPr>
    </w:lvl>
    <w:lvl w:ilvl="8" w:tplc="6338C1FE">
      <w:start w:val="1"/>
      <w:numFmt w:val="bullet"/>
      <w:lvlText w:val="•"/>
      <w:lvlJc w:val="left"/>
      <w:pPr>
        <w:tabs>
          <w:tab w:val="num" w:pos="6480"/>
        </w:tabs>
        <w:ind w:left="6480" w:hanging="360"/>
      </w:pPr>
      <w:rPr>
        <w:rFonts w:hint="default" w:ascii="Arial" w:hAnsi="Arial" w:cs="Times New Roman"/>
      </w:rPr>
    </w:lvl>
  </w:abstractNum>
  <w:abstractNum w:abstractNumId="19">
    <w:nsid w:val="643A5861"/>
    <w:multiLevelType w:val="hybridMultilevel"/>
    <w:tmpl w:val="5DFCE9E6"/>
    <w:lvl w:ilvl="0" w:tplc="8E086518">
      <w:start w:val="1"/>
      <w:numFmt w:val="bullet"/>
      <w:pStyle w:val="Bulletforblueiinfo"/>
      <w:lvlText w:val=""/>
      <w:lvlJc w:val="left"/>
      <w:pPr>
        <w:tabs>
          <w:tab w:val="num" w:pos="737"/>
        </w:tabs>
        <w:ind w:left="737" w:hanging="368"/>
      </w:pPr>
      <w:rPr>
        <w:rFonts w:hint="default" w:ascii="Symbol" w:hAnsi="Symbol"/>
      </w:rPr>
    </w:lvl>
    <w:lvl w:ilvl="1" w:tplc="04090003">
      <w:start w:val="1"/>
      <w:numFmt w:val="bullet"/>
      <w:lvlText w:val="o"/>
      <w:lvlJc w:val="left"/>
      <w:pPr>
        <w:tabs>
          <w:tab w:val="num" w:pos="1440"/>
        </w:tabs>
        <w:ind w:left="1440" w:hanging="360"/>
      </w:pPr>
      <w:rPr>
        <w:rFonts w:hint="default" w:ascii="Courier New" w:hAnsi="Courier New" w:cs="Times New Roman"/>
      </w:rPr>
    </w:lvl>
    <w:lvl w:ilvl="2" w:tplc="04090005">
      <w:start w:val="1"/>
      <w:numFmt w:val="bullet"/>
      <w:lvlText w:val=""/>
      <w:lvlJc w:val="left"/>
      <w:pPr>
        <w:tabs>
          <w:tab w:val="num" w:pos="2160"/>
        </w:tabs>
        <w:ind w:left="2160" w:hanging="360"/>
      </w:pPr>
      <w:rPr>
        <w:rFonts w:hint="default" w:ascii="Wingdings" w:hAnsi="Wingdings"/>
      </w:rPr>
    </w:lvl>
    <w:lvl w:ilvl="3" w:tplc="04090001">
      <w:start w:val="1"/>
      <w:numFmt w:val="bullet"/>
      <w:lvlText w:val=""/>
      <w:lvlJc w:val="left"/>
      <w:pPr>
        <w:tabs>
          <w:tab w:val="num" w:pos="2880"/>
        </w:tabs>
        <w:ind w:left="2880" w:hanging="360"/>
      </w:pPr>
      <w:rPr>
        <w:rFonts w:hint="default" w:ascii="Symbol" w:hAnsi="Symbol"/>
      </w:rPr>
    </w:lvl>
    <w:lvl w:ilvl="4" w:tplc="04090003">
      <w:start w:val="1"/>
      <w:numFmt w:val="bullet"/>
      <w:lvlText w:val="o"/>
      <w:lvlJc w:val="left"/>
      <w:pPr>
        <w:tabs>
          <w:tab w:val="num" w:pos="3600"/>
        </w:tabs>
        <w:ind w:left="3600" w:hanging="360"/>
      </w:pPr>
      <w:rPr>
        <w:rFonts w:hint="default" w:ascii="Courier New" w:hAnsi="Courier New" w:cs="Times New Roman"/>
      </w:rPr>
    </w:lvl>
    <w:lvl w:ilvl="5" w:tplc="04090005">
      <w:start w:val="1"/>
      <w:numFmt w:val="bullet"/>
      <w:lvlText w:val=""/>
      <w:lvlJc w:val="left"/>
      <w:pPr>
        <w:tabs>
          <w:tab w:val="num" w:pos="4320"/>
        </w:tabs>
        <w:ind w:left="4320" w:hanging="360"/>
      </w:pPr>
      <w:rPr>
        <w:rFonts w:hint="default" w:ascii="Wingdings" w:hAnsi="Wingdings"/>
      </w:rPr>
    </w:lvl>
    <w:lvl w:ilvl="6" w:tplc="04090001">
      <w:start w:val="1"/>
      <w:numFmt w:val="bullet"/>
      <w:lvlText w:val=""/>
      <w:lvlJc w:val="left"/>
      <w:pPr>
        <w:tabs>
          <w:tab w:val="num" w:pos="5040"/>
        </w:tabs>
        <w:ind w:left="5040" w:hanging="360"/>
      </w:pPr>
      <w:rPr>
        <w:rFonts w:hint="default" w:ascii="Symbol" w:hAnsi="Symbol"/>
      </w:rPr>
    </w:lvl>
    <w:lvl w:ilvl="7" w:tplc="04090003">
      <w:start w:val="1"/>
      <w:numFmt w:val="bullet"/>
      <w:lvlText w:val="o"/>
      <w:lvlJc w:val="left"/>
      <w:pPr>
        <w:tabs>
          <w:tab w:val="num" w:pos="5760"/>
        </w:tabs>
        <w:ind w:left="5760" w:hanging="360"/>
      </w:pPr>
      <w:rPr>
        <w:rFonts w:hint="default" w:ascii="Courier New" w:hAnsi="Courier New" w:cs="Times New Roman"/>
      </w:rPr>
    </w:lvl>
    <w:lvl w:ilvl="8" w:tplc="04090005">
      <w:start w:val="1"/>
      <w:numFmt w:val="bullet"/>
      <w:lvlText w:val=""/>
      <w:lvlJc w:val="left"/>
      <w:pPr>
        <w:tabs>
          <w:tab w:val="num" w:pos="6480"/>
        </w:tabs>
        <w:ind w:left="6480" w:hanging="360"/>
      </w:pPr>
      <w:rPr>
        <w:rFonts w:hint="default" w:ascii="Wingdings" w:hAnsi="Wingdings"/>
      </w:rPr>
    </w:lvl>
  </w:abstractNum>
  <w:abstractNum w:abstractNumId="20">
    <w:nsid w:val="692A3A69"/>
    <w:multiLevelType w:val="hybridMultilevel"/>
    <w:tmpl w:val="05DAD142"/>
    <w:lvl w:ilvl="0" w:tplc="73421F34">
      <w:start w:val="1"/>
      <w:numFmt w:val="bullet"/>
      <w:lvlText w:val="•"/>
      <w:lvlJc w:val="left"/>
      <w:pPr>
        <w:tabs>
          <w:tab w:val="num" w:pos="720"/>
        </w:tabs>
        <w:ind w:left="720" w:hanging="360"/>
      </w:pPr>
      <w:rPr>
        <w:rFonts w:hint="default" w:ascii="Arial" w:hAnsi="Arial" w:cs="Times New Roman"/>
      </w:rPr>
    </w:lvl>
    <w:lvl w:ilvl="1" w:tplc="8320F500">
      <w:start w:val="1"/>
      <w:numFmt w:val="bullet"/>
      <w:lvlText w:val="•"/>
      <w:lvlJc w:val="left"/>
      <w:pPr>
        <w:tabs>
          <w:tab w:val="num" w:pos="1440"/>
        </w:tabs>
        <w:ind w:left="1440" w:hanging="360"/>
      </w:pPr>
      <w:rPr>
        <w:rFonts w:hint="default" w:ascii="Arial" w:hAnsi="Arial" w:cs="Times New Roman"/>
      </w:rPr>
    </w:lvl>
    <w:lvl w:ilvl="2" w:tplc="8544046E">
      <w:start w:val="1"/>
      <w:numFmt w:val="bullet"/>
      <w:lvlText w:val="•"/>
      <w:lvlJc w:val="left"/>
      <w:pPr>
        <w:tabs>
          <w:tab w:val="num" w:pos="2160"/>
        </w:tabs>
        <w:ind w:left="2160" w:hanging="360"/>
      </w:pPr>
      <w:rPr>
        <w:rFonts w:hint="default" w:ascii="Arial" w:hAnsi="Arial" w:cs="Times New Roman"/>
      </w:rPr>
    </w:lvl>
    <w:lvl w:ilvl="3" w:tplc="3D8EF51A">
      <w:start w:val="1"/>
      <w:numFmt w:val="bullet"/>
      <w:lvlText w:val="•"/>
      <w:lvlJc w:val="left"/>
      <w:pPr>
        <w:tabs>
          <w:tab w:val="num" w:pos="2880"/>
        </w:tabs>
        <w:ind w:left="2880" w:hanging="360"/>
      </w:pPr>
      <w:rPr>
        <w:rFonts w:hint="default" w:ascii="Arial" w:hAnsi="Arial" w:cs="Times New Roman"/>
      </w:rPr>
    </w:lvl>
    <w:lvl w:ilvl="4" w:tplc="AEC2BFAC">
      <w:start w:val="1"/>
      <w:numFmt w:val="bullet"/>
      <w:lvlText w:val="•"/>
      <w:lvlJc w:val="left"/>
      <w:pPr>
        <w:tabs>
          <w:tab w:val="num" w:pos="3600"/>
        </w:tabs>
        <w:ind w:left="3600" w:hanging="360"/>
      </w:pPr>
      <w:rPr>
        <w:rFonts w:hint="default" w:ascii="Arial" w:hAnsi="Arial" w:cs="Times New Roman"/>
      </w:rPr>
    </w:lvl>
    <w:lvl w:ilvl="5" w:tplc="DDE2E5A6">
      <w:start w:val="1"/>
      <w:numFmt w:val="bullet"/>
      <w:lvlText w:val="•"/>
      <w:lvlJc w:val="left"/>
      <w:pPr>
        <w:tabs>
          <w:tab w:val="num" w:pos="4320"/>
        </w:tabs>
        <w:ind w:left="4320" w:hanging="360"/>
      </w:pPr>
      <w:rPr>
        <w:rFonts w:hint="default" w:ascii="Arial" w:hAnsi="Arial" w:cs="Times New Roman"/>
      </w:rPr>
    </w:lvl>
    <w:lvl w:ilvl="6" w:tplc="CBFAAEDE">
      <w:start w:val="1"/>
      <w:numFmt w:val="bullet"/>
      <w:lvlText w:val="•"/>
      <w:lvlJc w:val="left"/>
      <w:pPr>
        <w:tabs>
          <w:tab w:val="num" w:pos="5040"/>
        </w:tabs>
        <w:ind w:left="5040" w:hanging="360"/>
      </w:pPr>
      <w:rPr>
        <w:rFonts w:hint="default" w:ascii="Arial" w:hAnsi="Arial" w:cs="Times New Roman"/>
      </w:rPr>
    </w:lvl>
    <w:lvl w:ilvl="7" w:tplc="F90E4540">
      <w:start w:val="1"/>
      <w:numFmt w:val="bullet"/>
      <w:lvlText w:val="•"/>
      <w:lvlJc w:val="left"/>
      <w:pPr>
        <w:tabs>
          <w:tab w:val="num" w:pos="5760"/>
        </w:tabs>
        <w:ind w:left="5760" w:hanging="360"/>
      </w:pPr>
      <w:rPr>
        <w:rFonts w:hint="default" w:ascii="Arial" w:hAnsi="Arial" w:cs="Times New Roman"/>
      </w:rPr>
    </w:lvl>
    <w:lvl w:ilvl="8" w:tplc="2AE6386C">
      <w:start w:val="1"/>
      <w:numFmt w:val="bullet"/>
      <w:lvlText w:val="•"/>
      <w:lvlJc w:val="left"/>
      <w:pPr>
        <w:tabs>
          <w:tab w:val="num" w:pos="6480"/>
        </w:tabs>
        <w:ind w:left="6480" w:hanging="360"/>
      </w:pPr>
      <w:rPr>
        <w:rFonts w:hint="default" w:ascii="Arial" w:hAnsi="Arial" w:cs="Times New Roman"/>
      </w:rPr>
    </w:lvl>
  </w:abstractNum>
  <w:num w:numId="1">
    <w:abstractNumId w:val="16"/>
  </w:num>
  <w:num w:numId="2">
    <w:abstractNumId w:val="10"/>
  </w:num>
  <w:num w:numId="3">
    <w:abstractNumId w:val="15"/>
  </w:num>
  <w:num w:numId="4">
    <w:abstractNumId w:val="12"/>
  </w:num>
  <w:num w:numId="5">
    <w:abstractNumId w:val="8"/>
  </w:num>
  <w:num w:numId="6">
    <w:abstractNumId w:val="6"/>
  </w:num>
  <w:num w:numId="7">
    <w:abstractNumId w:val="0"/>
  </w:num>
  <w:num w:numId="8">
    <w:abstractNumId w:val="17"/>
  </w:num>
  <w:num w:numId="9">
    <w:abstractNumId w:val="2"/>
  </w:num>
  <w:num w:numId="10">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1">
    <w:abstractNumId w:val="1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2">
    <w:abstractNumId w:val="9"/>
  </w:num>
  <w:num w:numId="13">
    <w:abstractNumId w:val="1"/>
  </w:num>
  <w:num w:numId="14">
    <w:abstractNumId w:val="19"/>
  </w:num>
  <w:num w:numId="15">
    <w:abstractNumId w:val="1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6">
    <w:abstractNumId w:val="13"/>
  </w:num>
  <w:num w:numId="17">
    <w:abstractNumId w:val="18"/>
  </w:num>
  <w:num w:numId="18">
    <w:abstractNumId w:val="5"/>
  </w:num>
  <w:num w:numId="19">
    <w:abstractNumId w:val="20"/>
  </w:num>
  <w:num w:numId="20">
    <w:abstractNumId w:val="7"/>
  </w:num>
  <w:num w:numId="21">
    <w:abstractNumId w:val="3"/>
  </w:num>
  <w:num w:numId="22">
    <w:abstractNumId w:val="16"/>
    <w:lvlOverride w:ilvl="0">
      <w:startOverride w:val="1"/>
    </w:lvlOverride>
  </w:num>
  <w:num w:numId="23">
    <w:abstractNumId w:val="16"/>
    <w:lvlOverride w:ilvl="0">
      <w:startOverride w:val="5"/>
    </w:lvlOverride>
  </w:num>
  <w:num w:numId="24">
    <w:abstractNumId w:val="16"/>
    <w:lvlOverride w:ilvl="0">
      <w:startOverride w:val="6"/>
    </w:lvlOverride>
  </w:num>
  <w:num w:numId="25">
    <w:abstractNumId w:val="16"/>
    <w:lvlOverride w:ilvl="0">
      <w:startOverride w:val="8"/>
    </w:lvlOverride>
  </w:num>
  <w:num w:numId="26">
    <w:abstractNumId w:val="16"/>
    <w:lvlOverride w:ilvl="0">
      <w:startOverride w:val="9"/>
    </w:lvlOverride>
  </w:num>
  <w:num w:numId="27">
    <w:abstractNumId w:val="16"/>
    <w:lvlOverride w:ilvl="0">
      <w:startOverride w:val="10"/>
    </w:lvlOverride>
  </w:num>
  <w:num w:numId="28">
    <w:abstractNumId w:val="10"/>
    <w:lvlOverride w:ilvl="0">
      <w:startOverride w:val="1"/>
    </w:lvlOverride>
  </w:num>
  <w:num w:numId="29">
    <w:abstractNumId w:val="15"/>
    <w:lvlOverride w:ilvl="0">
      <w:startOverride w:val="1"/>
    </w:lvlOverride>
  </w:num>
  <w:num w:numId="30">
    <w:abstractNumId w:val="10"/>
    <w:lvlOverride w:ilvl="0">
      <w:startOverride w:val="2"/>
    </w:lvlOverride>
  </w:num>
  <w:num w:numId="31">
    <w:abstractNumId w:val="15"/>
    <w:lvlOverride w:ilvl="0">
      <w:startOverride w:val="1"/>
    </w:lvlOverride>
  </w:num>
  <w:num w:numId="32">
    <w:abstractNumId w:val="10"/>
    <w:lvlOverride w:ilvl="0">
      <w:startOverride w:val="3"/>
    </w:lvlOverride>
  </w:num>
  <w:num w:numId="33">
    <w:abstractNumId w:val="15"/>
    <w:lvlOverride w:ilvl="0">
      <w:startOverride w:val="1"/>
    </w:lvlOverride>
  </w:num>
  <w:num w:numId="34">
    <w:abstractNumId w:val="10"/>
    <w:lvlOverride w:ilvl="0">
      <w:startOverride w:val="4"/>
    </w:lvlOverride>
  </w:num>
  <w:num w:numId="35">
    <w:abstractNumId w:val="15"/>
    <w:lvlOverride w:ilvl="0">
      <w:startOverride w:val="1"/>
    </w:lvlOverride>
  </w:num>
  <w:num w:numId="36">
    <w:abstractNumId w:val="10"/>
    <w:lvlOverride w:ilvl="0">
      <w:startOverride w:val="5"/>
    </w:lvlOverride>
  </w:num>
  <w:num w:numId="37">
    <w:abstractNumId w:val="15"/>
    <w:lvlOverride w:ilvl="0">
      <w:startOverride w:val="1"/>
    </w:lvlOverride>
  </w:num>
  <w:num w:numId="38">
    <w:abstractNumId w:val="16"/>
    <w:lvlOverride w:ilvl="0">
      <w:startOverride w:val="12"/>
    </w:lvlOverride>
  </w:num>
  <w:num w:numId="39">
    <w:abstractNumId w:val="10"/>
    <w:lvlOverride w:ilvl="0">
      <w:startOverride w:val="1"/>
    </w:lvlOverride>
  </w:num>
  <w:num w:numId="40">
    <w:abstractNumId w:val="15"/>
    <w:lvlOverride w:ilvl="0">
      <w:startOverride w:val="1"/>
    </w:lvlOverride>
  </w:num>
  <w:num w:numId="41">
    <w:abstractNumId w:val="10"/>
    <w:lvlOverride w:ilvl="0">
      <w:startOverride w:val="4"/>
    </w:lvlOverride>
  </w:num>
  <w:num w:numId="42">
    <w:abstractNumId w:val="15"/>
    <w:lvlOverride w:ilvl="0">
      <w:startOverride w:val="1"/>
    </w:lvlOverride>
  </w:num>
  <w:num w:numId="43">
    <w:abstractNumId w:val="16"/>
    <w:lvlOverride w:ilvl="0">
      <w:startOverride w:val="13"/>
    </w:lvlOverride>
  </w:num>
  <w:num w:numId="44">
    <w:abstractNumId w:val="16"/>
    <w:lvlOverride w:ilvl="0">
      <w:startOverride w:val="14"/>
    </w:lvlOverride>
  </w:num>
  <w:num w:numId="45">
    <w:abstractNumId w:val="10"/>
    <w:lvlOverride w:ilvl="0">
      <w:startOverride w:val="1"/>
    </w:lvlOverride>
  </w:num>
  <w:num w:numId="46">
    <w:abstractNumId w:val="16"/>
    <w:lvlOverride w:ilvl="0">
      <w:startOverride w:val="15"/>
    </w:lvlOverride>
  </w:num>
  <w:num w:numId="47">
    <w:abstractNumId w:val="16"/>
    <w:lvlOverride w:ilvl="0">
      <w:startOverride w:val="16"/>
    </w:lvlOverride>
  </w:num>
  <w:num w:numId="48">
    <w:abstractNumId w:val="16"/>
    <w:lvlOverride w:ilvl="0">
      <w:startOverride w:val="18"/>
    </w:lvlOverride>
  </w:num>
  <w:num w:numId="49">
    <w:abstractNumId w:val="16"/>
    <w:lvlOverride w:ilvl="0">
      <w:startOverride w:val="24"/>
    </w:lvlOverride>
  </w:num>
  <w:num w:numId="50">
    <w:abstractNumId w:val="16"/>
    <w:lvlOverride w:ilvl="0">
      <w:startOverride w:val="25"/>
    </w:lvlOverride>
  </w:num>
  <w:num w:numId="51">
    <w:abstractNumId w:val="10"/>
    <w:lvlOverride w:ilvl="0">
      <w:startOverride w:val="1"/>
    </w:lvlOverride>
  </w:num>
  <w:num w:numId="52">
    <w:abstractNumId w:val="16"/>
    <w:lvlOverride w:ilvl="0">
      <w:startOverride w:val="26"/>
    </w:lvlOverride>
  </w:num>
  <w:num w:numId="53">
    <w:abstractNumId w:val="16"/>
    <w:lvlOverride w:ilvl="0">
      <w:startOverride w:val="32"/>
    </w:lvlOverride>
  </w:num>
  <w:num w:numId="54">
    <w:abstractNumId w:val="10"/>
    <w:lvlOverride w:ilvl="0">
      <w:startOverride w:val="1"/>
    </w:lvlOverride>
  </w:num>
  <w:num w:numId="55">
    <w:abstractNumId w:val="16"/>
    <w:lvlOverride w:ilvl="0">
      <w:startOverride w:val="34"/>
    </w:lvlOverride>
  </w:num>
  <w:num w:numId="56">
    <w:abstractNumId w:val="16"/>
    <w:lvlOverride w:ilvl="0">
      <w:startOverride w:val="35"/>
    </w:lvlOverride>
  </w:num>
  <w:num w:numId="57">
    <w:abstractNumId w:val="16"/>
    <w:lvlOverride w:ilvl="0">
      <w:startOverride w:val="36"/>
    </w:lvlOverride>
  </w:num>
  <w:num w:numId="58">
    <w:abstractNumId w:val="16"/>
    <w:lvlOverride w:ilvl="0">
      <w:startOverride w:val="38"/>
    </w:lvlOverride>
  </w:num>
  <w:num w:numId="59">
    <w:abstractNumId w:val="16"/>
    <w:lvlOverride w:ilvl="0">
      <w:startOverride w:val="39"/>
    </w:lvlOverride>
  </w:num>
  <w:num w:numId="60">
    <w:abstractNumId w:val="16"/>
    <w:lvlOverride w:ilvl="0">
      <w:startOverride w:val="40"/>
    </w:lvlOverride>
  </w:num>
  <w:num w:numId="61">
    <w:abstractNumId w:val="16"/>
    <w:lvlOverride w:ilvl="0">
      <w:startOverride w:val="41"/>
    </w:lvlOverride>
  </w:num>
  <w:num w:numId="62">
    <w:abstractNumId w:val="16"/>
    <w:lvlOverride w:ilvl="0">
      <w:startOverride w:val="42"/>
    </w:lvlOverride>
  </w:num>
  <w:num w:numId="63">
    <w:abstractNumId w:val="16"/>
    <w:lvlOverride w:ilvl="0">
      <w:startOverride w:val="43"/>
    </w:lvlOverride>
  </w:num>
  <w:num w:numId="64">
    <w:abstractNumId w:val="16"/>
    <w:lvlOverride w:ilvl="0">
      <w:startOverride w:val="44"/>
    </w:lvlOverride>
  </w:num>
  <w:num w:numId="65">
    <w:abstractNumId w:val="16"/>
    <w:lvlOverride w:ilvl="0">
      <w:startOverride w:val="48"/>
    </w:lvlOverride>
  </w:num>
  <w:num w:numId="66">
    <w:abstractNumId w:val="16"/>
    <w:lvlOverride w:ilvl="0">
      <w:startOverride w:val="49"/>
    </w:lvlOverride>
  </w:num>
  <w:num w:numId="67">
    <w:abstractNumId w:val="16"/>
    <w:lvlOverride w:ilvl="0">
      <w:startOverride w:val="51"/>
    </w:lvlOverride>
  </w:num>
  <w:num w:numId="68">
    <w:abstractNumId w:val="16"/>
    <w:lvlOverride w:ilvl="0">
      <w:startOverride w:val="52"/>
    </w:lvlOverride>
  </w:num>
  <w:num w:numId="69">
    <w:abstractNumId w:val="16"/>
    <w:lvlOverride w:ilvl="0">
      <w:startOverride w:val="53"/>
    </w:lvlOverride>
  </w:num>
  <w:num w:numId="70">
    <w:abstractNumId w:val="16"/>
    <w:lvlOverride w:ilvl="0">
      <w:startOverride w:val="54"/>
    </w:lvlOverride>
  </w:num>
  <w:num w:numId="71">
    <w:abstractNumId w:val="16"/>
    <w:lvlOverride w:ilvl="0">
      <w:startOverride w:val="56"/>
    </w:lvlOverride>
  </w:num>
  <w:num w:numId="72">
    <w:abstractNumId w:val="16"/>
    <w:lvlOverride w:ilvl="0">
      <w:startOverride w:val="57"/>
    </w:lvlOverride>
  </w:num>
  <w:num w:numId="73">
    <w:abstractNumId w:val="16"/>
    <w:lvlOverride w:ilvl="0">
      <w:startOverride w:val="63"/>
    </w:lvlOverride>
  </w:num>
  <w:num w:numId="74">
    <w:abstractNumId w:val="16"/>
    <w:lvlOverride w:ilvl="0">
      <w:startOverride w:val="64"/>
    </w:lvlOverride>
  </w:num>
  <w:num w:numId="75">
    <w:abstractNumId w:val="16"/>
    <w:lvlOverride w:ilvl="0">
      <w:startOverride w:val="66"/>
    </w:lvlOverride>
  </w:num>
  <w:num w:numId="76">
    <w:abstractNumId w:val="16"/>
    <w:lvlOverride w:ilvl="0">
      <w:startOverride w:val="67"/>
    </w:lvlOverride>
  </w:num>
  <w:num w:numId="77">
    <w:abstractNumId w:val="16"/>
    <w:lvlOverride w:ilvl="0">
      <w:startOverride w:val="72"/>
    </w:lvlOverride>
  </w:num>
  <w:num w:numId="78">
    <w:abstractNumId w:val="10"/>
    <w:lvlOverride w:ilvl="0">
      <w:startOverride w:val="1"/>
    </w:lvlOverride>
  </w:num>
  <w:num w:numId="79">
    <w:abstractNumId w:val="16"/>
    <w:lvlOverride w:ilvl="0">
      <w:startOverride w:val="73"/>
    </w:lvlOverride>
  </w:num>
  <w:num w:numId="80">
    <w:abstractNumId w:val="10"/>
    <w:lvlOverride w:ilvl="0">
      <w:startOverride w:val="1"/>
    </w:lvlOverride>
  </w:num>
  <w:num w:numId="81">
    <w:abstractNumId w:val="16"/>
    <w:lvlOverride w:ilvl="0">
      <w:startOverride w:val="75"/>
    </w:lvlOverride>
  </w:num>
  <w:num w:numId="82">
    <w:abstractNumId w:val="16"/>
    <w:lvlOverride w:ilvl="0">
      <w:startOverride w:val="76"/>
    </w:lvlOverride>
  </w:num>
  <w:num w:numId="83">
    <w:abstractNumId w:val="10"/>
    <w:lvlOverride w:ilvl="0">
      <w:startOverride w:val="1"/>
    </w:lvlOverride>
  </w:num>
  <w:num w:numId="84">
    <w:abstractNumId w:val="16"/>
    <w:lvlOverride w:ilvl="0">
      <w:startOverride w:val="78"/>
    </w:lvlOverride>
  </w:num>
  <w:num w:numId="85">
    <w:abstractNumId w:val="16"/>
    <w:lvlOverride w:ilvl="0">
      <w:startOverride w:val="88"/>
    </w:lvlOverride>
  </w:num>
  <w:num w:numId="86">
    <w:abstractNumId w:val="10"/>
    <w:lvlOverride w:ilvl="0">
      <w:startOverride w:val="1"/>
    </w:lvlOverride>
  </w:num>
  <w:num w:numId="87">
    <w:abstractNumId w:val="16"/>
    <w:lvlOverride w:ilvl="0">
      <w:startOverride w:val="90"/>
    </w:lvlOverride>
  </w:num>
  <w:num w:numId="88">
    <w:abstractNumId w:val="16"/>
    <w:lvlOverride w:ilvl="0">
      <w:startOverride w:val="96"/>
    </w:lvlOverride>
  </w:num>
  <w:num w:numId="89">
    <w:abstractNumId w:val="10"/>
    <w:lvlOverride w:ilvl="0">
      <w:startOverride w:val="1"/>
    </w:lvlOverride>
  </w:num>
  <w:num w:numId="90">
    <w:abstractNumId w:val="16"/>
    <w:lvlOverride w:ilvl="0">
      <w:startOverride w:val="100"/>
    </w:lvlOverride>
  </w:num>
  <w:num w:numId="91">
    <w:abstractNumId w:val="16"/>
    <w:lvlOverride w:ilvl="0">
      <w:startOverride w:val="102"/>
    </w:lvlOverride>
  </w:num>
  <w:num w:numId="92">
    <w:abstractNumId w:val="16"/>
    <w:lvlOverride w:ilvl="0">
      <w:startOverride w:val="103"/>
    </w:lvlOverride>
  </w:num>
  <w:num w:numId="93">
    <w:abstractNumId w:val="16"/>
    <w:lvlOverride w:ilvl="0">
      <w:startOverride w:val="104"/>
    </w:lvlOverride>
  </w:num>
  <w:num w:numId="94">
    <w:abstractNumId w:val="16"/>
    <w:lvlOverride w:ilvl="0">
      <w:startOverride w:val="105"/>
    </w:lvlOverride>
  </w:num>
  <w:num w:numId="95">
    <w:abstractNumId w:val="16"/>
    <w:lvlOverride w:ilvl="0">
      <w:startOverride w:val="107"/>
    </w:lvlOverride>
  </w:num>
  <w:num w:numId="96">
    <w:abstractNumId w:val="10"/>
    <w:lvlOverride w:ilvl="0">
      <w:startOverride w:val="1"/>
    </w:lvlOverride>
  </w:num>
  <w:num w:numId="97">
    <w:abstractNumId w:val="16"/>
    <w:lvlOverride w:ilvl="0">
      <w:startOverride w:val="108"/>
    </w:lvlOverride>
  </w:num>
  <w:num w:numId="98">
    <w:abstractNumId w:val="16"/>
    <w:lvlOverride w:ilvl="0">
      <w:startOverride w:val="109"/>
    </w:lvlOverride>
  </w:num>
  <w:num w:numId="99">
    <w:abstractNumId w:val="16"/>
    <w:lvlOverride w:ilvl="0">
      <w:startOverride w:val="110"/>
    </w:lvlOverride>
  </w:num>
  <w:num w:numId="100">
    <w:abstractNumId w:val="16"/>
    <w:lvlOverride w:ilvl="0">
      <w:startOverride w:val="111"/>
    </w:lvlOverride>
  </w:num>
  <w:num w:numId="101">
    <w:abstractNumId w:val="16"/>
    <w:lvlOverride w:ilvl="0">
      <w:startOverride w:val="117"/>
    </w:lvlOverride>
  </w:num>
  <w:num w:numId="102">
    <w:abstractNumId w:val="16"/>
    <w:lvlOverride w:ilvl="0">
      <w:startOverride w:val="121"/>
    </w:lvlOverride>
  </w:num>
  <w:num w:numId="103">
    <w:abstractNumId w:val="16"/>
    <w:lvlOverride w:ilvl="0">
      <w:startOverride w:val="122"/>
    </w:lvlOverride>
  </w:num>
  <w:num w:numId="104">
    <w:abstractNumId w:val="16"/>
    <w:lvlOverride w:ilvl="0">
      <w:startOverride w:val="124"/>
    </w:lvlOverride>
  </w:num>
  <w:num w:numId="105">
    <w:abstractNumId w:val="16"/>
    <w:lvlOverride w:ilvl="0">
      <w:startOverride w:val="137"/>
    </w:lvlOverride>
  </w:num>
  <w:num w:numId="106">
    <w:abstractNumId w:val="16"/>
    <w:lvlOverride w:ilvl="0">
      <w:startOverride w:val="141"/>
    </w:lvlOverride>
  </w:num>
  <w:num w:numId="107">
    <w:abstractNumId w:val="10"/>
    <w:lvlOverride w:ilvl="0">
      <w:startOverride w:val="1"/>
    </w:lvlOverride>
  </w:num>
  <w:num w:numId="108">
    <w:abstractNumId w:val="15"/>
    <w:lvlOverride w:ilvl="0">
      <w:startOverride w:val="1"/>
    </w:lvlOverride>
  </w:num>
  <w:num w:numId="109">
    <w:abstractNumId w:val="16"/>
    <w:lvlOverride w:ilvl="0">
      <w:startOverride w:val="145"/>
    </w:lvlOverride>
  </w:num>
  <w:num w:numId="110">
    <w:abstractNumId w:val="16"/>
    <w:lvlOverride w:ilvl="0">
      <w:startOverride w:val="146"/>
    </w:lvlOverride>
  </w:num>
  <w:num w:numId="111">
    <w:abstractNumId w:val="16"/>
    <w:lvlOverride w:ilvl="0">
      <w:startOverride w:val="151"/>
    </w:lvlOverride>
  </w:num>
  <w:num w:numId="112">
    <w:abstractNumId w:val="16"/>
    <w:lvlOverride w:ilvl="0">
      <w:startOverride w:val="153"/>
    </w:lvlOverride>
  </w:num>
  <w:num w:numId="113">
    <w:abstractNumId w:val="16"/>
    <w:lvlOverride w:ilvl="0">
      <w:startOverride w:val="157"/>
    </w:lvlOverride>
  </w:num>
  <w:num w:numId="114">
    <w:abstractNumId w:val="16"/>
    <w:lvlOverride w:ilvl="0">
      <w:startOverride w:val="159"/>
    </w:lvlOverride>
  </w:num>
  <w:num w:numId="115">
    <w:abstractNumId w:val="16"/>
    <w:lvlOverride w:ilvl="0">
      <w:startOverride w:val="162"/>
    </w:lvlOverride>
  </w:num>
  <w:num w:numId="116">
    <w:abstractNumId w:val="16"/>
    <w:lvlOverride w:ilvl="0">
      <w:startOverride w:val="165"/>
    </w:lvlOverride>
  </w:num>
  <w:num w:numId="117">
    <w:abstractNumId w:val="16"/>
    <w:lvlOverride w:ilvl="0">
      <w:startOverride w:val="167"/>
    </w:lvlOverride>
  </w:num>
  <w:num w:numId="118">
    <w:abstractNumId w:val="16"/>
    <w:lvlOverride w:ilvl="0">
      <w:startOverride w:val="171"/>
    </w:lvlOverride>
  </w:num>
  <w:num w:numId="119">
    <w:abstractNumId w:val="16"/>
    <w:lvlOverride w:ilvl="0">
      <w:startOverride w:val="174"/>
    </w:lvlOverride>
  </w:num>
  <w:num w:numId="120">
    <w:abstractNumId w:val="16"/>
    <w:lvlOverride w:ilvl="0">
      <w:startOverride w:val="176"/>
    </w:lvlOverride>
  </w:num>
  <w:num w:numId="121">
    <w:abstractNumId w:val="16"/>
    <w:lvlOverride w:ilvl="0">
      <w:startOverride w:val="178"/>
    </w:lvlOverride>
  </w:num>
  <w:num w:numId="122">
    <w:abstractNumId w:val="16"/>
    <w:lvlOverride w:ilvl="0">
      <w:startOverride w:val="179"/>
    </w:lvlOverride>
  </w:num>
  <w:num w:numId="123">
    <w:abstractNumId w:val="16"/>
    <w:lvlOverride w:ilvl="0">
      <w:startOverride w:val="181"/>
    </w:lvlOverride>
  </w:num>
  <w:num w:numId="124">
    <w:abstractNumId w:val="16"/>
    <w:lvlOverride w:ilvl="0">
      <w:startOverride w:val="182"/>
    </w:lvlOverride>
  </w:num>
  <w:num w:numId="125">
    <w:abstractNumId w:val="10"/>
    <w:lvlOverride w:ilvl="0">
      <w:startOverride w:val="1"/>
    </w:lvlOverride>
  </w:num>
  <w:num w:numId="126">
    <w:abstractNumId w:val="16"/>
    <w:lvlOverride w:ilvl="0">
      <w:startOverride w:val="183"/>
    </w:lvlOverride>
  </w:num>
  <w:numIdMacAtCleanup w:val="21"/>
</w:numbering>
</file>

<file path=word/settings.xml><?xml version="1.0" encoding="utf-8"?>
<w:settings xmlns:w="http://schemas.openxmlformats.org/wordprocessingml/2006/main" xmlns:m="http://schemas.openxmlformats.org/officeDocument/2006/math" xmlns:w14="http://schemas.microsoft.com/office/word/2010/wordml" xmlns:r="http://schemas.openxmlformats.org/officeDocument/2006/relationships" xmlns:wp="http://schemas.openxmlformats.org/drawingml/2006/wordprocessingDrawing" xmlns:a="http://schemas.openxmlformats.org/drawingml/2006/main" xmlns:wp14="http://schemas.microsoft.com/office/word/2010/wordprocessingDrawing" xmlns:w15="http://schemas.microsoft.com/office/word/2012/wordml" xmlns:mc="http://schemas.openxmlformats.org/markup-compatibility/2006" xmlns:a14="http://schemas.microsoft.com/office/drawing/2010/main" xmlns:sl="http://schemas.openxmlformats.org/schemaLibrary/2006/main" xmlns:wne="http://schemas.microsoft.com/office/word/2006/wordml" xmlns:c="http://schemas.openxmlformats.org/drawingml/2006/chart" xmlns:cdr="http://schemas.openxmlformats.org/drawingml/2006/chartDrawing" xmlns:c14="http://schemas.microsoft.com/office/drawing/2007/8/2/chart" xmlns:dgm="http://schemas.openxmlformats.org/drawingml/2006/diagram" xmlns:pic="http://schemas.openxmlformats.org/drawingml/2006/picture" xmlns:xdr="http://schemas.openxmlformats.org/drawingml/2006/spreadsheetDrawing" xmlns:dsp="http://schemas.microsoft.com/office/drawing/2008/diagram" xmlns:o="urn:schemas-microsoft-com:office:office" xmlns:v="urn:schemas-microsoft-com:vml" xmlns:xvml="urn:schemas-microsoft-com:office:excel" xmlns:w10="urn:schemas-microsoft-com:office:word" xmlns:pvml="urn:schemas-microsoft-com:office:powerpoint" xmlns:cppr="http://schemas.microsoft.com/office/2006/coverPageProps" xmlns:odx="http://opendope.org/xpaths" xmlns:odc="http://opendope.org/conditions" xmlns:odq="http://opendope.org/questions" xmlns:oda="http://opendope.org/answers" xmlns:odi="http://opendope.org/components" xmlns:odgm="http://opendope.org/SmartArt/DataHierarchy" xmlns:b="http://schemas.openxmlformats.org/officeDocument/2006/bibliography" xmlns:msink="http://schemas.microsoft.com/ink/2010/main" xmlns:cdr14="http://schemas.microsoft.com/office/drawing/2010/chartDrawing" xmlns:c15="http://schemas.microsoft.com/office/drawing/2012/chart" xmlns:cs="http://schemas.microsoft.com/office/drawing/2012/chartStyle" xmlns:ns38="http://www.w3.org/1998/Math/MathML" xmlns:ns39="http://www.w3.org/2003/InkML" xmlns:a13cmd="http://schemas.microsoft.com/office/drawing/2013/main/command" xmlns:cx="http://schemas.microsoft.com/office/drawing/2014/chartex" xmlns:c16="http://schemas.microsoft.com/office/drawing/2014/chart" xmlns:dgm1611="http://schemas.microsoft.com/office/drawing/2016/11/diagram" xmlns:c173="http://schemas.microsoft.com/office/drawing/2017/03/chart" xmlns:am3d="http://schemas.microsoft.com/office/drawing/2017/model3d" xmlns:an18="http://schemas.microsoft.com/office/drawing/2018/animation" xmlns:anam3d="http://schemas.microsoft.com/office/drawing/2018/animation/model3d" xmlns:iact="http://schemas.microsoft.com/office/powerpoint/2014/inkAction" xmlns:thm15="http://schemas.microsoft.com/office/thememl/2012/main" xmlns:wps="http://schemas.microsoft.com/office/word/2010/wordprocessingShape" xmlns:wpc="http://schemas.microsoft.com/office/word/2010/wordprocessingCanvas" xmlns:wpg="http://schemas.microsoft.com/office/word/2010/wordprocessingGroup" xmlns:w16se="http://schemas.microsoft.com/office/word/2015/wordml/symex" xmlns:w16cid="http://schemas.microsoft.com/office/word/2016/wordml/cid" xmlns:wetp="http://schemas.microsoft.com/office/webextensions/taskpanes/2010/11" xmlns:we="http://schemas.microsoft.com/office/webextensions/webextension/2010/11" xmlns:comp="http://schemas.openxmlformats.org/drawingml/2006/compatibility" xmlns:lc="http://schemas.openxmlformats.org/drawingml/2006/lockedCanvas" xmlns:dgm14="http://schemas.microsoft.com/office/drawing/2010/diagram" xmlns:a15="http://schemas.microsoft.com/office/drawing/2012/main" xmlns:pic14="http://schemas.microsoft.com/office/drawing/2010/picture" xmlns:c16ac="http://schemas.microsoft.com/office/drawing/2014/chart/ac" xmlns:a16="http://schemas.microsoft.com/office/drawing/2014/main" xmlns:a1611="http://schemas.microsoft.com/office/drawing/2016/11/main" xmlns:dgm1612="http://schemas.microsoft.com/office/drawing/2016/12/diagram" xmlns:a16svg="http://schemas.microsoft.com/office/drawing/2016/SVG/main" xmlns:adec="http://schemas.microsoft.com/office/drawing/2017/decorative" xmlns:a18hc="http://schemas.microsoft.com/office/drawing/2018/hyperlinkcolor" xmlns:wp15="http://schemas.microsoft.com/office/word/2012/wordprocessingDrawing" mc:Ignorable="">
  <w:zoom w:percent="110"/>
  <w:proofState w:spelling="clean" w:grammar="clean"/>
  <w:stylePaneFormatFilter w:val="1001"/>
  <w:stylePaneSortMethod w:val="0000"/>
  <w:documentProtection w:formatting="true" w:enforcement="false"/>
  <w:defaultTabStop w:val="720"/>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C11B7B"/>
    <w:rsid w:val="0003597A"/>
    <w:rsid w:val="00042DF8"/>
    <w:rsid w:val="00072148"/>
    <w:rsid w:val="000A5273"/>
    <w:rsid w:val="000A5625"/>
    <w:rsid w:val="000A6DFA"/>
    <w:rsid w:val="000B2FCF"/>
    <w:rsid w:val="000C1A83"/>
    <w:rsid w:val="000D1F26"/>
    <w:rsid w:val="00111EC5"/>
    <w:rsid w:val="00121EC3"/>
    <w:rsid w:val="001338EF"/>
    <w:rsid w:val="00153E6E"/>
    <w:rsid w:val="00162707"/>
    <w:rsid w:val="001751EB"/>
    <w:rsid w:val="001820C8"/>
    <w:rsid w:val="00194D5E"/>
    <w:rsid w:val="00196071"/>
    <w:rsid w:val="001A3504"/>
    <w:rsid w:val="001B5128"/>
    <w:rsid w:val="001B7A55"/>
    <w:rsid w:val="001C3ADC"/>
    <w:rsid w:val="001C6E19"/>
    <w:rsid w:val="001D4762"/>
    <w:rsid w:val="001E75B2"/>
    <w:rsid w:val="00201CA2"/>
    <w:rsid w:val="00217987"/>
    <w:rsid w:val="002316E1"/>
    <w:rsid w:val="00251EE4"/>
    <w:rsid w:val="002541A8"/>
    <w:rsid w:val="00266EE1"/>
    <w:rsid w:val="00277342"/>
    <w:rsid w:val="002813BA"/>
    <w:rsid w:val="00287CB0"/>
    <w:rsid w:val="00292360"/>
    <w:rsid w:val="002A0321"/>
    <w:rsid w:val="002B5896"/>
    <w:rsid w:val="002D6852"/>
    <w:rsid w:val="00326903"/>
    <w:rsid w:val="00370C13"/>
    <w:rsid w:val="00372DFF"/>
    <w:rsid w:val="00375B64"/>
    <w:rsid w:val="00392276"/>
    <w:rsid w:val="003C07B8"/>
    <w:rsid w:val="003C2324"/>
    <w:rsid w:val="003C5ECC"/>
    <w:rsid w:val="003E2F29"/>
    <w:rsid w:val="003E7136"/>
    <w:rsid w:val="003F31CE"/>
    <w:rsid w:val="0041314F"/>
    <w:rsid w:val="00455FA7"/>
    <w:rsid w:val="00474412"/>
    <w:rsid w:val="004913C9"/>
    <w:rsid w:val="004930AF"/>
    <w:rsid w:val="0049645A"/>
    <w:rsid w:val="004967FE"/>
    <w:rsid w:val="004A71FA"/>
    <w:rsid w:val="004C5062"/>
    <w:rsid w:val="004D5416"/>
    <w:rsid w:val="005302CC"/>
    <w:rsid w:val="005332AB"/>
    <w:rsid w:val="00542268"/>
    <w:rsid w:val="00546295"/>
    <w:rsid w:val="00555D49"/>
    <w:rsid w:val="00575582"/>
    <w:rsid w:val="00575FAB"/>
    <w:rsid w:val="005B5E79"/>
    <w:rsid w:val="005D42DF"/>
    <w:rsid w:val="00642328"/>
    <w:rsid w:val="00644A82"/>
    <w:rsid w:val="006709AA"/>
    <w:rsid w:val="00676B35"/>
    <w:rsid w:val="00677778"/>
    <w:rsid w:val="00680374"/>
    <w:rsid w:val="006A32FB"/>
    <w:rsid w:val="006A4211"/>
    <w:rsid w:val="006D3721"/>
    <w:rsid w:val="006E0C28"/>
    <w:rsid w:val="006E7434"/>
    <w:rsid w:val="00711F07"/>
    <w:rsid w:val="00720C07"/>
    <w:rsid w:val="007360E8"/>
    <w:rsid w:val="007403DF"/>
    <w:rsid w:val="00770D05"/>
    <w:rsid w:val="00781479"/>
    <w:rsid w:val="00796C0B"/>
    <w:rsid w:val="007B2534"/>
    <w:rsid w:val="007E28FE"/>
    <w:rsid w:val="007F4A55"/>
    <w:rsid w:val="008116B4"/>
    <w:rsid w:val="0081465C"/>
    <w:rsid w:val="00820AFE"/>
    <w:rsid w:val="00822024"/>
    <w:rsid w:val="00831DA1"/>
    <w:rsid w:val="00837FFD"/>
    <w:rsid w:val="00856777"/>
    <w:rsid w:val="008648A1"/>
    <w:rsid w:val="00873086"/>
    <w:rsid w:val="00882F5B"/>
    <w:rsid w:val="008942E1"/>
    <w:rsid w:val="008A0343"/>
    <w:rsid w:val="008D401E"/>
    <w:rsid w:val="008E0F12"/>
    <w:rsid w:val="008E4DC4"/>
    <w:rsid w:val="008F3D40"/>
    <w:rsid w:val="00904372"/>
    <w:rsid w:val="00931AD2"/>
    <w:rsid w:val="00934F67"/>
    <w:rsid w:val="0094336B"/>
    <w:rsid w:val="009459F3"/>
    <w:rsid w:val="0098476B"/>
    <w:rsid w:val="00996CC0"/>
    <w:rsid w:val="009B29A0"/>
    <w:rsid w:val="009C6388"/>
    <w:rsid w:val="009C744F"/>
    <w:rsid w:val="009F0F22"/>
    <w:rsid w:val="00A125DF"/>
    <w:rsid w:val="00A2002E"/>
    <w:rsid w:val="00A345A3"/>
    <w:rsid w:val="00A50595"/>
    <w:rsid w:val="00A666D2"/>
    <w:rsid w:val="00A742BC"/>
    <w:rsid w:val="00A7789C"/>
    <w:rsid w:val="00AC2B81"/>
    <w:rsid w:val="00AC41BF"/>
    <w:rsid w:val="00AE0713"/>
    <w:rsid w:val="00AE6B34"/>
    <w:rsid w:val="00AF2480"/>
    <w:rsid w:val="00B006AC"/>
    <w:rsid w:val="00B0201F"/>
    <w:rsid w:val="00B078D6"/>
    <w:rsid w:val="00B33ABF"/>
    <w:rsid w:val="00B57BBB"/>
    <w:rsid w:val="00B60310"/>
    <w:rsid w:val="00B73C96"/>
    <w:rsid w:val="00B74D80"/>
    <w:rsid w:val="00B914EB"/>
    <w:rsid w:val="00BC3E3E"/>
    <w:rsid w:val="00BF46E1"/>
    <w:rsid w:val="00C11B7B"/>
    <w:rsid w:val="00C13AF5"/>
    <w:rsid w:val="00C27F1D"/>
    <w:rsid w:val="00C40A7E"/>
    <w:rsid w:val="00C41222"/>
    <w:rsid w:val="00C45B9A"/>
    <w:rsid w:val="00C55929"/>
    <w:rsid w:val="00C60864"/>
    <w:rsid w:val="00C6655F"/>
    <w:rsid w:val="00C72D08"/>
    <w:rsid w:val="00C746C8"/>
    <w:rsid w:val="00C9448F"/>
    <w:rsid w:val="00CC23D0"/>
    <w:rsid w:val="00CD6864"/>
    <w:rsid w:val="00CF78E7"/>
    <w:rsid w:val="00D029A0"/>
    <w:rsid w:val="00D149D0"/>
    <w:rsid w:val="00D32E73"/>
    <w:rsid w:val="00D37BAC"/>
    <w:rsid w:val="00D82789"/>
    <w:rsid w:val="00D93D6E"/>
    <w:rsid w:val="00DA03B8"/>
    <w:rsid w:val="00DA4CFB"/>
    <w:rsid w:val="00DA6160"/>
    <w:rsid w:val="00DD45C9"/>
    <w:rsid w:val="00DE3552"/>
    <w:rsid w:val="00DF54D0"/>
    <w:rsid w:val="00E101FF"/>
    <w:rsid w:val="00E1232E"/>
    <w:rsid w:val="00E20610"/>
    <w:rsid w:val="00E20C5D"/>
    <w:rsid w:val="00E4356F"/>
    <w:rsid w:val="00E447C7"/>
    <w:rsid w:val="00E57842"/>
    <w:rsid w:val="00E605E5"/>
    <w:rsid w:val="00E827DB"/>
    <w:rsid w:val="00EB2D93"/>
    <w:rsid w:val="00ED3424"/>
    <w:rsid w:val="00ED5DE9"/>
    <w:rsid w:val="00EE61A9"/>
    <w:rsid w:val="00EF2FE1"/>
    <w:rsid w:val="00EF40A6"/>
    <w:rsid w:val="00EF4519"/>
    <w:rsid w:val="00F11B42"/>
    <w:rsid w:val="00F155CF"/>
    <w:rsid w:val="00F22B5D"/>
    <w:rsid w:val="00F36D30"/>
    <w:rsid w:val="00F52FDE"/>
    <w:rsid w:val="00F65F85"/>
    <w:rsid w:val="00F82171"/>
    <w:rsid w:val="00F822F4"/>
    <w:rsid w:val="00F82F2E"/>
    <w:rsid w:val="00F858CF"/>
    <w:rsid w:val="00F92C9B"/>
    <w:rsid w:val="00F9716D"/>
    <w:rsid w:val="00FB03B7"/>
    <w:rsid w:val="00FB528A"/>
    <w:rsid w:val="00FE376B"/>
    <w:rsid w:val="00FF0BFE"/>
  </w:rsids>
  <m:mathPr>
    <m:mathFont m:val="Cambria Math"/>
    <m:brkBin m:val="before"/>
    <m:brkBinSub m:val="--"/>
    <m:smallFrac m:val="0"/>
    <m:dispDef/>
    <m:lMargin m:val="0"/>
    <m:rMargin m:val="0"/>
    <m:defJc m:val="centerGroup"/>
    <m:wrapIndent m:val="1440"/>
    <m:intLim m:val="subSup"/>
    <m:naryLim m:val="undOvr"/>
  </m:mathPr>
  <w:themeFontLang w:val="en-AU"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spidmax="1026" v:ext="edit"/>
    <o:shapelayout v:ext="edit">
      <o:idmap data="1" v:ext="edit"/>
    </o:shapelayout>
  </w:shapeDefaults>
  <w:decimalSymbol w:val="."/>
  <w:listSeparator w:val=","/>
</w:settings>
</file>

<file path=word/styles.xml><?xml version="1.0" encoding="utf-8"?>
<w:styles xmlns:w="http://schemas.openxmlformats.org/wordprocessingml/2006/main" xmlns:m="http://schemas.openxmlformats.org/officeDocument/2006/math" xmlns:w14="http://schemas.microsoft.com/office/word/2010/wordml" xmlns:r="http://schemas.openxmlformats.org/officeDocument/2006/relationships" xmlns:wp="http://schemas.openxmlformats.org/drawingml/2006/wordprocessingDrawing" xmlns:a="http://schemas.openxmlformats.org/drawingml/2006/main" xmlns:wp14="http://schemas.microsoft.com/office/word/2010/wordprocessingDrawing" xmlns:w15="http://schemas.microsoft.com/office/word/2012/wordml" xmlns:mc="http://schemas.openxmlformats.org/markup-compatibility/2006" xmlns:a14="http://schemas.microsoft.com/office/drawing/2010/main" xmlns:sl="http://schemas.openxmlformats.org/schemaLibrary/2006/main" xmlns:wne="http://schemas.microsoft.com/office/word/2006/wordml" xmlns:c="http://schemas.openxmlformats.org/drawingml/2006/chart" xmlns:cdr="http://schemas.openxmlformats.org/drawingml/2006/chartDrawing" xmlns:c14="http://schemas.microsoft.com/office/drawing/2007/8/2/chart" xmlns:dgm="http://schemas.openxmlformats.org/drawingml/2006/diagram" xmlns:pic="http://schemas.openxmlformats.org/drawingml/2006/picture" xmlns:xdr="http://schemas.openxmlformats.org/drawingml/2006/spreadsheetDrawing" xmlns:dsp="http://schemas.microsoft.com/office/drawing/2008/diagram" xmlns:o="urn:schemas-microsoft-com:office:office" xmlns:v="urn:schemas-microsoft-com:vml" xmlns:xvml="urn:schemas-microsoft-com:office:excel" xmlns:w10="urn:schemas-microsoft-com:office:word" xmlns:pvml="urn:schemas-microsoft-com:office:powerpoint" xmlns:cppr="http://schemas.microsoft.com/office/2006/coverPageProps" xmlns:odx="http://opendope.org/xpaths" xmlns:odc="http://opendope.org/conditions" xmlns:odq="http://opendope.org/questions" xmlns:oda="http://opendope.org/answers" xmlns:odi="http://opendope.org/components" xmlns:odgm="http://opendope.org/SmartArt/DataHierarchy" xmlns:b="http://schemas.openxmlformats.org/officeDocument/2006/bibliography" xmlns:msink="http://schemas.microsoft.com/ink/2010/main" xmlns:cdr14="http://schemas.microsoft.com/office/drawing/2010/chartDrawing" xmlns:c15="http://schemas.microsoft.com/office/drawing/2012/chart" xmlns:cs="http://schemas.microsoft.com/office/drawing/2012/chartStyle" xmlns:ns38="http://www.w3.org/1998/Math/MathML" xmlns:ns39="http://www.w3.org/2003/InkML" xmlns:a13cmd="http://schemas.microsoft.com/office/drawing/2013/main/command" xmlns:cx="http://schemas.microsoft.com/office/drawing/2014/chartex" xmlns:c16="http://schemas.microsoft.com/office/drawing/2014/chart" xmlns:dgm1611="http://schemas.microsoft.com/office/drawing/2016/11/diagram" xmlns:c173="http://schemas.microsoft.com/office/drawing/2017/03/chart" xmlns:am3d="http://schemas.microsoft.com/office/drawing/2017/model3d" xmlns:an18="http://schemas.microsoft.com/office/drawing/2018/animation" xmlns:anam3d="http://schemas.microsoft.com/office/drawing/2018/animation/model3d" xmlns:iact="http://schemas.microsoft.com/office/powerpoint/2014/inkAction" xmlns:thm15="http://schemas.microsoft.com/office/thememl/2012/main" xmlns:wps="http://schemas.microsoft.com/office/word/2010/wordprocessingShape" xmlns:wpc="http://schemas.microsoft.com/office/word/2010/wordprocessingCanvas" xmlns:wpg="http://schemas.microsoft.com/office/word/2010/wordprocessingGroup" xmlns:w16se="http://schemas.microsoft.com/office/word/2015/wordml/symex" xmlns:w16cid="http://schemas.microsoft.com/office/word/2016/wordml/cid" xmlns:wetp="http://schemas.microsoft.com/office/webextensions/taskpanes/2010/11" xmlns:we="http://schemas.microsoft.com/office/webextensions/webextension/2010/11" xmlns:comp="http://schemas.openxmlformats.org/drawingml/2006/compatibility" xmlns:lc="http://schemas.openxmlformats.org/drawingml/2006/lockedCanvas" xmlns:dgm14="http://schemas.microsoft.com/office/drawing/2010/diagram" xmlns:a15="http://schemas.microsoft.com/office/drawing/2012/main" xmlns:pic14="http://schemas.microsoft.com/office/drawing/2010/picture" xmlns:c16ac="http://schemas.microsoft.com/office/drawing/2014/chart/ac" xmlns:a16="http://schemas.microsoft.com/office/drawing/2014/main" xmlns:a1611="http://schemas.microsoft.com/office/drawing/2016/11/main" xmlns:dgm1612="http://schemas.microsoft.com/office/drawing/2016/12/diagram" xmlns:a16svg="http://schemas.microsoft.com/office/drawing/2016/SVG/main" xmlns:adec="http://schemas.microsoft.com/office/drawing/2017/decorative" xmlns:a18hc="http://schemas.microsoft.com/office/drawing/2018/hyperlinkcolor" xmlns:wp15="http://schemas.microsoft.com/office/word/2012/wordprocessingDrawing" mc:Ignorable="w14">
  <w:docDefaults>
    <w:rPrDefault>
      <w:rPr>
        <w:rFonts w:ascii="Arial" w:hAnsi="Arial" w:eastAsia="Calibri" w:cs="Times New Roman"/>
        <w:sz w:val="24"/>
        <w:szCs w:val="24"/>
        <w:lang w:val="en-AU" w:eastAsia="en-AU" w:bidi="ar-SA"/>
      </w:rPr>
    </w:rPrDefault>
    <w:pPrDefault/>
  </w:docDefaults>
  <w:latentStyles w:defLockedState="true" w:defUIPriority="99" w:defSemiHidden="true" w:defUnhideWhenUsed="true" w:defQFormat="false" w:count="267">
    <w:lsdException w:name="Normal" w:locked="false" w:uiPriority="0" w:semiHidden="false" w:unhideWhenUsed="false"/>
    <w:lsdException w:name="heading 1" w:locked="false" w:uiPriority="0" w:semiHidden="false" w:unhideWhenUsed="false" w:qFormat="true"/>
    <w:lsdException w:name="heading 2" w:locked="false" w:uiPriority="0" w:qFormat="true"/>
    <w:lsdException w:name="heading 3" w:locked="false" w:uiPriority="0" w:qFormat="true"/>
    <w:lsdException w:name="heading 4" w:uiPriority="0" w:qFormat="true"/>
    <w:lsdException w:name="heading 5" w:locked="false" w:uiPriority="0" w:qFormat="true"/>
    <w:lsdException w:name="heading 6" w:uiPriority="0" w:qFormat="true"/>
    <w:lsdException w:name="heading 7" w:qFormat="true"/>
    <w:lsdException w:name="heading 8" w:qFormat="true"/>
    <w:lsdException w:name="heading 9" w:qFormat="true"/>
    <w:lsdException w:name="toc 1" w:uiPriority="39" w:qFormat="true"/>
    <w:lsdException w:name="toc 2" w:uiPriority="39" w:qFormat="true"/>
    <w:lsdException w:name="toc 3" w:uiPriority="39" w:qFormat="true"/>
    <w:lsdException w:name="toc 4" w:uiPriority="39"/>
    <w:lsdException w:name="toc 5" w:uiPriority="39"/>
    <w:lsdException w:name="toc 6" w:uiPriority="39"/>
    <w:lsdException w:name="toc 7" w:uiPriority="39"/>
    <w:lsdException w:name="toc 8" w:uiPriority="39"/>
    <w:lsdException w:name="toc 9" w:uiPriority="39"/>
    <w:lsdException w:name="caption" w:qFormat="true"/>
    <w:lsdException w:name="annotation reference" w:uiPriority="0"/>
    <w:lsdException w:name="Title" w:uiPriority="10" w:unhideWhenUsed="false" w:qFormat="true"/>
    <w:lsdException w:name="Default Paragraph Font" w:locked="false" w:uiPriority="1"/>
    <w:lsdException w:name="Body Text" w:locked="false" w:uiPriority="0"/>
    <w:lsdException w:name="Body Text Indent" w:locked="false"/>
    <w:lsdException w:name="Subtitle" w:uiPriority="11" w:unhideWhenUsed="false" w:qFormat="true"/>
    <w:lsdException w:name="Body Text First Indent" w:locked="false"/>
    <w:lsdException w:name="Body Text First Indent 2" w:locked="false"/>
    <w:lsdException w:name="Body Text 2" w:locked="false"/>
    <w:lsdException w:name="Body Text 3" w:locked="false"/>
    <w:lsdException w:name="FollowedHyperlink" w:uiPriority="0"/>
    <w:lsdException w:name="Strong" w:locked="false" w:uiPriority="22" w:unhideWhenUsed="false" w:qFormat="true"/>
    <w:lsdException w:name="Emphasis" w:uiPriority="20" w:unhideWhenUsed="false" w:qFormat="true"/>
    <w:lsdException w:name="HTML Top of Form" w:locked="false"/>
    <w:lsdException w:name="HTML Bottom of Form" w:locked="false"/>
    <w:lsdException w:name="Normal Table" w:locked="false"/>
    <w:lsdException w:name="No List" w:locked="false"/>
    <w:lsdException w:name="Balloon Text" w:locked="false"/>
    <w:lsdException w:name="Table Grid" w:locked="false" w:uiPriority="59" w:semiHidden="false" w:unhideWhenUsed="false"/>
    <w:lsdException w:name="Placeholder Text" w:locked="false" w:unhideWhenUsed="false"/>
    <w:lsdException w:name="No Spacing" w:uiPriority="1" w:unhideWhenUsed="false" w:qFormat="true"/>
    <w:lsdException w:name="Light Shading" w:uiPriority="60" w:semiHidden="false" w:unhideWhenUsed="false"/>
    <w:lsdException w:name="Light List" w:uiPriority="61" w:semiHidden="false" w:unhideWhenUsed="false"/>
    <w:lsdException w:name="Light Grid" w:uiPriority="62" w:semiHidden="false" w:unhideWhenUsed="false"/>
    <w:lsdException w:name="Medium Shading 1" w:uiPriority="63" w:semiHidden="false" w:unhideWhenUsed="false"/>
    <w:lsdException w:name="Medium Shading 2" w:uiPriority="64" w:semiHidden="false" w:unhideWhenUsed="false"/>
    <w:lsdException w:name="Medium List 1" w:uiPriority="65" w:semiHidden="false" w:unhideWhenUsed="false"/>
    <w:lsdException w:name="Medium List 2" w:uiPriority="66" w:semiHidden="false" w:unhideWhenUsed="false"/>
    <w:lsdException w:name="Medium Grid 1" w:uiPriority="67" w:semiHidden="false" w:unhideWhenUsed="false"/>
    <w:lsdException w:name="Medium Grid 2" w:uiPriority="68" w:semiHidden="false" w:unhideWhenUsed="false"/>
    <w:lsdException w:name="Medium Grid 3" w:uiPriority="69" w:semiHidden="false" w:unhideWhenUsed="false"/>
    <w:lsdException w:name="Dark List" w:uiPriority="70" w:semiHidden="false" w:unhideWhenUsed="false"/>
    <w:lsdException w:name="Colorful Shading" w:uiPriority="71" w:semiHidden="false" w:unhideWhenUsed="false"/>
    <w:lsdException w:name="Colorful List" w:uiPriority="72" w:semiHidden="false" w:unhideWhenUsed="false"/>
    <w:lsdException w:name="Colorful Grid" w:uiPriority="73" w:semiHidden="false" w:unhideWhenUsed="false"/>
    <w:lsdException w:name="Light Shading Accent 1" w:uiPriority="60" w:semiHidden="false" w:unhideWhenUsed="false"/>
    <w:lsdException w:name="Light List Accent 1" w:uiPriority="61" w:semiHidden="false" w:unhideWhenUsed="false"/>
    <w:lsdException w:name="Light Grid Accent 1" w:uiPriority="62" w:semiHidden="false" w:unhideWhenUsed="false"/>
    <w:lsdException w:name="Medium Shading 1 Accent 1" w:uiPriority="63" w:semiHidden="false" w:unhideWhenUsed="false"/>
    <w:lsdException w:name="Medium Shading 2 Accent 1" w:uiPriority="64" w:semiHidden="false" w:unhideWhenUsed="false"/>
    <w:lsdException w:name="Medium List 1 Accent 1" w:uiPriority="65" w:semiHidden="false" w:unhideWhenUsed="false"/>
    <w:lsdException w:name="Revision" w:locked="false" w:unhideWhenUsed="false"/>
    <w:lsdException w:name="List Paragraph" w:uiPriority="34" w:unhideWhenUsed="false" w:qFormat="true"/>
    <w:lsdException w:name="Quote" w:uiPriority="29" w:unhideWhenUsed="false" w:qFormat="true"/>
    <w:lsdException w:name="Intense Quote" w:uiPriority="30" w:unhideWhenUsed="false" w:qFormat="true"/>
    <w:lsdException w:name="Medium List 2 Accent 1" w:uiPriority="66" w:semiHidden="false" w:unhideWhenUsed="false"/>
    <w:lsdException w:name="Medium Grid 1 Accent 1" w:uiPriority="67" w:semiHidden="false" w:unhideWhenUsed="false"/>
    <w:lsdException w:name="Medium Grid 2 Accent 1" w:uiPriority="68" w:semiHidden="false" w:unhideWhenUsed="false"/>
    <w:lsdException w:name="Medium Grid 3 Accent 1" w:uiPriority="69" w:semiHidden="false" w:unhideWhenUsed="false"/>
    <w:lsdException w:name="Dark List Accent 1" w:uiPriority="70" w:semiHidden="false" w:unhideWhenUsed="false"/>
    <w:lsdException w:name="Colorful Shading Accent 1" w:uiPriority="71" w:semiHidden="false" w:unhideWhenUsed="false"/>
    <w:lsdException w:name="Colorful List Accent 1" w:uiPriority="72" w:semiHidden="false" w:unhideWhenUsed="false"/>
    <w:lsdException w:name="Colorful Grid Accent 1" w:uiPriority="73" w:semiHidden="false" w:unhideWhenUsed="false"/>
    <w:lsdException w:name="Light Shading Accent 2" w:uiPriority="60" w:semiHidden="false" w:unhideWhenUsed="false"/>
    <w:lsdException w:name="Light List Accent 2" w:uiPriority="61" w:semiHidden="false" w:unhideWhenUsed="false"/>
    <w:lsdException w:name="Light Grid Accent 2" w:uiPriority="62" w:semiHidden="false" w:unhideWhenUsed="false"/>
    <w:lsdException w:name="Medium Shading 1 Accent 2" w:uiPriority="63" w:semiHidden="false" w:unhideWhenUsed="false"/>
    <w:lsdException w:name="Medium Shading 2 Accent 2" w:uiPriority="64" w:semiHidden="false" w:unhideWhenUsed="false"/>
    <w:lsdException w:name="Medium List 1 Accent 2" w:uiPriority="65" w:semiHidden="false" w:unhideWhenUsed="false"/>
    <w:lsdException w:name="Medium List 2 Accent 2" w:uiPriority="66" w:semiHidden="false" w:unhideWhenUsed="false"/>
    <w:lsdException w:name="Medium Grid 1 Accent 2" w:uiPriority="67" w:semiHidden="false" w:unhideWhenUsed="false"/>
    <w:lsdException w:name="Medium Grid 2 Accent 2" w:uiPriority="68" w:semiHidden="false" w:unhideWhenUsed="false"/>
    <w:lsdException w:name="Medium Grid 3 Accent 2" w:uiPriority="69" w:semiHidden="false" w:unhideWhenUsed="false"/>
    <w:lsdException w:name="Dark List Accent 2" w:uiPriority="70" w:semiHidden="false" w:unhideWhenUsed="false"/>
    <w:lsdException w:name="Colorful Shading Accent 2" w:uiPriority="71" w:semiHidden="false" w:unhideWhenUsed="false"/>
    <w:lsdException w:name="Colorful List Accent 2" w:uiPriority="72" w:semiHidden="false" w:unhideWhenUsed="false"/>
    <w:lsdException w:name="Colorful Grid Accent 2" w:uiPriority="73" w:semiHidden="false" w:unhideWhenUsed="false"/>
    <w:lsdException w:name="Light Shading Accent 3" w:uiPriority="60" w:semiHidden="false" w:unhideWhenUsed="false"/>
    <w:lsdException w:name="Light List Accent 3" w:uiPriority="61" w:semiHidden="false" w:unhideWhenUsed="false"/>
    <w:lsdException w:name="Light Grid Accent 3" w:uiPriority="62" w:semiHidden="false" w:unhideWhenUsed="false"/>
    <w:lsdException w:name="Medium Shading 1 Accent 3" w:uiPriority="63" w:semiHidden="false" w:unhideWhenUsed="false"/>
    <w:lsdException w:name="Medium Shading 2 Accent 3" w:uiPriority="64" w:semiHidden="false" w:unhideWhenUsed="false"/>
    <w:lsdException w:name="Medium List 1 Accent 3" w:uiPriority="65" w:semiHidden="false" w:unhideWhenUsed="false"/>
    <w:lsdException w:name="Medium List 2 Accent 3" w:uiPriority="66" w:semiHidden="false" w:unhideWhenUsed="false"/>
    <w:lsdException w:name="Medium Grid 1 Accent 3" w:uiPriority="67" w:semiHidden="false" w:unhideWhenUsed="false"/>
    <w:lsdException w:name="Medium Grid 2 Accent 3" w:uiPriority="68" w:semiHidden="false" w:unhideWhenUsed="false"/>
    <w:lsdException w:name="Medium Grid 3 Accent 3" w:uiPriority="69" w:semiHidden="false" w:unhideWhenUsed="false"/>
    <w:lsdException w:name="Dark List Accent 3" w:uiPriority="70" w:semiHidden="false" w:unhideWhenUsed="false"/>
    <w:lsdException w:name="Colorful Shading Accent 3" w:uiPriority="71" w:semiHidden="false" w:unhideWhenUsed="false"/>
    <w:lsdException w:name="Colorful List Accent 3" w:uiPriority="72" w:semiHidden="false" w:unhideWhenUsed="false"/>
    <w:lsdException w:name="Colorful Grid Accent 3" w:uiPriority="73" w:semiHidden="false" w:unhideWhenUsed="false"/>
    <w:lsdException w:name="Light Shading Accent 4" w:uiPriority="60" w:semiHidden="false" w:unhideWhenUsed="false"/>
    <w:lsdException w:name="Light List Accent 4" w:uiPriority="61" w:semiHidden="false" w:unhideWhenUsed="false"/>
    <w:lsdException w:name="Light Grid Accent 4" w:uiPriority="62" w:semiHidden="false" w:unhideWhenUsed="false"/>
    <w:lsdException w:name="Medium Shading 1 Accent 4" w:uiPriority="63" w:semiHidden="false" w:unhideWhenUsed="false"/>
    <w:lsdException w:name="Medium Shading 2 Accent 4" w:uiPriority="64" w:semiHidden="false" w:unhideWhenUsed="false"/>
    <w:lsdException w:name="Medium List 1 Accent 4" w:uiPriority="65" w:semiHidden="false" w:unhideWhenUsed="false"/>
    <w:lsdException w:name="Medium List 2 Accent 4" w:uiPriority="66" w:semiHidden="false" w:unhideWhenUsed="false"/>
    <w:lsdException w:name="Medium Grid 1 Accent 4" w:uiPriority="67" w:semiHidden="false" w:unhideWhenUsed="false"/>
    <w:lsdException w:name="Medium Grid 2 Accent 4" w:uiPriority="68" w:semiHidden="false" w:unhideWhenUsed="false"/>
    <w:lsdException w:name="Medium Grid 3 Accent 4" w:uiPriority="69" w:semiHidden="false" w:unhideWhenUsed="false"/>
    <w:lsdException w:name="Dark List Accent 4" w:uiPriority="70" w:semiHidden="false" w:unhideWhenUsed="false"/>
    <w:lsdException w:name="Colorful Shading Accent 4" w:uiPriority="71" w:semiHidden="false" w:unhideWhenUsed="false"/>
    <w:lsdException w:name="Colorful List Accent 4" w:uiPriority="72" w:semiHidden="false" w:unhideWhenUsed="false"/>
    <w:lsdException w:name="Colorful Grid Accent 4" w:uiPriority="73" w:semiHidden="false" w:unhideWhenUsed="false"/>
    <w:lsdException w:name="Light Shading Accent 5" w:uiPriority="60" w:semiHidden="false" w:unhideWhenUsed="false"/>
    <w:lsdException w:name="Light List Accent 5" w:uiPriority="61" w:semiHidden="false" w:unhideWhenUsed="false"/>
    <w:lsdException w:name="Light Grid Accent 5" w:uiPriority="62" w:semiHidden="false" w:unhideWhenUsed="false"/>
    <w:lsdException w:name="Medium Shading 1 Accent 5" w:uiPriority="63" w:semiHidden="false" w:unhideWhenUsed="false"/>
    <w:lsdException w:name="Medium Shading 2 Accent 5" w:uiPriority="64" w:semiHidden="false" w:unhideWhenUsed="false"/>
    <w:lsdException w:name="Medium List 1 Accent 5" w:uiPriority="65" w:semiHidden="false" w:unhideWhenUsed="false"/>
    <w:lsdException w:name="Medium List 2 Accent 5" w:uiPriority="66" w:semiHidden="false" w:unhideWhenUsed="false"/>
    <w:lsdException w:name="Medium Grid 1 Accent 5" w:uiPriority="67" w:semiHidden="false" w:unhideWhenUsed="false"/>
    <w:lsdException w:name="Medium Grid 2 Accent 5" w:uiPriority="68" w:semiHidden="false" w:unhideWhenUsed="false"/>
    <w:lsdException w:name="Medium Grid 3 Accent 5" w:uiPriority="69" w:semiHidden="false" w:unhideWhenUsed="false"/>
    <w:lsdException w:name="Dark List Accent 5" w:uiPriority="70" w:semiHidden="false" w:unhideWhenUsed="false"/>
    <w:lsdException w:name="Colorful Shading Accent 5" w:uiPriority="71" w:semiHidden="false" w:unhideWhenUsed="false"/>
    <w:lsdException w:name="Colorful List Accent 5" w:uiPriority="72" w:semiHidden="false" w:unhideWhenUsed="false"/>
    <w:lsdException w:name="Colorful Grid Accent 5" w:uiPriority="73" w:semiHidden="false" w:unhideWhenUsed="false"/>
    <w:lsdException w:name="Light Shading Accent 6" w:uiPriority="60" w:semiHidden="false" w:unhideWhenUsed="false"/>
    <w:lsdException w:name="Light List Accent 6" w:uiPriority="61" w:semiHidden="false" w:unhideWhenUsed="false"/>
    <w:lsdException w:name="Light Grid Accent 6" w:uiPriority="62" w:semiHidden="false" w:unhideWhenUsed="false"/>
    <w:lsdException w:name="Medium Shading 1 Accent 6" w:uiPriority="63" w:semiHidden="false" w:unhideWhenUsed="false"/>
    <w:lsdException w:name="Medium Shading 2 Accent 6" w:uiPriority="64" w:semiHidden="false" w:unhideWhenUsed="false"/>
    <w:lsdException w:name="Medium List 1 Accent 6" w:uiPriority="65" w:semiHidden="false" w:unhideWhenUsed="false"/>
    <w:lsdException w:name="Medium List 2 Accent 6" w:uiPriority="66" w:semiHidden="false" w:unhideWhenUsed="false"/>
    <w:lsdException w:name="Medium Grid 1 Accent 6" w:uiPriority="67" w:semiHidden="false" w:unhideWhenUsed="false"/>
    <w:lsdException w:name="Medium Grid 2 Accent 6" w:uiPriority="68" w:semiHidden="false" w:unhideWhenUsed="false"/>
    <w:lsdException w:name="Medium Grid 3 Accent 6" w:uiPriority="69" w:semiHidden="false" w:unhideWhenUsed="false"/>
    <w:lsdException w:name="Dark List Accent 6" w:uiPriority="70" w:semiHidden="false" w:unhideWhenUsed="false"/>
    <w:lsdException w:name="Colorful Shading Accent 6" w:uiPriority="71" w:semiHidden="false" w:unhideWhenUsed="false"/>
    <w:lsdException w:name="Colorful List Accent 6" w:uiPriority="72" w:semiHidden="false" w:unhideWhenUsed="false"/>
    <w:lsdException w:name="Colorful Grid Accent 6" w:uiPriority="73" w:semiHidden="false" w:unhideWhenUsed="false"/>
    <w:lsdException w:name="Subtle Emphasis" w:uiPriority="19" w:unhideWhenUsed="false" w:qFormat="true"/>
    <w:lsdException w:name="Intense Emphasis" w:uiPriority="21" w:unhideWhenUsed="false" w:qFormat="true"/>
    <w:lsdException w:name="Subtle Reference" w:uiPriority="31" w:unhideWhenUsed="false" w:qFormat="true"/>
    <w:lsdException w:name="Intense Reference" w:uiPriority="32" w:unhideWhenUsed="false" w:qFormat="true"/>
    <w:lsdException w:name="Book Title" w:uiPriority="33" w:unhideWhenUsed="false" w:qFormat="true"/>
    <w:lsdException w:name="Bibliography" w:uiPriority="37"/>
    <w:lsdException w:name="TOC Heading" w:uiPriority="39" w:qFormat="true"/>
  </w:latentStyles>
  <w:style w:type="paragraph" w:styleId="Normal" w:default="true">
    <w:name w:val="Normal"/>
    <w:semiHidden/>
    <w:rsid w:val="009459F3"/>
    <w:pPr>
      <w:spacing w:after="200" w:line="276" w:lineRule="auto"/>
    </w:pPr>
  </w:style>
  <w:style w:type="paragraph" w:styleId="Heading1">
    <w:name w:val="heading 1"/>
    <w:aliases w:val="H1,contents,proj,proj1,proj5,proj6,proj7,proj8,proj9,proj10,proj11,proj12,proj13,proj14,proj15,proj51,proj61,proj71,proj81,proj91,proj101,proj111,proj121,proj131,proj141,proj16,proj52,proj62,proj72,proj82,proj92,proj102,proj112,proj122,proj132"/>
    <w:basedOn w:val="Normal"/>
    <w:next w:val="Normal"/>
    <w:link w:val="Heading1Char"/>
    <w:qFormat/>
    <w:locked/>
    <w:rsid w:val="00C72D08"/>
    <w:pPr>
      <w:keepNext/>
      <w:spacing w:before="240" w:after="60"/>
      <w:outlineLvl w:val="0"/>
    </w:pPr>
    <w:rPr>
      <w:rFonts w:asciiTheme="majorHAnsi" w:hAnsiTheme="majorHAnsi" w:eastAsiaTheme="majorEastAsia" w:cstheme="majorBidi"/>
      <w:b/>
      <w:bCs/>
      <w:kern w:val="32"/>
      <w:sz w:val="32"/>
      <w:szCs w:val="32"/>
    </w:rPr>
  </w:style>
  <w:style w:type="paragraph" w:styleId="Heading2">
    <w:name w:val="heading 2"/>
    <w:aliases w:val="heading 2,Intro Text Bold,proj2,proj21,proj22,proj23,proj24,proj25,proj26,proj27,proj28,proj29,proj210,proj211,proj212,proj221,proj231,proj241,proj251,proj261,proj271,proj281,proj291,proj2101,proj2111,proj213,proj222,proj232,proj242,proj252,2"/>
    <w:basedOn w:val="Normal"/>
    <w:next w:val="Normal"/>
    <w:link w:val="Heading2Char"/>
    <w:semiHidden/>
    <w:qFormat/>
    <w:locked/>
    <w:rsid w:val="00C72D08"/>
    <w:pPr>
      <w:keepNext/>
      <w:spacing w:before="240" w:after="60"/>
      <w:outlineLvl w:val="1"/>
    </w:pPr>
    <w:rPr>
      <w:rFonts w:asciiTheme="majorHAnsi" w:hAnsiTheme="majorHAnsi" w:eastAsiaTheme="majorEastAsia" w:cstheme="majorBidi"/>
      <w:b/>
      <w:bCs/>
      <w:i/>
      <w:iCs/>
      <w:sz w:val="28"/>
      <w:szCs w:val="28"/>
    </w:rPr>
  </w:style>
  <w:style w:type="paragraph" w:styleId="Heading3">
    <w:name w:val="heading 3"/>
    <w:aliases w:val="heading 3,underlined Heading,proj3,proj31,proj32,proj33,proj34,proj35,proj36,proj37,proj38,proj39,proj310,proj311,proj312,proj321,proj331,proj341,proj351,proj361,proj371,proj381,proj391,proj3101,proj3111,proj313,proj322,proj332,proj342,h3,sl3"/>
    <w:basedOn w:val="Normal"/>
    <w:next w:val="Normal"/>
    <w:link w:val="Heading3Char"/>
    <w:semiHidden/>
    <w:qFormat/>
    <w:locked/>
    <w:rsid w:val="00C72D08"/>
    <w:pPr>
      <w:keepNext/>
      <w:spacing w:before="240" w:after="60"/>
      <w:outlineLvl w:val="2"/>
    </w:pPr>
    <w:rPr>
      <w:rFonts w:asciiTheme="majorHAnsi" w:hAnsiTheme="majorHAnsi" w:eastAsiaTheme="majorEastAsia" w:cstheme="majorBidi"/>
      <w:b/>
      <w:bCs/>
      <w:sz w:val="26"/>
      <w:szCs w:val="26"/>
    </w:rPr>
  </w:style>
  <w:style w:type="paragraph" w:styleId="Heading4">
    <w:name w:val="heading 4"/>
    <w:aliases w:val="Level 2 - a,h4,a,minor header,Map Title,Subsection,sub TR,proj4,proj41,proj42,proj43,proj44,proj45,proj46,proj47,proj48,proj49,proj410,proj411,proj412,proj421,proj431,proj441,proj451,proj461,proj471,proj481,proj491,proj4101,proj4111,proj413"/>
    <w:basedOn w:val="Normal"/>
    <w:next w:val="Normal"/>
    <w:link w:val="Heading4Char"/>
    <w:semiHidden/>
    <w:unhideWhenUsed/>
    <w:qFormat/>
    <w:locked/>
    <w:rsid w:val="00E1232E"/>
    <w:pPr>
      <w:keepNext/>
      <w:keepLines/>
      <w:spacing w:before="200" w:after="0"/>
      <w:outlineLvl w:val="3"/>
    </w:pPr>
    <w:rPr>
      <w:rFonts w:asciiTheme="majorHAnsi" w:hAnsiTheme="majorHAnsi" w:eastAsiaTheme="majorEastAsia" w:cstheme="majorBidi"/>
      <w:b/>
      <w:bCs/>
      <w:i/>
      <w:iCs/>
      <w:color w:val="4F81BD" w:themeColor="accent1"/>
    </w:rPr>
  </w:style>
  <w:style w:type="paragraph" w:styleId="Heading5">
    <w:name w:val="heading 5"/>
    <w:aliases w:val="Level 3 - i,5,Normal5,Level 3 - (i)"/>
    <w:basedOn w:val="Heading4"/>
    <w:next w:val="Normal"/>
    <w:link w:val="Heading5Char"/>
    <w:semiHidden/>
    <w:unhideWhenUsed/>
    <w:qFormat/>
    <w:rsid w:val="00E1232E"/>
    <w:pPr>
      <w:keepLines w:val="false"/>
      <w:tabs>
        <w:tab w:val="num" w:pos="1008"/>
      </w:tabs>
      <w:spacing w:before="240" w:after="120" w:line="300" w:lineRule="auto"/>
      <w:ind w:left="1008" w:hanging="1008"/>
      <w:outlineLvl w:val="4"/>
    </w:pPr>
    <w:rPr>
      <w:rFonts w:ascii="Arial" w:hAnsi="Arial" w:eastAsia="Times New Roman" w:cs="Arial"/>
      <w:b w:val="false"/>
      <w:i w:val="false"/>
      <w:iCs w:val="false"/>
      <w:color w:val="auto"/>
      <w:szCs w:val="28"/>
      <w:lang w:eastAsia="en-US"/>
    </w:rPr>
  </w:style>
  <w:style w:type="paragraph" w:styleId="Heading6">
    <w:name w:val="heading 6"/>
    <w:aliases w:val="Legal Level 1.,Body Text 5,Normal6"/>
    <w:basedOn w:val="Heading5"/>
    <w:next w:val="Normal"/>
    <w:link w:val="Heading6Char"/>
    <w:semiHidden/>
    <w:unhideWhenUsed/>
    <w:qFormat/>
    <w:locked/>
    <w:rsid w:val="00E1232E"/>
    <w:pPr>
      <w:tabs>
        <w:tab w:val="clear" w:pos="1008"/>
        <w:tab w:val="num" w:pos="1152"/>
      </w:tabs>
      <w:ind w:left="1152" w:hanging="1152"/>
      <w:outlineLvl w:val="5"/>
    </w:pPr>
  </w:style>
  <w:style w:type="paragraph" w:styleId="Heading7">
    <w:name w:val="heading 7"/>
    <w:aliases w:val="Legal Level 1.1.,Body Text 6,Heading 7(unused),Normal7"/>
    <w:basedOn w:val="Heading6"/>
    <w:next w:val="Normal"/>
    <w:link w:val="Heading7Char"/>
    <w:uiPriority w:val="99"/>
    <w:semiHidden/>
    <w:unhideWhenUsed/>
    <w:qFormat/>
    <w:locked/>
    <w:rsid w:val="00E1232E"/>
    <w:pPr>
      <w:tabs>
        <w:tab w:val="clear" w:pos="1152"/>
        <w:tab w:val="num" w:pos="1296"/>
      </w:tabs>
      <w:ind w:left="1296" w:hanging="1296"/>
      <w:outlineLvl w:val="6"/>
    </w:pPr>
  </w:style>
  <w:style w:type="paragraph" w:styleId="Heading8">
    <w:name w:val="heading 8"/>
    <w:aliases w:val="Legal Level 1.1.1.,Body Text 7,Heading 8(unused),Heading 8 (Start Appendices),Normal8"/>
    <w:basedOn w:val="Heading7"/>
    <w:next w:val="Normal"/>
    <w:link w:val="Heading8Char"/>
    <w:uiPriority w:val="99"/>
    <w:semiHidden/>
    <w:unhideWhenUsed/>
    <w:qFormat/>
    <w:locked/>
    <w:rsid w:val="00E1232E"/>
    <w:pPr>
      <w:tabs>
        <w:tab w:val="clear" w:pos="1296"/>
        <w:tab w:val="num" w:pos="1440"/>
      </w:tabs>
      <w:ind w:left="1440" w:hanging="1440"/>
      <w:outlineLvl w:val="7"/>
    </w:pPr>
  </w:style>
  <w:style w:type="paragraph" w:styleId="Heading9">
    <w:name w:val="heading 9"/>
    <w:aliases w:val="Legal Level 1.1.1.1.,Body Text 8,Heading 9(unused),Appendix"/>
    <w:basedOn w:val="Heading8"/>
    <w:next w:val="Normal"/>
    <w:link w:val="Heading9Char"/>
    <w:uiPriority w:val="99"/>
    <w:semiHidden/>
    <w:unhideWhenUsed/>
    <w:qFormat/>
    <w:locked/>
    <w:rsid w:val="00E1232E"/>
    <w:pPr>
      <w:tabs>
        <w:tab w:val="clear" w:pos="1440"/>
        <w:tab w:val="num" w:pos="1584"/>
      </w:tabs>
      <w:ind w:left="1584" w:hanging="1584"/>
      <w:outlineLvl w:val="8"/>
    </w:pPr>
  </w:style>
  <w:style w:type="character" w:styleId="DefaultParagraphFont" w:default="true">
    <w:name w:val="Default Paragraph Font"/>
    <w:uiPriority w:val="1"/>
    <w:semiHidden/>
    <w:unhideWhenUsed/>
  </w:style>
  <w:style w:type="table" w:styleId="TableNormal" w:default="true">
    <w:name w:val="Normal Table"/>
    <w:uiPriority w:val="99"/>
    <w:semiHidden/>
    <w:unhideWhenUsed/>
    <w:tblPr>
      <w:tblInd w:w="0" w:type="dxa"/>
      <w:tblCellMar>
        <w:top w:w="0" w:type="dxa"/>
        <w:left w:w="108" w:type="dxa"/>
        <w:bottom w:w="0" w:type="dxa"/>
        <w:right w:w="108" w:type="dxa"/>
      </w:tblCellMar>
    </w:tblPr>
  </w:style>
  <w:style w:type="numbering" w:styleId="NoList" w:default="true">
    <w:name w:val="No List"/>
    <w:uiPriority w:val="99"/>
    <w:semiHidden/>
    <w:unhideWhenUsed/>
  </w:style>
  <w:style w:type="paragraph" w:styleId="CaselawCoversheet" w:customStyle="true">
    <w:name w:val="Caselaw Coversheet"/>
    <w:basedOn w:val="Normal"/>
    <w:qFormat/>
    <w:rsid w:val="009C6388"/>
    <w:pPr>
      <w:spacing w:after="0" w:line="240" w:lineRule="auto"/>
    </w:pPr>
    <w:rPr>
      <w:rFonts w:cs="Arial"/>
    </w:rPr>
  </w:style>
  <w:style w:type="paragraph" w:styleId="CaselawNormal" w:customStyle="true">
    <w:name w:val="Caselaw Normal"/>
    <w:basedOn w:val="CaselawCoversheet"/>
    <w:uiPriority w:val="6"/>
    <w:qFormat/>
    <w:locked/>
    <w:rsid w:val="007360E8"/>
    <w:pPr>
      <w:spacing w:after="240" w:line="360" w:lineRule="auto"/>
      <w:ind w:left="720"/>
    </w:pPr>
  </w:style>
  <w:style w:type="paragraph" w:styleId="CaselawNumbered10" w:customStyle="true">
    <w:name w:val="Caselaw Numbered 1"/>
    <w:basedOn w:val="CaselawNormal"/>
    <w:uiPriority w:val="5"/>
    <w:qFormat/>
    <w:rsid w:val="007360E8"/>
    <w:pPr>
      <w:numPr>
        <w:numId w:val="1"/>
      </w:numPr>
      <w:ind w:left="720" w:hanging="720"/>
    </w:pPr>
  </w:style>
  <w:style w:type="paragraph" w:styleId="CaselawNumbered1" w:customStyle="true">
    <w:name w:val="Caselaw Numbered (1)"/>
    <w:basedOn w:val="CaselawNumbered10"/>
    <w:qFormat/>
    <w:rsid w:val="000A5273"/>
    <w:pPr>
      <w:numPr>
        <w:numId w:val="2"/>
      </w:numPr>
      <w:spacing w:after="360" w:line="240" w:lineRule="auto"/>
      <w:ind w:left="1440" w:hanging="720"/>
    </w:pPr>
  </w:style>
  <w:style w:type="paragraph" w:styleId="CaselawNumbereda" w:customStyle="true">
    <w:name w:val="Caselaw Numbered (a)"/>
    <w:basedOn w:val="CaselawNumbered1"/>
    <w:qFormat/>
    <w:rsid w:val="006E7434"/>
    <w:pPr>
      <w:numPr>
        <w:numId w:val="3"/>
      </w:numPr>
      <w:ind w:left="2160" w:hanging="720"/>
    </w:pPr>
  </w:style>
  <w:style w:type="paragraph" w:styleId="CaselawNumberedi" w:customStyle="true">
    <w:name w:val="Caselaw Numbered (i)"/>
    <w:basedOn w:val="CaselawNumbereda"/>
    <w:qFormat/>
    <w:rsid w:val="006E7434"/>
    <w:pPr>
      <w:numPr>
        <w:numId w:val="4"/>
      </w:numPr>
      <w:ind w:left="2880" w:hanging="720"/>
    </w:pPr>
  </w:style>
  <w:style w:type="paragraph" w:styleId="CaselawHeading1" w:customStyle="true">
    <w:name w:val="Caselaw Heading 1"/>
    <w:basedOn w:val="CaselawCoversheet"/>
    <w:next w:val="CaselawNumbered10"/>
    <w:uiPriority w:val="1"/>
    <w:qFormat/>
    <w:rsid w:val="00770D05"/>
    <w:pPr>
      <w:spacing w:after="240"/>
      <w:outlineLvl w:val="0"/>
    </w:pPr>
    <w:rPr>
      <w:b/>
      <w:caps/>
      <w:sz w:val="28"/>
    </w:rPr>
  </w:style>
  <w:style w:type="paragraph" w:styleId="CaselawHeading2" w:customStyle="true">
    <w:name w:val="Caselaw Heading 2"/>
    <w:basedOn w:val="CaselawHeading1"/>
    <w:next w:val="CaselawNumbered10"/>
    <w:uiPriority w:val="2"/>
    <w:qFormat/>
    <w:rsid w:val="009459F3"/>
    <w:pPr>
      <w:outlineLvl w:val="1"/>
    </w:pPr>
    <w:rPr>
      <w:caps w:val="false"/>
      <w:sz w:val="24"/>
    </w:rPr>
  </w:style>
  <w:style w:type="paragraph" w:styleId="CaselawHeading3" w:customStyle="true">
    <w:name w:val="Caselaw Heading 3"/>
    <w:basedOn w:val="CaselawHeading1"/>
    <w:next w:val="CaselawNumbered10"/>
    <w:uiPriority w:val="3"/>
    <w:qFormat/>
    <w:rsid w:val="009459F3"/>
    <w:pPr>
      <w:outlineLvl w:val="2"/>
    </w:pPr>
    <w:rPr>
      <w:b w:val="false"/>
      <w:i/>
      <w:caps w:val="false"/>
      <w:sz w:val="24"/>
    </w:rPr>
  </w:style>
  <w:style w:type="paragraph" w:styleId="CaselawQuote" w:customStyle="true">
    <w:name w:val="Caselaw Quote &gt;"/>
    <w:basedOn w:val="CaselawNormal"/>
    <w:qFormat/>
    <w:rsid w:val="00DA03B8"/>
    <w:pPr>
      <w:spacing w:after="360" w:line="240" w:lineRule="auto"/>
    </w:pPr>
    <w:rPr>
      <w:sz w:val="22"/>
    </w:rPr>
  </w:style>
  <w:style w:type="paragraph" w:styleId="CaselawQuote0" w:customStyle="true">
    <w:name w:val="Caselaw Quote &gt;&gt;"/>
    <w:basedOn w:val="CaselawNormal"/>
    <w:qFormat/>
    <w:rsid w:val="000A5273"/>
    <w:pPr>
      <w:spacing w:after="360" w:line="240" w:lineRule="auto"/>
      <w:ind w:left="2160"/>
    </w:pPr>
    <w:rPr>
      <w:sz w:val="22"/>
    </w:rPr>
  </w:style>
  <w:style w:type="paragraph" w:styleId="CaselawQuote1" w:customStyle="true">
    <w:name w:val="Caselaw Quote &gt;&gt;&gt;"/>
    <w:basedOn w:val="CaselawQuote0"/>
    <w:qFormat/>
    <w:rsid w:val="000A5273"/>
    <w:pPr>
      <w:ind w:left="2880"/>
    </w:pPr>
  </w:style>
  <w:style w:type="paragraph" w:styleId="CaselawHeading4" w:customStyle="true">
    <w:name w:val="Caselaw Heading 4"/>
    <w:basedOn w:val="CaselawHeading1"/>
    <w:next w:val="CaselawNumbered10"/>
    <w:uiPriority w:val="4"/>
    <w:qFormat/>
    <w:rsid w:val="009459F3"/>
    <w:pPr>
      <w:ind w:left="720"/>
      <w:outlineLvl w:val="3"/>
    </w:pPr>
    <w:rPr>
      <w:caps w:val="false"/>
      <w:sz w:val="22"/>
    </w:rPr>
  </w:style>
  <w:style w:type="character" w:styleId="Heading1Char" w:customStyle="true">
    <w:name w:val="Heading 1 Char"/>
    <w:aliases w:val="H1 Char,contents Char,proj Char,proj1 Char,proj5 Char,proj6 Char,proj7 Char,proj8 Char,proj9 Char,proj10 Char,proj11 Char,proj12 Char,proj13 Char,proj14 Char,proj15 Char,proj51 Char,proj61 Char,proj71 Char,proj81 Char,proj91 Char"/>
    <w:basedOn w:val="DefaultParagraphFont"/>
    <w:link w:val="Heading1"/>
    <w:rsid w:val="002316E1"/>
    <w:rPr>
      <w:rFonts w:asciiTheme="majorHAnsi" w:hAnsiTheme="majorHAnsi" w:eastAsiaTheme="majorEastAsia" w:cstheme="majorBidi"/>
      <w:b/>
      <w:bCs/>
      <w:kern w:val="32"/>
      <w:sz w:val="32"/>
      <w:szCs w:val="32"/>
      <w:lang w:eastAsia="en-US"/>
    </w:rPr>
  </w:style>
  <w:style w:type="character" w:styleId="Heading2Char" w:customStyle="true">
    <w:name w:val="Heading 2 Char"/>
    <w:aliases w:val="heading 2 Char,Intro Text Bold Char,proj2 Char,proj21 Char,proj22 Char,proj23 Char,proj24 Char,proj25 Char,proj26 Char,proj27 Char,proj28 Char,proj29 Char,proj210 Char,proj211 Char,proj212 Char,proj221 Char,proj231 Char,proj241 Char"/>
    <w:basedOn w:val="DefaultParagraphFont"/>
    <w:link w:val="Heading2"/>
    <w:semiHidden/>
    <w:rsid w:val="002316E1"/>
    <w:rPr>
      <w:rFonts w:asciiTheme="majorHAnsi" w:hAnsiTheme="majorHAnsi" w:eastAsiaTheme="majorEastAsia" w:cstheme="majorBidi"/>
      <w:b/>
      <w:bCs/>
      <w:i/>
      <w:iCs/>
      <w:sz w:val="28"/>
      <w:szCs w:val="28"/>
      <w:lang w:eastAsia="en-US"/>
    </w:rPr>
  </w:style>
  <w:style w:type="character" w:styleId="Heading3Char" w:customStyle="true">
    <w:name w:val="Heading 3 Char"/>
    <w:aliases w:val="heading 3 Char,underlined Heading Char,proj3 Char,proj31 Char,proj32 Char,proj33 Char,proj34 Char,proj35 Char,proj36 Char,proj37 Char,proj38 Char,proj39 Char,proj310 Char,proj311 Char,proj312 Char,proj321 Char,proj331 Char,proj341 Char"/>
    <w:basedOn w:val="DefaultParagraphFont"/>
    <w:link w:val="Heading3"/>
    <w:semiHidden/>
    <w:rsid w:val="002316E1"/>
    <w:rPr>
      <w:rFonts w:asciiTheme="majorHAnsi" w:hAnsiTheme="majorHAnsi" w:eastAsiaTheme="majorEastAsia" w:cstheme="majorBidi"/>
      <w:b/>
      <w:bCs/>
      <w:sz w:val="26"/>
      <w:szCs w:val="26"/>
      <w:lang w:eastAsia="en-US"/>
    </w:rPr>
  </w:style>
  <w:style w:type="table" w:styleId="TableGrid">
    <w:name w:val="Table Grid"/>
    <w:basedOn w:val="TableNormal"/>
    <w:uiPriority w:val="59"/>
    <w:locked/>
    <w:rsid w:val="002D6852"/>
    <w:tblP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paragraph" w:styleId="CaselawBullet" w:customStyle="true">
    <w:name w:val="Caselaw Bullet"/>
    <w:basedOn w:val="CaselawNormal"/>
    <w:uiPriority w:val="1"/>
    <w:qFormat/>
    <w:locked/>
    <w:rsid w:val="00F36D30"/>
    <w:pPr>
      <w:numPr>
        <w:numId w:val="5"/>
      </w:numPr>
      <w:spacing w:after="360" w:line="240" w:lineRule="auto"/>
      <w:ind w:hanging="720"/>
    </w:pPr>
  </w:style>
  <w:style w:type="paragraph" w:styleId="CaselawHeading5" w:customStyle="true">
    <w:name w:val="Caselaw Heading 5"/>
    <w:basedOn w:val="CaselawHeading4"/>
    <w:rsid w:val="009459F3"/>
    <w:rPr>
      <w:b w:val="false"/>
      <w:u w:val="single"/>
    </w:rPr>
  </w:style>
  <w:style w:type="paragraph" w:styleId="BalloonText">
    <w:name w:val="Balloon Text"/>
    <w:basedOn w:val="Normal"/>
    <w:link w:val="BalloonTextChar"/>
    <w:uiPriority w:val="99"/>
    <w:semiHidden/>
    <w:unhideWhenUsed/>
    <w:locked/>
    <w:rsid w:val="000A5625"/>
    <w:pPr>
      <w:spacing w:after="0" w:line="240" w:lineRule="auto"/>
    </w:pPr>
    <w:rPr>
      <w:rFonts w:ascii="Tahoma" w:hAnsi="Tahoma" w:cs="Tahoma"/>
      <w:sz w:val="16"/>
      <w:szCs w:val="16"/>
    </w:rPr>
  </w:style>
  <w:style w:type="character" w:styleId="BalloonTextChar" w:customStyle="true">
    <w:name w:val="Balloon Text Char"/>
    <w:basedOn w:val="DefaultParagraphFont"/>
    <w:link w:val="BalloonText"/>
    <w:uiPriority w:val="99"/>
    <w:semiHidden/>
    <w:rsid w:val="000A5625"/>
    <w:rPr>
      <w:rFonts w:ascii="Tahoma" w:hAnsi="Tahoma" w:cs="Tahoma"/>
      <w:sz w:val="16"/>
      <w:szCs w:val="16"/>
    </w:rPr>
  </w:style>
  <w:style w:type="character" w:styleId="PlaceholderText">
    <w:name w:val="Placeholder Text"/>
    <w:basedOn w:val="DefaultParagraphFont"/>
    <w:uiPriority w:val="99"/>
    <w:semiHidden/>
    <w:locked/>
    <w:rsid w:val="00B914EB"/>
    <w:rPr>
      <w:color w:val="808080"/>
    </w:rPr>
  </w:style>
  <w:style w:type="character" w:styleId="Style1" w:customStyle="true">
    <w:name w:val="Style1"/>
    <w:basedOn w:val="Strong"/>
    <w:uiPriority w:val="1"/>
    <w:locked/>
    <w:rsid w:val="00C13AF5"/>
    <w:rPr>
      <w:rFonts w:ascii="Arial" w:hAnsi="Arial"/>
      <w:b w:val="false"/>
      <w:bCs/>
      <w:sz w:val="24"/>
    </w:rPr>
  </w:style>
  <w:style w:type="character" w:styleId="Strong">
    <w:name w:val="Strong"/>
    <w:basedOn w:val="DefaultParagraphFont"/>
    <w:uiPriority w:val="22"/>
    <w:semiHidden/>
    <w:qFormat/>
    <w:locked/>
    <w:rsid w:val="00C13AF5"/>
    <w:rPr>
      <w:b/>
      <w:bCs/>
    </w:rPr>
  </w:style>
  <w:style w:type="paragraph" w:styleId="DocumentMap">
    <w:name w:val="Document Map"/>
    <w:basedOn w:val="Normal"/>
    <w:link w:val="DocumentMapChar"/>
    <w:uiPriority w:val="99"/>
    <w:semiHidden/>
    <w:unhideWhenUsed/>
    <w:locked/>
    <w:rsid w:val="00C11B7B"/>
    <w:pPr>
      <w:spacing w:after="0" w:line="240" w:lineRule="auto"/>
    </w:pPr>
    <w:rPr>
      <w:rFonts w:ascii="Lucida Grande" w:hAnsi="Lucida Grande"/>
    </w:rPr>
  </w:style>
  <w:style w:type="character" w:styleId="DocumentMapChar" w:customStyle="true">
    <w:name w:val="Document Map Char"/>
    <w:basedOn w:val="DefaultParagraphFont"/>
    <w:link w:val="DocumentMap"/>
    <w:uiPriority w:val="99"/>
    <w:semiHidden/>
    <w:rsid w:val="00C11B7B"/>
    <w:rPr>
      <w:rFonts w:ascii="Lucida Grande" w:hAnsi="Lucida Grande"/>
    </w:rPr>
  </w:style>
  <w:style w:type="paragraph" w:styleId="NormalWeb">
    <w:name w:val="Normal (Web)"/>
    <w:basedOn w:val="Normal"/>
    <w:uiPriority w:val="99"/>
    <w:semiHidden/>
    <w:unhideWhenUsed/>
    <w:locked/>
    <w:rsid w:val="00677778"/>
    <w:pPr>
      <w:spacing w:before="100" w:beforeAutospacing="true" w:after="100" w:afterAutospacing="true" w:line="240" w:lineRule="auto"/>
    </w:pPr>
    <w:rPr>
      <w:rFonts w:ascii="Times New Roman" w:hAnsi="Times New Roman" w:eastAsia="Times New Roman"/>
    </w:rPr>
  </w:style>
  <w:style w:type="paragraph" w:styleId="judgmentpara" w:customStyle="true">
    <w:name w:val="judgment_para"/>
    <w:basedOn w:val="Normal"/>
    <w:rsid w:val="00677778"/>
    <w:pPr>
      <w:spacing w:before="100" w:beforeAutospacing="true" w:after="100" w:afterAutospacing="true" w:line="240" w:lineRule="auto"/>
    </w:pPr>
    <w:rPr>
      <w:rFonts w:ascii="Times New Roman" w:hAnsi="Times New Roman" w:eastAsia="Times New Roman"/>
    </w:rPr>
  </w:style>
  <w:style w:type="character" w:styleId="listnumber" w:customStyle="true">
    <w:name w:val="list_number_"/>
    <w:basedOn w:val="DefaultParagraphFont"/>
    <w:rsid w:val="00677778"/>
  </w:style>
  <w:style w:type="paragraph" w:styleId="judgmentnumbereda" w:customStyle="true">
    <w:name w:val="judgment_numbered_a_"/>
    <w:basedOn w:val="Normal"/>
    <w:rsid w:val="00B74D80"/>
    <w:pPr>
      <w:spacing w:before="100" w:beforeAutospacing="true" w:after="100" w:afterAutospacing="true" w:line="240" w:lineRule="auto"/>
    </w:pPr>
    <w:rPr>
      <w:rFonts w:ascii="Times New Roman" w:hAnsi="Times New Roman" w:eastAsia="Times New Roman"/>
    </w:rPr>
  </w:style>
  <w:style w:type="paragraph" w:styleId="judgmentnumberedi" w:customStyle="true">
    <w:name w:val="judgment_numbered_i_"/>
    <w:basedOn w:val="Normal"/>
    <w:rsid w:val="00B74D80"/>
    <w:pPr>
      <w:spacing w:before="100" w:beforeAutospacing="true" w:after="100" w:afterAutospacing="true" w:line="240" w:lineRule="auto"/>
    </w:pPr>
    <w:rPr>
      <w:rFonts w:ascii="Times New Roman" w:hAnsi="Times New Roman" w:eastAsia="Times New Roman"/>
    </w:rPr>
  </w:style>
  <w:style w:type="character" w:styleId="Heading4Char" w:customStyle="true">
    <w:name w:val="Heading 4 Char"/>
    <w:aliases w:val="Level 2 - a Char,h4 Char,a Char,minor header Char,Map Title Char,Subsection Char,sub TR Char,proj4 Char,proj41 Char,proj42 Char,proj43 Char,proj44 Char,proj45 Char,proj46 Char,proj47 Char,proj48 Char,proj49 Char,proj410 Char,proj411 Char"/>
    <w:basedOn w:val="DefaultParagraphFont"/>
    <w:link w:val="Heading4"/>
    <w:semiHidden/>
    <w:rsid w:val="00E1232E"/>
    <w:rPr>
      <w:rFonts w:asciiTheme="majorHAnsi" w:hAnsiTheme="majorHAnsi" w:eastAsiaTheme="majorEastAsia" w:cstheme="majorBidi"/>
      <w:b/>
      <w:bCs/>
      <w:i/>
      <w:iCs/>
      <w:color w:val="4F81BD" w:themeColor="accent1"/>
    </w:rPr>
  </w:style>
  <w:style w:type="character" w:styleId="Heading5Char" w:customStyle="true">
    <w:name w:val="Heading 5 Char"/>
    <w:aliases w:val="Level 3 - i Char,5 Char,Normal5 Char,Level 3 - (i) Char"/>
    <w:basedOn w:val="DefaultParagraphFont"/>
    <w:link w:val="Heading5"/>
    <w:semiHidden/>
    <w:rsid w:val="00E1232E"/>
    <w:rPr>
      <w:rFonts w:eastAsia="Times New Roman" w:cs="Arial"/>
      <w:bCs/>
      <w:szCs w:val="28"/>
      <w:lang w:eastAsia="en-US"/>
    </w:rPr>
  </w:style>
  <w:style w:type="character" w:styleId="Heading6Char" w:customStyle="true">
    <w:name w:val="Heading 6 Char"/>
    <w:aliases w:val="Legal Level 1. Char,Body Text 5 Char,Normal6 Char"/>
    <w:basedOn w:val="DefaultParagraphFont"/>
    <w:link w:val="Heading6"/>
    <w:semiHidden/>
    <w:rsid w:val="00E1232E"/>
    <w:rPr>
      <w:rFonts w:eastAsia="Times New Roman" w:cs="Arial"/>
      <w:bCs/>
      <w:szCs w:val="28"/>
      <w:lang w:eastAsia="en-US"/>
    </w:rPr>
  </w:style>
  <w:style w:type="character" w:styleId="Heading7Char" w:customStyle="true">
    <w:name w:val="Heading 7 Char"/>
    <w:aliases w:val="Legal Level 1.1. Char,Body Text 6 Char,Heading 7(unused) Char,Normal7 Char"/>
    <w:basedOn w:val="DefaultParagraphFont"/>
    <w:link w:val="Heading7"/>
    <w:uiPriority w:val="99"/>
    <w:semiHidden/>
    <w:rsid w:val="00E1232E"/>
    <w:rPr>
      <w:rFonts w:eastAsia="Times New Roman" w:cs="Arial"/>
      <w:bCs/>
      <w:szCs w:val="28"/>
      <w:lang w:eastAsia="en-US"/>
    </w:rPr>
  </w:style>
  <w:style w:type="character" w:styleId="Heading8Char" w:customStyle="true">
    <w:name w:val="Heading 8 Char"/>
    <w:aliases w:val="Legal Level 1.1.1. Char,Body Text 7 Char,Heading 8(unused) Char,Heading 8 (Start Appendices) Char,Normal8 Char"/>
    <w:basedOn w:val="DefaultParagraphFont"/>
    <w:link w:val="Heading8"/>
    <w:uiPriority w:val="99"/>
    <w:semiHidden/>
    <w:rsid w:val="00E1232E"/>
    <w:rPr>
      <w:rFonts w:eastAsia="Times New Roman" w:cs="Arial"/>
      <w:bCs/>
      <w:szCs w:val="28"/>
      <w:lang w:eastAsia="en-US"/>
    </w:rPr>
  </w:style>
  <w:style w:type="character" w:styleId="Heading9Char" w:customStyle="true">
    <w:name w:val="Heading 9 Char"/>
    <w:aliases w:val="Legal Level 1.1.1.1. Char,Body Text 8 Char,Heading 9(unused) Char,Appendix Char"/>
    <w:basedOn w:val="DefaultParagraphFont"/>
    <w:link w:val="Heading9"/>
    <w:uiPriority w:val="99"/>
    <w:semiHidden/>
    <w:rsid w:val="00E1232E"/>
    <w:rPr>
      <w:rFonts w:eastAsia="Times New Roman" w:cs="Arial"/>
      <w:bCs/>
      <w:szCs w:val="28"/>
      <w:lang w:eastAsia="en-US"/>
    </w:rPr>
  </w:style>
  <w:style w:type="character" w:styleId="Hyperlink">
    <w:name w:val="Hyperlink"/>
    <w:basedOn w:val="DefaultParagraphFont"/>
    <w:uiPriority w:val="99"/>
    <w:unhideWhenUsed/>
    <w:locked/>
    <w:rsid w:val="00E1232E"/>
    <w:rPr>
      <w:color w:val="0000FF"/>
      <w:u w:val="single"/>
    </w:rPr>
  </w:style>
  <w:style w:type="character" w:styleId="FollowedHyperlink">
    <w:name w:val="FollowedHyperlink"/>
    <w:basedOn w:val="DefaultParagraphFont"/>
    <w:semiHidden/>
    <w:unhideWhenUsed/>
    <w:locked/>
    <w:rsid w:val="00E1232E"/>
    <w:rPr>
      <w:color w:val="800080"/>
      <w:u w:val="single"/>
    </w:rPr>
  </w:style>
  <w:style w:type="character" w:styleId="Heading1Char1" w:customStyle="true">
    <w:name w:val="Heading 1 Char1"/>
    <w:aliases w:val="H1 Char1,contents Char1,proj Char1,proj1 Char1,proj5 Char1,proj6 Char1,proj7 Char1,proj8 Char1,proj9 Char1,proj10 Char1,proj11 Char1,proj12 Char1,proj13 Char1,proj14 Char1,proj15 Char1,proj51 Char1,proj61 Char1,proj71 Char1,proj81 Char1"/>
    <w:basedOn w:val="DefaultParagraphFont"/>
    <w:rsid w:val="00E1232E"/>
    <w:rPr>
      <w:rFonts w:asciiTheme="majorHAnsi" w:hAnsiTheme="majorHAnsi" w:eastAsiaTheme="majorEastAsia" w:cstheme="majorBidi"/>
      <w:b/>
      <w:bCs/>
      <w:color w:val="365F91" w:themeColor="accent1" w:themeShade="BF"/>
      <w:sz w:val="28"/>
      <w:szCs w:val="28"/>
      <w:lang w:eastAsia="en-US"/>
    </w:rPr>
  </w:style>
  <w:style w:type="character" w:styleId="Heading2Char1" w:customStyle="true">
    <w:name w:val="Heading 2 Char1"/>
    <w:aliases w:val="heading 2 Char1,Intro Text Bold Char1,proj2 Char1,proj21 Char1,proj22 Char1,proj23 Char1,proj24 Char1,proj25 Char1,proj26 Char1,proj27 Char1,proj28 Char1,proj29 Char1,proj210 Char1,proj211 Char1,proj212 Char1,proj221 Char1,proj231 Char1"/>
    <w:basedOn w:val="DefaultParagraphFont"/>
    <w:semiHidden/>
    <w:rsid w:val="00E1232E"/>
    <w:rPr>
      <w:rFonts w:asciiTheme="majorHAnsi" w:hAnsiTheme="majorHAnsi" w:eastAsiaTheme="majorEastAsia" w:cstheme="majorBidi"/>
      <w:b/>
      <w:bCs/>
      <w:color w:val="4F81BD" w:themeColor="accent1"/>
      <w:sz w:val="26"/>
      <w:szCs w:val="26"/>
      <w:lang w:eastAsia="en-US"/>
    </w:rPr>
  </w:style>
  <w:style w:type="character" w:styleId="Heading3Char1" w:customStyle="true">
    <w:name w:val="Heading 3 Char1"/>
    <w:aliases w:val="heading 3 Char1,underlined Heading Char1,proj3 Char1,proj31 Char1,proj32 Char1,proj33 Char1,proj34 Char1,proj35 Char1,proj36 Char1,proj37 Char1,proj38 Char1,proj39 Char1,proj310 Char1,proj311 Char1,proj312 Char1,proj321 Char1,h3 Char"/>
    <w:basedOn w:val="DefaultParagraphFont"/>
    <w:semiHidden/>
    <w:rsid w:val="00E1232E"/>
    <w:rPr>
      <w:rFonts w:asciiTheme="majorHAnsi" w:hAnsiTheme="majorHAnsi" w:eastAsiaTheme="majorEastAsia" w:cstheme="majorBidi"/>
      <w:b/>
      <w:bCs/>
      <w:color w:val="4F81BD" w:themeColor="accent1"/>
      <w:lang w:eastAsia="en-US"/>
    </w:rPr>
  </w:style>
  <w:style w:type="character" w:styleId="Heading4Char1" w:customStyle="true">
    <w:name w:val="Heading 4 Char1"/>
    <w:aliases w:val="Level 2 - a Char1,h4 Char1,a Char1,minor header Char1,Map Title Char1,Subsection Char1,sub TR Char1,proj4 Char1,proj41 Char1,proj42 Char1,proj43 Char1,proj44 Char1,proj45 Char1,proj46 Char1,proj47 Char1,proj48 Char1,proj49 Char1"/>
    <w:basedOn w:val="DefaultParagraphFont"/>
    <w:semiHidden/>
    <w:rsid w:val="00E1232E"/>
    <w:rPr>
      <w:rFonts w:asciiTheme="majorHAnsi" w:hAnsiTheme="majorHAnsi" w:eastAsiaTheme="majorEastAsia" w:cstheme="majorBidi"/>
      <w:b/>
      <w:bCs/>
      <w:i/>
      <w:iCs/>
      <w:color w:val="4F81BD" w:themeColor="accent1"/>
      <w:lang w:eastAsia="en-US"/>
    </w:rPr>
  </w:style>
  <w:style w:type="character" w:styleId="Heading5Char1" w:customStyle="true">
    <w:name w:val="Heading 5 Char1"/>
    <w:aliases w:val="Level 3 - i Char1,5 Char1,Normal5 Char1,Level 3 - (i) Char1"/>
    <w:basedOn w:val="DefaultParagraphFont"/>
    <w:semiHidden/>
    <w:rsid w:val="00E1232E"/>
    <w:rPr>
      <w:rFonts w:asciiTheme="majorHAnsi" w:hAnsiTheme="majorHAnsi" w:eastAsiaTheme="majorEastAsia" w:cstheme="majorBidi"/>
      <w:color w:val="243F60" w:themeColor="accent1" w:themeShade="7F"/>
      <w:lang w:eastAsia="en-US"/>
    </w:rPr>
  </w:style>
  <w:style w:type="character" w:styleId="Heading6Char1" w:customStyle="true">
    <w:name w:val="Heading 6 Char1"/>
    <w:aliases w:val="Legal Level 1. Char1,Body Text 5 Char1,Normal6 Char1"/>
    <w:basedOn w:val="DefaultParagraphFont"/>
    <w:semiHidden/>
    <w:rsid w:val="00E1232E"/>
    <w:rPr>
      <w:rFonts w:asciiTheme="majorHAnsi" w:hAnsiTheme="majorHAnsi" w:eastAsiaTheme="majorEastAsia" w:cstheme="majorBidi"/>
      <w:i/>
      <w:iCs/>
      <w:color w:val="243F60" w:themeColor="accent1" w:themeShade="7F"/>
      <w:lang w:eastAsia="en-US"/>
    </w:rPr>
  </w:style>
  <w:style w:type="character" w:styleId="Heading7Char1" w:customStyle="true">
    <w:name w:val="Heading 7 Char1"/>
    <w:aliases w:val="Legal Level 1.1. Char1,Body Text 6 Char1,Heading 7(unused) Char1,Normal7 Char1"/>
    <w:basedOn w:val="DefaultParagraphFont"/>
    <w:semiHidden/>
    <w:rsid w:val="00E1232E"/>
    <w:rPr>
      <w:rFonts w:asciiTheme="majorHAnsi" w:hAnsiTheme="majorHAnsi" w:eastAsiaTheme="majorEastAsia" w:cstheme="majorBidi"/>
      <w:i/>
      <w:iCs/>
      <w:color w:val="404040" w:themeColor="text1" w:themeTint="BF"/>
      <w:lang w:eastAsia="en-US"/>
    </w:rPr>
  </w:style>
  <w:style w:type="character" w:styleId="Heading8Char1" w:customStyle="true">
    <w:name w:val="Heading 8 Char1"/>
    <w:aliases w:val="Legal Level 1.1.1. Char1,Body Text 7 Char1,Heading 8(unused) Char1,Heading 8 (Start Appendices) Char1,Normal8 Char1"/>
    <w:basedOn w:val="DefaultParagraphFont"/>
    <w:semiHidden/>
    <w:rsid w:val="00E1232E"/>
    <w:rPr>
      <w:rFonts w:asciiTheme="majorHAnsi" w:hAnsiTheme="majorHAnsi" w:eastAsiaTheme="majorEastAsia" w:cstheme="majorBidi"/>
      <w:color w:val="404040" w:themeColor="text1" w:themeTint="BF"/>
      <w:lang w:eastAsia="en-US"/>
    </w:rPr>
  </w:style>
  <w:style w:type="character" w:styleId="Heading9Char1" w:customStyle="true">
    <w:name w:val="Heading 9 Char1"/>
    <w:aliases w:val="Legal Level 1.1.1.1. Char1,Body Text 8 Char1,Heading 9(unused) Char1,Appendix Char1"/>
    <w:basedOn w:val="DefaultParagraphFont"/>
    <w:semiHidden/>
    <w:rsid w:val="00E1232E"/>
    <w:rPr>
      <w:rFonts w:asciiTheme="majorHAnsi" w:hAnsiTheme="majorHAnsi" w:eastAsiaTheme="majorEastAsia" w:cstheme="majorBidi"/>
      <w:i/>
      <w:iCs/>
      <w:color w:val="404040" w:themeColor="text1" w:themeTint="BF"/>
      <w:lang w:eastAsia="en-US"/>
    </w:rPr>
  </w:style>
  <w:style w:type="paragraph" w:styleId="Index1">
    <w:name w:val="index 1"/>
    <w:basedOn w:val="Normal"/>
    <w:next w:val="Normal"/>
    <w:autoRedefine/>
    <w:uiPriority w:val="99"/>
    <w:unhideWhenUsed/>
    <w:locked/>
    <w:rsid w:val="00E1232E"/>
    <w:pPr>
      <w:keepLines/>
      <w:numPr>
        <w:numId w:val="6"/>
      </w:numPr>
      <w:overflowPunct w:val="false"/>
      <w:autoSpaceDE w:val="false"/>
      <w:autoSpaceDN w:val="false"/>
      <w:adjustRightInd w:val="false"/>
      <w:spacing w:after="0" w:line="240" w:lineRule="auto"/>
      <w:jc w:val="both"/>
    </w:pPr>
    <w:rPr>
      <w:rFonts w:ascii="Times New Roman" w:hAnsi="Times New Roman" w:eastAsia="Times New Roman"/>
      <w:szCs w:val="20"/>
      <w:lang w:eastAsia="en-US"/>
    </w:rPr>
  </w:style>
  <w:style w:type="paragraph" w:styleId="Index2">
    <w:name w:val="index 2"/>
    <w:basedOn w:val="Normal"/>
    <w:next w:val="Normal"/>
    <w:autoRedefine/>
    <w:uiPriority w:val="99"/>
    <w:semiHidden/>
    <w:unhideWhenUsed/>
    <w:locked/>
    <w:rsid w:val="00E1232E"/>
    <w:pPr>
      <w:keepLines/>
      <w:overflowPunct w:val="false"/>
      <w:autoSpaceDE w:val="false"/>
      <w:autoSpaceDN w:val="false"/>
      <w:adjustRightInd w:val="false"/>
      <w:spacing w:before="240" w:after="0" w:line="240" w:lineRule="auto"/>
      <w:ind w:left="480" w:hanging="240"/>
      <w:jc w:val="both"/>
    </w:pPr>
    <w:rPr>
      <w:rFonts w:ascii="Times New Roman" w:hAnsi="Times New Roman" w:eastAsia="Times New Roman"/>
      <w:szCs w:val="20"/>
      <w:lang w:eastAsia="en-US"/>
    </w:rPr>
  </w:style>
  <w:style w:type="paragraph" w:styleId="Index3">
    <w:name w:val="index 3"/>
    <w:basedOn w:val="Normal"/>
    <w:next w:val="Normal"/>
    <w:autoRedefine/>
    <w:uiPriority w:val="99"/>
    <w:semiHidden/>
    <w:unhideWhenUsed/>
    <w:locked/>
    <w:rsid w:val="00E1232E"/>
    <w:pPr>
      <w:keepLines/>
      <w:overflowPunct w:val="false"/>
      <w:autoSpaceDE w:val="false"/>
      <w:autoSpaceDN w:val="false"/>
      <w:adjustRightInd w:val="false"/>
      <w:spacing w:before="240" w:after="0" w:line="240" w:lineRule="auto"/>
      <w:ind w:left="720" w:hanging="240"/>
      <w:jc w:val="both"/>
    </w:pPr>
    <w:rPr>
      <w:rFonts w:ascii="Times New Roman" w:hAnsi="Times New Roman" w:eastAsia="Times New Roman"/>
      <w:szCs w:val="20"/>
      <w:lang w:eastAsia="en-US"/>
    </w:rPr>
  </w:style>
  <w:style w:type="paragraph" w:styleId="Index4">
    <w:name w:val="index 4"/>
    <w:basedOn w:val="Normal"/>
    <w:next w:val="Normal"/>
    <w:autoRedefine/>
    <w:uiPriority w:val="99"/>
    <w:semiHidden/>
    <w:unhideWhenUsed/>
    <w:locked/>
    <w:rsid w:val="00E1232E"/>
    <w:pPr>
      <w:keepLines/>
      <w:overflowPunct w:val="false"/>
      <w:autoSpaceDE w:val="false"/>
      <w:autoSpaceDN w:val="false"/>
      <w:adjustRightInd w:val="false"/>
      <w:spacing w:before="240" w:after="0" w:line="240" w:lineRule="auto"/>
      <w:ind w:left="960" w:hanging="240"/>
      <w:jc w:val="both"/>
    </w:pPr>
    <w:rPr>
      <w:rFonts w:ascii="Times New Roman" w:hAnsi="Times New Roman" w:eastAsia="Times New Roman"/>
      <w:szCs w:val="20"/>
      <w:lang w:eastAsia="en-US"/>
    </w:rPr>
  </w:style>
  <w:style w:type="paragraph" w:styleId="Index5">
    <w:name w:val="index 5"/>
    <w:basedOn w:val="Normal"/>
    <w:next w:val="Normal"/>
    <w:autoRedefine/>
    <w:uiPriority w:val="99"/>
    <w:semiHidden/>
    <w:unhideWhenUsed/>
    <w:locked/>
    <w:rsid w:val="00E1232E"/>
    <w:pPr>
      <w:keepLines/>
      <w:overflowPunct w:val="false"/>
      <w:autoSpaceDE w:val="false"/>
      <w:autoSpaceDN w:val="false"/>
      <w:adjustRightInd w:val="false"/>
      <w:spacing w:before="240" w:after="0" w:line="240" w:lineRule="auto"/>
      <w:ind w:left="1200" w:hanging="240"/>
      <w:jc w:val="both"/>
    </w:pPr>
    <w:rPr>
      <w:rFonts w:ascii="Times New Roman" w:hAnsi="Times New Roman" w:eastAsia="Times New Roman"/>
      <w:szCs w:val="20"/>
      <w:lang w:eastAsia="en-US"/>
    </w:rPr>
  </w:style>
  <w:style w:type="paragraph" w:styleId="Index6">
    <w:name w:val="index 6"/>
    <w:basedOn w:val="Normal"/>
    <w:next w:val="Normal"/>
    <w:autoRedefine/>
    <w:uiPriority w:val="99"/>
    <w:semiHidden/>
    <w:unhideWhenUsed/>
    <w:locked/>
    <w:rsid w:val="00E1232E"/>
    <w:pPr>
      <w:keepLines/>
      <w:overflowPunct w:val="false"/>
      <w:autoSpaceDE w:val="false"/>
      <w:autoSpaceDN w:val="false"/>
      <w:adjustRightInd w:val="false"/>
      <w:spacing w:before="240" w:after="0" w:line="240" w:lineRule="auto"/>
      <w:ind w:left="1440" w:hanging="240"/>
      <w:jc w:val="both"/>
    </w:pPr>
    <w:rPr>
      <w:rFonts w:ascii="Times New Roman" w:hAnsi="Times New Roman" w:eastAsia="Times New Roman"/>
      <w:szCs w:val="20"/>
      <w:lang w:eastAsia="en-US"/>
    </w:rPr>
  </w:style>
  <w:style w:type="paragraph" w:styleId="Index7">
    <w:name w:val="index 7"/>
    <w:basedOn w:val="Normal"/>
    <w:next w:val="Normal"/>
    <w:autoRedefine/>
    <w:uiPriority w:val="99"/>
    <w:semiHidden/>
    <w:unhideWhenUsed/>
    <w:locked/>
    <w:rsid w:val="00E1232E"/>
    <w:pPr>
      <w:keepLines/>
      <w:overflowPunct w:val="false"/>
      <w:autoSpaceDE w:val="false"/>
      <w:autoSpaceDN w:val="false"/>
      <w:adjustRightInd w:val="false"/>
      <w:spacing w:before="240" w:after="0" w:line="240" w:lineRule="auto"/>
      <w:ind w:left="1680" w:hanging="240"/>
      <w:jc w:val="both"/>
    </w:pPr>
    <w:rPr>
      <w:rFonts w:ascii="Times New Roman" w:hAnsi="Times New Roman" w:eastAsia="Times New Roman"/>
      <w:szCs w:val="20"/>
      <w:lang w:eastAsia="en-US"/>
    </w:rPr>
  </w:style>
  <w:style w:type="paragraph" w:styleId="Index8">
    <w:name w:val="index 8"/>
    <w:basedOn w:val="Normal"/>
    <w:next w:val="Normal"/>
    <w:autoRedefine/>
    <w:uiPriority w:val="99"/>
    <w:semiHidden/>
    <w:unhideWhenUsed/>
    <w:locked/>
    <w:rsid w:val="00E1232E"/>
    <w:pPr>
      <w:keepLines/>
      <w:overflowPunct w:val="false"/>
      <w:autoSpaceDE w:val="false"/>
      <w:autoSpaceDN w:val="false"/>
      <w:adjustRightInd w:val="false"/>
      <w:spacing w:before="240" w:after="0" w:line="240" w:lineRule="auto"/>
      <w:ind w:left="1920" w:hanging="240"/>
      <w:jc w:val="both"/>
    </w:pPr>
    <w:rPr>
      <w:rFonts w:ascii="Times New Roman" w:hAnsi="Times New Roman" w:eastAsia="Times New Roman"/>
      <w:szCs w:val="20"/>
      <w:lang w:eastAsia="en-US"/>
    </w:rPr>
  </w:style>
  <w:style w:type="paragraph" w:styleId="Index9">
    <w:name w:val="index 9"/>
    <w:basedOn w:val="Normal"/>
    <w:next w:val="Normal"/>
    <w:autoRedefine/>
    <w:uiPriority w:val="99"/>
    <w:semiHidden/>
    <w:unhideWhenUsed/>
    <w:locked/>
    <w:rsid w:val="00E1232E"/>
    <w:pPr>
      <w:keepLines/>
      <w:overflowPunct w:val="false"/>
      <w:autoSpaceDE w:val="false"/>
      <w:autoSpaceDN w:val="false"/>
      <w:adjustRightInd w:val="false"/>
      <w:spacing w:before="240" w:after="0" w:line="240" w:lineRule="auto"/>
      <w:ind w:left="2160" w:hanging="240"/>
      <w:jc w:val="both"/>
    </w:pPr>
    <w:rPr>
      <w:rFonts w:ascii="Times New Roman" w:hAnsi="Times New Roman" w:eastAsia="Times New Roman"/>
      <w:szCs w:val="20"/>
      <w:lang w:eastAsia="en-US"/>
    </w:rPr>
  </w:style>
  <w:style w:type="paragraph" w:styleId="TOC1">
    <w:name w:val="toc 1"/>
    <w:basedOn w:val="Normal"/>
    <w:next w:val="Normal"/>
    <w:autoRedefine/>
    <w:uiPriority w:val="39"/>
    <w:semiHidden/>
    <w:unhideWhenUsed/>
    <w:qFormat/>
    <w:locked/>
    <w:rsid w:val="00E1232E"/>
    <w:pPr>
      <w:spacing w:after="120" w:line="240" w:lineRule="auto"/>
    </w:pPr>
    <w:rPr>
      <w:rFonts w:eastAsia="Times New Roman"/>
      <w:b/>
      <w:sz w:val="20"/>
      <w:szCs w:val="20"/>
      <w:lang w:eastAsia="en-US"/>
    </w:rPr>
  </w:style>
  <w:style w:type="paragraph" w:styleId="TOC2">
    <w:name w:val="toc 2"/>
    <w:basedOn w:val="TOC1"/>
    <w:next w:val="Normal"/>
    <w:autoRedefine/>
    <w:uiPriority w:val="39"/>
    <w:semiHidden/>
    <w:unhideWhenUsed/>
    <w:qFormat/>
    <w:locked/>
    <w:rsid w:val="00E1232E"/>
    <w:pPr>
      <w:ind w:left="454"/>
    </w:pPr>
    <w:rPr>
      <w:b w:val="false"/>
    </w:rPr>
  </w:style>
  <w:style w:type="paragraph" w:styleId="TOC3">
    <w:name w:val="toc 3"/>
    <w:basedOn w:val="TOC2"/>
    <w:next w:val="Normal"/>
    <w:autoRedefine/>
    <w:uiPriority w:val="39"/>
    <w:semiHidden/>
    <w:unhideWhenUsed/>
    <w:qFormat/>
    <w:locked/>
    <w:rsid w:val="00E1232E"/>
    <w:pPr>
      <w:spacing w:before="120"/>
    </w:pPr>
  </w:style>
  <w:style w:type="paragraph" w:styleId="TOC4">
    <w:name w:val="toc 4"/>
    <w:basedOn w:val="Normal"/>
    <w:next w:val="Normal"/>
    <w:autoRedefine/>
    <w:uiPriority w:val="39"/>
    <w:semiHidden/>
    <w:unhideWhenUsed/>
    <w:locked/>
    <w:rsid w:val="00E1232E"/>
    <w:pPr>
      <w:keepLines/>
      <w:tabs>
        <w:tab w:val="right" w:leader="dot" w:pos="9071"/>
      </w:tabs>
      <w:overflowPunct w:val="false"/>
      <w:autoSpaceDE w:val="false"/>
      <w:autoSpaceDN w:val="false"/>
      <w:adjustRightInd w:val="false"/>
      <w:spacing w:after="0" w:line="240" w:lineRule="auto"/>
      <w:ind w:left="720"/>
      <w:jc w:val="both"/>
    </w:pPr>
    <w:rPr>
      <w:rFonts w:eastAsia="Times New Roman"/>
      <w:sz w:val="20"/>
      <w:szCs w:val="20"/>
      <w:lang w:eastAsia="en-US"/>
    </w:rPr>
  </w:style>
  <w:style w:type="paragraph" w:styleId="TOC5">
    <w:name w:val="toc 5"/>
    <w:basedOn w:val="Normal"/>
    <w:next w:val="Normal"/>
    <w:autoRedefine/>
    <w:uiPriority w:val="39"/>
    <w:semiHidden/>
    <w:unhideWhenUsed/>
    <w:locked/>
    <w:rsid w:val="00E1232E"/>
    <w:pPr>
      <w:keepLines/>
      <w:tabs>
        <w:tab w:val="right" w:leader="dot" w:pos="9071"/>
      </w:tabs>
      <w:overflowPunct w:val="false"/>
      <w:autoSpaceDE w:val="false"/>
      <w:autoSpaceDN w:val="false"/>
      <w:adjustRightInd w:val="false"/>
      <w:spacing w:before="240" w:after="0" w:line="240" w:lineRule="auto"/>
      <w:ind w:left="960"/>
      <w:jc w:val="both"/>
    </w:pPr>
    <w:rPr>
      <w:rFonts w:eastAsia="Times New Roman"/>
      <w:szCs w:val="20"/>
      <w:lang w:eastAsia="en-US"/>
    </w:rPr>
  </w:style>
  <w:style w:type="paragraph" w:styleId="TOC6">
    <w:name w:val="toc 6"/>
    <w:basedOn w:val="Normal"/>
    <w:next w:val="Normal"/>
    <w:autoRedefine/>
    <w:uiPriority w:val="39"/>
    <w:semiHidden/>
    <w:unhideWhenUsed/>
    <w:locked/>
    <w:rsid w:val="00E1232E"/>
    <w:pPr>
      <w:keepLines/>
      <w:tabs>
        <w:tab w:val="right" w:leader="dot" w:pos="9071"/>
      </w:tabs>
      <w:overflowPunct w:val="false"/>
      <w:autoSpaceDE w:val="false"/>
      <w:autoSpaceDN w:val="false"/>
      <w:adjustRightInd w:val="false"/>
      <w:spacing w:before="240" w:after="0" w:line="240" w:lineRule="auto"/>
      <w:ind w:left="1200"/>
      <w:jc w:val="both"/>
    </w:pPr>
    <w:rPr>
      <w:rFonts w:ascii="Times New Roman" w:hAnsi="Times New Roman" w:eastAsia="Times New Roman"/>
      <w:szCs w:val="20"/>
      <w:lang w:eastAsia="en-US"/>
    </w:rPr>
  </w:style>
  <w:style w:type="paragraph" w:styleId="TOC7">
    <w:name w:val="toc 7"/>
    <w:basedOn w:val="Normal"/>
    <w:next w:val="Normal"/>
    <w:autoRedefine/>
    <w:uiPriority w:val="39"/>
    <w:semiHidden/>
    <w:unhideWhenUsed/>
    <w:locked/>
    <w:rsid w:val="00E1232E"/>
    <w:pPr>
      <w:keepLines/>
      <w:tabs>
        <w:tab w:val="right" w:leader="dot" w:pos="9071"/>
      </w:tabs>
      <w:overflowPunct w:val="false"/>
      <w:autoSpaceDE w:val="false"/>
      <w:autoSpaceDN w:val="false"/>
      <w:adjustRightInd w:val="false"/>
      <w:spacing w:before="240" w:after="0" w:line="240" w:lineRule="auto"/>
      <w:ind w:left="1440"/>
      <w:jc w:val="both"/>
    </w:pPr>
    <w:rPr>
      <w:rFonts w:ascii="Times New Roman" w:hAnsi="Times New Roman" w:eastAsia="Times New Roman"/>
      <w:szCs w:val="20"/>
      <w:lang w:eastAsia="en-US"/>
    </w:rPr>
  </w:style>
  <w:style w:type="paragraph" w:styleId="TOC8">
    <w:name w:val="toc 8"/>
    <w:basedOn w:val="Normal"/>
    <w:next w:val="Normal"/>
    <w:autoRedefine/>
    <w:uiPriority w:val="39"/>
    <w:semiHidden/>
    <w:unhideWhenUsed/>
    <w:locked/>
    <w:rsid w:val="00E1232E"/>
    <w:pPr>
      <w:keepLines/>
      <w:tabs>
        <w:tab w:val="right" w:leader="dot" w:pos="9071"/>
      </w:tabs>
      <w:overflowPunct w:val="false"/>
      <w:autoSpaceDE w:val="false"/>
      <w:autoSpaceDN w:val="false"/>
      <w:adjustRightInd w:val="false"/>
      <w:spacing w:before="240" w:after="0" w:line="240" w:lineRule="auto"/>
      <w:ind w:left="1680"/>
      <w:jc w:val="both"/>
    </w:pPr>
    <w:rPr>
      <w:rFonts w:ascii="Times New Roman" w:hAnsi="Times New Roman" w:eastAsia="Times New Roman"/>
      <w:szCs w:val="20"/>
      <w:lang w:eastAsia="en-US"/>
    </w:rPr>
  </w:style>
  <w:style w:type="paragraph" w:styleId="TOC9">
    <w:name w:val="toc 9"/>
    <w:basedOn w:val="Normal"/>
    <w:next w:val="Normal"/>
    <w:autoRedefine/>
    <w:uiPriority w:val="39"/>
    <w:semiHidden/>
    <w:unhideWhenUsed/>
    <w:locked/>
    <w:rsid w:val="00E1232E"/>
    <w:pPr>
      <w:keepLines/>
      <w:tabs>
        <w:tab w:val="right" w:leader="dot" w:pos="9071"/>
      </w:tabs>
      <w:overflowPunct w:val="false"/>
      <w:autoSpaceDE w:val="false"/>
      <w:autoSpaceDN w:val="false"/>
      <w:adjustRightInd w:val="false"/>
      <w:spacing w:before="240" w:after="0" w:line="240" w:lineRule="auto"/>
      <w:ind w:left="1920"/>
      <w:jc w:val="both"/>
    </w:pPr>
    <w:rPr>
      <w:rFonts w:ascii="Times New Roman" w:hAnsi="Times New Roman" w:eastAsia="Times New Roman"/>
      <w:szCs w:val="20"/>
      <w:lang w:eastAsia="en-US"/>
    </w:rPr>
  </w:style>
  <w:style w:type="paragraph" w:styleId="FootnoteText">
    <w:name w:val="footnote text"/>
    <w:basedOn w:val="Normal"/>
    <w:link w:val="FootnoteTextChar"/>
    <w:uiPriority w:val="99"/>
    <w:unhideWhenUsed/>
    <w:locked/>
    <w:rsid w:val="00E1232E"/>
    <w:pPr>
      <w:spacing w:after="0" w:line="240" w:lineRule="auto"/>
    </w:pPr>
    <w:rPr>
      <w:rFonts w:asciiTheme="minorHAnsi" w:hAnsiTheme="minorHAnsi" w:eastAsiaTheme="minorEastAsia" w:cstheme="minorBidi"/>
      <w:sz w:val="20"/>
      <w:szCs w:val="20"/>
      <w:lang w:val="en-US" w:eastAsia="ja-JP"/>
    </w:rPr>
  </w:style>
  <w:style w:type="character" w:styleId="FootnoteTextChar" w:customStyle="true">
    <w:name w:val="Footnote Text Char"/>
    <w:basedOn w:val="DefaultParagraphFont"/>
    <w:link w:val="FootnoteText"/>
    <w:uiPriority w:val="99"/>
    <w:rsid w:val="00E1232E"/>
    <w:rPr>
      <w:rFonts w:asciiTheme="minorHAnsi" w:hAnsiTheme="minorHAnsi" w:eastAsiaTheme="minorEastAsia" w:cstheme="minorBidi"/>
      <w:sz w:val="20"/>
      <w:szCs w:val="20"/>
      <w:lang w:val="en-US" w:eastAsia="ja-JP"/>
    </w:rPr>
  </w:style>
  <w:style w:type="paragraph" w:styleId="CommentText">
    <w:name w:val="annotation text"/>
    <w:basedOn w:val="Normal"/>
    <w:link w:val="CommentTextChar"/>
    <w:uiPriority w:val="99"/>
    <w:semiHidden/>
    <w:unhideWhenUsed/>
    <w:locked/>
    <w:rsid w:val="00E1232E"/>
    <w:pPr>
      <w:spacing w:before="240" w:after="120" w:line="300" w:lineRule="auto"/>
    </w:pPr>
    <w:rPr>
      <w:rFonts w:eastAsia="Times New Roman"/>
      <w:sz w:val="20"/>
      <w:szCs w:val="20"/>
      <w:lang w:eastAsia="en-US"/>
    </w:rPr>
  </w:style>
  <w:style w:type="character" w:styleId="CommentTextChar" w:customStyle="true">
    <w:name w:val="Comment Text Char"/>
    <w:basedOn w:val="DefaultParagraphFont"/>
    <w:link w:val="CommentText"/>
    <w:uiPriority w:val="99"/>
    <w:semiHidden/>
    <w:rsid w:val="00E1232E"/>
    <w:rPr>
      <w:rFonts w:eastAsia="Times New Roman"/>
      <w:sz w:val="20"/>
      <w:szCs w:val="20"/>
      <w:lang w:eastAsia="en-US"/>
    </w:rPr>
  </w:style>
  <w:style w:type="paragraph" w:styleId="Header">
    <w:name w:val="header"/>
    <w:basedOn w:val="Normal"/>
    <w:link w:val="HeaderChar"/>
    <w:uiPriority w:val="99"/>
    <w:semiHidden/>
    <w:unhideWhenUsed/>
    <w:locked/>
    <w:rsid w:val="00E1232E"/>
    <w:pPr>
      <w:tabs>
        <w:tab w:val="center" w:pos="4153"/>
        <w:tab w:val="right" w:pos="8306"/>
      </w:tabs>
      <w:spacing w:before="240" w:after="120" w:line="300" w:lineRule="auto"/>
    </w:pPr>
    <w:rPr>
      <w:rFonts w:eastAsia="Times New Roman"/>
      <w:sz w:val="20"/>
      <w:szCs w:val="20"/>
      <w:lang w:eastAsia="en-US"/>
    </w:rPr>
  </w:style>
  <w:style w:type="character" w:styleId="HeaderChar" w:customStyle="true">
    <w:name w:val="Header Char"/>
    <w:basedOn w:val="DefaultParagraphFont"/>
    <w:link w:val="Header"/>
    <w:uiPriority w:val="99"/>
    <w:semiHidden/>
    <w:rsid w:val="00E1232E"/>
    <w:rPr>
      <w:rFonts w:eastAsia="Times New Roman"/>
      <w:sz w:val="20"/>
      <w:szCs w:val="20"/>
      <w:lang w:eastAsia="en-US"/>
    </w:rPr>
  </w:style>
  <w:style w:type="paragraph" w:styleId="Footer">
    <w:name w:val="footer"/>
    <w:basedOn w:val="Normal"/>
    <w:link w:val="FooterChar"/>
    <w:uiPriority w:val="99"/>
    <w:semiHidden/>
    <w:unhideWhenUsed/>
    <w:locked/>
    <w:rsid w:val="00E1232E"/>
    <w:pPr>
      <w:tabs>
        <w:tab w:val="center" w:pos="4153"/>
        <w:tab w:val="right" w:pos="8306"/>
      </w:tabs>
      <w:spacing w:before="240" w:after="120" w:line="300" w:lineRule="auto"/>
    </w:pPr>
    <w:rPr>
      <w:rFonts w:eastAsia="Times New Roman"/>
      <w:sz w:val="20"/>
      <w:szCs w:val="20"/>
      <w:lang w:eastAsia="en-US"/>
    </w:rPr>
  </w:style>
  <w:style w:type="character" w:styleId="FooterChar" w:customStyle="true">
    <w:name w:val="Footer Char"/>
    <w:basedOn w:val="DefaultParagraphFont"/>
    <w:link w:val="Footer"/>
    <w:uiPriority w:val="99"/>
    <w:semiHidden/>
    <w:rsid w:val="00E1232E"/>
    <w:rPr>
      <w:rFonts w:eastAsia="Times New Roman"/>
      <w:sz w:val="20"/>
      <w:szCs w:val="20"/>
      <w:lang w:eastAsia="en-US"/>
    </w:rPr>
  </w:style>
  <w:style w:type="paragraph" w:styleId="IndexHeading">
    <w:name w:val="index heading"/>
    <w:basedOn w:val="Normal"/>
    <w:next w:val="Index1"/>
    <w:uiPriority w:val="99"/>
    <w:unhideWhenUsed/>
    <w:locked/>
    <w:rsid w:val="00E1232E"/>
    <w:pPr>
      <w:keepLines/>
      <w:overflowPunct w:val="false"/>
      <w:autoSpaceDE w:val="false"/>
      <w:autoSpaceDN w:val="false"/>
      <w:adjustRightInd w:val="false"/>
      <w:spacing w:before="240" w:after="0" w:line="240" w:lineRule="auto"/>
      <w:jc w:val="both"/>
    </w:pPr>
    <w:rPr>
      <w:rFonts w:ascii="Times New Roman" w:hAnsi="Times New Roman" w:eastAsia="Times New Roman"/>
      <w:szCs w:val="20"/>
      <w:lang w:eastAsia="en-US"/>
    </w:rPr>
  </w:style>
  <w:style w:type="paragraph" w:styleId="Caption">
    <w:name w:val="caption"/>
    <w:basedOn w:val="Normal"/>
    <w:next w:val="Normal"/>
    <w:uiPriority w:val="99"/>
    <w:semiHidden/>
    <w:unhideWhenUsed/>
    <w:qFormat/>
    <w:locked/>
    <w:rsid w:val="00E1232E"/>
    <w:pPr>
      <w:keepLines/>
      <w:tabs>
        <w:tab w:val="left" w:pos="1134"/>
      </w:tabs>
      <w:overflowPunct w:val="false"/>
      <w:autoSpaceDE w:val="false"/>
      <w:autoSpaceDN w:val="false"/>
      <w:adjustRightInd w:val="false"/>
      <w:spacing w:before="240" w:after="0" w:line="240" w:lineRule="auto"/>
      <w:ind w:left="567"/>
      <w:jc w:val="center"/>
    </w:pPr>
    <w:rPr>
      <w:rFonts w:ascii="Times New Roman" w:hAnsi="Times New Roman" w:eastAsia="Times New Roman"/>
      <w:i/>
      <w:iCs/>
      <w:sz w:val="20"/>
      <w:szCs w:val="20"/>
      <w:lang w:eastAsia="en-US"/>
    </w:rPr>
  </w:style>
  <w:style w:type="paragraph" w:styleId="ListBullet">
    <w:name w:val="List Bullet"/>
    <w:basedOn w:val="Normal"/>
    <w:uiPriority w:val="99"/>
    <w:semiHidden/>
    <w:unhideWhenUsed/>
    <w:locked/>
    <w:rsid w:val="00E1232E"/>
    <w:pPr>
      <w:numPr>
        <w:numId w:val="7"/>
      </w:numPr>
      <w:spacing w:before="60" w:after="60" w:line="300" w:lineRule="auto"/>
    </w:pPr>
    <w:rPr>
      <w:rFonts w:ascii="Arial(W1)" w:hAnsi="Arial(W1)" w:eastAsia="Times New Roman"/>
      <w:sz w:val="20"/>
      <w:szCs w:val="22"/>
      <w:lang w:eastAsia="en-US"/>
    </w:rPr>
  </w:style>
  <w:style w:type="character" w:styleId="BodyTextChar" w:customStyle="true">
    <w:name w:val="Body Text Char"/>
    <w:aliases w:val="bt Char,Heading 3 text Char,Heading 3 text1 Char,Heading 3 text2 Char,Heading 3 text3 Char,Heading 3 text4 Char"/>
    <w:basedOn w:val="DefaultParagraphFont"/>
    <w:link w:val="BodyText"/>
    <w:locked/>
    <w:rsid w:val="00E1232E"/>
    <w:rPr>
      <w:rFonts w:cs="Arial"/>
      <w:lang w:eastAsia="en-US"/>
    </w:rPr>
  </w:style>
  <w:style w:type="paragraph" w:styleId="BodyText">
    <w:name w:val="Body Text"/>
    <w:aliases w:val="bt,Heading 3 text,Heading 3 text1,Heading 3 text2,Heading 3 text3,Heading 3 text4"/>
    <w:basedOn w:val="Normal"/>
    <w:link w:val="BodyTextChar"/>
    <w:unhideWhenUsed/>
    <w:rsid w:val="00E1232E"/>
    <w:pPr>
      <w:spacing w:before="240" w:after="120" w:line="300" w:lineRule="auto"/>
    </w:pPr>
    <w:rPr>
      <w:rFonts w:cs="Arial"/>
      <w:lang w:eastAsia="en-US"/>
    </w:rPr>
  </w:style>
  <w:style w:type="character" w:styleId="BodyTextChar1" w:customStyle="true">
    <w:name w:val="Body Text Char1"/>
    <w:aliases w:val="bt Char1,Heading 3 text Char1,Heading 3 text1 Char1,Heading 3 text2 Char1,Heading 3 text3 Char1,Heading 3 text4 Char1"/>
    <w:basedOn w:val="DefaultParagraphFont"/>
    <w:semiHidden/>
    <w:rsid w:val="00E1232E"/>
  </w:style>
  <w:style w:type="paragraph" w:styleId="BodyTextIndent">
    <w:name w:val="Body Text Indent"/>
    <w:basedOn w:val="Normal"/>
    <w:link w:val="BodyTextIndentChar"/>
    <w:uiPriority w:val="99"/>
    <w:semiHidden/>
    <w:unhideWhenUsed/>
    <w:rsid w:val="00E1232E"/>
    <w:pPr>
      <w:spacing w:before="240" w:after="120" w:line="300" w:lineRule="auto"/>
      <w:ind w:left="283"/>
    </w:pPr>
    <w:rPr>
      <w:rFonts w:eastAsia="Times New Roman"/>
      <w:sz w:val="20"/>
      <w:szCs w:val="20"/>
      <w:lang w:eastAsia="en-US"/>
    </w:rPr>
  </w:style>
  <w:style w:type="character" w:styleId="BodyTextIndentChar" w:customStyle="true">
    <w:name w:val="Body Text Indent Char"/>
    <w:basedOn w:val="DefaultParagraphFont"/>
    <w:link w:val="BodyTextIndent"/>
    <w:uiPriority w:val="99"/>
    <w:semiHidden/>
    <w:rsid w:val="00E1232E"/>
    <w:rPr>
      <w:rFonts w:eastAsia="Times New Roman"/>
      <w:sz w:val="20"/>
      <w:szCs w:val="20"/>
      <w:lang w:eastAsia="en-US"/>
    </w:rPr>
  </w:style>
  <w:style w:type="paragraph" w:styleId="BodyText2">
    <w:name w:val="Body Text 2"/>
    <w:basedOn w:val="Normal"/>
    <w:link w:val="BodyText2Char"/>
    <w:uiPriority w:val="99"/>
    <w:semiHidden/>
    <w:unhideWhenUsed/>
    <w:rsid w:val="00E1232E"/>
    <w:pPr>
      <w:spacing w:before="240" w:after="120" w:line="480" w:lineRule="auto"/>
    </w:pPr>
    <w:rPr>
      <w:rFonts w:eastAsia="Times New Roman"/>
      <w:sz w:val="20"/>
      <w:szCs w:val="20"/>
      <w:lang w:eastAsia="en-US"/>
    </w:rPr>
  </w:style>
  <w:style w:type="character" w:styleId="BodyText2Char" w:customStyle="true">
    <w:name w:val="Body Text 2 Char"/>
    <w:basedOn w:val="DefaultParagraphFont"/>
    <w:link w:val="BodyText2"/>
    <w:uiPriority w:val="99"/>
    <w:semiHidden/>
    <w:rsid w:val="00E1232E"/>
    <w:rPr>
      <w:rFonts w:eastAsia="Times New Roman"/>
      <w:sz w:val="20"/>
      <w:szCs w:val="20"/>
      <w:lang w:eastAsia="en-US"/>
    </w:rPr>
  </w:style>
  <w:style w:type="paragraph" w:styleId="BodyText3">
    <w:name w:val="Body Text 3"/>
    <w:basedOn w:val="Normal"/>
    <w:link w:val="BodyText3Char"/>
    <w:uiPriority w:val="99"/>
    <w:semiHidden/>
    <w:unhideWhenUsed/>
    <w:rsid w:val="00E1232E"/>
    <w:pPr>
      <w:spacing w:before="240" w:after="120" w:line="300" w:lineRule="auto"/>
    </w:pPr>
    <w:rPr>
      <w:rFonts w:eastAsia="Times New Roman"/>
      <w:sz w:val="16"/>
      <w:szCs w:val="16"/>
      <w:lang w:eastAsia="en-US"/>
    </w:rPr>
  </w:style>
  <w:style w:type="character" w:styleId="BodyText3Char" w:customStyle="true">
    <w:name w:val="Body Text 3 Char"/>
    <w:basedOn w:val="DefaultParagraphFont"/>
    <w:link w:val="BodyText3"/>
    <w:uiPriority w:val="99"/>
    <w:semiHidden/>
    <w:rsid w:val="00E1232E"/>
    <w:rPr>
      <w:rFonts w:eastAsia="Times New Roman"/>
      <w:sz w:val="16"/>
      <w:szCs w:val="16"/>
      <w:lang w:eastAsia="en-US"/>
    </w:rPr>
  </w:style>
  <w:style w:type="paragraph" w:styleId="BodyTextIndent2">
    <w:name w:val="Body Text Indent 2"/>
    <w:basedOn w:val="Normal"/>
    <w:link w:val="BodyTextIndent2Char"/>
    <w:uiPriority w:val="99"/>
    <w:unhideWhenUsed/>
    <w:locked/>
    <w:rsid w:val="00E1232E"/>
    <w:pPr>
      <w:spacing w:before="240" w:after="120" w:line="480" w:lineRule="auto"/>
      <w:ind w:left="283"/>
    </w:pPr>
    <w:rPr>
      <w:rFonts w:eastAsia="Times New Roman"/>
      <w:sz w:val="20"/>
      <w:szCs w:val="20"/>
      <w:lang w:eastAsia="en-US"/>
    </w:rPr>
  </w:style>
  <w:style w:type="character" w:styleId="BodyTextIndent2Char" w:customStyle="true">
    <w:name w:val="Body Text Indent 2 Char"/>
    <w:basedOn w:val="DefaultParagraphFont"/>
    <w:link w:val="BodyTextIndent2"/>
    <w:uiPriority w:val="99"/>
    <w:rsid w:val="00E1232E"/>
    <w:rPr>
      <w:rFonts w:eastAsia="Times New Roman"/>
      <w:sz w:val="20"/>
      <w:szCs w:val="20"/>
      <w:lang w:eastAsia="en-US"/>
    </w:rPr>
  </w:style>
  <w:style w:type="paragraph" w:styleId="BodyTextIndent3">
    <w:name w:val="Body Text Indent 3"/>
    <w:basedOn w:val="Normal"/>
    <w:link w:val="BodyTextIndent3Char"/>
    <w:uiPriority w:val="99"/>
    <w:semiHidden/>
    <w:unhideWhenUsed/>
    <w:locked/>
    <w:rsid w:val="00E1232E"/>
    <w:pPr>
      <w:spacing w:before="240" w:after="120" w:line="300" w:lineRule="auto"/>
      <w:ind w:left="283"/>
    </w:pPr>
    <w:rPr>
      <w:rFonts w:eastAsia="Times New Roman"/>
      <w:sz w:val="16"/>
      <w:szCs w:val="16"/>
      <w:lang w:eastAsia="en-US"/>
    </w:rPr>
  </w:style>
  <w:style w:type="character" w:styleId="BodyTextIndent3Char" w:customStyle="true">
    <w:name w:val="Body Text Indent 3 Char"/>
    <w:basedOn w:val="DefaultParagraphFont"/>
    <w:link w:val="BodyTextIndent3"/>
    <w:uiPriority w:val="99"/>
    <w:semiHidden/>
    <w:rsid w:val="00E1232E"/>
    <w:rPr>
      <w:rFonts w:eastAsia="Times New Roman"/>
      <w:sz w:val="16"/>
      <w:szCs w:val="16"/>
      <w:lang w:eastAsia="en-US"/>
    </w:rPr>
  </w:style>
  <w:style w:type="paragraph" w:styleId="PlainText">
    <w:name w:val="Plain Text"/>
    <w:basedOn w:val="Normal"/>
    <w:link w:val="PlainTextChar"/>
    <w:uiPriority w:val="99"/>
    <w:semiHidden/>
    <w:unhideWhenUsed/>
    <w:locked/>
    <w:rsid w:val="00E1232E"/>
    <w:pPr>
      <w:spacing w:after="0" w:line="240" w:lineRule="auto"/>
    </w:pPr>
    <w:rPr>
      <w:rFonts w:ascii="Courier New" w:hAnsi="Courier New" w:eastAsia="Times New Roman" w:cs="Courier New"/>
      <w:sz w:val="20"/>
      <w:szCs w:val="20"/>
      <w:lang w:eastAsia="en-US"/>
    </w:rPr>
  </w:style>
  <w:style w:type="character" w:styleId="PlainTextChar" w:customStyle="true">
    <w:name w:val="Plain Text Char"/>
    <w:basedOn w:val="DefaultParagraphFont"/>
    <w:link w:val="PlainText"/>
    <w:uiPriority w:val="99"/>
    <w:semiHidden/>
    <w:rsid w:val="00E1232E"/>
    <w:rPr>
      <w:rFonts w:ascii="Courier New" w:hAnsi="Courier New" w:eastAsia="Times New Roman" w:cs="Courier New"/>
      <w:sz w:val="20"/>
      <w:szCs w:val="20"/>
      <w:lang w:eastAsia="en-US"/>
    </w:rPr>
  </w:style>
  <w:style w:type="paragraph" w:styleId="CommentSubject">
    <w:name w:val="annotation subject"/>
    <w:basedOn w:val="CommentText"/>
    <w:next w:val="CommentText"/>
    <w:link w:val="CommentSubjectChar"/>
    <w:uiPriority w:val="99"/>
    <w:semiHidden/>
    <w:unhideWhenUsed/>
    <w:locked/>
    <w:rsid w:val="00E1232E"/>
    <w:rPr>
      <w:b/>
      <w:bCs/>
    </w:rPr>
  </w:style>
  <w:style w:type="character" w:styleId="CommentSubjectChar" w:customStyle="true">
    <w:name w:val="Comment Subject Char"/>
    <w:basedOn w:val="CommentTextChar"/>
    <w:link w:val="CommentSubject"/>
    <w:uiPriority w:val="99"/>
    <w:semiHidden/>
    <w:rsid w:val="00E1232E"/>
    <w:rPr>
      <w:rFonts w:eastAsia="Times New Roman"/>
      <w:b/>
      <w:bCs/>
      <w:sz w:val="20"/>
      <w:szCs w:val="20"/>
      <w:lang w:eastAsia="en-US"/>
    </w:rPr>
  </w:style>
  <w:style w:type="paragraph" w:styleId="ListParagraph">
    <w:name w:val="List Paragraph"/>
    <w:basedOn w:val="Normal"/>
    <w:uiPriority w:val="34"/>
    <w:qFormat/>
    <w:locked/>
    <w:rsid w:val="00E1232E"/>
    <w:pPr>
      <w:spacing w:after="0" w:line="240" w:lineRule="auto"/>
      <w:ind w:left="720"/>
      <w:contextualSpacing/>
    </w:pPr>
    <w:rPr>
      <w:rFonts w:eastAsia="Times New Roman"/>
      <w:sz w:val="20"/>
      <w:lang w:eastAsia="en-US"/>
    </w:rPr>
  </w:style>
  <w:style w:type="paragraph" w:styleId="TOCHeading">
    <w:name w:val="TOC Heading"/>
    <w:basedOn w:val="Heading1"/>
    <w:next w:val="Normal"/>
    <w:uiPriority w:val="39"/>
    <w:semiHidden/>
    <w:unhideWhenUsed/>
    <w:qFormat/>
    <w:locked/>
    <w:rsid w:val="00E1232E"/>
    <w:pPr>
      <w:keepLines/>
      <w:spacing w:before="480" w:after="0"/>
      <w:outlineLvl w:val="9"/>
    </w:pPr>
    <w:rPr>
      <w:color w:val="365F91" w:themeColor="accent1" w:themeShade="BF"/>
      <w:kern w:val="0"/>
      <w:sz w:val="28"/>
      <w:szCs w:val="28"/>
      <w:lang w:val="en-US" w:eastAsia="ja-JP"/>
    </w:rPr>
  </w:style>
  <w:style w:type="paragraph" w:styleId="HeaderFooter" w:customStyle="true">
    <w:name w:val="Header/Footer"/>
    <w:basedOn w:val="Normal"/>
    <w:uiPriority w:val="99"/>
    <w:semiHidden/>
    <w:rsid w:val="00E1232E"/>
    <w:pPr>
      <w:spacing w:after="0" w:line="240" w:lineRule="auto"/>
      <w:jc w:val="right"/>
    </w:pPr>
    <w:rPr>
      <w:rFonts w:ascii="Arial (W1)" w:hAnsi="Arial (W1)" w:eastAsia="Times New Roman"/>
      <w:b/>
      <w:sz w:val="16"/>
      <w:szCs w:val="20"/>
      <w:lang w:eastAsia="en-US"/>
    </w:rPr>
  </w:style>
  <w:style w:type="paragraph" w:styleId="ListBulletIndent" w:customStyle="true">
    <w:name w:val="List Bullet Indent"/>
    <w:basedOn w:val="ListBullet"/>
    <w:uiPriority w:val="99"/>
    <w:semiHidden/>
    <w:rsid w:val="00E1232E"/>
    <w:pPr>
      <w:numPr>
        <w:numId w:val="8"/>
      </w:numPr>
    </w:pPr>
  </w:style>
  <w:style w:type="paragraph" w:styleId="TableText" w:customStyle="true">
    <w:name w:val="Table Text"/>
    <w:basedOn w:val="Normal"/>
    <w:uiPriority w:val="99"/>
    <w:semiHidden/>
    <w:rsid w:val="00E1232E"/>
    <w:pPr>
      <w:spacing w:before="60" w:after="60" w:line="300" w:lineRule="auto"/>
    </w:pPr>
    <w:rPr>
      <w:rFonts w:eastAsia="Times New Roman" w:cs="Arial"/>
      <w:sz w:val="20"/>
      <w:szCs w:val="20"/>
      <w:lang w:eastAsia="en-US"/>
    </w:rPr>
  </w:style>
  <w:style w:type="paragraph" w:styleId="Guidance" w:customStyle="true">
    <w:name w:val="Guidance"/>
    <w:basedOn w:val="BodyText"/>
    <w:uiPriority w:val="99"/>
    <w:semiHidden/>
    <w:rsid w:val="00E1232E"/>
    <w:pPr>
      <w:pBdr>
        <w:top w:val="single" w:color="auto" w:sz="4" w:space="6"/>
        <w:left w:val="single" w:color="auto" w:sz="4" w:space="6"/>
        <w:bottom w:val="single" w:color="auto" w:sz="4" w:space="6"/>
        <w:right w:val="single" w:color="auto" w:sz="4" w:space="6"/>
      </w:pBdr>
      <w:spacing w:before="0" w:after="0" w:line="240" w:lineRule="auto"/>
      <w:ind w:left="851"/>
    </w:pPr>
    <w:rPr>
      <w:rFonts w:ascii="Times New Roman" w:hAnsi="Times New Roman"/>
      <w:i/>
    </w:rPr>
  </w:style>
  <w:style w:type="paragraph" w:styleId="Tabletext0" w:customStyle="true">
    <w:name w:val="Table text"/>
    <w:basedOn w:val="Normal"/>
    <w:uiPriority w:val="99"/>
    <w:semiHidden/>
    <w:rsid w:val="00E1232E"/>
    <w:pPr>
      <w:spacing w:before="60" w:after="60" w:line="300" w:lineRule="auto"/>
    </w:pPr>
    <w:rPr>
      <w:rFonts w:eastAsia="Times New Roman" w:cs="Arial"/>
      <w:sz w:val="18"/>
      <w:szCs w:val="20"/>
      <w:lang w:eastAsia="en-US"/>
    </w:rPr>
  </w:style>
  <w:style w:type="paragraph" w:styleId="ListwithBullet" w:customStyle="true">
    <w:name w:val="List with Bullet"/>
    <w:basedOn w:val="Normal"/>
    <w:uiPriority w:val="99"/>
    <w:semiHidden/>
    <w:rsid w:val="00E1232E"/>
    <w:pPr>
      <w:numPr>
        <w:numId w:val="9"/>
      </w:numPr>
      <w:spacing w:after="0" w:line="300" w:lineRule="auto"/>
    </w:pPr>
    <w:rPr>
      <w:rFonts w:eastAsia="Times New Roman"/>
      <w:sz w:val="20"/>
      <w:szCs w:val="20"/>
      <w:lang w:eastAsia="en-US"/>
    </w:rPr>
  </w:style>
  <w:style w:type="paragraph" w:styleId="ListwithBulletinTable" w:customStyle="true">
    <w:name w:val="List with Bullet in Table"/>
    <w:basedOn w:val="ListwithBullet"/>
    <w:uiPriority w:val="99"/>
    <w:semiHidden/>
    <w:qFormat/>
    <w:rsid w:val="00E1232E"/>
    <w:rPr>
      <w:szCs w:val="22"/>
    </w:rPr>
  </w:style>
  <w:style w:type="paragraph" w:styleId="DBRNumbering" w:customStyle="true">
    <w:name w:val="DBR Numbering"/>
    <w:basedOn w:val="TableText"/>
    <w:uiPriority w:val="99"/>
    <w:semiHidden/>
    <w:qFormat/>
    <w:rsid w:val="00E1232E"/>
    <w:pPr>
      <w:numPr>
        <w:numId w:val="10"/>
      </w:numPr>
      <w:spacing w:line="240" w:lineRule="auto"/>
    </w:pPr>
  </w:style>
  <w:style w:type="paragraph" w:styleId="NFRNumbering" w:customStyle="true">
    <w:name w:val="NFR Numbering"/>
    <w:basedOn w:val="DBRNumbering"/>
    <w:uiPriority w:val="99"/>
    <w:semiHidden/>
    <w:qFormat/>
    <w:rsid w:val="00E1232E"/>
    <w:pPr>
      <w:numPr>
        <w:numId w:val="11"/>
      </w:numPr>
    </w:pPr>
    <w:rPr>
      <w:szCs w:val="24"/>
    </w:rPr>
  </w:style>
  <w:style w:type="character" w:styleId="TableHeadingChar" w:customStyle="true">
    <w:name w:val="Table Heading Char"/>
    <w:basedOn w:val="DefaultParagraphFont"/>
    <w:link w:val="TableHeading"/>
    <w:semiHidden/>
    <w:locked/>
    <w:rsid w:val="00E1232E"/>
    <w:rPr>
      <w:rFonts w:ascii="Arial Bold" w:hAnsi="Arial Bold"/>
      <w:b/>
      <w:sz w:val="18"/>
      <w:szCs w:val="22"/>
      <w:lang w:eastAsia="ar-SA"/>
    </w:rPr>
  </w:style>
  <w:style w:type="paragraph" w:styleId="TableHeading" w:customStyle="true">
    <w:name w:val="Table Heading"/>
    <w:basedOn w:val="Normal"/>
    <w:link w:val="TableHeadingChar"/>
    <w:semiHidden/>
    <w:rsid w:val="00E1232E"/>
    <w:pPr>
      <w:keepNext/>
      <w:keepLines/>
      <w:suppressAutoHyphens/>
      <w:spacing w:before="100" w:after="60" w:line="240" w:lineRule="auto"/>
    </w:pPr>
    <w:rPr>
      <w:rFonts w:ascii="Arial Bold" w:hAnsi="Arial Bold"/>
      <w:b/>
      <w:sz w:val="18"/>
      <w:szCs w:val="22"/>
      <w:lang w:eastAsia="ar-SA"/>
    </w:rPr>
  </w:style>
  <w:style w:type="paragraph" w:styleId="TableBullet" w:customStyle="true">
    <w:name w:val="Table Bullet"/>
    <w:basedOn w:val="TableText"/>
    <w:uiPriority w:val="99"/>
    <w:semiHidden/>
    <w:rsid w:val="00E1232E"/>
    <w:pPr>
      <w:numPr>
        <w:numId w:val="12"/>
      </w:numPr>
      <w:spacing w:line="240" w:lineRule="auto"/>
    </w:pPr>
    <w:rPr>
      <w:rFonts w:ascii="Arial (W1)" w:hAnsi="Arial (W1)" w:cs="Times New Roman"/>
      <w:sz w:val="22"/>
    </w:rPr>
  </w:style>
  <w:style w:type="paragraph" w:styleId="Bulletforunderhdr12" w:customStyle="true">
    <w:name w:val="Bullet for under hdr 1 &amp; 2"/>
    <w:basedOn w:val="Normal"/>
    <w:uiPriority w:val="99"/>
    <w:semiHidden/>
    <w:rsid w:val="00E1232E"/>
    <w:pPr>
      <w:numPr>
        <w:numId w:val="13"/>
      </w:numPr>
      <w:spacing w:before="240" w:after="120" w:line="300" w:lineRule="auto"/>
    </w:pPr>
    <w:rPr>
      <w:rFonts w:ascii="Helvetica" w:hAnsi="Helvetica" w:eastAsia="Times New Roman"/>
      <w:sz w:val="20"/>
      <w:szCs w:val="20"/>
      <w:lang w:val="en-GB" w:eastAsia="en-US"/>
    </w:rPr>
  </w:style>
  <w:style w:type="paragraph" w:styleId="Bulletforblueiinfo" w:customStyle="true">
    <w:name w:val="Bullet for blueiinfo"/>
    <w:basedOn w:val="Normal"/>
    <w:uiPriority w:val="99"/>
    <w:semiHidden/>
    <w:rsid w:val="00E1232E"/>
    <w:pPr>
      <w:numPr>
        <w:numId w:val="14"/>
      </w:numPr>
      <w:tabs>
        <w:tab w:val="clear" w:pos="737"/>
        <w:tab w:val="num" w:pos="0"/>
        <w:tab w:val="left" w:pos="1191"/>
      </w:tabs>
      <w:spacing w:before="240" w:after="120" w:line="300" w:lineRule="auto"/>
      <w:ind w:left="1191" w:hanging="454"/>
      <w:jc w:val="both"/>
    </w:pPr>
    <w:rPr>
      <w:rFonts w:eastAsia="Times New Roman"/>
      <w:i/>
      <w:color w:val="0000FF"/>
      <w:sz w:val="20"/>
      <w:szCs w:val="20"/>
      <w:lang w:val="en-GB" w:eastAsia="en-US"/>
    </w:rPr>
  </w:style>
  <w:style w:type="paragraph" w:styleId="TableNormal1" w:customStyle="true">
    <w:name w:val="Table Normal1"/>
    <w:basedOn w:val="Normal"/>
    <w:uiPriority w:val="99"/>
    <w:semiHidden/>
    <w:rsid w:val="00E1232E"/>
    <w:pPr>
      <w:keepNext/>
      <w:keepLines/>
      <w:spacing w:before="60" w:after="60" w:line="240" w:lineRule="auto"/>
    </w:pPr>
    <w:rPr>
      <w:rFonts w:eastAsia="Times New Roman"/>
      <w:sz w:val="18"/>
      <w:szCs w:val="22"/>
      <w:lang w:eastAsia="en-US"/>
    </w:rPr>
  </w:style>
  <w:style w:type="paragraph" w:styleId="TableHeadingCentre" w:customStyle="true">
    <w:name w:val="Table Heading Centre"/>
    <w:basedOn w:val="TableHeading"/>
    <w:uiPriority w:val="99"/>
    <w:semiHidden/>
    <w:rsid w:val="00E1232E"/>
    <w:pPr>
      <w:suppressAutoHyphens w:val="false"/>
      <w:spacing w:before="60"/>
      <w:jc w:val="center"/>
    </w:pPr>
    <w:rPr>
      <w:rFonts w:ascii="Arial (W1)" w:hAnsi="Arial (W1)"/>
      <w:lang w:eastAsia="en-US"/>
    </w:rPr>
  </w:style>
  <w:style w:type="paragraph" w:styleId="heading2text" w:customStyle="true">
    <w:name w:val="heading 2 text"/>
    <w:basedOn w:val="Normal"/>
    <w:uiPriority w:val="99"/>
    <w:semiHidden/>
    <w:rsid w:val="00E1232E"/>
    <w:pPr>
      <w:overflowPunct w:val="false"/>
      <w:autoSpaceDE w:val="false"/>
      <w:autoSpaceDN w:val="false"/>
      <w:adjustRightInd w:val="false"/>
      <w:spacing w:after="0" w:line="240" w:lineRule="auto"/>
      <w:ind w:left="1134"/>
      <w:jc w:val="both"/>
    </w:pPr>
    <w:rPr>
      <w:rFonts w:ascii="Times New Roman" w:hAnsi="Times New Roman" w:eastAsia="Times New Roman"/>
      <w:szCs w:val="20"/>
      <w:lang w:eastAsia="en-US"/>
    </w:rPr>
  </w:style>
  <w:style w:type="paragraph" w:styleId="ReturnAddress" w:customStyle="true">
    <w:name w:val="Return Address"/>
    <w:basedOn w:val="Normal"/>
    <w:uiPriority w:val="99"/>
    <w:semiHidden/>
    <w:rsid w:val="00E1232E"/>
    <w:pPr>
      <w:keepLines/>
      <w:framePr w:w="5040" w:vSpace="187" w:hSpace="187" w:wrap="notBeside" w:hAnchor="margin" w:vAnchor="page" w:y="966"/>
      <w:widowControl w:val="false"/>
      <w:overflowPunct w:val="false"/>
      <w:autoSpaceDE w:val="false"/>
      <w:autoSpaceDN w:val="false"/>
      <w:adjustRightInd w:val="false"/>
      <w:spacing w:after="0" w:line="200" w:lineRule="atLeast"/>
    </w:pPr>
    <w:rPr>
      <w:rFonts w:eastAsia="Times New Roman"/>
      <w:spacing w:val="-2"/>
      <w:sz w:val="16"/>
      <w:szCs w:val="20"/>
      <w:lang w:val="en-US" w:eastAsia="en-US"/>
    </w:rPr>
  </w:style>
  <w:style w:type="paragraph" w:styleId="Heading1Text" w:customStyle="true">
    <w:name w:val="Heading 1 Text"/>
    <w:basedOn w:val="Normal"/>
    <w:uiPriority w:val="99"/>
    <w:semiHidden/>
    <w:rsid w:val="00E1232E"/>
    <w:pPr>
      <w:overflowPunct w:val="false"/>
      <w:autoSpaceDE w:val="false"/>
      <w:autoSpaceDN w:val="false"/>
      <w:adjustRightInd w:val="false"/>
      <w:spacing w:after="0" w:line="240" w:lineRule="auto"/>
      <w:ind w:left="567"/>
      <w:jc w:val="both"/>
    </w:pPr>
    <w:rPr>
      <w:rFonts w:ascii="Times New Roman" w:hAnsi="Times New Roman" w:eastAsia="Times New Roman"/>
      <w:szCs w:val="20"/>
      <w:lang w:eastAsia="en-US"/>
    </w:rPr>
  </w:style>
  <w:style w:type="paragraph" w:styleId="Bullet" w:customStyle="true">
    <w:name w:val="Bullet"/>
    <w:basedOn w:val="Normal"/>
    <w:uiPriority w:val="99"/>
    <w:semiHidden/>
    <w:rsid w:val="00E1232E"/>
    <w:pPr>
      <w:overflowPunct w:val="false"/>
      <w:autoSpaceDE w:val="false"/>
      <w:autoSpaceDN w:val="false"/>
      <w:adjustRightInd w:val="false"/>
      <w:spacing w:before="120" w:after="0" w:line="240" w:lineRule="auto"/>
      <w:ind w:left="1418" w:hanging="567"/>
      <w:jc w:val="both"/>
    </w:pPr>
    <w:rPr>
      <w:rFonts w:ascii="Times New Roman" w:hAnsi="Times New Roman" w:eastAsia="Times New Roman"/>
      <w:szCs w:val="20"/>
      <w:lang w:eastAsia="en-US"/>
    </w:rPr>
  </w:style>
  <w:style w:type="paragraph" w:styleId="Topic" w:customStyle="true">
    <w:name w:val="Topic"/>
    <w:basedOn w:val="Normal"/>
    <w:next w:val="BodyText"/>
    <w:uiPriority w:val="99"/>
    <w:semiHidden/>
    <w:rsid w:val="00E1232E"/>
    <w:pPr>
      <w:spacing w:before="120" w:after="120" w:line="240" w:lineRule="auto"/>
      <w:ind w:left="425"/>
    </w:pPr>
    <w:rPr>
      <w:rFonts w:eastAsia="Times New Roman"/>
      <w:b/>
      <w:smallCaps/>
      <w:szCs w:val="20"/>
      <w:lang w:val="en-US" w:eastAsia="en-US"/>
    </w:rPr>
  </w:style>
  <w:style w:type="paragraph" w:styleId="AppendixHeading1" w:customStyle="true">
    <w:name w:val="Appendix Heading 1"/>
    <w:basedOn w:val="Heading1"/>
    <w:uiPriority w:val="99"/>
    <w:semiHidden/>
    <w:rsid w:val="00E1232E"/>
    <w:pPr>
      <w:keepLines/>
      <w:pageBreakBefore/>
      <w:tabs>
        <w:tab w:val="left" w:pos="510"/>
      </w:tabs>
      <w:overflowPunct w:val="false"/>
      <w:autoSpaceDE w:val="false"/>
      <w:autoSpaceDN w:val="false"/>
      <w:adjustRightInd w:val="false"/>
      <w:spacing w:after="0" w:line="240" w:lineRule="auto"/>
    </w:pPr>
    <w:rPr>
      <w:rFonts w:ascii="Arial" w:hAnsi="Arial" w:eastAsia="Times New Roman" w:cs="Arial"/>
      <w:bCs w:val="false"/>
      <w:kern w:val="0"/>
      <w:sz w:val="36"/>
      <w:szCs w:val="20"/>
      <w:lang w:val="en-US" w:eastAsia="en-US"/>
    </w:rPr>
  </w:style>
  <w:style w:type="paragraph" w:styleId="AppendixHeading2" w:customStyle="true">
    <w:name w:val="Appendix Heading 2"/>
    <w:basedOn w:val="Heading2"/>
    <w:uiPriority w:val="99"/>
    <w:semiHidden/>
    <w:rsid w:val="00E1232E"/>
    <w:pPr>
      <w:keepNext w:val="false"/>
      <w:numPr>
        <w:ilvl w:val="1"/>
        <w:numId w:val="15"/>
      </w:numPr>
      <w:tabs>
        <w:tab w:val="left" w:pos="0"/>
        <w:tab w:val="left" w:pos="567"/>
        <w:tab w:val="left" w:pos="794"/>
        <w:tab w:val="left" w:pos="1350"/>
      </w:tabs>
      <w:overflowPunct w:val="false"/>
      <w:autoSpaceDE w:val="false"/>
      <w:autoSpaceDN w:val="false"/>
      <w:adjustRightInd w:val="false"/>
      <w:spacing w:before="360" w:after="0" w:line="240" w:lineRule="atLeast"/>
    </w:pPr>
    <w:rPr>
      <w:rFonts w:ascii="Arial" w:hAnsi="Arial" w:eastAsia="Times New Roman" w:cs="Arial"/>
      <w:bCs w:val="false"/>
      <w:i w:val="false"/>
      <w:iCs w:val="false"/>
      <w:szCs w:val="20"/>
      <w:lang w:val="en-US" w:eastAsia="en-US"/>
    </w:rPr>
  </w:style>
  <w:style w:type="paragraph" w:styleId="ruler5" w:customStyle="true">
    <w:name w:val="ruler 5"/>
    <w:basedOn w:val="Normal"/>
    <w:uiPriority w:val="99"/>
    <w:semiHidden/>
    <w:rsid w:val="00E1232E"/>
    <w:pPr>
      <w:tabs>
        <w:tab w:val="left" w:pos="882"/>
        <w:tab w:val="left" w:pos="1857"/>
        <w:tab w:val="left" w:pos="2831"/>
        <w:tab w:val="left" w:pos="6589"/>
      </w:tabs>
      <w:spacing w:after="0" w:line="240" w:lineRule="auto"/>
    </w:pPr>
    <w:rPr>
      <w:rFonts w:ascii="Times" w:hAnsi="Times" w:eastAsia="Times New Roman"/>
      <w:noProof/>
      <w:color w:val="000000"/>
      <w:sz w:val="20"/>
      <w:szCs w:val="20"/>
      <w:lang w:eastAsia="en-US"/>
    </w:rPr>
  </w:style>
  <w:style w:type="paragraph" w:styleId="Normal1" w:customStyle="true">
    <w:name w:val="Normal1"/>
    <w:basedOn w:val="Normal"/>
    <w:uiPriority w:val="99"/>
    <w:semiHidden/>
    <w:rsid w:val="00E1232E"/>
    <w:pPr>
      <w:tabs>
        <w:tab w:val="left" w:pos="-1440"/>
        <w:tab w:val="left" w:pos="-720"/>
        <w:tab w:val="left" w:pos="1"/>
        <w:tab w:val="left" w:pos="1080"/>
        <w:tab w:val="left" w:pos="1800"/>
        <w:tab w:val="left" w:pos="252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suppressAutoHyphens/>
      <w:spacing w:before="120" w:after="0" w:line="240" w:lineRule="auto"/>
      <w:jc w:val="both"/>
    </w:pPr>
    <w:rPr>
      <w:rFonts w:ascii="Times New Roman" w:hAnsi="Times New Roman" w:eastAsia="Times New Roman"/>
      <w:b/>
      <w:spacing w:val="-3"/>
      <w:szCs w:val="20"/>
      <w:lang w:val="en-GB" w:eastAsia="en-US"/>
    </w:rPr>
  </w:style>
  <w:style w:type="paragraph" w:styleId="BulletLast" w:customStyle="true">
    <w:name w:val="Bullet Last"/>
    <w:basedOn w:val="Bullet"/>
    <w:next w:val="Normal"/>
    <w:uiPriority w:val="99"/>
    <w:semiHidden/>
    <w:rsid w:val="00E1232E"/>
    <w:pPr>
      <w:tabs>
        <w:tab w:val="num" w:pos="720"/>
      </w:tabs>
      <w:overflowPunct/>
      <w:autoSpaceDE/>
      <w:autoSpaceDN/>
      <w:adjustRightInd/>
      <w:spacing w:before="0" w:after="240"/>
      <w:ind w:left="648" w:hanging="288"/>
    </w:pPr>
    <w:rPr>
      <w:lang w:val="en-GB"/>
    </w:rPr>
  </w:style>
  <w:style w:type="paragraph" w:styleId="DecimalAligned" w:customStyle="true">
    <w:name w:val="Decimal Aligned"/>
    <w:basedOn w:val="Normal"/>
    <w:uiPriority w:val="40"/>
    <w:semiHidden/>
    <w:qFormat/>
    <w:rsid w:val="00E1232E"/>
    <w:pPr>
      <w:tabs>
        <w:tab w:val="decimal" w:pos="360"/>
      </w:tabs>
    </w:pPr>
    <w:rPr>
      <w:rFonts w:asciiTheme="minorHAnsi" w:hAnsiTheme="minorHAnsi" w:eastAsiaTheme="minorHAnsi" w:cstheme="minorBidi"/>
      <w:sz w:val="20"/>
      <w:szCs w:val="22"/>
      <w:lang w:val="en-US" w:eastAsia="ja-JP"/>
    </w:rPr>
  </w:style>
  <w:style w:type="character" w:styleId="CommentReference">
    <w:name w:val="annotation reference"/>
    <w:basedOn w:val="DefaultParagraphFont"/>
    <w:semiHidden/>
    <w:unhideWhenUsed/>
    <w:locked/>
    <w:rsid w:val="00E1232E"/>
    <w:rPr>
      <w:sz w:val="16"/>
      <w:szCs w:val="16"/>
    </w:rPr>
  </w:style>
  <w:style w:type="character" w:styleId="SubtleEmphasis">
    <w:name w:val="Subtle Emphasis"/>
    <w:basedOn w:val="DefaultParagraphFont"/>
    <w:uiPriority w:val="19"/>
    <w:qFormat/>
    <w:locked/>
    <w:rsid w:val="00E1232E"/>
    <w:rPr>
      <w:i/>
      <w:iCs/>
      <w:color w:val="7F7F7F" w:themeColor="text1" w:themeTint="80"/>
    </w:rPr>
  </w:style>
  <w:style w:type="character" w:styleId="xdtextbox1" w:customStyle="true">
    <w:name w:val="xdtextbox1"/>
    <w:basedOn w:val="DefaultParagraphFont"/>
    <w:rsid w:val="00E1232E"/>
    <w:rPr>
      <w:color w:val="auto"/>
      <w:bdr w:val="single" w:color="DCDCDC" w:sz="8" w:space="1" w:frame="true"/>
      <w:shd w:val="clear" w:color="auto" w:fill="FFFFFF"/>
    </w:rPr>
  </w:style>
  <w:style w:type="table" w:styleId="MediumGrid1-Accent3">
    <w:name w:val="Medium Grid 1 Accent 3"/>
    <w:basedOn w:val="TableNormal"/>
    <w:uiPriority w:val="67"/>
    <w:locked/>
    <w:rsid w:val="00E1232E"/>
    <w:rPr>
      <w:rFonts w:ascii="Times New Roman" w:hAnsi="Times New Roman" w:eastAsia="Times New Roman"/>
      <w:sz w:val="20"/>
      <w:szCs w:val="20"/>
    </w:rPr>
    <w:tblPr>
      <w:tblStyleRowBandSize w:val="1"/>
      <w:tblStyleColBandSize w:val="1"/>
      <w:tblInd w:w="0" w:type="dxa"/>
      <w:tblBorders>
        <w:top w:val="single" w:color="B3CC82" w:themeColor="accent3" w:themeTint="BF" w:sz="8" w:space="0"/>
        <w:left w:val="single" w:color="B3CC82" w:themeColor="accent3" w:themeTint="BF" w:sz="8" w:space="0"/>
        <w:bottom w:val="single" w:color="B3CC82" w:themeColor="accent3" w:themeTint="BF" w:sz="8" w:space="0"/>
        <w:right w:val="single" w:color="B3CC82" w:themeColor="accent3" w:themeTint="BF" w:sz="8" w:space="0"/>
        <w:insideH w:val="single" w:color="B3CC82" w:themeColor="accent3" w:themeTint="BF" w:sz="8" w:space="0"/>
        <w:insideV w:val="single" w:color="B3CC82" w:themeColor="accent3" w:themeTint="BF" w:sz="8" w:space="0"/>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color="B3CC82" w:themeColor="accent3" w:themeTint="BF" w:sz="18" w:space="0"/>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Shading2-Accent5">
    <w:name w:val="Medium Shading 2 Accent 5"/>
    <w:basedOn w:val="TableNormal"/>
    <w:uiPriority w:val="64"/>
    <w:locked/>
    <w:rsid w:val="00E1232E"/>
    <w:rPr>
      <w:rFonts w:asciiTheme="minorHAnsi" w:hAnsiTheme="minorHAnsi" w:eastAsiaTheme="minorEastAsia" w:cstheme="minorBidi"/>
      <w:sz w:val="22"/>
      <w:szCs w:val="22"/>
      <w:lang w:val="en-US" w:eastAsia="ja-JP"/>
    </w:rPr>
    <w:tblPr>
      <w:tblStyleRowBandSize w:val="1"/>
      <w:tblStyleColBandSize w:val="1"/>
      <w:tblInd w:w="0" w:type="dxa"/>
      <w:tblBorders>
        <w:top w:val="single" w:color="auto" w:sz="18" w:space="0"/>
        <w:bottom w:val="single" w:color="auto" w:sz="18" w:space="0"/>
      </w:tblBorders>
      <w:tblCellMar>
        <w:top w:w="0" w:type="dxa"/>
        <w:left w:w="108" w:type="dxa"/>
        <w:bottom w:w="0" w:type="dxa"/>
        <w:right w:w="108" w:type="dxa"/>
      </w:tblCellMar>
    </w:tblPr>
    <w:tblStylePr w:type="firstRow">
      <w:pPr>
        <w:spacing w:before="0" w:beforeLines="0" w:beforeAutospacing="false" w:after="0" w:afterLines="0" w:afterAutospacing="false" w:line="240" w:lineRule="auto"/>
      </w:pPr>
      <w:rPr>
        <w:b/>
        <w:bCs/>
        <w:color w:val="FFFFFF" w:themeColor="background1"/>
      </w:rPr>
      <w:tblPr/>
      <w:tcPr>
        <w:tcBorders>
          <w:top w:val="single" w:color="auto" w:sz="18" w:space="0"/>
          <w:left w:val="nil"/>
          <w:bottom w:val="single" w:color="auto" w:sz="18" w:space="0"/>
          <w:right w:val="nil"/>
          <w:insideH w:val="nil"/>
          <w:insideV w:val="nil"/>
        </w:tcBorders>
        <w:shd w:val="clear" w:color="auto" w:fill="4BACC6" w:themeFill="accent5"/>
      </w:tcPr>
    </w:tblStylePr>
    <w:tblStylePr w:type="lastRow">
      <w:pPr>
        <w:spacing w:before="0" w:beforeLines="0" w:beforeAutospacing="false" w:after="0" w:afterLines="0" w:afterAutospacing="false" w:line="240" w:lineRule="auto"/>
      </w:pPr>
      <w:rPr>
        <w:color w:val="000000"/>
      </w:rPr>
      <w:tblPr/>
      <w:tcPr>
        <w:tcBorders>
          <w:top w:val="double" w:color="auto" w:sz="6" w:space="0"/>
          <w:left w:val="nil"/>
          <w:bottom w:val="single" w:color="auto" w:sz="18" w:space="0"/>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color="auto" w:sz="18" w:space="0"/>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color="auto" w:sz="18" w:space="0"/>
          <w:left w:val="nil"/>
          <w:bottom w:val="single" w:color="auto" w:sz="18" w:space="0"/>
          <w:right w:val="nil"/>
          <w:insideH w:val="nil"/>
          <w:insideV w:val="nil"/>
        </w:tcBorders>
      </w:tcPr>
    </w:tblStylePr>
    <w:tblStylePr w:type="nwCell">
      <w:rPr>
        <w:color w:val="FFFFFF" w:themeColor="background1"/>
      </w:rPr>
      <w:tblPr/>
      <w:tcPr>
        <w:tcBorders>
          <w:top w:val="single" w:color="auto" w:sz="18" w:space="0"/>
          <w:left w:val="nil"/>
          <w:bottom w:val="single" w:color="auto" w:sz="18" w:space="0"/>
          <w:right w:val="nil"/>
          <w:insideH w:val="nil"/>
          <w:insideV w:val="nil"/>
        </w:tcBorders>
      </w:tcPr>
    </w:tblStylePr>
  </w:style>
  <w:style w:type="table" w:styleId="MediumList1-Accent6">
    <w:name w:val="Medium List 1 Accent 6"/>
    <w:basedOn w:val="TableNormal"/>
    <w:uiPriority w:val="65"/>
    <w:locked/>
    <w:rsid w:val="00E1232E"/>
    <w:rPr>
      <w:rFonts w:ascii="Times New Roman" w:hAnsi="Times New Roman" w:eastAsia="Times New Roman"/>
      <w:color w:val="000000" w:themeColor="text1"/>
      <w:sz w:val="20"/>
      <w:szCs w:val="20"/>
    </w:rPr>
    <w:tblPr>
      <w:tblStyleRowBandSize w:val="1"/>
      <w:tblStyleColBandSize w:val="1"/>
      <w:tblInd w:w="0" w:type="dxa"/>
      <w:tblBorders>
        <w:top w:val="single" w:color="F79646" w:themeColor="accent6" w:sz="8" w:space="0"/>
        <w:bottom w:val="single" w:color="F79646" w:themeColor="accent6" w:sz="8" w:space="0"/>
      </w:tblBorders>
      <w:tblCellMar>
        <w:top w:w="0" w:type="dxa"/>
        <w:left w:w="108" w:type="dxa"/>
        <w:bottom w:w="0" w:type="dxa"/>
        <w:right w:w="108" w:type="dxa"/>
      </w:tblCellMar>
    </w:tblPr>
    <w:tblStylePr w:type="firstRow">
      <w:rPr>
        <w:rFonts w:hint="default" w:asciiTheme="majorHAnsi" w:hAnsiTheme="majorHAnsi" w:eastAsiaTheme="majorEastAsia" w:cstheme="majorBidi"/>
      </w:rPr>
      <w:tblPr/>
      <w:tcPr>
        <w:tcBorders>
          <w:top w:val="nil"/>
          <w:bottom w:val="single" w:color="F79646" w:themeColor="accent6" w:sz="8" w:space="0"/>
        </w:tcBorders>
      </w:tcPr>
    </w:tblStylePr>
    <w:tblStylePr w:type="lastRow">
      <w:rPr>
        <w:b/>
        <w:bCs/>
        <w:color w:val="1F497D" w:themeColor="text2"/>
      </w:rPr>
      <w:tblPr/>
      <w:tcPr>
        <w:tcBorders>
          <w:top w:val="single" w:color="F79646" w:themeColor="accent6" w:sz="8" w:space="0"/>
          <w:bottom w:val="single" w:color="F79646" w:themeColor="accent6" w:sz="8" w:space="0"/>
        </w:tcBorders>
      </w:tcPr>
    </w:tblStylePr>
    <w:tblStylePr w:type="firstCol">
      <w:rPr>
        <w:b/>
        <w:bCs/>
      </w:rPr>
    </w:tblStylePr>
    <w:tblStylePr w:type="lastCol">
      <w:rPr>
        <w:b/>
        <w:bCs/>
      </w:rPr>
      <w:tblPr/>
      <w:tcPr>
        <w:tcBorders>
          <w:top w:val="single" w:color="F79646" w:themeColor="accent6" w:sz="8" w:space="0"/>
          <w:bottom w:val="single" w:color="F79646" w:themeColor="accent6" w:sz="8" w:space="0"/>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LightList-Accent11" w:customStyle="true">
    <w:name w:val="Light List - Accent 11"/>
    <w:basedOn w:val="TableNormal"/>
    <w:uiPriority w:val="61"/>
    <w:rsid w:val="00E1232E"/>
    <w:rPr>
      <w:rFonts w:ascii="Times New Roman" w:hAnsi="Times New Roman" w:eastAsia="Times New Roman"/>
      <w:sz w:val="20"/>
      <w:szCs w:val="20"/>
    </w:rPr>
    <w:tblPr>
      <w:tblStyleRowBandSize w:val="1"/>
      <w:tblStyleColBandSize w:val="1"/>
      <w:tblInd w:w="0" w:type="dxa"/>
      <w:tblBorders>
        <w:top w:val="single" w:color="4F81BD" w:themeColor="accent1" w:sz="8" w:space="0"/>
        <w:left w:val="single" w:color="4F81BD" w:themeColor="accent1" w:sz="8" w:space="0"/>
        <w:bottom w:val="single" w:color="4F81BD" w:themeColor="accent1" w:sz="8" w:space="0"/>
        <w:right w:val="single" w:color="4F81BD" w:themeColor="accent1" w:sz="8" w:space="0"/>
      </w:tblBorders>
      <w:tblCellMar>
        <w:top w:w="0" w:type="dxa"/>
        <w:left w:w="108" w:type="dxa"/>
        <w:bottom w:w="0" w:type="dxa"/>
        <w:right w:w="108" w:type="dxa"/>
      </w:tblCellMar>
    </w:tblPr>
    <w:tblStylePr w:type="firstRow">
      <w:pPr>
        <w:spacing w:before="0" w:beforeLines="0" w:beforeAutospacing="false" w:after="0" w:afterLines="0" w:afterAutospacing="false" w:line="240" w:lineRule="auto"/>
      </w:pPr>
      <w:rPr>
        <w:b/>
        <w:bCs/>
        <w:color w:val="FFFFFF" w:themeColor="background1"/>
      </w:rPr>
      <w:tblPr/>
      <w:tcPr>
        <w:shd w:val="clear" w:color="auto" w:fill="4F81BD" w:themeFill="accent1"/>
      </w:tcPr>
    </w:tblStylePr>
    <w:tblStylePr w:type="lastRow">
      <w:pPr>
        <w:spacing w:before="0" w:beforeLines="0" w:beforeAutospacing="false" w:after="0" w:afterLines="0" w:afterAutospacing="false" w:line="240" w:lineRule="auto"/>
      </w:pPr>
      <w:rPr>
        <w:b/>
        <w:bCs/>
      </w:rPr>
      <w:tblPr/>
      <w:tcPr>
        <w:tcBorders>
          <w:top w:val="double" w:color="4F81BD" w:themeColor="accent1" w:sz="6" w:space="0"/>
          <w:left w:val="single" w:color="4F81BD" w:themeColor="accent1" w:sz="8" w:space="0"/>
          <w:bottom w:val="single" w:color="4F81BD" w:themeColor="accent1" w:sz="8" w:space="0"/>
          <w:right w:val="single" w:color="4F81BD" w:themeColor="accent1" w:sz="8" w:space="0"/>
        </w:tcBorders>
      </w:tcPr>
    </w:tblStylePr>
    <w:tblStylePr w:type="firstCol">
      <w:rPr>
        <w:b/>
        <w:bCs/>
      </w:rPr>
    </w:tblStylePr>
    <w:tblStylePr w:type="lastCol">
      <w:rPr>
        <w:b/>
        <w:bCs/>
      </w:rPr>
    </w:tblStylePr>
    <w:tblStylePr w:type="band1Vert">
      <w:tblPr/>
      <w:tcPr>
        <w:tcBorders>
          <w:top w:val="single" w:color="4F81BD" w:themeColor="accent1" w:sz="8" w:space="0"/>
          <w:left w:val="single" w:color="4F81BD" w:themeColor="accent1" w:sz="8" w:space="0"/>
          <w:bottom w:val="single" w:color="4F81BD" w:themeColor="accent1" w:sz="8" w:space="0"/>
          <w:right w:val="single" w:color="4F81BD" w:themeColor="accent1" w:sz="8" w:space="0"/>
        </w:tcBorders>
      </w:tcPr>
    </w:tblStylePr>
    <w:tblStylePr w:type="band1Horz">
      <w:tblPr/>
      <w:tcPr>
        <w:tcBorders>
          <w:top w:val="single" w:color="4F81BD" w:themeColor="accent1" w:sz="8" w:space="0"/>
          <w:left w:val="single" w:color="4F81BD" w:themeColor="accent1" w:sz="8" w:space="0"/>
          <w:bottom w:val="single" w:color="4F81BD" w:themeColor="accent1" w:sz="8" w:space="0"/>
          <w:right w:val="single" w:color="4F81BD" w:themeColor="accent1" w:sz="8" w:space="0"/>
        </w:tcBorders>
      </w:tcPr>
    </w:tblStylePr>
  </w:style>
  <w:style w:type="table" w:styleId="ColorfulGrid1" w:customStyle="true">
    <w:name w:val="Colorful Grid1"/>
    <w:basedOn w:val="TableNormal"/>
    <w:uiPriority w:val="73"/>
    <w:rsid w:val="00E1232E"/>
    <w:rPr>
      <w:rFonts w:ascii="Times New Roman" w:hAnsi="Times New Roman" w:eastAsia="Times New Roman"/>
      <w:color w:val="000000" w:themeColor="text1"/>
      <w:sz w:val="20"/>
      <w:szCs w:val="20"/>
    </w:rPr>
    <w:tblPr>
      <w:tblStyleRowBandSize w:val="1"/>
      <w:tblStyleColBandSize w:val="1"/>
      <w:tblInd w:w="0" w:type="dxa"/>
      <w:tblBorders>
        <w:insideH w:val="single" w:color="FFFFFF" w:themeColor="background1" w:sz="4" w:space="0"/>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List11" w:customStyle="true">
    <w:name w:val="Medium List 11"/>
    <w:basedOn w:val="TableNormal"/>
    <w:uiPriority w:val="65"/>
    <w:rsid w:val="00E1232E"/>
    <w:rPr>
      <w:rFonts w:ascii="Times New Roman" w:hAnsi="Times New Roman" w:eastAsia="Times New Roman"/>
      <w:color w:val="000000" w:themeColor="text1"/>
      <w:sz w:val="20"/>
      <w:szCs w:val="20"/>
    </w:rPr>
    <w:tblPr>
      <w:tblStyleRowBandSize w:val="1"/>
      <w:tblStyleColBandSize w:val="1"/>
      <w:tblInd w:w="0" w:type="dxa"/>
      <w:tblBorders>
        <w:top w:val="single" w:color="000000" w:themeColor="text1" w:sz="8" w:space="0"/>
        <w:bottom w:val="single" w:color="000000" w:themeColor="text1" w:sz="8" w:space="0"/>
      </w:tblBorders>
      <w:tblCellMar>
        <w:top w:w="0" w:type="dxa"/>
        <w:left w:w="108" w:type="dxa"/>
        <w:bottom w:w="0" w:type="dxa"/>
        <w:right w:w="108" w:type="dxa"/>
      </w:tblCellMar>
    </w:tblPr>
    <w:tblStylePr w:type="firstRow">
      <w:rPr>
        <w:rFonts w:hint="default" w:asciiTheme="majorHAnsi" w:hAnsiTheme="majorHAnsi" w:eastAsiaTheme="majorEastAsia" w:cstheme="majorBidi"/>
      </w:rPr>
      <w:tblPr/>
      <w:tcPr>
        <w:tcBorders>
          <w:top w:val="nil"/>
          <w:bottom w:val="single" w:color="000000" w:themeColor="text1" w:sz="8" w:space="0"/>
        </w:tcBorders>
      </w:tcPr>
    </w:tblStylePr>
    <w:tblStylePr w:type="lastRow">
      <w:rPr>
        <w:b/>
        <w:bCs/>
        <w:color w:val="1F497D" w:themeColor="text2"/>
      </w:rPr>
      <w:tblPr/>
      <w:tcPr>
        <w:tcBorders>
          <w:top w:val="single" w:color="000000" w:themeColor="text1" w:sz="8" w:space="0"/>
          <w:bottom w:val="single" w:color="000000" w:themeColor="text1" w:sz="8" w:space="0"/>
        </w:tcBorders>
      </w:tcPr>
    </w:tblStylePr>
    <w:tblStylePr w:type="firstCol">
      <w:rPr>
        <w:b/>
        <w:bCs/>
      </w:rPr>
    </w:tblStylePr>
    <w:tblStylePr w:type="lastCol">
      <w:rPr>
        <w:b/>
        <w:bCs/>
      </w:rPr>
      <w:tblPr/>
      <w:tcPr>
        <w:tcBorders>
          <w:top w:val="single" w:color="000000" w:themeColor="text1" w:sz="8" w:space="0"/>
          <w:bottom w:val="single" w:color="000000" w:themeColor="text1" w:sz="8" w:space="0"/>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LightList1" w:customStyle="true">
    <w:name w:val="Light List1"/>
    <w:basedOn w:val="TableNormal"/>
    <w:uiPriority w:val="61"/>
    <w:rsid w:val="00E1232E"/>
    <w:rPr>
      <w:rFonts w:ascii="Times New Roman" w:hAnsi="Times New Roman" w:eastAsia="Times New Roman"/>
      <w:sz w:val="20"/>
      <w:szCs w:val="20"/>
    </w:rPr>
    <w:tblPr>
      <w:tblStyleRowBandSize w:val="1"/>
      <w:tblStyleColBandSize w:val="1"/>
      <w:tblInd w:w="0" w:type="dxa"/>
      <w:tblBorders>
        <w:top w:val="single" w:color="000000" w:themeColor="text1" w:sz="8" w:space="0"/>
        <w:left w:val="single" w:color="000000" w:themeColor="text1" w:sz="8" w:space="0"/>
        <w:bottom w:val="single" w:color="000000" w:themeColor="text1" w:sz="8" w:space="0"/>
        <w:right w:val="single" w:color="000000" w:themeColor="text1" w:sz="8" w:space="0"/>
      </w:tblBorders>
      <w:tblCellMar>
        <w:top w:w="0" w:type="dxa"/>
        <w:left w:w="108" w:type="dxa"/>
        <w:bottom w:w="0" w:type="dxa"/>
        <w:right w:w="108" w:type="dxa"/>
      </w:tblCellMar>
    </w:tblPr>
    <w:tblStylePr w:type="firstRow">
      <w:pPr>
        <w:spacing w:before="0" w:beforeLines="0" w:beforeAutospacing="false" w:after="0" w:afterLines="0" w:afterAutospacing="false" w:line="240" w:lineRule="auto"/>
      </w:pPr>
      <w:rPr>
        <w:b/>
        <w:bCs/>
        <w:color w:val="FFFFFF" w:themeColor="background1"/>
      </w:rPr>
      <w:tblPr/>
      <w:tcPr>
        <w:shd w:val="clear" w:color="auto" w:fill="000000" w:themeFill="text1"/>
      </w:tcPr>
    </w:tblStylePr>
    <w:tblStylePr w:type="lastRow">
      <w:pPr>
        <w:spacing w:before="0" w:beforeLines="0" w:beforeAutospacing="false" w:after="0" w:afterLines="0" w:afterAutospacing="false" w:line="240" w:lineRule="auto"/>
      </w:pPr>
      <w:rPr>
        <w:b/>
        <w:bCs/>
      </w:rPr>
      <w:tblPr/>
      <w:tcPr>
        <w:tcBorders>
          <w:top w:val="double" w:color="000000" w:themeColor="text1" w:sz="6" w:space="0"/>
          <w:left w:val="single" w:color="000000" w:themeColor="text1" w:sz="8" w:space="0"/>
          <w:bottom w:val="single" w:color="000000" w:themeColor="text1" w:sz="8" w:space="0"/>
          <w:right w:val="single" w:color="000000" w:themeColor="text1" w:sz="8" w:space="0"/>
        </w:tcBorders>
      </w:tcPr>
    </w:tblStylePr>
    <w:tblStylePr w:type="firstCol">
      <w:rPr>
        <w:b/>
        <w:bCs/>
      </w:rPr>
    </w:tblStylePr>
    <w:tblStylePr w:type="lastCol">
      <w:rPr>
        <w:b/>
        <w:bCs/>
      </w:rPr>
    </w:tblStylePr>
    <w:tblStylePr w:type="band1Vert">
      <w:tblPr/>
      <w:tcPr>
        <w:tcBorders>
          <w:top w:val="single" w:color="000000" w:themeColor="text1" w:sz="8" w:space="0"/>
          <w:left w:val="single" w:color="000000" w:themeColor="text1" w:sz="8" w:space="0"/>
          <w:bottom w:val="single" w:color="000000" w:themeColor="text1" w:sz="8" w:space="0"/>
          <w:right w:val="single" w:color="000000" w:themeColor="text1" w:sz="8" w:space="0"/>
        </w:tcBorders>
      </w:tcPr>
    </w:tblStylePr>
    <w:tblStylePr w:type="band1Horz">
      <w:tblPr/>
      <w:tcPr>
        <w:tcBorders>
          <w:top w:val="single" w:color="000000" w:themeColor="text1" w:sz="8" w:space="0"/>
          <w:left w:val="single" w:color="000000" w:themeColor="text1" w:sz="8" w:space="0"/>
          <w:bottom w:val="single" w:color="000000" w:themeColor="text1" w:sz="8" w:space="0"/>
          <w:right w:val="single" w:color="000000" w:themeColor="text1" w:sz="8" w:space="0"/>
        </w:tcBorders>
      </w:tcPr>
    </w:tblStylePr>
  </w:style>
  <w:style w:type="table" w:styleId="MediumGrid21" w:customStyle="true">
    <w:name w:val="Medium Grid 21"/>
    <w:basedOn w:val="TableNormal"/>
    <w:uiPriority w:val="68"/>
    <w:rsid w:val="00E1232E"/>
    <w:rPr>
      <w:rFonts w:asciiTheme="majorHAnsi" w:hAnsiTheme="majorHAnsi" w:eastAsiaTheme="majorEastAsia" w:cstheme="majorBidi"/>
      <w:color w:val="000000" w:themeColor="text1"/>
      <w:sz w:val="20"/>
      <w:szCs w:val="20"/>
    </w:rPr>
    <w:tblPr>
      <w:tblStyleRowBandSize w:val="1"/>
      <w:tblStyleColBandSize w:val="1"/>
      <w:tblInd w:w="0" w:type="dxa"/>
      <w:tblBorders>
        <w:top w:val="single" w:color="000000" w:themeColor="text1" w:sz="8" w:space="0"/>
        <w:left w:val="single" w:color="000000" w:themeColor="text1" w:sz="8" w:space="0"/>
        <w:bottom w:val="single" w:color="000000" w:themeColor="text1" w:sz="8" w:space="0"/>
        <w:right w:val="single" w:color="000000" w:themeColor="text1" w:sz="8" w:space="0"/>
        <w:insideH w:val="single" w:color="000000" w:themeColor="text1" w:sz="8" w:space="0"/>
        <w:insideV w:val="single" w:color="000000" w:themeColor="text1" w:sz="8" w:space="0"/>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color="000000" w:themeColor="text1" w:sz="12" w:space="0"/>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false"/>
        <w:bCs w:val="false"/>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color="000000" w:themeColor="text1" w:sz="6" w:space="0"/>
          <w:insideV w:val="single" w:color="000000" w:themeColor="text1" w:sz="6" w:space="0"/>
        </w:tcBorders>
        <w:shd w:val="clear" w:color="auto" w:fill="808080" w:themeFill="text1" w:themeFillTint="7F"/>
      </w:tcPr>
    </w:tblStylePr>
    <w:tblStylePr w:type="nwCell">
      <w:tblPr/>
      <w:tcPr>
        <w:shd w:val="clear" w:color="auto" w:fill="FFFFFF" w:themeFill="background1"/>
      </w:tcPr>
    </w:tblStylePr>
  </w:style>
  <w:style w:type="character" w:styleId="FootnoteReference">
    <w:name w:val="footnote reference"/>
    <w:basedOn w:val="DefaultParagraphFont"/>
    <w:uiPriority w:val="99"/>
    <w:unhideWhenUsed/>
    <w:locked/>
    <w:rsid w:val="0049645A"/>
    <w:rPr>
      <w:vertAlign w:val="superscript"/>
    </w:rPr>
  </w:style>
  <w:style w:type="paragraph" w:styleId="disclaimer" w:customStyle="true">
    <w:name w:val="disclaimer"/>
    <w:basedOn w:val="Normal"/>
    <w:rsid w:val="00575FAB"/>
    <w:pPr>
      <w:spacing w:before="100" w:beforeAutospacing="true" w:after="100" w:afterAutospacing="true" w:line="240" w:lineRule="auto"/>
    </w:pPr>
    <w:rPr>
      <w:rFonts w:ascii="Times" w:hAnsi="Times"/>
      <w:sz w:val="20"/>
      <w:szCs w:val="20"/>
      <w:lang w:eastAsia="en-US"/>
    </w:rPr>
  </w:style>
  <w:style w:type="character" w:styleId="Emphasis">
    <w:name w:val="Emphasis"/>
    <w:basedOn w:val="DefaultParagraphFont"/>
    <w:uiPriority w:val="20"/>
    <w:qFormat/>
    <w:locked/>
    <w:rsid w:val="00A2002E"/>
    <w:rPr>
      <w:i/>
      <w:iCs/>
    </w:rPr>
  </w:style>
</w:styles>
</file>

<file path=word/stylesWithEffects.xml><?xml version="1.0" encoding="utf-8"?>
<w:styles xmlns:w="http://schemas.openxmlformats.org/wordprocessingml/2006/main" xmlns:mc="http://schemas.openxmlformats.org/markup-compatibility/2006" xmlns:m="http://schemas.openxmlformats.org/officeDocument/2006/math" xmlns:o="urn:schemas-microsoft-com:office:office" xmlns:r="http://schemas.openxmlformats.org/officeDocument/2006/relationships" xmlns:v="urn:schemas-microsoft-com:vml" xmlns:w10="urn:schemas-microsoft-com:office:word" xmlns:w14="http://schemas.microsoft.com/office/word/2010/wordml" xmlns:wne="http://schemas.microsoft.com/office/word/2006/wordml" xmlns:wp="http://schemas.openxmlformats.org/drawingml/2006/wordprocessingDrawing" xmlns:wp14="http://schemas.microsoft.com/office/word/2010/wordprocessingDrawing" xmlns:wpc="http://schemas.microsoft.com/office/word/2010/wordprocessingCanvas" xmlns:wpg="http://schemas.microsoft.com/office/word/2010/wordprocessingGroup" xmlns:wpi="http://schemas.microsoft.com/office/word/2010/wordprocessingInk" xmlns:wps="http://schemas.microsoft.com/office/word/2010/wordprocessingShape" mc:Ignorable="w14 wp14">
  <w:docDefaults>
    <w:rPrDefault>
      <w:rPr>
        <w:rFonts w:ascii="Arial" w:cs="Times New Roman" w:eastAsia="Calibri" w:hAnsi="Arial"/>
        <w:sz w:val="24"/>
        <w:szCs w:val="24"/>
        <w:lang w:bidi="ar-SA" w:eastAsia="en-AU" w:val="en-AU"/>
      </w:rPr>
    </w:rPrDefault>
    <w:pPrDefault/>
  </w:docDefaults>
  <w:latentStyles w:count="267" w:defLockedState="1" w:defQFormat="0" w:defSemiHidden="1" w:defUIPriority="99" w:defUnhideWhenUsed="1">
    <w:lsdException w:locked="0" w:name="Normal" w:semiHidden="0" w:uiPriority="0" w:unhideWhenUsed="0"/>
    <w:lsdException w:locked="0" w:name="heading 1" w:qFormat="1" w:semiHidden="0" w:uiPriority="0" w:unhideWhenUsed="0"/>
    <w:lsdException w:locked="0" w:name="heading 2" w:qFormat="1" w:uiPriority="0"/>
    <w:lsdException w:locked="0" w:name="heading 3" w:qFormat="1" w:uiPriority="0"/>
    <w:lsdException w:name="heading 4" w:qFormat="1" w:uiPriority="0"/>
    <w:lsdException w:locked="0" w:name="heading 5" w:qFormat="1" w:uiPriority="0"/>
    <w:lsdException w:name="heading 6" w:qFormat="1" w:uiPriority="0"/>
    <w:lsdException w:name="heading 7" w:qFormat="1"/>
    <w:lsdException w:name="heading 8" w:qFormat="1"/>
    <w:lsdException w:name="heading 9" w:qFormat="1"/>
    <w:lsdException w:name="toc 1" w:qFormat="1" w:uiPriority="39"/>
    <w:lsdException w:name="toc 2" w:qFormat="1" w:uiPriority="39"/>
    <w:lsdException w:name="toc 3" w:qFormat="1" w:uiPriority="39"/>
    <w:lsdException w:name="toc 4" w:uiPriority="39"/>
    <w:lsdException w:name="toc 5" w:uiPriority="39"/>
    <w:lsdException w:name="toc 6" w:uiPriority="39"/>
    <w:lsdException w:name="toc 7" w:uiPriority="39"/>
    <w:lsdException w:name="toc 8" w:uiPriority="39"/>
    <w:lsdException w:name="toc 9" w:uiPriority="39"/>
    <w:lsdException w:name="caption" w:qFormat="1"/>
    <w:lsdException w:name="annotation reference" w:uiPriority="0"/>
    <w:lsdException w:name="Title" w:qFormat="1" w:uiPriority="10" w:unhideWhenUsed="0"/>
    <w:lsdException w:locked="0" w:name="Default Paragraph Font" w:uiPriority="1"/>
    <w:lsdException w:locked="0" w:name="Body Text" w:uiPriority="0"/>
    <w:lsdException w:locked="0" w:name="Body Text Indent"/>
    <w:lsdException w:name="Subtitle" w:qFormat="1" w:uiPriority="11" w:unhideWhenUsed="0"/>
    <w:lsdException w:locked="0" w:name="Body Text First Indent"/>
    <w:lsdException w:locked="0" w:name="Body Text First Indent 2"/>
    <w:lsdException w:locked="0" w:name="Body Text 2"/>
    <w:lsdException w:locked="0" w:name="Body Text 3"/>
    <w:lsdException w:name="FollowedHyperlink" w:uiPriority="0"/>
    <w:lsdException w:locked="0" w:name="Strong" w:qFormat="1" w:uiPriority="22" w:unhideWhenUsed="0"/>
    <w:lsdException w:name="Emphasis" w:qFormat="1" w:uiPriority="20" w:unhideWhenUsed="0"/>
    <w:lsdException w:locked="0" w:name="HTML Top of Form"/>
    <w:lsdException w:locked="0" w:name="HTML Bottom of Form"/>
    <w:lsdException w:locked="0" w:name="Normal Table"/>
    <w:lsdException w:locked="0" w:name="No List"/>
    <w:lsdException w:locked="0" w:name="Balloon Text"/>
    <w:lsdException w:locked="0" w:name="Table Grid" w:semiHidden="0" w:uiPriority="59" w:unhideWhenUsed="0"/>
    <w:lsdException w:locked="0" w:name="Placeholder Text" w:unhideWhenUsed="0"/>
    <w:lsdException w:name="No Spacing" w:qFormat="1" w:uiPriority="1"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locked="0" w:name="Revision" w:unhideWhenUsed="0"/>
    <w:lsdException w:name="List Paragraph" w:qFormat="1" w:uiPriority="34" w:unhideWhenUsed="0"/>
    <w:lsdException w:name="Quote" w:qFormat="1" w:uiPriority="29" w:unhideWhenUsed="0"/>
    <w:lsdException w:name="Intense Quote" w:qFormat="1" w:uiPriority="30"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qFormat="1" w:uiPriority="19" w:unhideWhenUsed="0"/>
    <w:lsdException w:name="Intense Emphasis" w:qFormat="1" w:uiPriority="21" w:unhideWhenUsed="0"/>
    <w:lsdException w:name="Subtle Reference" w:qFormat="1" w:uiPriority="31" w:unhideWhenUsed="0"/>
    <w:lsdException w:name="Intense Reference" w:qFormat="1" w:uiPriority="32" w:unhideWhenUsed="0"/>
    <w:lsdException w:name="Book Title" w:qFormat="1" w:uiPriority="33" w:unhideWhenUsed="0"/>
    <w:lsdException w:name="Bibliography" w:uiPriority="37"/>
    <w:lsdException w:name="TOC Heading" w:qFormat="1" w:uiPriority="39"/>
  </w:latentStyles>
  <w:style w:default="1" w:styleId="Normal" w:type="paragraph">
    <w:name w:val="Normal"/>
    <w:semiHidden/>
    <w:rsid w:val="009459F3"/>
    <w:pPr>
      <w:spacing w:after="200" w:line="276" w:lineRule="auto"/>
    </w:pPr>
  </w:style>
  <w:style w:styleId="Heading1" w:type="paragraph">
    <w:name w:val="heading 1"/>
    <w:aliases w:val="H1,contents,proj,proj1,proj5,proj6,proj7,proj8,proj9,proj10,proj11,proj12,proj13,proj14,proj15,proj51,proj61,proj71,proj81,proj91,proj101,proj111,proj121,proj131,proj141,proj16,proj52,proj62,proj72,proj82,proj92,proj102,proj112,proj122,proj132"/>
    <w:basedOn w:val="Normal"/>
    <w:next w:val="Normal"/>
    <w:link w:val="Heading1Char"/>
    <w:qFormat/>
    <w:locked/>
    <w:rsid w:val="00C72D08"/>
    <w:pPr>
      <w:keepNext/>
      <w:spacing w:after="60" w:before="240"/>
      <w:outlineLvl w:val="0"/>
    </w:pPr>
    <w:rPr>
      <w:rFonts w:asciiTheme="majorHAnsi" w:cstheme="majorBidi" w:eastAsiaTheme="majorEastAsia" w:hAnsiTheme="majorHAnsi"/>
      <w:b/>
      <w:bCs/>
      <w:kern w:val="32"/>
      <w:sz w:val="32"/>
      <w:szCs w:val="32"/>
    </w:rPr>
  </w:style>
  <w:style w:styleId="Heading2" w:type="paragraph">
    <w:name w:val="heading 2"/>
    <w:aliases w:val="heading 2,Intro Text Bold,proj2,proj21,proj22,proj23,proj24,proj25,proj26,proj27,proj28,proj29,proj210,proj211,proj212,proj221,proj231,proj241,proj251,proj261,proj271,proj281,proj291,proj2101,proj2111,proj213,proj222,proj232,proj242,proj252,2"/>
    <w:basedOn w:val="Normal"/>
    <w:next w:val="Normal"/>
    <w:link w:val="Heading2Char"/>
    <w:semiHidden/>
    <w:qFormat/>
    <w:locked/>
    <w:rsid w:val="00C72D08"/>
    <w:pPr>
      <w:keepNext/>
      <w:spacing w:after="60" w:before="240"/>
      <w:outlineLvl w:val="1"/>
    </w:pPr>
    <w:rPr>
      <w:rFonts w:asciiTheme="majorHAnsi" w:cstheme="majorBidi" w:eastAsiaTheme="majorEastAsia" w:hAnsiTheme="majorHAnsi"/>
      <w:b/>
      <w:bCs/>
      <w:i/>
      <w:iCs/>
      <w:sz w:val="28"/>
      <w:szCs w:val="28"/>
    </w:rPr>
  </w:style>
  <w:style w:styleId="Heading3" w:type="paragraph">
    <w:name w:val="heading 3"/>
    <w:aliases w:val="heading 3,underlined Heading,proj3,proj31,proj32,proj33,proj34,proj35,proj36,proj37,proj38,proj39,proj310,proj311,proj312,proj321,proj331,proj341,proj351,proj361,proj371,proj381,proj391,proj3101,proj3111,proj313,proj322,proj332,proj342,h3,sl3"/>
    <w:basedOn w:val="Normal"/>
    <w:next w:val="Normal"/>
    <w:link w:val="Heading3Char"/>
    <w:semiHidden/>
    <w:qFormat/>
    <w:locked/>
    <w:rsid w:val="00C72D08"/>
    <w:pPr>
      <w:keepNext/>
      <w:spacing w:after="60" w:before="240"/>
      <w:outlineLvl w:val="2"/>
    </w:pPr>
    <w:rPr>
      <w:rFonts w:asciiTheme="majorHAnsi" w:cstheme="majorBidi" w:eastAsiaTheme="majorEastAsia" w:hAnsiTheme="majorHAnsi"/>
      <w:b/>
      <w:bCs/>
      <w:sz w:val="26"/>
      <w:szCs w:val="26"/>
    </w:rPr>
  </w:style>
  <w:style w:styleId="Heading4" w:type="paragraph">
    <w:name w:val="heading 4"/>
    <w:aliases w:val="Level 2 - a,h4,a,minor header,Map Title,Subsection,sub TR,proj4,proj41,proj42,proj43,proj44,proj45,proj46,proj47,proj48,proj49,proj410,proj411,proj412,proj421,proj431,proj441,proj451,proj461,proj471,proj481,proj491,proj4101,proj4111,proj413"/>
    <w:basedOn w:val="Normal"/>
    <w:next w:val="Normal"/>
    <w:link w:val="Heading4Char"/>
    <w:semiHidden/>
    <w:unhideWhenUsed/>
    <w:qFormat/>
    <w:locked/>
    <w:rsid w:val="00E1232E"/>
    <w:pPr>
      <w:keepNext/>
      <w:keepLines/>
      <w:spacing w:after="0" w:before="200"/>
      <w:outlineLvl w:val="3"/>
    </w:pPr>
    <w:rPr>
      <w:rFonts w:asciiTheme="majorHAnsi" w:cstheme="majorBidi" w:eastAsiaTheme="majorEastAsia" w:hAnsiTheme="majorHAnsi"/>
      <w:b/>
      <w:bCs/>
      <w:i/>
      <w:iCs/>
      <w:color w:themeColor="accent1" w:val="4F81BD"/>
    </w:rPr>
  </w:style>
  <w:style w:styleId="Heading5" w:type="paragraph">
    <w:name w:val="heading 5"/>
    <w:aliases w:val="Level 3 - i,5,Normal5,Level 3 - (i)"/>
    <w:basedOn w:val="Heading4"/>
    <w:next w:val="Normal"/>
    <w:link w:val="Heading5Char"/>
    <w:semiHidden/>
    <w:unhideWhenUsed/>
    <w:qFormat/>
    <w:rsid w:val="00E1232E"/>
    <w:pPr>
      <w:keepLines w:val="0"/>
      <w:tabs>
        <w:tab w:pos="1008" w:val="num"/>
      </w:tabs>
      <w:spacing w:after="120" w:before="240" w:line="300" w:lineRule="auto"/>
      <w:ind w:hanging="1008" w:left="1008"/>
      <w:outlineLvl w:val="4"/>
    </w:pPr>
    <w:rPr>
      <w:rFonts w:ascii="Arial" w:cs="Arial" w:eastAsia="Times New Roman" w:hAnsi="Arial"/>
      <w:b w:val="0"/>
      <w:i w:val="0"/>
      <w:iCs w:val="0"/>
      <w:color w:val="auto"/>
      <w:szCs w:val="28"/>
      <w:lang w:eastAsia="en-US"/>
    </w:rPr>
  </w:style>
  <w:style w:styleId="Heading6" w:type="paragraph">
    <w:name w:val="heading 6"/>
    <w:aliases w:val="Legal Level 1.,Body Text 5,Normal6"/>
    <w:basedOn w:val="Heading5"/>
    <w:next w:val="Normal"/>
    <w:link w:val="Heading6Char"/>
    <w:semiHidden/>
    <w:unhideWhenUsed/>
    <w:qFormat/>
    <w:locked/>
    <w:rsid w:val="00E1232E"/>
    <w:pPr>
      <w:tabs>
        <w:tab w:pos="1008" w:val="clear"/>
        <w:tab w:pos="1152" w:val="num"/>
      </w:tabs>
      <w:ind w:hanging="1152" w:left="1152"/>
      <w:outlineLvl w:val="5"/>
    </w:pPr>
  </w:style>
  <w:style w:styleId="Heading7" w:type="paragraph">
    <w:name w:val="heading 7"/>
    <w:aliases w:val="Legal Level 1.1.,Body Text 6,Heading 7(unused),Normal7"/>
    <w:basedOn w:val="Heading6"/>
    <w:next w:val="Normal"/>
    <w:link w:val="Heading7Char"/>
    <w:uiPriority w:val="99"/>
    <w:semiHidden/>
    <w:unhideWhenUsed/>
    <w:qFormat/>
    <w:locked/>
    <w:rsid w:val="00E1232E"/>
    <w:pPr>
      <w:tabs>
        <w:tab w:pos="1152" w:val="clear"/>
        <w:tab w:pos="1296" w:val="num"/>
      </w:tabs>
      <w:ind w:hanging="1296" w:left="1296"/>
      <w:outlineLvl w:val="6"/>
    </w:pPr>
  </w:style>
  <w:style w:styleId="Heading8" w:type="paragraph">
    <w:name w:val="heading 8"/>
    <w:aliases w:val="Legal Level 1.1.1.,Body Text 7,Heading 8(unused),Heading 8 (Start Appendices),Normal8"/>
    <w:basedOn w:val="Heading7"/>
    <w:next w:val="Normal"/>
    <w:link w:val="Heading8Char"/>
    <w:uiPriority w:val="99"/>
    <w:semiHidden/>
    <w:unhideWhenUsed/>
    <w:qFormat/>
    <w:locked/>
    <w:rsid w:val="00E1232E"/>
    <w:pPr>
      <w:tabs>
        <w:tab w:pos="1296" w:val="clear"/>
        <w:tab w:pos="1440" w:val="num"/>
      </w:tabs>
      <w:ind w:hanging="1440" w:left="1440"/>
      <w:outlineLvl w:val="7"/>
    </w:pPr>
  </w:style>
  <w:style w:styleId="Heading9" w:type="paragraph">
    <w:name w:val="heading 9"/>
    <w:aliases w:val="Legal Level 1.1.1.1.,Body Text 8,Heading 9(unused),Appendix"/>
    <w:basedOn w:val="Heading8"/>
    <w:next w:val="Normal"/>
    <w:link w:val="Heading9Char"/>
    <w:uiPriority w:val="99"/>
    <w:semiHidden/>
    <w:unhideWhenUsed/>
    <w:qFormat/>
    <w:locked/>
    <w:rsid w:val="00E1232E"/>
    <w:pPr>
      <w:tabs>
        <w:tab w:pos="1440" w:val="clear"/>
        <w:tab w:pos="1584" w:val="num"/>
      </w:tabs>
      <w:ind w:hanging="1584" w:left="1584"/>
      <w:outlineLvl w:val="8"/>
    </w:pPr>
  </w:style>
  <w:style w:default="1" w:styleId="DefaultParagraphFont" w:type="character">
    <w:name w:val="Default Paragraph Font"/>
    <w:uiPriority w:val="1"/>
    <w:semiHidden/>
    <w:unhideWhenUsed/>
  </w:style>
  <w:style w:default="1" w:styleId="TableNormal" w:type="table">
    <w:name w:val="Normal Table"/>
    <w:uiPriority w:val="99"/>
    <w:semiHidden/>
    <w:unhideWhenUsed/>
    <w:tblPr>
      <w:tblInd w:type="dxa" w:w="0"/>
      <w:tblCellMar>
        <w:top w:type="dxa" w:w="0"/>
        <w:left w:type="dxa" w:w="108"/>
        <w:bottom w:type="dxa" w:w="0"/>
        <w:right w:type="dxa" w:w="108"/>
      </w:tblCellMar>
    </w:tblPr>
  </w:style>
  <w:style w:default="1" w:styleId="NoList" w:type="numbering">
    <w:name w:val="No List"/>
    <w:uiPriority w:val="99"/>
    <w:semiHidden/>
    <w:unhideWhenUsed/>
  </w:style>
  <w:style w:customStyle="1" w:styleId="CaselawCoversheet" w:type="paragraph">
    <w:name w:val="Caselaw Coversheet"/>
    <w:basedOn w:val="Normal"/>
    <w:qFormat/>
    <w:rsid w:val="009C6388"/>
    <w:pPr>
      <w:spacing w:after="0" w:line="240" w:lineRule="auto"/>
    </w:pPr>
    <w:rPr>
      <w:rFonts w:cs="Arial"/>
    </w:rPr>
  </w:style>
  <w:style w:customStyle="1" w:styleId="CaselawNormal" w:type="paragraph">
    <w:name w:val="Caselaw Normal"/>
    <w:basedOn w:val="CaselawCoversheet"/>
    <w:uiPriority w:val="6"/>
    <w:qFormat/>
    <w:locked/>
    <w:rsid w:val="007360E8"/>
    <w:pPr>
      <w:spacing w:after="240" w:line="360" w:lineRule="auto"/>
      <w:ind w:left="720"/>
    </w:pPr>
  </w:style>
  <w:style w:customStyle="1" w:styleId="CaselawNumbered10" w:type="paragraph">
    <w:name w:val="Caselaw Numbered 1"/>
    <w:basedOn w:val="CaselawNormal"/>
    <w:uiPriority w:val="5"/>
    <w:qFormat/>
    <w:rsid w:val="007360E8"/>
    <w:pPr>
      <w:numPr>
        <w:numId w:val="1"/>
      </w:numPr>
      <w:ind w:hanging="720" w:left="720"/>
    </w:pPr>
  </w:style>
  <w:style w:customStyle="1" w:styleId="CaselawNumbered1" w:type="paragraph">
    <w:name w:val="Caselaw Numbered (1)"/>
    <w:basedOn w:val="CaselawNumbered10"/>
    <w:qFormat/>
    <w:rsid w:val="000A5273"/>
    <w:pPr>
      <w:numPr>
        <w:numId w:val="2"/>
      </w:numPr>
      <w:spacing w:after="360" w:line="240" w:lineRule="auto"/>
      <w:ind w:hanging="720" w:left="1440"/>
    </w:pPr>
  </w:style>
  <w:style w:customStyle="1" w:styleId="CaselawNumbereda" w:type="paragraph">
    <w:name w:val="Caselaw Numbered (a)"/>
    <w:basedOn w:val="CaselawNumbered1"/>
    <w:qFormat/>
    <w:rsid w:val="006E7434"/>
    <w:pPr>
      <w:numPr>
        <w:numId w:val="3"/>
      </w:numPr>
      <w:ind w:hanging="720" w:left="2160"/>
    </w:pPr>
  </w:style>
  <w:style w:customStyle="1" w:styleId="CaselawNumberedi" w:type="paragraph">
    <w:name w:val="Caselaw Numbered (i)"/>
    <w:basedOn w:val="CaselawNumbereda"/>
    <w:qFormat/>
    <w:rsid w:val="006E7434"/>
    <w:pPr>
      <w:numPr>
        <w:numId w:val="4"/>
      </w:numPr>
      <w:ind w:hanging="720" w:left="2880"/>
    </w:pPr>
  </w:style>
  <w:style w:customStyle="1" w:styleId="CaselawHeading1" w:type="paragraph">
    <w:name w:val="Caselaw Heading 1"/>
    <w:basedOn w:val="CaselawCoversheet"/>
    <w:next w:val="CaselawNumbered10"/>
    <w:uiPriority w:val="1"/>
    <w:qFormat/>
    <w:rsid w:val="00770D05"/>
    <w:pPr>
      <w:spacing w:after="240"/>
      <w:outlineLvl w:val="0"/>
    </w:pPr>
    <w:rPr>
      <w:b/>
      <w:caps/>
      <w:sz w:val="28"/>
    </w:rPr>
  </w:style>
  <w:style w:customStyle="1" w:styleId="CaselawHeading2" w:type="paragraph">
    <w:name w:val="Caselaw Heading 2"/>
    <w:basedOn w:val="CaselawHeading1"/>
    <w:next w:val="CaselawNumbered10"/>
    <w:uiPriority w:val="2"/>
    <w:qFormat/>
    <w:rsid w:val="009459F3"/>
    <w:pPr>
      <w:outlineLvl w:val="1"/>
    </w:pPr>
    <w:rPr>
      <w:caps w:val="0"/>
      <w:sz w:val="24"/>
    </w:rPr>
  </w:style>
  <w:style w:customStyle="1" w:styleId="CaselawHeading3" w:type="paragraph">
    <w:name w:val="Caselaw Heading 3"/>
    <w:basedOn w:val="CaselawHeading1"/>
    <w:next w:val="CaselawNumbered10"/>
    <w:uiPriority w:val="3"/>
    <w:qFormat/>
    <w:rsid w:val="009459F3"/>
    <w:pPr>
      <w:outlineLvl w:val="2"/>
    </w:pPr>
    <w:rPr>
      <w:b w:val="0"/>
      <w:i/>
      <w:caps w:val="0"/>
      <w:sz w:val="24"/>
    </w:rPr>
  </w:style>
  <w:style w:customStyle="1" w:styleId="CaselawQuote" w:type="paragraph">
    <w:name w:val="Caselaw Quote &gt;"/>
    <w:basedOn w:val="CaselawNormal"/>
    <w:qFormat/>
    <w:rsid w:val="00DA03B8"/>
    <w:pPr>
      <w:spacing w:after="360" w:line="240" w:lineRule="auto"/>
    </w:pPr>
    <w:rPr>
      <w:sz w:val="22"/>
    </w:rPr>
  </w:style>
  <w:style w:customStyle="1" w:styleId="CaselawQuote0" w:type="paragraph">
    <w:name w:val="Caselaw Quote &gt;&gt;"/>
    <w:basedOn w:val="CaselawNormal"/>
    <w:qFormat/>
    <w:rsid w:val="000A5273"/>
    <w:pPr>
      <w:spacing w:after="360" w:line="240" w:lineRule="auto"/>
      <w:ind w:left="2160"/>
    </w:pPr>
    <w:rPr>
      <w:sz w:val="22"/>
    </w:rPr>
  </w:style>
  <w:style w:customStyle="1" w:styleId="CaselawQuote1" w:type="paragraph">
    <w:name w:val="Caselaw Quote &gt;&gt;&gt;"/>
    <w:basedOn w:val="CaselawQuote0"/>
    <w:qFormat/>
    <w:rsid w:val="000A5273"/>
    <w:pPr>
      <w:ind w:left="2880"/>
    </w:pPr>
  </w:style>
  <w:style w:customStyle="1" w:styleId="CaselawHeading4" w:type="paragraph">
    <w:name w:val="Caselaw Heading 4"/>
    <w:basedOn w:val="CaselawHeading1"/>
    <w:next w:val="CaselawNumbered10"/>
    <w:uiPriority w:val="4"/>
    <w:qFormat/>
    <w:rsid w:val="009459F3"/>
    <w:pPr>
      <w:ind w:left="720"/>
      <w:outlineLvl w:val="3"/>
    </w:pPr>
    <w:rPr>
      <w:caps w:val="0"/>
      <w:sz w:val="22"/>
    </w:rPr>
  </w:style>
  <w:style w:customStyle="1" w:styleId="Heading1Char" w:type="character">
    <w:name w:val="Heading 1 Char"/>
    <w:aliases w:val="H1 Char,contents Char,proj Char,proj1 Char,proj5 Char,proj6 Char,proj7 Char,proj8 Char,proj9 Char,proj10 Char,proj11 Char,proj12 Char,proj13 Char,proj14 Char,proj15 Char,proj51 Char,proj61 Char,proj71 Char,proj81 Char,proj91 Char"/>
    <w:basedOn w:val="DefaultParagraphFont"/>
    <w:link w:val="Heading1"/>
    <w:rsid w:val="002316E1"/>
    <w:rPr>
      <w:rFonts w:asciiTheme="majorHAnsi" w:cstheme="majorBidi" w:eastAsiaTheme="majorEastAsia" w:hAnsiTheme="majorHAnsi"/>
      <w:b/>
      <w:bCs/>
      <w:kern w:val="32"/>
      <w:sz w:val="32"/>
      <w:szCs w:val="32"/>
      <w:lang w:eastAsia="en-US"/>
    </w:rPr>
  </w:style>
  <w:style w:customStyle="1" w:styleId="Heading2Char" w:type="character">
    <w:name w:val="Heading 2 Char"/>
    <w:aliases w:val="heading 2 Char,Intro Text Bold Char,proj2 Char,proj21 Char,proj22 Char,proj23 Char,proj24 Char,proj25 Char,proj26 Char,proj27 Char,proj28 Char,proj29 Char,proj210 Char,proj211 Char,proj212 Char,proj221 Char,proj231 Char,proj241 Char"/>
    <w:basedOn w:val="DefaultParagraphFont"/>
    <w:link w:val="Heading2"/>
    <w:semiHidden/>
    <w:rsid w:val="002316E1"/>
    <w:rPr>
      <w:rFonts w:asciiTheme="majorHAnsi" w:cstheme="majorBidi" w:eastAsiaTheme="majorEastAsia" w:hAnsiTheme="majorHAnsi"/>
      <w:b/>
      <w:bCs/>
      <w:i/>
      <w:iCs/>
      <w:sz w:val="28"/>
      <w:szCs w:val="28"/>
      <w:lang w:eastAsia="en-US"/>
    </w:rPr>
  </w:style>
  <w:style w:customStyle="1" w:styleId="Heading3Char" w:type="character">
    <w:name w:val="Heading 3 Char"/>
    <w:aliases w:val="heading 3 Char,underlined Heading Char,proj3 Char,proj31 Char,proj32 Char,proj33 Char,proj34 Char,proj35 Char,proj36 Char,proj37 Char,proj38 Char,proj39 Char,proj310 Char,proj311 Char,proj312 Char,proj321 Char,proj331 Char,proj341 Char"/>
    <w:basedOn w:val="DefaultParagraphFont"/>
    <w:link w:val="Heading3"/>
    <w:semiHidden/>
    <w:rsid w:val="002316E1"/>
    <w:rPr>
      <w:rFonts w:asciiTheme="majorHAnsi" w:cstheme="majorBidi" w:eastAsiaTheme="majorEastAsia" w:hAnsiTheme="majorHAnsi"/>
      <w:b/>
      <w:bCs/>
      <w:sz w:val="26"/>
      <w:szCs w:val="26"/>
      <w:lang w:eastAsia="en-US"/>
    </w:rPr>
  </w:style>
  <w:style w:styleId="TableGrid" w:type="table">
    <w:name w:val="Table Grid"/>
    <w:basedOn w:val="TableNormal"/>
    <w:uiPriority w:val="59"/>
    <w:locked/>
    <w:rsid w:val="002D6852"/>
    <w:tblPr>
      <w:tblInd w:type="dxa" w:w="0"/>
      <w:tblBorders>
        <w:top w:color="auto" w:space="0" w:sz="4" w:val="single"/>
        <w:left w:color="auto" w:space="0" w:sz="4" w:val="single"/>
        <w:bottom w:color="auto" w:space="0" w:sz="4" w:val="single"/>
        <w:right w:color="auto" w:space="0" w:sz="4" w:val="single"/>
        <w:insideH w:color="auto" w:space="0" w:sz="4" w:val="single"/>
        <w:insideV w:color="auto" w:space="0" w:sz="4" w:val="single"/>
      </w:tblBorders>
      <w:tblCellMar>
        <w:top w:type="dxa" w:w="0"/>
        <w:left w:type="dxa" w:w="108"/>
        <w:bottom w:type="dxa" w:w="0"/>
        <w:right w:type="dxa" w:w="108"/>
      </w:tblCellMar>
    </w:tblPr>
  </w:style>
  <w:style w:customStyle="1" w:styleId="CaselawBullet" w:type="paragraph">
    <w:name w:val="Caselaw Bullet"/>
    <w:basedOn w:val="CaselawNormal"/>
    <w:uiPriority w:val="1"/>
    <w:qFormat/>
    <w:locked/>
    <w:rsid w:val="00F36D30"/>
    <w:pPr>
      <w:numPr>
        <w:numId w:val="5"/>
      </w:numPr>
      <w:spacing w:after="360" w:line="240" w:lineRule="auto"/>
      <w:ind w:hanging="720"/>
    </w:pPr>
  </w:style>
  <w:style w:customStyle="1" w:styleId="CaselawHeading5" w:type="paragraph">
    <w:name w:val="Caselaw Heading 5"/>
    <w:basedOn w:val="CaselawHeading4"/>
    <w:rsid w:val="009459F3"/>
    <w:rPr>
      <w:b w:val="0"/>
      <w:u w:val="single"/>
    </w:rPr>
  </w:style>
  <w:style w:styleId="BalloonText" w:type="paragraph">
    <w:name w:val="Balloon Text"/>
    <w:basedOn w:val="Normal"/>
    <w:link w:val="BalloonTextChar"/>
    <w:uiPriority w:val="99"/>
    <w:semiHidden/>
    <w:unhideWhenUsed/>
    <w:locked/>
    <w:rsid w:val="000A5625"/>
    <w:pPr>
      <w:spacing w:after="0" w:line="240" w:lineRule="auto"/>
    </w:pPr>
    <w:rPr>
      <w:rFonts w:ascii="Tahoma" w:cs="Tahoma" w:hAnsi="Tahoma"/>
      <w:sz w:val="16"/>
      <w:szCs w:val="16"/>
    </w:rPr>
  </w:style>
  <w:style w:customStyle="1" w:styleId="BalloonTextChar" w:type="character">
    <w:name w:val="Balloon Text Char"/>
    <w:basedOn w:val="DefaultParagraphFont"/>
    <w:link w:val="BalloonText"/>
    <w:uiPriority w:val="99"/>
    <w:semiHidden/>
    <w:rsid w:val="000A5625"/>
    <w:rPr>
      <w:rFonts w:ascii="Tahoma" w:cs="Tahoma" w:hAnsi="Tahoma"/>
      <w:sz w:val="16"/>
      <w:szCs w:val="16"/>
    </w:rPr>
  </w:style>
  <w:style w:styleId="PlaceholderText" w:type="character">
    <w:name w:val="Placeholder Text"/>
    <w:basedOn w:val="DefaultParagraphFont"/>
    <w:uiPriority w:val="99"/>
    <w:semiHidden/>
    <w:locked/>
    <w:rsid w:val="00B914EB"/>
    <w:rPr>
      <w:color w:val="808080"/>
    </w:rPr>
  </w:style>
  <w:style w:customStyle="1" w:styleId="Style1" w:type="character">
    <w:name w:val="Style1"/>
    <w:basedOn w:val="Strong"/>
    <w:uiPriority w:val="1"/>
    <w:locked/>
    <w:rsid w:val="00C13AF5"/>
    <w:rPr>
      <w:rFonts w:ascii="Arial" w:hAnsi="Arial"/>
      <w:b w:val="0"/>
      <w:bCs/>
      <w:sz w:val="24"/>
    </w:rPr>
  </w:style>
  <w:style w:styleId="Strong" w:type="character">
    <w:name w:val="Strong"/>
    <w:basedOn w:val="DefaultParagraphFont"/>
    <w:uiPriority w:val="22"/>
    <w:semiHidden/>
    <w:qFormat/>
    <w:locked/>
    <w:rsid w:val="00C13AF5"/>
    <w:rPr>
      <w:b/>
      <w:bCs/>
    </w:rPr>
  </w:style>
  <w:style w:styleId="DocumentMap" w:type="paragraph">
    <w:name w:val="Document Map"/>
    <w:basedOn w:val="Normal"/>
    <w:link w:val="DocumentMapChar"/>
    <w:uiPriority w:val="99"/>
    <w:semiHidden/>
    <w:unhideWhenUsed/>
    <w:locked/>
    <w:rsid w:val="00C11B7B"/>
    <w:pPr>
      <w:spacing w:after="0" w:line="240" w:lineRule="auto"/>
    </w:pPr>
    <w:rPr>
      <w:rFonts w:ascii="Lucida Grande" w:hAnsi="Lucida Grande"/>
    </w:rPr>
  </w:style>
  <w:style w:customStyle="1" w:styleId="DocumentMapChar" w:type="character">
    <w:name w:val="Document Map Char"/>
    <w:basedOn w:val="DefaultParagraphFont"/>
    <w:link w:val="DocumentMap"/>
    <w:uiPriority w:val="99"/>
    <w:semiHidden/>
    <w:rsid w:val="00C11B7B"/>
    <w:rPr>
      <w:rFonts w:ascii="Lucida Grande" w:hAnsi="Lucida Grande"/>
    </w:rPr>
  </w:style>
  <w:style w:styleId="NormalWeb" w:type="paragraph">
    <w:name w:val="Normal (Web)"/>
    <w:basedOn w:val="Normal"/>
    <w:uiPriority w:val="99"/>
    <w:semiHidden/>
    <w:unhideWhenUsed/>
    <w:locked/>
    <w:rsid w:val="00677778"/>
    <w:pPr>
      <w:spacing w:after="100" w:afterAutospacing="1" w:before="100" w:beforeAutospacing="1" w:line="240" w:lineRule="auto"/>
    </w:pPr>
    <w:rPr>
      <w:rFonts w:ascii="Times New Roman" w:eastAsia="Times New Roman" w:hAnsi="Times New Roman"/>
    </w:rPr>
  </w:style>
  <w:style w:customStyle="1" w:styleId="judgmentpara" w:type="paragraph">
    <w:name w:val="judgment_para"/>
    <w:basedOn w:val="Normal"/>
    <w:rsid w:val="00677778"/>
    <w:pPr>
      <w:spacing w:after="100" w:afterAutospacing="1" w:before="100" w:beforeAutospacing="1" w:line="240" w:lineRule="auto"/>
    </w:pPr>
    <w:rPr>
      <w:rFonts w:ascii="Times New Roman" w:eastAsia="Times New Roman" w:hAnsi="Times New Roman"/>
    </w:rPr>
  </w:style>
  <w:style w:customStyle="1" w:styleId="listnumber" w:type="character">
    <w:name w:val="list_number_"/>
    <w:basedOn w:val="DefaultParagraphFont"/>
    <w:rsid w:val="00677778"/>
  </w:style>
  <w:style w:customStyle="1" w:styleId="judgmentnumbereda" w:type="paragraph">
    <w:name w:val="judgment_numbered_a_"/>
    <w:basedOn w:val="Normal"/>
    <w:rsid w:val="00B74D80"/>
    <w:pPr>
      <w:spacing w:after="100" w:afterAutospacing="1" w:before="100" w:beforeAutospacing="1" w:line="240" w:lineRule="auto"/>
    </w:pPr>
    <w:rPr>
      <w:rFonts w:ascii="Times New Roman" w:eastAsia="Times New Roman" w:hAnsi="Times New Roman"/>
    </w:rPr>
  </w:style>
  <w:style w:customStyle="1" w:styleId="judgmentnumberedi" w:type="paragraph">
    <w:name w:val="judgment_numbered_i_"/>
    <w:basedOn w:val="Normal"/>
    <w:rsid w:val="00B74D80"/>
    <w:pPr>
      <w:spacing w:after="100" w:afterAutospacing="1" w:before="100" w:beforeAutospacing="1" w:line="240" w:lineRule="auto"/>
    </w:pPr>
    <w:rPr>
      <w:rFonts w:ascii="Times New Roman" w:eastAsia="Times New Roman" w:hAnsi="Times New Roman"/>
    </w:rPr>
  </w:style>
  <w:style w:customStyle="1" w:styleId="Heading4Char" w:type="character">
    <w:name w:val="Heading 4 Char"/>
    <w:aliases w:val="Level 2 - a Char,h4 Char,a Char,minor header Char,Map Title Char,Subsection Char,sub TR Char,proj4 Char,proj41 Char,proj42 Char,proj43 Char,proj44 Char,proj45 Char,proj46 Char,proj47 Char,proj48 Char,proj49 Char,proj410 Char,proj411 Char"/>
    <w:basedOn w:val="DefaultParagraphFont"/>
    <w:link w:val="Heading4"/>
    <w:semiHidden/>
    <w:rsid w:val="00E1232E"/>
    <w:rPr>
      <w:rFonts w:asciiTheme="majorHAnsi" w:cstheme="majorBidi" w:eastAsiaTheme="majorEastAsia" w:hAnsiTheme="majorHAnsi"/>
      <w:b/>
      <w:bCs/>
      <w:i/>
      <w:iCs/>
      <w:color w:themeColor="accent1" w:val="4F81BD"/>
    </w:rPr>
  </w:style>
  <w:style w:customStyle="1" w:styleId="Heading5Char" w:type="character">
    <w:name w:val="Heading 5 Char"/>
    <w:aliases w:val="Level 3 - i Char,5 Char,Normal5 Char,Level 3 - (i) Char"/>
    <w:basedOn w:val="DefaultParagraphFont"/>
    <w:link w:val="Heading5"/>
    <w:semiHidden/>
    <w:rsid w:val="00E1232E"/>
    <w:rPr>
      <w:rFonts w:cs="Arial" w:eastAsia="Times New Roman"/>
      <w:bCs/>
      <w:szCs w:val="28"/>
      <w:lang w:eastAsia="en-US"/>
    </w:rPr>
  </w:style>
  <w:style w:customStyle="1" w:styleId="Heading6Char" w:type="character">
    <w:name w:val="Heading 6 Char"/>
    <w:aliases w:val="Legal Level 1. Char,Body Text 5 Char,Normal6 Char"/>
    <w:basedOn w:val="DefaultParagraphFont"/>
    <w:link w:val="Heading6"/>
    <w:semiHidden/>
    <w:rsid w:val="00E1232E"/>
    <w:rPr>
      <w:rFonts w:cs="Arial" w:eastAsia="Times New Roman"/>
      <w:bCs/>
      <w:szCs w:val="28"/>
      <w:lang w:eastAsia="en-US"/>
    </w:rPr>
  </w:style>
  <w:style w:customStyle="1" w:styleId="Heading7Char" w:type="character">
    <w:name w:val="Heading 7 Char"/>
    <w:aliases w:val="Legal Level 1.1. Char,Body Text 6 Char,Heading 7(unused) Char,Normal7 Char"/>
    <w:basedOn w:val="DefaultParagraphFont"/>
    <w:link w:val="Heading7"/>
    <w:uiPriority w:val="99"/>
    <w:semiHidden/>
    <w:rsid w:val="00E1232E"/>
    <w:rPr>
      <w:rFonts w:cs="Arial" w:eastAsia="Times New Roman"/>
      <w:bCs/>
      <w:szCs w:val="28"/>
      <w:lang w:eastAsia="en-US"/>
    </w:rPr>
  </w:style>
  <w:style w:customStyle="1" w:styleId="Heading8Char" w:type="character">
    <w:name w:val="Heading 8 Char"/>
    <w:aliases w:val="Legal Level 1.1.1. Char,Body Text 7 Char,Heading 8(unused) Char,Heading 8 (Start Appendices) Char,Normal8 Char"/>
    <w:basedOn w:val="DefaultParagraphFont"/>
    <w:link w:val="Heading8"/>
    <w:uiPriority w:val="99"/>
    <w:semiHidden/>
    <w:rsid w:val="00E1232E"/>
    <w:rPr>
      <w:rFonts w:cs="Arial" w:eastAsia="Times New Roman"/>
      <w:bCs/>
      <w:szCs w:val="28"/>
      <w:lang w:eastAsia="en-US"/>
    </w:rPr>
  </w:style>
  <w:style w:customStyle="1" w:styleId="Heading9Char" w:type="character">
    <w:name w:val="Heading 9 Char"/>
    <w:aliases w:val="Legal Level 1.1.1.1. Char,Body Text 8 Char,Heading 9(unused) Char,Appendix Char"/>
    <w:basedOn w:val="DefaultParagraphFont"/>
    <w:link w:val="Heading9"/>
    <w:uiPriority w:val="99"/>
    <w:semiHidden/>
    <w:rsid w:val="00E1232E"/>
    <w:rPr>
      <w:rFonts w:cs="Arial" w:eastAsia="Times New Roman"/>
      <w:bCs/>
      <w:szCs w:val="28"/>
      <w:lang w:eastAsia="en-US"/>
    </w:rPr>
  </w:style>
  <w:style w:styleId="Hyperlink" w:type="character">
    <w:name w:val="Hyperlink"/>
    <w:basedOn w:val="DefaultParagraphFont"/>
    <w:uiPriority w:val="99"/>
    <w:unhideWhenUsed/>
    <w:locked/>
    <w:rsid w:val="00E1232E"/>
    <w:rPr>
      <w:color w:val="0000FF"/>
      <w:u w:val="single"/>
    </w:rPr>
  </w:style>
  <w:style w:styleId="FollowedHyperlink" w:type="character">
    <w:name w:val="FollowedHyperlink"/>
    <w:basedOn w:val="DefaultParagraphFont"/>
    <w:semiHidden/>
    <w:unhideWhenUsed/>
    <w:locked/>
    <w:rsid w:val="00E1232E"/>
    <w:rPr>
      <w:color w:val="800080"/>
      <w:u w:val="single"/>
    </w:rPr>
  </w:style>
  <w:style w:customStyle="1" w:styleId="Heading1Char1" w:type="character">
    <w:name w:val="Heading 1 Char1"/>
    <w:aliases w:val="H1 Char1,contents Char1,proj Char1,proj1 Char1,proj5 Char1,proj6 Char1,proj7 Char1,proj8 Char1,proj9 Char1,proj10 Char1,proj11 Char1,proj12 Char1,proj13 Char1,proj14 Char1,proj15 Char1,proj51 Char1,proj61 Char1,proj71 Char1,proj81 Char1"/>
    <w:basedOn w:val="DefaultParagraphFont"/>
    <w:rsid w:val="00E1232E"/>
    <w:rPr>
      <w:rFonts w:asciiTheme="majorHAnsi" w:cstheme="majorBidi" w:eastAsiaTheme="majorEastAsia" w:hAnsiTheme="majorHAnsi"/>
      <w:b/>
      <w:bCs/>
      <w:color w:themeColor="accent1" w:themeShade="BF" w:val="365F91"/>
      <w:sz w:val="28"/>
      <w:szCs w:val="28"/>
      <w:lang w:eastAsia="en-US"/>
    </w:rPr>
  </w:style>
  <w:style w:customStyle="1" w:styleId="Heading2Char1" w:type="character">
    <w:name w:val="Heading 2 Char1"/>
    <w:aliases w:val="heading 2 Char1,Intro Text Bold Char1,proj2 Char1,proj21 Char1,proj22 Char1,proj23 Char1,proj24 Char1,proj25 Char1,proj26 Char1,proj27 Char1,proj28 Char1,proj29 Char1,proj210 Char1,proj211 Char1,proj212 Char1,proj221 Char1,proj231 Char1"/>
    <w:basedOn w:val="DefaultParagraphFont"/>
    <w:semiHidden/>
    <w:rsid w:val="00E1232E"/>
    <w:rPr>
      <w:rFonts w:asciiTheme="majorHAnsi" w:cstheme="majorBidi" w:eastAsiaTheme="majorEastAsia" w:hAnsiTheme="majorHAnsi"/>
      <w:b/>
      <w:bCs/>
      <w:color w:themeColor="accent1" w:val="4F81BD"/>
      <w:sz w:val="26"/>
      <w:szCs w:val="26"/>
      <w:lang w:eastAsia="en-US"/>
    </w:rPr>
  </w:style>
  <w:style w:customStyle="1" w:styleId="Heading3Char1" w:type="character">
    <w:name w:val="Heading 3 Char1"/>
    <w:aliases w:val="heading 3 Char1,underlined Heading Char1,proj3 Char1,proj31 Char1,proj32 Char1,proj33 Char1,proj34 Char1,proj35 Char1,proj36 Char1,proj37 Char1,proj38 Char1,proj39 Char1,proj310 Char1,proj311 Char1,proj312 Char1,proj321 Char1,h3 Char"/>
    <w:basedOn w:val="DefaultParagraphFont"/>
    <w:semiHidden/>
    <w:rsid w:val="00E1232E"/>
    <w:rPr>
      <w:rFonts w:asciiTheme="majorHAnsi" w:cstheme="majorBidi" w:eastAsiaTheme="majorEastAsia" w:hAnsiTheme="majorHAnsi"/>
      <w:b/>
      <w:bCs/>
      <w:color w:themeColor="accent1" w:val="4F81BD"/>
      <w:lang w:eastAsia="en-US"/>
    </w:rPr>
  </w:style>
  <w:style w:customStyle="1" w:styleId="Heading4Char1" w:type="character">
    <w:name w:val="Heading 4 Char1"/>
    <w:aliases w:val="Level 2 - a Char1,h4 Char1,a Char1,minor header Char1,Map Title Char1,Subsection Char1,sub TR Char1,proj4 Char1,proj41 Char1,proj42 Char1,proj43 Char1,proj44 Char1,proj45 Char1,proj46 Char1,proj47 Char1,proj48 Char1,proj49 Char1"/>
    <w:basedOn w:val="DefaultParagraphFont"/>
    <w:semiHidden/>
    <w:rsid w:val="00E1232E"/>
    <w:rPr>
      <w:rFonts w:asciiTheme="majorHAnsi" w:cstheme="majorBidi" w:eastAsiaTheme="majorEastAsia" w:hAnsiTheme="majorHAnsi"/>
      <w:b/>
      <w:bCs/>
      <w:i/>
      <w:iCs/>
      <w:color w:themeColor="accent1" w:val="4F81BD"/>
      <w:lang w:eastAsia="en-US"/>
    </w:rPr>
  </w:style>
  <w:style w:customStyle="1" w:styleId="Heading5Char1" w:type="character">
    <w:name w:val="Heading 5 Char1"/>
    <w:aliases w:val="Level 3 - i Char1,5 Char1,Normal5 Char1,Level 3 - (i) Char1"/>
    <w:basedOn w:val="DefaultParagraphFont"/>
    <w:semiHidden/>
    <w:rsid w:val="00E1232E"/>
    <w:rPr>
      <w:rFonts w:asciiTheme="majorHAnsi" w:cstheme="majorBidi" w:eastAsiaTheme="majorEastAsia" w:hAnsiTheme="majorHAnsi"/>
      <w:color w:themeColor="accent1" w:themeShade="7F" w:val="243F60"/>
      <w:lang w:eastAsia="en-US"/>
    </w:rPr>
  </w:style>
  <w:style w:customStyle="1" w:styleId="Heading6Char1" w:type="character">
    <w:name w:val="Heading 6 Char1"/>
    <w:aliases w:val="Legal Level 1. Char1,Body Text 5 Char1,Normal6 Char1"/>
    <w:basedOn w:val="DefaultParagraphFont"/>
    <w:semiHidden/>
    <w:rsid w:val="00E1232E"/>
    <w:rPr>
      <w:rFonts w:asciiTheme="majorHAnsi" w:cstheme="majorBidi" w:eastAsiaTheme="majorEastAsia" w:hAnsiTheme="majorHAnsi"/>
      <w:i/>
      <w:iCs/>
      <w:color w:themeColor="accent1" w:themeShade="7F" w:val="243F60"/>
      <w:lang w:eastAsia="en-US"/>
    </w:rPr>
  </w:style>
  <w:style w:customStyle="1" w:styleId="Heading7Char1" w:type="character">
    <w:name w:val="Heading 7 Char1"/>
    <w:aliases w:val="Legal Level 1.1. Char1,Body Text 6 Char1,Heading 7(unused) Char1,Normal7 Char1"/>
    <w:basedOn w:val="DefaultParagraphFont"/>
    <w:semiHidden/>
    <w:rsid w:val="00E1232E"/>
    <w:rPr>
      <w:rFonts w:asciiTheme="majorHAnsi" w:cstheme="majorBidi" w:eastAsiaTheme="majorEastAsia" w:hAnsiTheme="majorHAnsi"/>
      <w:i/>
      <w:iCs/>
      <w:color w:themeColor="text1" w:themeTint="BF" w:val="404040"/>
      <w:lang w:eastAsia="en-US"/>
    </w:rPr>
  </w:style>
  <w:style w:customStyle="1" w:styleId="Heading8Char1" w:type="character">
    <w:name w:val="Heading 8 Char1"/>
    <w:aliases w:val="Legal Level 1.1.1. Char1,Body Text 7 Char1,Heading 8(unused) Char1,Heading 8 (Start Appendices) Char1,Normal8 Char1"/>
    <w:basedOn w:val="DefaultParagraphFont"/>
    <w:semiHidden/>
    <w:rsid w:val="00E1232E"/>
    <w:rPr>
      <w:rFonts w:asciiTheme="majorHAnsi" w:cstheme="majorBidi" w:eastAsiaTheme="majorEastAsia" w:hAnsiTheme="majorHAnsi"/>
      <w:color w:themeColor="text1" w:themeTint="BF" w:val="404040"/>
      <w:lang w:eastAsia="en-US"/>
    </w:rPr>
  </w:style>
  <w:style w:customStyle="1" w:styleId="Heading9Char1" w:type="character">
    <w:name w:val="Heading 9 Char1"/>
    <w:aliases w:val="Legal Level 1.1.1.1. Char1,Body Text 8 Char1,Heading 9(unused) Char1,Appendix Char1"/>
    <w:basedOn w:val="DefaultParagraphFont"/>
    <w:semiHidden/>
    <w:rsid w:val="00E1232E"/>
    <w:rPr>
      <w:rFonts w:asciiTheme="majorHAnsi" w:cstheme="majorBidi" w:eastAsiaTheme="majorEastAsia" w:hAnsiTheme="majorHAnsi"/>
      <w:i/>
      <w:iCs/>
      <w:color w:themeColor="text1" w:themeTint="BF" w:val="404040"/>
      <w:lang w:eastAsia="en-US"/>
    </w:rPr>
  </w:style>
  <w:style w:styleId="Index1" w:type="paragraph">
    <w:name w:val="index 1"/>
    <w:basedOn w:val="Normal"/>
    <w:next w:val="Normal"/>
    <w:autoRedefine/>
    <w:uiPriority w:val="99"/>
    <w:unhideWhenUsed/>
    <w:locked/>
    <w:rsid w:val="00E1232E"/>
    <w:pPr>
      <w:keepLines/>
      <w:numPr>
        <w:numId w:val="6"/>
      </w:numPr>
      <w:overflowPunct w:val="0"/>
      <w:autoSpaceDE w:val="0"/>
      <w:autoSpaceDN w:val="0"/>
      <w:adjustRightInd w:val="0"/>
      <w:spacing w:after="0" w:line="240" w:lineRule="auto"/>
      <w:jc w:val="both"/>
    </w:pPr>
    <w:rPr>
      <w:rFonts w:ascii="Times New Roman" w:eastAsia="Times New Roman" w:hAnsi="Times New Roman"/>
      <w:szCs w:val="20"/>
      <w:lang w:eastAsia="en-US"/>
    </w:rPr>
  </w:style>
  <w:style w:styleId="Index2" w:type="paragraph">
    <w:name w:val="index 2"/>
    <w:basedOn w:val="Normal"/>
    <w:next w:val="Normal"/>
    <w:autoRedefine/>
    <w:uiPriority w:val="99"/>
    <w:semiHidden/>
    <w:unhideWhenUsed/>
    <w:locked/>
    <w:rsid w:val="00E1232E"/>
    <w:pPr>
      <w:keepLines/>
      <w:overflowPunct w:val="0"/>
      <w:autoSpaceDE w:val="0"/>
      <w:autoSpaceDN w:val="0"/>
      <w:adjustRightInd w:val="0"/>
      <w:spacing w:after="0" w:before="240" w:line="240" w:lineRule="auto"/>
      <w:ind w:hanging="240" w:left="480"/>
      <w:jc w:val="both"/>
    </w:pPr>
    <w:rPr>
      <w:rFonts w:ascii="Times New Roman" w:eastAsia="Times New Roman" w:hAnsi="Times New Roman"/>
      <w:szCs w:val="20"/>
      <w:lang w:eastAsia="en-US"/>
    </w:rPr>
  </w:style>
  <w:style w:styleId="Index3" w:type="paragraph">
    <w:name w:val="index 3"/>
    <w:basedOn w:val="Normal"/>
    <w:next w:val="Normal"/>
    <w:autoRedefine/>
    <w:uiPriority w:val="99"/>
    <w:semiHidden/>
    <w:unhideWhenUsed/>
    <w:locked/>
    <w:rsid w:val="00E1232E"/>
    <w:pPr>
      <w:keepLines/>
      <w:overflowPunct w:val="0"/>
      <w:autoSpaceDE w:val="0"/>
      <w:autoSpaceDN w:val="0"/>
      <w:adjustRightInd w:val="0"/>
      <w:spacing w:after="0" w:before="240" w:line="240" w:lineRule="auto"/>
      <w:ind w:hanging="240" w:left="720"/>
      <w:jc w:val="both"/>
    </w:pPr>
    <w:rPr>
      <w:rFonts w:ascii="Times New Roman" w:eastAsia="Times New Roman" w:hAnsi="Times New Roman"/>
      <w:szCs w:val="20"/>
      <w:lang w:eastAsia="en-US"/>
    </w:rPr>
  </w:style>
  <w:style w:styleId="Index4" w:type="paragraph">
    <w:name w:val="index 4"/>
    <w:basedOn w:val="Normal"/>
    <w:next w:val="Normal"/>
    <w:autoRedefine/>
    <w:uiPriority w:val="99"/>
    <w:semiHidden/>
    <w:unhideWhenUsed/>
    <w:locked/>
    <w:rsid w:val="00E1232E"/>
    <w:pPr>
      <w:keepLines/>
      <w:overflowPunct w:val="0"/>
      <w:autoSpaceDE w:val="0"/>
      <w:autoSpaceDN w:val="0"/>
      <w:adjustRightInd w:val="0"/>
      <w:spacing w:after="0" w:before="240" w:line="240" w:lineRule="auto"/>
      <w:ind w:hanging="240" w:left="960"/>
      <w:jc w:val="both"/>
    </w:pPr>
    <w:rPr>
      <w:rFonts w:ascii="Times New Roman" w:eastAsia="Times New Roman" w:hAnsi="Times New Roman"/>
      <w:szCs w:val="20"/>
      <w:lang w:eastAsia="en-US"/>
    </w:rPr>
  </w:style>
  <w:style w:styleId="Index5" w:type="paragraph">
    <w:name w:val="index 5"/>
    <w:basedOn w:val="Normal"/>
    <w:next w:val="Normal"/>
    <w:autoRedefine/>
    <w:uiPriority w:val="99"/>
    <w:semiHidden/>
    <w:unhideWhenUsed/>
    <w:locked/>
    <w:rsid w:val="00E1232E"/>
    <w:pPr>
      <w:keepLines/>
      <w:overflowPunct w:val="0"/>
      <w:autoSpaceDE w:val="0"/>
      <w:autoSpaceDN w:val="0"/>
      <w:adjustRightInd w:val="0"/>
      <w:spacing w:after="0" w:before="240" w:line="240" w:lineRule="auto"/>
      <w:ind w:hanging="240" w:left="1200"/>
      <w:jc w:val="both"/>
    </w:pPr>
    <w:rPr>
      <w:rFonts w:ascii="Times New Roman" w:eastAsia="Times New Roman" w:hAnsi="Times New Roman"/>
      <w:szCs w:val="20"/>
      <w:lang w:eastAsia="en-US"/>
    </w:rPr>
  </w:style>
  <w:style w:styleId="Index6" w:type="paragraph">
    <w:name w:val="index 6"/>
    <w:basedOn w:val="Normal"/>
    <w:next w:val="Normal"/>
    <w:autoRedefine/>
    <w:uiPriority w:val="99"/>
    <w:semiHidden/>
    <w:unhideWhenUsed/>
    <w:locked/>
    <w:rsid w:val="00E1232E"/>
    <w:pPr>
      <w:keepLines/>
      <w:overflowPunct w:val="0"/>
      <w:autoSpaceDE w:val="0"/>
      <w:autoSpaceDN w:val="0"/>
      <w:adjustRightInd w:val="0"/>
      <w:spacing w:after="0" w:before="240" w:line="240" w:lineRule="auto"/>
      <w:ind w:hanging="240" w:left="1440"/>
      <w:jc w:val="both"/>
    </w:pPr>
    <w:rPr>
      <w:rFonts w:ascii="Times New Roman" w:eastAsia="Times New Roman" w:hAnsi="Times New Roman"/>
      <w:szCs w:val="20"/>
      <w:lang w:eastAsia="en-US"/>
    </w:rPr>
  </w:style>
  <w:style w:styleId="Index7" w:type="paragraph">
    <w:name w:val="index 7"/>
    <w:basedOn w:val="Normal"/>
    <w:next w:val="Normal"/>
    <w:autoRedefine/>
    <w:uiPriority w:val="99"/>
    <w:semiHidden/>
    <w:unhideWhenUsed/>
    <w:locked/>
    <w:rsid w:val="00E1232E"/>
    <w:pPr>
      <w:keepLines/>
      <w:overflowPunct w:val="0"/>
      <w:autoSpaceDE w:val="0"/>
      <w:autoSpaceDN w:val="0"/>
      <w:adjustRightInd w:val="0"/>
      <w:spacing w:after="0" w:before="240" w:line="240" w:lineRule="auto"/>
      <w:ind w:hanging="240" w:left="1680"/>
      <w:jc w:val="both"/>
    </w:pPr>
    <w:rPr>
      <w:rFonts w:ascii="Times New Roman" w:eastAsia="Times New Roman" w:hAnsi="Times New Roman"/>
      <w:szCs w:val="20"/>
      <w:lang w:eastAsia="en-US"/>
    </w:rPr>
  </w:style>
  <w:style w:styleId="Index8" w:type="paragraph">
    <w:name w:val="index 8"/>
    <w:basedOn w:val="Normal"/>
    <w:next w:val="Normal"/>
    <w:autoRedefine/>
    <w:uiPriority w:val="99"/>
    <w:semiHidden/>
    <w:unhideWhenUsed/>
    <w:locked/>
    <w:rsid w:val="00E1232E"/>
    <w:pPr>
      <w:keepLines/>
      <w:overflowPunct w:val="0"/>
      <w:autoSpaceDE w:val="0"/>
      <w:autoSpaceDN w:val="0"/>
      <w:adjustRightInd w:val="0"/>
      <w:spacing w:after="0" w:before="240" w:line="240" w:lineRule="auto"/>
      <w:ind w:hanging="240" w:left="1920"/>
      <w:jc w:val="both"/>
    </w:pPr>
    <w:rPr>
      <w:rFonts w:ascii="Times New Roman" w:eastAsia="Times New Roman" w:hAnsi="Times New Roman"/>
      <w:szCs w:val="20"/>
      <w:lang w:eastAsia="en-US"/>
    </w:rPr>
  </w:style>
  <w:style w:styleId="Index9" w:type="paragraph">
    <w:name w:val="index 9"/>
    <w:basedOn w:val="Normal"/>
    <w:next w:val="Normal"/>
    <w:autoRedefine/>
    <w:uiPriority w:val="99"/>
    <w:semiHidden/>
    <w:unhideWhenUsed/>
    <w:locked/>
    <w:rsid w:val="00E1232E"/>
    <w:pPr>
      <w:keepLines/>
      <w:overflowPunct w:val="0"/>
      <w:autoSpaceDE w:val="0"/>
      <w:autoSpaceDN w:val="0"/>
      <w:adjustRightInd w:val="0"/>
      <w:spacing w:after="0" w:before="240" w:line="240" w:lineRule="auto"/>
      <w:ind w:hanging="240" w:left="2160"/>
      <w:jc w:val="both"/>
    </w:pPr>
    <w:rPr>
      <w:rFonts w:ascii="Times New Roman" w:eastAsia="Times New Roman" w:hAnsi="Times New Roman"/>
      <w:szCs w:val="20"/>
      <w:lang w:eastAsia="en-US"/>
    </w:rPr>
  </w:style>
  <w:style w:styleId="TOC1" w:type="paragraph">
    <w:name w:val="toc 1"/>
    <w:basedOn w:val="Normal"/>
    <w:next w:val="Normal"/>
    <w:autoRedefine/>
    <w:uiPriority w:val="39"/>
    <w:semiHidden/>
    <w:unhideWhenUsed/>
    <w:qFormat/>
    <w:locked/>
    <w:rsid w:val="00E1232E"/>
    <w:pPr>
      <w:spacing w:after="120" w:line="240" w:lineRule="auto"/>
    </w:pPr>
    <w:rPr>
      <w:rFonts w:eastAsia="Times New Roman"/>
      <w:b/>
      <w:sz w:val="20"/>
      <w:szCs w:val="20"/>
      <w:lang w:eastAsia="en-US"/>
    </w:rPr>
  </w:style>
  <w:style w:styleId="TOC2" w:type="paragraph">
    <w:name w:val="toc 2"/>
    <w:basedOn w:val="TOC1"/>
    <w:next w:val="Normal"/>
    <w:autoRedefine/>
    <w:uiPriority w:val="39"/>
    <w:semiHidden/>
    <w:unhideWhenUsed/>
    <w:qFormat/>
    <w:locked/>
    <w:rsid w:val="00E1232E"/>
    <w:pPr>
      <w:ind w:left="454"/>
    </w:pPr>
    <w:rPr>
      <w:b w:val="0"/>
    </w:rPr>
  </w:style>
  <w:style w:styleId="TOC3" w:type="paragraph">
    <w:name w:val="toc 3"/>
    <w:basedOn w:val="TOC2"/>
    <w:next w:val="Normal"/>
    <w:autoRedefine/>
    <w:uiPriority w:val="39"/>
    <w:semiHidden/>
    <w:unhideWhenUsed/>
    <w:qFormat/>
    <w:locked/>
    <w:rsid w:val="00E1232E"/>
    <w:pPr>
      <w:spacing w:before="120"/>
    </w:pPr>
  </w:style>
  <w:style w:styleId="TOC4" w:type="paragraph">
    <w:name w:val="toc 4"/>
    <w:basedOn w:val="Normal"/>
    <w:next w:val="Normal"/>
    <w:autoRedefine/>
    <w:uiPriority w:val="39"/>
    <w:semiHidden/>
    <w:unhideWhenUsed/>
    <w:locked/>
    <w:rsid w:val="00E1232E"/>
    <w:pPr>
      <w:keepLines/>
      <w:tabs>
        <w:tab w:leader="dot" w:pos="9071" w:val="right"/>
      </w:tabs>
      <w:overflowPunct w:val="0"/>
      <w:autoSpaceDE w:val="0"/>
      <w:autoSpaceDN w:val="0"/>
      <w:adjustRightInd w:val="0"/>
      <w:spacing w:after="0" w:line="240" w:lineRule="auto"/>
      <w:ind w:left="720"/>
      <w:jc w:val="both"/>
    </w:pPr>
    <w:rPr>
      <w:rFonts w:eastAsia="Times New Roman"/>
      <w:sz w:val="20"/>
      <w:szCs w:val="20"/>
      <w:lang w:eastAsia="en-US"/>
    </w:rPr>
  </w:style>
  <w:style w:styleId="TOC5" w:type="paragraph">
    <w:name w:val="toc 5"/>
    <w:basedOn w:val="Normal"/>
    <w:next w:val="Normal"/>
    <w:autoRedefine/>
    <w:uiPriority w:val="39"/>
    <w:semiHidden/>
    <w:unhideWhenUsed/>
    <w:locked/>
    <w:rsid w:val="00E1232E"/>
    <w:pPr>
      <w:keepLines/>
      <w:tabs>
        <w:tab w:leader="dot" w:pos="9071" w:val="right"/>
      </w:tabs>
      <w:overflowPunct w:val="0"/>
      <w:autoSpaceDE w:val="0"/>
      <w:autoSpaceDN w:val="0"/>
      <w:adjustRightInd w:val="0"/>
      <w:spacing w:after="0" w:before="240" w:line="240" w:lineRule="auto"/>
      <w:ind w:left="960"/>
      <w:jc w:val="both"/>
    </w:pPr>
    <w:rPr>
      <w:rFonts w:eastAsia="Times New Roman"/>
      <w:szCs w:val="20"/>
      <w:lang w:eastAsia="en-US"/>
    </w:rPr>
  </w:style>
  <w:style w:styleId="TOC6" w:type="paragraph">
    <w:name w:val="toc 6"/>
    <w:basedOn w:val="Normal"/>
    <w:next w:val="Normal"/>
    <w:autoRedefine/>
    <w:uiPriority w:val="39"/>
    <w:semiHidden/>
    <w:unhideWhenUsed/>
    <w:locked/>
    <w:rsid w:val="00E1232E"/>
    <w:pPr>
      <w:keepLines/>
      <w:tabs>
        <w:tab w:leader="dot" w:pos="9071" w:val="right"/>
      </w:tabs>
      <w:overflowPunct w:val="0"/>
      <w:autoSpaceDE w:val="0"/>
      <w:autoSpaceDN w:val="0"/>
      <w:adjustRightInd w:val="0"/>
      <w:spacing w:after="0" w:before="240" w:line="240" w:lineRule="auto"/>
      <w:ind w:left="1200"/>
      <w:jc w:val="both"/>
    </w:pPr>
    <w:rPr>
      <w:rFonts w:ascii="Times New Roman" w:eastAsia="Times New Roman" w:hAnsi="Times New Roman"/>
      <w:szCs w:val="20"/>
      <w:lang w:eastAsia="en-US"/>
    </w:rPr>
  </w:style>
  <w:style w:styleId="TOC7" w:type="paragraph">
    <w:name w:val="toc 7"/>
    <w:basedOn w:val="Normal"/>
    <w:next w:val="Normal"/>
    <w:autoRedefine/>
    <w:uiPriority w:val="39"/>
    <w:semiHidden/>
    <w:unhideWhenUsed/>
    <w:locked/>
    <w:rsid w:val="00E1232E"/>
    <w:pPr>
      <w:keepLines/>
      <w:tabs>
        <w:tab w:leader="dot" w:pos="9071" w:val="right"/>
      </w:tabs>
      <w:overflowPunct w:val="0"/>
      <w:autoSpaceDE w:val="0"/>
      <w:autoSpaceDN w:val="0"/>
      <w:adjustRightInd w:val="0"/>
      <w:spacing w:after="0" w:before="240" w:line="240" w:lineRule="auto"/>
      <w:ind w:left="1440"/>
      <w:jc w:val="both"/>
    </w:pPr>
    <w:rPr>
      <w:rFonts w:ascii="Times New Roman" w:eastAsia="Times New Roman" w:hAnsi="Times New Roman"/>
      <w:szCs w:val="20"/>
      <w:lang w:eastAsia="en-US"/>
    </w:rPr>
  </w:style>
  <w:style w:styleId="TOC8" w:type="paragraph">
    <w:name w:val="toc 8"/>
    <w:basedOn w:val="Normal"/>
    <w:next w:val="Normal"/>
    <w:autoRedefine/>
    <w:uiPriority w:val="39"/>
    <w:semiHidden/>
    <w:unhideWhenUsed/>
    <w:locked/>
    <w:rsid w:val="00E1232E"/>
    <w:pPr>
      <w:keepLines/>
      <w:tabs>
        <w:tab w:leader="dot" w:pos="9071" w:val="right"/>
      </w:tabs>
      <w:overflowPunct w:val="0"/>
      <w:autoSpaceDE w:val="0"/>
      <w:autoSpaceDN w:val="0"/>
      <w:adjustRightInd w:val="0"/>
      <w:spacing w:after="0" w:before="240" w:line="240" w:lineRule="auto"/>
      <w:ind w:left="1680"/>
      <w:jc w:val="both"/>
    </w:pPr>
    <w:rPr>
      <w:rFonts w:ascii="Times New Roman" w:eastAsia="Times New Roman" w:hAnsi="Times New Roman"/>
      <w:szCs w:val="20"/>
      <w:lang w:eastAsia="en-US"/>
    </w:rPr>
  </w:style>
  <w:style w:styleId="TOC9" w:type="paragraph">
    <w:name w:val="toc 9"/>
    <w:basedOn w:val="Normal"/>
    <w:next w:val="Normal"/>
    <w:autoRedefine/>
    <w:uiPriority w:val="39"/>
    <w:semiHidden/>
    <w:unhideWhenUsed/>
    <w:locked/>
    <w:rsid w:val="00E1232E"/>
    <w:pPr>
      <w:keepLines/>
      <w:tabs>
        <w:tab w:leader="dot" w:pos="9071" w:val="right"/>
      </w:tabs>
      <w:overflowPunct w:val="0"/>
      <w:autoSpaceDE w:val="0"/>
      <w:autoSpaceDN w:val="0"/>
      <w:adjustRightInd w:val="0"/>
      <w:spacing w:after="0" w:before="240" w:line="240" w:lineRule="auto"/>
      <w:ind w:left="1920"/>
      <w:jc w:val="both"/>
    </w:pPr>
    <w:rPr>
      <w:rFonts w:ascii="Times New Roman" w:eastAsia="Times New Roman" w:hAnsi="Times New Roman"/>
      <w:szCs w:val="20"/>
      <w:lang w:eastAsia="en-US"/>
    </w:rPr>
  </w:style>
  <w:style w:styleId="FootnoteText" w:type="paragraph">
    <w:name w:val="footnote text"/>
    <w:basedOn w:val="Normal"/>
    <w:link w:val="FootnoteTextChar"/>
    <w:uiPriority w:val="99"/>
    <w:unhideWhenUsed/>
    <w:locked/>
    <w:rsid w:val="00E1232E"/>
    <w:pPr>
      <w:spacing w:after="0" w:line="240" w:lineRule="auto"/>
    </w:pPr>
    <w:rPr>
      <w:rFonts w:asciiTheme="minorHAnsi" w:cstheme="minorBidi" w:eastAsiaTheme="minorEastAsia" w:hAnsiTheme="minorHAnsi"/>
      <w:sz w:val="20"/>
      <w:szCs w:val="20"/>
      <w:lang w:eastAsia="ja-JP" w:val="en-US"/>
    </w:rPr>
  </w:style>
  <w:style w:customStyle="1" w:styleId="FootnoteTextChar" w:type="character">
    <w:name w:val="Footnote Text Char"/>
    <w:basedOn w:val="DefaultParagraphFont"/>
    <w:link w:val="FootnoteText"/>
    <w:uiPriority w:val="99"/>
    <w:rsid w:val="00E1232E"/>
    <w:rPr>
      <w:rFonts w:asciiTheme="minorHAnsi" w:cstheme="minorBidi" w:eastAsiaTheme="minorEastAsia" w:hAnsiTheme="minorHAnsi"/>
      <w:sz w:val="20"/>
      <w:szCs w:val="20"/>
      <w:lang w:eastAsia="ja-JP" w:val="en-US"/>
    </w:rPr>
  </w:style>
  <w:style w:styleId="CommentText" w:type="paragraph">
    <w:name w:val="annotation text"/>
    <w:basedOn w:val="Normal"/>
    <w:link w:val="CommentTextChar"/>
    <w:uiPriority w:val="99"/>
    <w:semiHidden/>
    <w:unhideWhenUsed/>
    <w:locked/>
    <w:rsid w:val="00E1232E"/>
    <w:pPr>
      <w:spacing w:after="120" w:before="240" w:line="300" w:lineRule="auto"/>
    </w:pPr>
    <w:rPr>
      <w:rFonts w:eastAsia="Times New Roman"/>
      <w:sz w:val="20"/>
      <w:szCs w:val="20"/>
      <w:lang w:eastAsia="en-US"/>
    </w:rPr>
  </w:style>
  <w:style w:customStyle="1" w:styleId="CommentTextChar" w:type="character">
    <w:name w:val="Comment Text Char"/>
    <w:basedOn w:val="DefaultParagraphFont"/>
    <w:link w:val="CommentText"/>
    <w:uiPriority w:val="99"/>
    <w:semiHidden/>
    <w:rsid w:val="00E1232E"/>
    <w:rPr>
      <w:rFonts w:eastAsia="Times New Roman"/>
      <w:sz w:val="20"/>
      <w:szCs w:val="20"/>
      <w:lang w:eastAsia="en-US"/>
    </w:rPr>
  </w:style>
  <w:style w:styleId="Header" w:type="paragraph">
    <w:name w:val="header"/>
    <w:basedOn w:val="Normal"/>
    <w:link w:val="HeaderChar"/>
    <w:uiPriority w:val="99"/>
    <w:semiHidden/>
    <w:unhideWhenUsed/>
    <w:locked/>
    <w:rsid w:val="00E1232E"/>
    <w:pPr>
      <w:tabs>
        <w:tab w:pos="4153" w:val="center"/>
        <w:tab w:pos="8306" w:val="right"/>
      </w:tabs>
      <w:spacing w:after="120" w:before="240" w:line="300" w:lineRule="auto"/>
    </w:pPr>
    <w:rPr>
      <w:rFonts w:eastAsia="Times New Roman"/>
      <w:sz w:val="20"/>
      <w:szCs w:val="20"/>
      <w:lang w:eastAsia="en-US"/>
    </w:rPr>
  </w:style>
  <w:style w:customStyle="1" w:styleId="HeaderChar" w:type="character">
    <w:name w:val="Header Char"/>
    <w:basedOn w:val="DefaultParagraphFont"/>
    <w:link w:val="Header"/>
    <w:uiPriority w:val="99"/>
    <w:semiHidden/>
    <w:rsid w:val="00E1232E"/>
    <w:rPr>
      <w:rFonts w:eastAsia="Times New Roman"/>
      <w:sz w:val="20"/>
      <w:szCs w:val="20"/>
      <w:lang w:eastAsia="en-US"/>
    </w:rPr>
  </w:style>
  <w:style w:styleId="Footer" w:type="paragraph">
    <w:name w:val="footer"/>
    <w:basedOn w:val="Normal"/>
    <w:link w:val="FooterChar"/>
    <w:uiPriority w:val="99"/>
    <w:semiHidden/>
    <w:unhideWhenUsed/>
    <w:locked/>
    <w:rsid w:val="00E1232E"/>
    <w:pPr>
      <w:tabs>
        <w:tab w:pos="4153" w:val="center"/>
        <w:tab w:pos="8306" w:val="right"/>
      </w:tabs>
      <w:spacing w:after="120" w:before="240" w:line="300" w:lineRule="auto"/>
    </w:pPr>
    <w:rPr>
      <w:rFonts w:eastAsia="Times New Roman"/>
      <w:sz w:val="20"/>
      <w:szCs w:val="20"/>
      <w:lang w:eastAsia="en-US"/>
    </w:rPr>
  </w:style>
  <w:style w:customStyle="1" w:styleId="FooterChar" w:type="character">
    <w:name w:val="Footer Char"/>
    <w:basedOn w:val="DefaultParagraphFont"/>
    <w:link w:val="Footer"/>
    <w:uiPriority w:val="99"/>
    <w:semiHidden/>
    <w:rsid w:val="00E1232E"/>
    <w:rPr>
      <w:rFonts w:eastAsia="Times New Roman"/>
      <w:sz w:val="20"/>
      <w:szCs w:val="20"/>
      <w:lang w:eastAsia="en-US"/>
    </w:rPr>
  </w:style>
  <w:style w:styleId="IndexHeading" w:type="paragraph">
    <w:name w:val="index heading"/>
    <w:basedOn w:val="Normal"/>
    <w:next w:val="Index1"/>
    <w:uiPriority w:val="99"/>
    <w:unhideWhenUsed/>
    <w:locked/>
    <w:rsid w:val="00E1232E"/>
    <w:pPr>
      <w:keepLines/>
      <w:overflowPunct w:val="0"/>
      <w:autoSpaceDE w:val="0"/>
      <w:autoSpaceDN w:val="0"/>
      <w:adjustRightInd w:val="0"/>
      <w:spacing w:after="0" w:before="240" w:line="240" w:lineRule="auto"/>
      <w:jc w:val="both"/>
    </w:pPr>
    <w:rPr>
      <w:rFonts w:ascii="Times New Roman" w:eastAsia="Times New Roman" w:hAnsi="Times New Roman"/>
      <w:szCs w:val="20"/>
      <w:lang w:eastAsia="en-US"/>
    </w:rPr>
  </w:style>
  <w:style w:styleId="Caption" w:type="paragraph">
    <w:name w:val="caption"/>
    <w:basedOn w:val="Normal"/>
    <w:next w:val="Normal"/>
    <w:uiPriority w:val="99"/>
    <w:semiHidden/>
    <w:unhideWhenUsed/>
    <w:qFormat/>
    <w:locked/>
    <w:rsid w:val="00E1232E"/>
    <w:pPr>
      <w:keepLines/>
      <w:tabs>
        <w:tab w:pos="1134" w:val="left"/>
      </w:tabs>
      <w:overflowPunct w:val="0"/>
      <w:autoSpaceDE w:val="0"/>
      <w:autoSpaceDN w:val="0"/>
      <w:adjustRightInd w:val="0"/>
      <w:spacing w:after="0" w:before="240" w:line="240" w:lineRule="auto"/>
      <w:ind w:left="567"/>
      <w:jc w:val="center"/>
    </w:pPr>
    <w:rPr>
      <w:rFonts w:ascii="Times New Roman" w:eastAsia="Times New Roman" w:hAnsi="Times New Roman"/>
      <w:i/>
      <w:iCs/>
      <w:sz w:val="20"/>
      <w:szCs w:val="20"/>
      <w:lang w:eastAsia="en-US"/>
    </w:rPr>
  </w:style>
  <w:style w:styleId="ListBullet" w:type="paragraph">
    <w:name w:val="List Bullet"/>
    <w:basedOn w:val="Normal"/>
    <w:uiPriority w:val="99"/>
    <w:semiHidden/>
    <w:unhideWhenUsed/>
    <w:locked/>
    <w:rsid w:val="00E1232E"/>
    <w:pPr>
      <w:numPr>
        <w:numId w:val="7"/>
      </w:numPr>
      <w:spacing w:after="60" w:before="60" w:line="300" w:lineRule="auto"/>
    </w:pPr>
    <w:rPr>
      <w:rFonts w:ascii="Arial(W1)" w:eastAsia="Times New Roman" w:hAnsi="Arial(W1)"/>
      <w:sz w:val="20"/>
      <w:szCs w:val="22"/>
      <w:lang w:eastAsia="en-US"/>
    </w:rPr>
  </w:style>
  <w:style w:customStyle="1" w:styleId="BodyTextChar" w:type="character">
    <w:name w:val="Body Text Char"/>
    <w:aliases w:val="bt Char,Heading 3 text Char,Heading 3 text1 Char,Heading 3 text2 Char,Heading 3 text3 Char,Heading 3 text4 Char"/>
    <w:basedOn w:val="DefaultParagraphFont"/>
    <w:link w:val="BodyText"/>
    <w:locked/>
    <w:rsid w:val="00E1232E"/>
    <w:rPr>
      <w:rFonts w:cs="Arial"/>
      <w:lang w:eastAsia="en-US"/>
    </w:rPr>
  </w:style>
  <w:style w:styleId="BodyText" w:type="paragraph">
    <w:name w:val="Body Text"/>
    <w:aliases w:val="bt,Heading 3 text,Heading 3 text1,Heading 3 text2,Heading 3 text3,Heading 3 text4"/>
    <w:basedOn w:val="Normal"/>
    <w:link w:val="BodyTextChar"/>
    <w:unhideWhenUsed/>
    <w:rsid w:val="00E1232E"/>
    <w:pPr>
      <w:spacing w:after="120" w:before="240" w:line="300" w:lineRule="auto"/>
    </w:pPr>
    <w:rPr>
      <w:rFonts w:cs="Arial"/>
      <w:lang w:eastAsia="en-US"/>
    </w:rPr>
  </w:style>
  <w:style w:customStyle="1" w:styleId="BodyTextChar1" w:type="character">
    <w:name w:val="Body Text Char1"/>
    <w:aliases w:val="bt Char1,Heading 3 text Char1,Heading 3 text1 Char1,Heading 3 text2 Char1,Heading 3 text3 Char1,Heading 3 text4 Char1"/>
    <w:basedOn w:val="DefaultParagraphFont"/>
    <w:semiHidden/>
    <w:rsid w:val="00E1232E"/>
  </w:style>
  <w:style w:styleId="BodyTextIndent" w:type="paragraph">
    <w:name w:val="Body Text Indent"/>
    <w:basedOn w:val="Normal"/>
    <w:link w:val="BodyTextIndentChar"/>
    <w:uiPriority w:val="99"/>
    <w:semiHidden/>
    <w:unhideWhenUsed/>
    <w:rsid w:val="00E1232E"/>
    <w:pPr>
      <w:spacing w:after="120" w:before="240" w:line="300" w:lineRule="auto"/>
      <w:ind w:left="283"/>
    </w:pPr>
    <w:rPr>
      <w:rFonts w:eastAsia="Times New Roman"/>
      <w:sz w:val="20"/>
      <w:szCs w:val="20"/>
      <w:lang w:eastAsia="en-US"/>
    </w:rPr>
  </w:style>
  <w:style w:customStyle="1" w:styleId="BodyTextIndentChar" w:type="character">
    <w:name w:val="Body Text Indent Char"/>
    <w:basedOn w:val="DefaultParagraphFont"/>
    <w:link w:val="BodyTextIndent"/>
    <w:uiPriority w:val="99"/>
    <w:semiHidden/>
    <w:rsid w:val="00E1232E"/>
    <w:rPr>
      <w:rFonts w:eastAsia="Times New Roman"/>
      <w:sz w:val="20"/>
      <w:szCs w:val="20"/>
      <w:lang w:eastAsia="en-US"/>
    </w:rPr>
  </w:style>
  <w:style w:styleId="BodyText2" w:type="paragraph">
    <w:name w:val="Body Text 2"/>
    <w:basedOn w:val="Normal"/>
    <w:link w:val="BodyText2Char"/>
    <w:uiPriority w:val="99"/>
    <w:semiHidden/>
    <w:unhideWhenUsed/>
    <w:rsid w:val="00E1232E"/>
    <w:pPr>
      <w:spacing w:after="120" w:before="240" w:line="480" w:lineRule="auto"/>
    </w:pPr>
    <w:rPr>
      <w:rFonts w:eastAsia="Times New Roman"/>
      <w:sz w:val="20"/>
      <w:szCs w:val="20"/>
      <w:lang w:eastAsia="en-US"/>
    </w:rPr>
  </w:style>
  <w:style w:customStyle="1" w:styleId="BodyText2Char" w:type="character">
    <w:name w:val="Body Text 2 Char"/>
    <w:basedOn w:val="DefaultParagraphFont"/>
    <w:link w:val="BodyText2"/>
    <w:uiPriority w:val="99"/>
    <w:semiHidden/>
    <w:rsid w:val="00E1232E"/>
    <w:rPr>
      <w:rFonts w:eastAsia="Times New Roman"/>
      <w:sz w:val="20"/>
      <w:szCs w:val="20"/>
      <w:lang w:eastAsia="en-US"/>
    </w:rPr>
  </w:style>
  <w:style w:styleId="BodyText3" w:type="paragraph">
    <w:name w:val="Body Text 3"/>
    <w:basedOn w:val="Normal"/>
    <w:link w:val="BodyText3Char"/>
    <w:uiPriority w:val="99"/>
    <w:semiHidden/>
    <w:unhideWhenUsed/>
    <w:rsid w:val="00E1232E"/>
    <w:pPr>
      <w:spacing w:after="120" w:before="240" w:line="300" w:lineRule="auto"/>
    </w:pPr>
    <w:rPr>
      <w:rFonts w:eastAsia="Times New Roman"/>
      <w:sz w:val="16"/>
      <w:szCs w:val="16"/>
      <w:lang w:eastAsia="en-US"/>
    </w:rPr>
  </w:style>
  <w:style w:customStyle="1" w:styleId="BodyText3Char" w:type="character">
    <w:name w:val="Body Text 3 Char"/>
    <w:basedOn w:val="DefaultParagraphFont"/>
    <w:link w:val="BodyText3"/>
    <w:uiPriority w:val="99"/>
    <w:semiHidden/>
    <w:rsid w:val="00E1232E"/>
    <w:rPr>
      <w:rFonts w:eastAsia="Times New Roman"/>
      <w:sz w:val="16"/>
      <w:szCs w:val="16"/>
      <w:lang w:eastAsia="en-US"/>
    </w:rPr>
  </w:style>
  <w:style w:styleId="BodyTextIndent2" w:type="paragraph">
    <w:name w:val="Body Text Indent 2"/>
    <w:basedOn w:val="Normal"/>
    <w:link w:val="BodyTextIndent2Char"/>
    <w:uiPriority w:val="99"/>
    <w:unhideWhenUsed/>
    <w:locked/>
    <w:rsid w:val="00E1232E"/>
    <w:pPr>
      <w:spacing w:after="120" w:before="240" w:line="480" w:lineRule="auto"/>
      <w:ind w:left="283"/>
    </w:pPr>
    <w:rPr>
      <w:rFonts w:eastAsia="Times New Roman"/>
      <w:sz w:val="20"/>
      <w:szCs w:val="20"/>
      <w:lang w:eastAsia="en-US"/>
    </w:rPr>
  </w:style>
  <w:style w:customStyle="1" w:styleId="BodyTextIndent2Char" w:type="character">
    <w:name w:val="Body Text Indent 2 Char"/>
    <w:basedOn w:val="DefaultParagraphFont"/>
    <w:link w:val="BodyTextIndent2"/>
    <w:uiPriority w:val="99"/>
    <w:rsid w:val="00E1232E"/>
    <w:rPr>
      <w:rFonts w:eastAsia="Times New Roman"/>
      <w:sz w:val="20"/>
      <w:szCs w:val="20"/>
      <w:lang w:eastAsia="en-US"/>
    </w:rPr>
  </w:style>
  <w:style w:styleId="BodyTextIndent3" w:type="paragraph">
    <w:name w:val="Body Text Indent 3"/>
    <w:basedOn w:val="Normal"/>
    <w:link w:val="BodyTextIndent3Char"/>
    <w:uiPriority w:val="99"/>
    <w:semiHidden/>
    <w:unhideWhenUsed/>
    <w:locked/>
    <w:rsid w:val="00E1232E"/>
    <w:pPr>
      <w:spacing w:after="120" w:before="240" w:line="300" w:lineRule="auto"/>
      <w:ind w:left="283"/>
    </w:pPr>
    <w:rPr>
      <w:rFonts w:eastAsia="Times New Roman"/>
      <w:sz w:val="16"/>
      <w:szCs w:val="16"/>
      <w:lang w:eastAsia="en-US"/>
    </w:rPr>
  </w:style>
  <w:style w:customStyle="1" w:styleId="BodyTextIndent3Char" w:type="character">
    <w:name w:val="Body Text Indent 3 Char"/>
    <w:basedOn w:val="DefaultParagraphFont"/>
    <w:link w:val="BodyTextIndent3"/>
    <w:uiPriority w:val="99"/>
    <w:semiHidden/>
    <w:rsid w:val="00E1232E"/>
    <w:rPr>
      <w:rFonts w:eastAsia="Times New Roman"/>
      <w:sz w:val="16"/>
      <w:szCs w:val="16"/>
      <w:lang w:eastAsia="en-US"/>
    </w:rPr>
  </w:style>
  <w:style w:styleId="PlainText" w:type="paragraph">
    <w:name w:val="Plain Text"/>
    <w:basedOn w:val="Normal"/>
    <w:link w:val="PlainTextChar"/>
    <w:uiPriority w:val="99"/>
    <w:semiHidden/>
    <w:unhideWhenUsed/>
    <w:locked/>
    <w:rsid w:val="00E1232E"/>
    <w:pPr>
      <w:spacing w:after="0" w:line="240" w:lineRule="auto"/>
    </w:pPr>
    <w:rPr>
      <w:rFonts w:ascii="Courier New" w:cs="Courier New" w:eastAsia="Times New Roman" w:hAnsi="Courier New"/>
      <w:sz w:val="20"/>
      <w:szCs w:val="20"/>
      <w:lang w:eastAsia="en-US"/>
    </w:rPr>
  </w:style>
  <w:style w:customStyle="1" w:styleId="PlainTextChar" w:type="character">
    <w:name w:val="Plain Text Char"/>
    <w:basedOn w:val="DefaultParagraphFont"/>
    <w:link w:val="PlainText"/>
    <w:uiPriority w:val="99"/>
    <w:semiHidden/>
    <w:rsid w:val="00E1232E"/>
    <w:rPr>
      <w:rFonts w:ascii="Courier New" w:cs="Courier New" w:eastAsia="Times New Roman" w:hAnsi="Courier New"/>
      <w:sz w:val="20"/>
      <w:szCs w:val="20"/>
      <w:lang w:eastAsia="en-US"/>
    </w:rPr>
  </w:style>
  <w:style w:styleId="CommentSubject" w:type="paragraph">
    <w:name w:val="annotation subject"/>
    <w:basedOn w:val="CommentText"/>
    <w:next w:val="CommentText"/>
    <w:link w:val="CommentSubjectChar"/>
    <w:uiPriority w:val="99"/>
    <w:semiHidden/>
    <w:unhideWhenUsed/>
    <w:locked/>
    <w:rsid w:val="00E1232E"/>
    <w:rPr>
      <w:b/>
      <w:bCs/>
    </w:rPr>
  </w:style>
  <w:style w:customStyle="1" w:styleId="CommentSubjectChar" w:type="character">
    <w:name w:val="Comment Subject Char"/>
    <w:basedOn w:val="CommentTextChar"/>
    <w:link w:val="CommentSubject"/>
    <w:uiPriority w:val="99"/>
    <w:semiHidden/>
    <w:rsid w:val="00E1232E"/>
    <w:rPr>
      <w:rFonts w:eastAsia="Times New Roman"/>
      <w:b/>
      <w:bCs/>
      <w:sz w:val="20"/>
      <w:szCs w:val="20"/>
      <w:lang w:eastAsia="en-US"/>
    </w:rPr>
  </w:style>
  <w:style w:styleId="ListParagraph" w:type="paragraph">
    <w:name w:val="List Paragraph"/>
    <w:basedOn w:val="Normal"/>
    <w:uiPriority w:val="34"/>
    <w:qFormat/>
    <w:locked/>
    <w:rsid w:val="00E1232E"/>
    <w:pPr>
      <w:spacing w:after="0" w:line="240" w:lineRule="auto"/>
      <w:ind w:left="720"/>
      <w:contextualSpacing/>
    </w:pPr>
    <w:rPr>
      <w:rFonts w:eastAsia="Times New Roman"/>
      <w:sz w:val="20"/>
      <w:lang w:eastAsia="en-US"/>
    </w:rPr>
  </w:style>
  <w:style w:styleId="TOCHeading" w:type="paragraph">
    <w:name w:val="TOC Heading"/>
    <w:basedOn w:val="Heading1"/>
    <w:next w:val="Normal"/>
    <w:uiPriority w:val="39"/>
    <w:semiHidden/>
    <w:unhideWhenUsed/>
    <w:qFormat/>
    <w:locked/>
    <w:rsid w:val="00E1232E"/>
    <w:pPr>
      <w:keepLines/>
      <w:spacing w:after="0" w:before="480"/>
      <w:outlineLvl w:val="9"/>
    </w:pPr>
    <w:rPr>
      <w:color w:themeColor="accent1" w:themeShade="BF" w:val="365F91"/>
      <w:kern w:val="0"/>
      <w:sz w:val="28"/>
      <w:szCs w:val="28"/>
      <w:lang w:eastAsia="ja-JP" w:val="en-US"/>
    </w:rPr>
  </w:style>
  <w:style w:customStyle="1" w:styleId="HeaderFooter" w:type="paragraph">
    <w:name w:val="Header/Footer"/>
    <w:basedOn w:val="Normal"/>
    <w:uiPriority w:val="99"/>
    <w:semiHidden/>
    <w:rsid w:val="00E1232E"/>
    <w:pPr>
      <w:spacing w:after="0" w:line="240" w:lineRule="auto"/>
      <w:jc w:val="right"/>
    </w:pPr>
    <w:rPr>
      <w:rFonts w:ascii="Arial (W1)" w:eastAsia="Times New Roman" w:hAnsi="Arial (W1)"/>
      <w:b/>
      <w:sz w:val="16"/>
      <w:szCs w:val="20"/>
      <w:lang w:eastAsia="en-US"/>
    </w:rPr>
  </w:style>
  <w:style w:customStyle="1" w:styleId="ListBulletIndent" w:type="paragraph">
    <w:name w:val="List Bullet Indent"/>
    <w:basedOn w:val="ListBullet"/>
    <w:uiPriority w:val="99"/>
    <w:semiHidden/>
    <w:rsid w:val="00E1232E"/>
    <w:pPr>
      <w:numPr>
        <w:numId w:val="8"/>
      </w:numPr>
    </w:pPr>
  </w:style>
  <w:style w:customStyle="1" w:styleId="TableText" w:type="paragraph">
    <w:name w:val="Table Text"/>
    <w:basedOn w:val="Normal"/>
    <w:uiPriority w:val="99"/>
    <w:semiHidden/>
    <w:rsid w:val="00E1232E"/>
    <w:pPr>
      <w:spacing w:after="60" w:before="60" w:line="300" w:lineRule="auto"/>
    </w:pPr>
    <w:rPr>
      <w:rFonts w:cs="Arial" w:eastAsia="Times New Roman"/>
      <w:sz w:val="20"/>
      <w:szCs w:val="20"/>
      <w:lang w:eastAsia="en-US"/>
    </w:rPr>
  </w:style>
  <w:style w:customStyle="1" w:styleId="Guidance" w:type="paragraph">
    <w:name w:val="Guidance"/>
    <w:basedOn w:val="BodyText"/>
    <w:uiPriority w:val="99"/>
    <w:semiHidden/>
    <w:rsid w:val="00E1232E"/>
    <w:pPr>
      <w:pBdr>
        <w:top w:color="auto" w:space="6" w:sz="4" w:val="single"/>
        <w:left w:color="auto" w:space="6" w:sz="4" w:val="single"/>
        <w:bottom w:color="auto" w:space="6" w:sz="4" w:val="single"/>
        <w:right w:color="auto" w:space="6" w:sz="4" w:val="single"/>
      </w:pBdr>
      <w:spacing w:after="0" w:before="0" w:line="240" w:lineRule="auto"/>
      <w:ind w:left="851"/>
    </w:pPr>
    <w:rPr>
      <w:rFonts w:ascii="Times New Roman" w:hAnsi="Times New Roman"/>
      <w:i/>
    </w:rPr>
  </w:style>
  <w:style w:customStyle="1" w:styleId="Tabletext0" w:type="paragraph">
    <w:name w:val="Table text"/>
    <w:basedOn w:val="Normal"/>
    <w:uiPriority w:val="99"/>
    <w:semiHidden/>
    <w:rsid w:val="00E1232E"/>
    <w:pPr>
      <w:spacing w:after="60" w:before="60" w:line="300" w:lineRule="auto"/>
    </w:pPr>
    <w:rPr>
      <w:rFonts w:cs="Arial" w:eastAsia="Times New Roman"/>
      <w:sz w:val="18"/>
      <w:szCs w:val="20"/>
      <w:lang w:eastAsia="en-US"/>
    </w:rPr>
  </w:style>
  <w:style w:customStyle="1" w:styleId="ListwithBullet" w:type="paragraph">
    <w:name w:val="List with Bullet"/>
    <w:basedOn w:val="Normal"/>
    <w:uiPriority w:val="99"/>
    <w:semiHidden/>
    <w:rsid w:val="00E1232E"/>
    <w:pPr>
      <w:numPr>
        <w:numId w:val="9"/>
      </w:numPr>
      <w:spacing w:after="0" w:line="300" w:lineRule="auto"/>
    </w:pPr>
    <w:rPr>
      <w:rFonts w:eastAsia="Times New Roman"/>
      <w:sz w:val="20"/>
      <w:szCs w:val="20"/>
      <w:lang w:eastAsia="en-US"/>
    </w:rPr>
  </w:style>
  <w:style w:customStyle="1" w:styleId="ListwithBulletinTable" w:type="paragraph">
    <w:name w:val="List with Bullet in Table"/>
    <w:basedOn w:val="ListwithBullet"/>
    <w:uiPriority w:val="99"/>
    <w:semiHidden/>
    <w:qFormat/>
    <w:rsid w:val="00E1232E"/>
    <w:rPr>
      <w:szCs w:val="22"/>
    </w:rPr>
  </w:style>
  <w:style w:customStyle="1" w:styleId="DBRNumbering" w:type="paragraph">
    <w:name w:val="DBR Numbering"/>
    <w:basedOn w:val="TableText"/>
    <w:uiPriority w:val="99"/>
    <w:semiHidden/>
    <w:qFormat/>
    <w:rsid w:val="00E1232E"/>
    <w:pPr>
      <w:numPr>
        <w:numId w:val="10"/>
      </w:numPr>
      <w:spacing w:line="240" w:lineRule="auto"/>
    </w:pPr>
  </w:style>
  <w:style w:customStyle="1" w:styleId="NFRNumbering" w:type="paragraph">
    <w:name w:val="NFR Numbering"/>
    <w:basedOn w:val="DBRNumbering"/>
    <w:uiPriority w:val="99"/>
    <w:semiHidden/>
    <w:qFormat/>
    <w:rsid w:val="00E1232E"/>
    <w:pPr>
      <w:numPr>
        <w:numId w:val="11"/>
      </w:numPr>
    </w:pPr>
    <w:rPr>
      <w:szCs w:val="24"/>
    </w:rPr>
  </w:style>
  <w:style w:customStyle="1" w:styleId="TableHeadingChar" w:type="character">
    <w:name w:val="Table Heading Char"/>
    <w:basedOn w:val="DefaultParagraphFont"/>
    <w:link w:val="TableHeading"/>
    <w:semiHidden/>
    <w:locked/>
    <w:rsid w:val="00E1232E"/>
    <w:rPr>
      <w:rFonts w:ascii="Arial Bold" w:hAnsi="Arial Bold"/>
      <w:b/>
      <w:sz w:val="18"/>
      <w:szCs w:val="22"/>
      <w:lang w:eastAsia="ar-SA"/>
    </w:rPr>
  </w:style>
  <w:style w:customStyle="1" w:styleId="TableHeading" w:type="paragraph">
    <w:name w:val="Table Heading"/>
    <w:basedOn w:val="Normal"/>
    <w:link w:val="TableHeadingChar"/>
    <w:semiHidden/>
    <w:rsid w:val="00E1232E"/>
    <w:pPr>
      <w:keepNext/>
      <w:keepLines/>
      <w:suppressAutoHyphens/>
      <w:spacing w:after="60" w:before="100" w:line="240" w:lineRule="auto"/>
    </w:pPr>
    <w:rPr>
      <w:rFonts w:ascii="Arial Bold" w:hAnsi="Arial Bold"/>
      <w:b/>
      <w:sz w:val="18"/>
      <w:szCs w:val="22"/>
      <w:lang w:eastAsia="ar-SA"/>
    </w:rPr>
  </w:style>
  <w:style w:customStyle="1" w:styleId="TableBullet" w:type="paragraph">
    <w:name w:val="Table Bullet"/>
    <w:basedOn w:val="TableText"/>
    <w:uiPriority w:val="99"/>
    <w:semiHidden/>
    <w:rsid w:val="00E1232E"/>
    <w:pPr>
      <w:numPr>
        <w:numId w:val="12"/>
      </w:numPr>
      <w:spacing w:line="240" w:lineRule="auto"/>
    </w:pPr>
    <w:rPr>
      <w:rFonts w:ascii="Arial (W1)" w:cs="Times New Roman" w:hAnsi="Arial (W1)"/>
      <w:sz w:val="22"/>
    </w:rPr>
  </w:style>
  <w:style w:customStyle="1" w:styleId="Bulletforunderhdr12" w:type="paragraph">
    <w:name w:val="Bullet for under hdr 1 &amp; 2"/>
    <w:basedOn w:val="Normal"/>
    <w:uiPriority w:val="99"/>
    <w:semiHidden/>
    <w:rsid w:val="00E1232E"/>
    <w:pPr>
      <w:numPr>
        <w:numId w:val="13"/>
      </w:numPr>
      <w:spacing w:after="120" w:before="240" w:line="300" w:lineRule="auto"/>
    </w:pPr>
    <w:rPr>
      <w:rFonts w:ascii="Helvetica" w:eastAsia="Times New Roman" w:hAnsi="Helvetica"/>
      <w:sz w:val="20"/>
      <w:szCs w:val="20"/>
      <w:lang w:eastAsia="en-US" w:val="en-GB"/>
    </w:rPr>
  </w:style>
  <w:style w:customStyle="1" w:styleId="Bulletforblueiinfo" w:type="paragraph">
    <w:name w:val="Bullet for blueiinfo"/>
    <w:basedOn w:val="Normal"/>
    <w:uiPriority w:val="99"/>
    <w:semiHidden/>
    <w:rsid w:val="00E1232E"/>
    <w:pPr>
      <w:numPr>
        <w:numId w:val="14"/>
      </w:numPr>
      <w:tabs>
        <w:tab w:pos="737" w:val="clear"/>
        <w:tab w:pos="0" w:val="num"/>
        <w:tab w:pos="1191" w:val="left"/>
      </w:tabs>
      <w:spacing w:after="120" w:before="240" w:line="300" w:lineRule="auto"/>
      <w:ind w:hanging="454" w:left="1191"/>
      <w:jc w:val="both"/>
    </w:pPr>
    <w:rPr>
      <w:rFonts w:eastAsia="Times New Roman"/>
      <w:i/>
      <w:color w:val="0000FF"/>
      <w:sz w:val="20"/>
      <w:szCs w:val="20"/>
      <w:lang w:eastAsia="en-US" w:val="en-GB"/>
    </w:rPr>
  </w:style>
  <w:style w:customStyle="1" w:styleId="TableNormal1" w:type="paragraph">
    <w:name w:val="Table Normal1"/>
    <w:basedOn w:val="Normal"/>
    <w:uiPriority w:val="99"/>
    <w:semiHidden/>
    <w:rsid w:val="00E1232E"/>
    <w:pPr>
      <w:keepNext/>
      <w:keepLines/>
      <w:spacing w:after="60" w:before="60" w:line="240" w:lineRule="auto"/>
    </w:pPr>
    <w:rPr>
      <w:rFonts w:eastAsia="Times New Roman"/>
      <w:sz w:val="18"/>
      <w:szCs w:val="22"/>
      <w:lang w:eastAsia="en-US"/>
    </w:rPr>
  </w:style>
  <w:style w:customStyle="1" w:styleId="TableHeadingCentre" w:type="paragraph">
    <w:name w:val="Table Heading Centre"/>
    <w:basedOn w:val="TableHeading"/>
    <w:uiPriority w:val="99"/>
    <w:semiHidden/>
    <w:rsid w:val="00E1232E"/>
    <w:pPr>
      <w:suppressAutoHyphens w:val="0"/>
      <w:spacing w:before="60"/>
      <w:jc w:val="center"/>
    </w:pPr>
    <w:rPr>
      <w:rFonts w:ascii="Arial (W1)" w:hAnsi="Arial (W1)"/>
      <w:lang w:eastAsia="en-US"/>
    </w:rPr>
  </w:style>
  <w:style w:customStyle="1" w:styleId="heading2text" w:type="paragraph">
    <w:name w:val="heading 2 text"/>
    <w:basedOn w:val="Normal"/>
    <w:uiPriority w:val="99"/>
    <w:semiHidden/>
    <w:rsid w:val="00E1232E"/>
    <w:pPr>
      <w:overflowPunct w:val="0"/>
      <w:autoSpaceDE w:val="0"/>
      <w:autoSpaceDN w:val="0"/>
      <w:adjustRightInd w:val="0"/>
      <w:spacing w:after="0" w:line="240" w:lineRule="auto"/>
      <w:ind w:left="1134"/>
      <w:jc w:val="both"/>
    </w:pPr>
    <w:rPr>
      <w:rFonts w:ascii="Times New Roman" w:eastAsia="Times New Roman" w:hAnsi="Times New Roman"/>
      <w:szCs w:val="20"/>
      <w:lang w:eastAsia="en-US"/>
    </w:rPr>
  </w:style>
  <w:style w:customStyle="1" w:styleId="ReturnAddress" w:type="paragraph">
    <w:name w:val="Return Address"/>
    <w:basedOn w:val="Normal"/>
    <w:uiPriority w:val="99"/>
    <w:semiHidden/>
    <w:rsid w:val="00E1232E"/>
    <w:pPr>
      <w:keepLines/>
      <w:framePr w:hAnchor="margin" w:hSpace="187" w:vAnchor="page" w:vSpace="187" w:w="5040" w:wrap="notBeside" w:y="966"/>
      <w:widowControl w:val="0"/>
      <w:overflowPunct w:val="0"/>
      <w:autoSpaceDE w:val="0"/>
      <w:autoSpaceDN w:val="0"/>
      <w:adjustRightInd w:val="0"/>
      <w:spacing w:after="0" w:line="200" w:lineRule="atLeast"/>
    </w:pPr>
    <w:rPr>
      <w:rFonts w:eastAsia="Times New Roman"/>
      <w:spacing w:val="-2"/>
      <w:sz w:val="16"/>
      <w:szCs w:val="20"/>
      <w:lang w:eastAsia="en-US" w:val="en-US"/>
    </w:rPr>
  </w:style>
  <w:style w:customStyle="1" w:styleId="Heading1Text" w:type="paragraph">
    <w:name w:val="Heading 1 Text"/>
    <w:basedOn w:val="Normal"/>
    <w:uiPriority w:val="99"/>
    <w:semiHidden/>
    <w:rsid w:val="00E1232E"/>
    <w:pPr>
      <w:overflowPunct w:val="0"/>
      <w:autoSpaceDE w:val="0"/>
      <w:autoSpaceDN w:val="0"/>
      <w:adjustRightInd w:val="0"/>
      <w:spacing w:after="0" w:line="240" w:lineRule="auto"/>
      <w:ind w:left="567"/>
      <w:jc w:val="both"/>
    </w:pPr>
    <w:rPr>
      <w:rFonts w:ascii="Times New Roman" w:eastAsia="Times New Roman" w:hAnsi="Times New Roman"/>
      <w:szCs w:val="20"/>
      <w:lang w:eastAsia="en-US"/>
    </w:rPr>
  </w:style>
  <w:style w:customStyle="1" w:styleId="Bullet" w:type="paragraph">
    <w:name w:val="Bullet"/>
    <w:basedOn w:val="Normal"/>
    <w:uiPriority w:val="99"/>
    <w:semiHidden/>
    <w:rsid w:val="00E1232E"/>
    <w:pPr>
      <w:overflowPunct w:val="0"/>
      <w:autoSpaceDE w:val="0"/>
      <w:autoSpaceDN w:val="0"/>
      <w:adjustRightInd w:val="0"/>
      <w:spacing w:after="0" w:before="120" w:line="240" w:lineRule="auto"/>
      <w:ind w:hanging="567" w:left="1418"/>
      <w:jc w:val="both"/>
    </w:pPr>
    <w:rPr>
      <w:rFonts w:ascii="Times New Roman" w:eastAsia="Times New Roman" w:hAnsi="Times New Roman"/>
      <w:szCs w:val="20"/>
      <w:lang w:eastAsia="en-US"/>
    </w:rPr>
  </w:style>
  <w:style w:customStyle="1" w:styleId="Topic" w:type="paragraph">
    <w:name w:val="Topic"/>
    <w:basedOn w:val="Normal"/>
    <w:next w:val="BodyText"/>
    <w:uiPriority w:val="99"/>
    <w:semiHidden/>
    <w:rsid w:val="00E1232E"/>
    <w:pPr>
      <w:spacing w:after="120" w:before="120" w:line="240" w:lineRule="auto"/>
      <w:ind w:left="425"/>
    </w:pPr>
    <w:rPr>
      <w:rFonts w:eastAsia="Times New Roman"/>
      <w:b/>
      <w:smallCaps/>
      <w:szCs w:val="20"/>
      <w:lang w:eastAsia="en-US" w:val="en-US"/>
    </w:rPr>
  </w:style>
  <w:style w:customStyle="1" w:styleId="AppendixHeading1" w:type="paragraph">
    <w:name w:val="Appendix Heading 1"/>
    <w:basedOn w:val="Heading1"/>
    <w:uiPriority w:val="99"/>
    <w:semiHidden/>
    <w:rsid w:val="00E1232E"/>
    <w:pPr>
      <w:keepLines/>
      <w:pageBreakBefore/>
      <w:tabs>
        <w:tab w:pos="510" w:val="left"/>
      </w:tabs>
      <w:overflowPunct w:val="0"/>
      <w:autoSpaceDE w:val="0"/>
      <w:autoSpaceDN w:val="0"/>
      <w:adjustRightInd w:val="0"/>
      <w:spacing w:after="0" w:line="240" w:lineRule="auto"/>
    </w:pPr>
    <w:rPr>
      <w:rFonts w:ascii="Arial" w:cs="Arial" w:eastAsia="Times New Roman" w:hAnsi="Arial"/>
      <w:bCs w:val="0"/>
      <w:kern w:val="0"/>
      <w:sz w:val="36"/>
      <w:szCs w:val="20"/>
      <w:lang w:eastAsia="en-US" w:val="en-US"/>
    </w:rPr>
  </w:style>
  <w:style w:customStyle="1" w:styleId="AppendixHeading2" w:type="paragraph">
    <w:name w:val="Appendix Heading 2"/>
    <w:basedOn w:val="Heading2"/>
    <w:uiPriority w:val="99"/>
    <w:semiHidden/>
    <w:rsid w:val="00E1232E"/>
    <w:pPr>
      <w:keepNext w:val="0"/>
      <w:numPr>
        <w:ilvl w:val="1"/>
        <w:numId w:val="15"/>
      </w:numPr>
      <w:tabs>
        <w:tab w:pos="0" w:val="left"/>
        <w:tab w:pos="567" w:val="left"/>
        <w:tab w:pos="794" w:val="left"/>
        <w:tab w:pos="1350" w:val="left"/>
      </w:tabs>
      <w:overflowPunct w:val="0"/>
      <w:autoSpaceDE w:val="0"/>
      <w:autoSpaceDN w:val="0"/>
      <w:adjustRightInd w:val="0"/>
      <w:spacing w:after="0" w:before="360" w:line="240" w:lineRule="atLeast"/>
    </w:pPr>
    <w:rPr>
      <w:rFonts w:ascii="Arial" w:cs="Arial" w:eastAsia="Times New Roman" w:hAnsi="Arial"/>
      <w:bCs w:val="0"/>
      <w:i w:val="0"/>
      <w:iCs w:val="0"/>
      <w:szCs w:val="20"/>
      <w:lang w:eastAsia="en-US" w:val="en-US"/>
    </w:rPr>
  </w:style>
  <w:style w:customStyle="1" w:styleId="ruler5" w:type="paragraph">
    <w:name w:val="ruler 5"/>
    <w:basedOn w:val="Normal"/>
    <w:uiPriority w:val="99"/>
    <w:semiHidden/>
    <w:rsid w:val="00E1232E"/>
    <w:pPr>
      <w:tabs>
        <w:tab w:pos="882" w:val="left"/>
        <w:tab w:pos="1857" w:val="left"/>
        <w:tab w:pos="2831" w:val="left"/>
        <w:tab w:pos="6589" w:val="left"/>
      </w:tabs>
      <w:spacing w:after="0" w:line="240" w:lineRule="auto"/>
    </w:pPr>
    <w:rPr>
      <w:rFonts w:ascii="Times" w:eastAsia="Times New Roman" w:hAnsi="Times"/>
      <w:noProof/>
      <w:color w:val="000000"/>
      <w:sz w:val="20"/>
      <w:szCs w:val="20"/>
      <w:lang w:eastAsia="en-US"/>
    </w:rPr>
  </w:style>
  <w:style w:customStyle="1" w:styleId="Normal1" w:type="paragraph">
    <w:name w:val="Normal1"/>
    <w:basedOn w:val="Normal"/>
    <w:uiPriority w:val="99"/>
    <w:semiHidden/>
    <w:rsid w:val="00E1232E"/>
    <w:pPr>
      <w:tabs>
        <w:tab w:pos="-1440" w:val="left"/>
        <w:tab w:pos="-720" w:val="left"/>
        <w:tab w:pos="1" w:val="left"/>
        <w:tab w:pos="1080" w:val="left"/>
        <w:tab w:pos="1800" w:val="left"/>
        <w:tab w:pos="2520" w:val="left"/>
        <w:tab w:pos="10080" w:val="left"/>
        <w:tab w:pos="10800" w:val="left"/>
        <w:tab w:pos="11520" w:val="left"/>
        <w:tab w:pos="12240" w:val="left"/>
        <w:tab w:pos="12960" w:val="left"/>
        <w:tab w:pos="13680" w:val="left"/>
        <w:tab w:pos="14400" w:val="left"/>
        <w:tab w:pos="15120" w:val="left"/>
        <w:tab w:pos="15840" w:val="left"/>
        <w:tab w:pos="16560" w:val="left"/>
        <w:tab w:pos="17280" w:val="left"/>
        <w:tab w:pos="18000" w:val="left"/>
        <w:tab w:pos="18720" w:val="left"/>
      </w:tabs>
      <w:suppressAutoHyphens/>
      <w:spacing w:after="0" w:before="120" w:line="240" w:lineRule="auto"/>
      <w:jc w:val="both"/>
    </w:pPr>
    <w:rPr>
      <w:rFonts w:ascii="Times New Roman" w:eastAsia="Times New Roman" w:hAnsi="Times New Roman"/>
      <w:b/>
      <w:spacing w:val="-3"/>
      <w:szCs w:val="20"/>
      <w:lang w:eastAsia="en-US" w:val="en-GB"/>
    </w:rPr>
  </w:style>
  <w:style w:customStyle="1" w:styleId="BulletLast" w:type="paragraph">
    <w:name w:val="Bullet Last"/>
    <w:basedOn w:val="Bullet"/>
    <w:next w:val="Normal"/>
    <w:uiPriority w:val="99"/>
    <w:semiHidden/>
    <w:rsid w:val="00E1232E"/>
    <w:pPr>
      <w:tabs>
        <w:tab w:pos="720" w:val="num"/>
      </w:tabs>
      <w:overflowPunct/>
      <w:autoSpaceDE/>
      <w:autoSpaceDN/>
      <w:adjustRightInd/>
      <w:spacing w:after="240" w:before="0"/>
      <w:ind w:hanging="288" w:left="648"/>
    </w:pPr>
    <w:rPr>
      <w:lang w:val="en-GB"/>
    </w:rPr>
  </w:style>
  <w:style w:customStyle="1" w:styleId="DecimalAligned" w:type="paragraph">
    <w:name w:val="Decimal Aligned"/>
    <w:basedOn w:val="Normal"/>
    <w:uiPriority w:val="40"/>
    <w:semiHidden/>
    <w:qFormat/>
    <w:rsid w:val="00E1232E"/>
    <w:pPr>
      <w:tabs>
        <w:tab w:pos="360" w:val="decimal"/>
      </w:tabs>
    </w:pPr>
    <w:rPr>
      <w:rFonts w:asciiTheme="minorHAnsi" w:cstheme="minorBidi" w:eastAsiaTheme="minorHAnsi" w:hAnsiTheme="minorHAnsi"/>
      <w:sz w:val="20"/>
      <w:szCs w:val="22"/>
      <w:lang w:eastAsia="ja-JP" w:val="en-US"/>
    </w:rPr>
  </w:style>
  <w:style w:styleId="CommentReference" w:type="character">
    <w:name w:val="annotation reference"/>
    <w:basedOn w:val="DefaultParagraphFont"/>
    <w:semiHidden/>
    <w:unhideWhenUsed/>
    <w:locked/>
    <w:rsid w:val="00E1232E"/>
    <w:rPr>
      <w:sz w:val="16"/>
      <w:szCs w:val="16"/>
    </w:rPr>
  </w:style>
  <w:style w:styleId="SubtleEmphasis" w:type="character">
    <w:name w:val="Subtle Emphasis"/>
    <w:basedOn w:val="DefaultParagraphFont"/>
    <w:uiPriority w:val="19"/>
    <w:qFormat/>
    <w:locked/>
    <w:rsid w:val="00E1232E"/>
    <w:rPr>
      <w:i/>
      <w:iCs/>
      <w:color w:themeColor="text1" w:themeTint="80" w:val="7F7F7F"/>
    </w:rPr>
  </w:style>
  <w:style w:customStyle="1" w:styleId="xdtextbox1" w:type="character">
    <w:name w:val="xdtextbox1"/>
    <w:basedOn w:val="DefaultParagraphFont"/>
    <w:rsid w:val="00E1232E"/>
    <w:rPr>
      <w:color w:val="auto"/>
      <w:bdr w:color="DCDCDC" w:frame="1" w:space="1" w:sz="8" w:val="single"/>
      <w:shd w:color="auto" w:fill="FFFFFF" w:val="clear"/>
    </w:rPr>
  </w:style>
  <w:style w:styleId="MediumGrid1-Accent3" w:type="table">
    <w:name w:val="Medium Grid 1 Accent 3"/>
    <w:basedOn w:val="TableNormal"/>
    <w:uiPriority w:val="67"/>
    <w:locked/>
    <w:rsid w:val="00E1232E"/>
    <w:rPr>
      <w:rFonts w:ascii="Times New Roman" w:eastAsia="Times New Roman" w:hAnsi="Times New Roman"/>
      <w:sz w:val="20"/>
      <w:szCs w:val="20"/>
    </w:rPr>
    <w:tblPr>
      <w:tblStyleRowBandSize w:val="1"/>
      <w:tblStyleColBandSize w:val="1"/>
      <w:tblInd w:type="dxa" w:w="0"/>
      <w:tblBorders>
        <w:top w:color="B3CC82" w:space="0" w:sz="8" w:themeColor="accent3" w:themeTint="BF" w:val="single"/>
        <w:left w:color="B3CC82" w:space="0" w:sz="8" w:themeColor="accent3" w:themeTint="BF" w:val="single"/>
        <w:bottom w:color="B3CC82" w:space="0" w:sz="8" w:themeColor="accent3" w:themeTint="BF" w:val="single"/>
        <w:right w:color="B3CC82" w:space="0" w:sz="8" w:themeColor="accent3" w:themeTint="BF" w:val="single"/>
        <w:insideH w:color="B3CC82" w:space="0" w:sz="8" w:themeColor="accent3" w:themeTint="BF" w:val="single"/>
        <w:insideV w:color="B3CC82" w:space="0" w:sz="8" w:themeColor="accent3" w:themeTint="BF" w:val="single"/>
      </w:tblBorders>
      <w:tblCellMar>
        <w:top w:type="dxa" w:w="0"/>
        <w:left w:type="dxa" w:w="108"/>
        <w:bottom w:type="dxa" w:w="0"/>
        <w:right w:type="dxa" w:w="108"/>
      </w:tblCellMar>
    </w:tblPr>
    <w:tcPr>
      <w:shd w:color="auto" w:fill="E6EED5" w:themeFill="accent3" w:themeFillTint="3F" w:val="clear"/>
    </w:tcPr>
    <w:tblStylePr w:type="firstRow">
      <w:rPr>
        <w:b/>
        <w:bCs/>
      </w:rPr>
    </w:tblStylePr>
    <w:tblStylePr w:type="lastRow">
      <w:rPr>
        <w:b/>
        <w:bCs/>
      </w:rPr>
      <w:tblPr/>
      <w:tcPr>
        <w:tcBorders>
          <w:top w:color="B3CC82" w:space="0" w:sz="18" w:themeColor="accent3" w:themeTint="BF" w:val="single"/>
        </w:tcBorders>
      </w:tcPr>
    </w:tblStylePr>
    <w:tblStylePr w:type="firstCol">
      <w:rPr>
        <w:b/>
        <w:bCs/>
      </w:rPr>
    </w:tblStylePr>
    <w:tblStylePr w:type="lastCol">
      <w:rPr>
        <w:b/>
        <w:bCs/>
      </w:rPr>
    </w:tblStylePr>
    <w:tblStylePr w:type="band1Vert">
      <w:tblPr/>
      <w:tcPr>
        <w:shd w:color="auto" w:fill="CDDDAC" w:themeFill="accent3" w:themeFillTint="7F" w:val="clear"/>
      </w:tcPr>
    </w:tblStylePr>
    <w:tblStylePr w:type="band1Horz">
      <w:tblPr/>
      <w:tcPr>
        <w:shd w:color="auto" w:fill="CDDDAC" w:themeFill="accent3" w:themeFillTint="7F" w:val="clear"/>
      </w:tcPr>
    </w:tblStylePr>
  </w:style>
  <w:style w:styleId="MediumShading2-Accent5" w:type="table">
    <w:name w:val="Medium Shading 2 Accent 5"/>
    <w:basedOn w:val="TableNormal"/>
    <w:uiPriority w:val="64"/>
    <w:locked/>
    <w:rsid w:val="00E1232E"/>
    <w:rPr>
      <w:rFonts w:asciiTheme="minorHAnsi" w:cstheme="minorBidi" w:eastAsiaTheme="minorEastAsia" w:hAnsiTheme="minorHAnsi"/>
      <w:sz w:val="22"/>
      <w:szCs w:val="22"/>
      <w:lang w:eastAsia="ja-JP" w:val="en-US"/>
    </w:rPr>
    <w:tblPr>
      <w:tblStyleRowBandSize w:val="1"/>
      <w:tblStyleColBandSize w:val="1"/>
      <w:tblInd w:type="dxa" w:w="0"/>
      <w:tblBorders>
        <w:top w:color="auto" w:space="0" w:sz="18" w:val="single"/>
        <w:bottom w:color="auto" w:space="0" w:sz="18" w:val="single"/>
      </w:tblBorders>
      <w:tblCellMar>
        <w:top w:type="dxa" w:w="0"/>
        <w:left w:type="dxa" w:w="108"/>
        <w:bottom w:type="dxa" w:w="0"/>
        <w:right w:type="dxa" w:w="108"/>
      </w:tblCellMar>
    </w:tblPr>
    <w:tblStylePr w:type="firstRow">
      <w:pPr>
        <w:spacing w:after="0" w:afterAutospacing="0" w:afterLines="0" w:before="0" w:beforeAutospacing="0" w:beforeLines="0" w:line="240" w:lineRule="auto"/>
      </w:pPr>
      <w:rPr>
        <w:b/>
        <w:bCs/>
        <w:color w:themeColor="background1" w:val="FFFFFF"/>
      </w:rPr>
      <w:tblPr/>
      <w:tcPr>
        <w:tcBorders>
          <w:top w:color="auto" w:space="0" w:sz="18" w:val="single"/>
          <w:left w:val="nil"/>
          <w:bottom w:color="auto" w:space="0" w:sz="18" w:val="single"/>
          <w:right w:val="nil"/>
          <w:insideH w:val="nil"/>
          <w:insideV w:val="nil"/>
        </w:tcBorders>
        <w:shd w:color="auto" w:fill="4BACC6" w:themeFill="accent5" w:val="clear"/>
      </w:tcPr>
    </w:tblStylePr>
    <w:tblStylePr w:type="lastRow">
      <w:pPr>
        <w:spacing w:after="0" w:afterAutospacing="0" w:afterLines="0" w:before="0" w:beforeAutospacing="0" w:beforeLines="0" w:line="240" w:lineRule="auto"/>
      </w:pPr>
      <w:rPr>
        <w:color w:val="000000"/>
      </w:rPr>
      <w:tblPr/>
      <w:tcPr>
        <w:tcBorders>
          <w:top w:color="auto" w:space="0" w:sz="6" w:val="double"/>
          <w:left w:val="nil"/>
          <w:bottom w:color="auto" w:space="0" w:sz="18" w:val="single"/>
          <w:right w:val="nil"/>
          <w:insideH w:val="nil"/>
          <w:insideV w:val="nil"/>
        </w:tcBorders>
        <w:shd w:color="auto" w:fill="FFFFFF" w:themeFill="background1" w:val="clear"/>
      </w:tcPr>
    </w:tblStylePr>
    <w:tblStylePr w:type="firstCol">
      <w:rPr>
        <w:b/>
        <w:bCs/>
        <w:color w:themeColor="background1" w:val="FFFFFF"/>
      </w:rPr>
      <w:tblPr/>
      <w:tcPr>
        <w:tcBorders>
          <w:top w:val="nil"/>
          <w:left w:val="nil"/>
          <w:bottom w:color="auto" w:space="0" w:sz="18" w:val="single"/>
          <w:right w:val="nil"/>
          <w:insideH w:val="nil"/>
          <w:insideV w:val="nil"/>
        </w:tcBorders>
        <w:shd w:color="auto" w:fill="4BACC6" w:themeFill="accent5" w:val="clear"/>
      </w:tcPr>
    </w:tblStylePr>
    <w:tblStylePr w:type="lastCol">
      <w:rPr>
        <w:b/>
        <w:bCs/>
        <w:color w:themeColor="background1" w:val="FFFFFF"/>
      </w:rPr>
      <w:tblPr/>
      <w:tcPr>
        <w:tcBorders>
          <w:left w:val="nil"/>
          <w:right w:val="nil"/>
          <w:insideH w:val="nil"/>
          <w:insideV w:val="nil"/>
        </w:tcBorders>
        <w:shd w:color="auto" w:fill="4BACC6" w:themeFill="accent5" w:val="clear"/>
      </w:tcPr>
    </w:tblStylePr>
    <w:tblStylePr w:type="band1Vert">
      <w:tblPr/>
      <w:tcPr>
        <w:tcBorders>
          <w:left w:val="nil"/>
          <w:right w:val="nil"/>
          <w:insideH w:val="nil"/>
          <w:insideV w:val="nil"/>
        </w:tcBorders>
        <w:shd w:color="auto" w:fill="D8D8D8" w:themeFill="background1" w:themeFillShade="D8" w:val="clear"/>
      </w:tcPr>
    </w:tblStylePr>
    <w:tblStylePr w:type="band1Horz">
      <w:tblPr/>
      <w:tcPr>
        <w:shd w:color="auto" w:fill="D8D8D8" w:themeFill="background1" w:themeFillShade="D8" w:val="clear"/>
      </w:tcPr>
    </w:tblStylePr>
    <w:tblStylePr w:type="neCell">
      <w:tblPr/>
      <w:tcPr>
        <w:tcBorders>
          <w:top w:color="auto" w:space="0" w:sz="18" w:val="single"/>
          <w:left w:val="nil"/>
          <w:bottom w:color="auto" w:space="0" w:sz="18" w:val="single"/>
          <w:right w:val="nil"/>
          <w:insideH w:val="nil"/>
          <w:insideV w:val="nil"/>
        </w:tcBorders>
      </w:tcPr>
    </w:tblStylePr>
    <w:tblStylePr w:type="nwCell">
      <w:rPr>
        <w:color w:themeColor="background1" w:val="FFFFFF"/>
      </w:rPr>
      <w:tblPr/>
      <w:tcPr>
        <w:tcBorders>
          <w:top w:color="auto" w:space="0" w:sz="18" w:val="single"/>
          <w:left w:val="nil"/>
          <w:bottom w:color="auto" w:space="0" w:sz="18" w:val="single"/>
          <w:right w:val="nil"/>
          <w:insideH w:val="nil"/>
          <w:insideV w:val="nil"/>
        </w:tcBorders>
      </w:tcPr>
    </w:tblStylePr>
  </w:style>
  <w:style w:styleId="MediumList1-Accent6" w:type="table">
    <w:name w:val="Medium List 1 Accent 6"/>
    <w:basedOn w:val="TableNormal"/>
    <w:uiPriority w:val="65"/>
    <w:locked/>
    <w:rsid w:val="00E1232E"/>
    <w:rPr>
      <w:rFonts w:ascii="Times New Roman" w:eastAsia="Times New Roman" w:hAnsi="Times New Roman"/>
      <w:color w:themeColor="text1" w:val="000000"/>
      <w:sz w:val="20"/>
      <w:szCs w:val="20"/>
    </w:rPr>
    <w:tblPr>
      <w:tblStyleRowBandSize w:val="1"/>
      <w:tblStyleColBandSize w:val="1"/>
      <w:tblInd w:type="dxa" w:w="0"/>
      <w:tblBorders>
        <w:top w:color="F79646" w:space="0" w:sz="8" w:themeColor="accent6" w:val="single"/>
        <w:bottom w:color="F79646" w:space="0" w:sz="8" w:themeColor="accent6" w:val="single"/>
      </w:tblBorders>
      <w:tblCellMar>
        <w:top w:type="dxa" w:w="0"/>
        <w:left w:type="dxa" w:w="108"/>
        <w:bottom w:type="dxa" w:w="0"/>
        <w:right w:type="dxa" w:w="108"/>
      </w:tblCellMar>
    </w:tblPr>
    <w:tblStylePr w:type="firstRow">
      <w:rPr>
        <w:rFonts w:asciiTheme="majorHAnsi" w:cstheme="majorBidi" w:eastAsiaTheme="majorEastAsia" w:hAnsiTheme="majorHAnsi" w:hint="default"/>
      </w:rPr>
      <w:tblPr/>
      <w:tcPr>
        <w:tcBorders>
          <w:top w:val="nil"/>
          <w:bottom w:color="F79646" w:space="0" w:sz="8" w:themeColor="accent6" w:val="single"/>
        </w:tcBorders>
      </w:tcPr>
    </w:tblStylePr>
    <w:tblStylePr w:type="lastRow">
      <w:rPr>
        <w:b/>
        <w:bCs/>
        <w:color w:themeColor="text2" w:val="1F497D"/>
      </w:rPr>
      <w:tblPr/>
      <w:tcPr>
        <w:tcBorders>
          <w:top w:color="F79646" w:space="0" w:sz="8" w:themeColor="accent6" w:val="single"/>
          <w:bottom w:color="F79646" w:space="0" w:sz="8" w:themeColor="accent6" w:val="single"/>
        </w:tcBorders>
      </w:tcPr>
    </w:tblStylePr>
    <w:tblStylePr w:type="firstCol">
      <w:rPr>
        <w:b/>
        <w:bCs/>
      </w:rPr>
    </w:tblStylePr>
    <w:tblStylePr w:type="lastCol">
      <w:rPr>
        <w:b/>
        <w:bCs/>
      </w:rPr>
      <w:tblPr/>
      <w:tcPr>
        <w:tcBorders>
          <w:top w:color="F79646" w:space="0" w:sz="8" w:themeColor="accent6" w:val="single"/>
          <w:bottom w:color="F79646" w:space="0" w:sz="8" w:themeColor="accent6" w:val="single"/>
        </w:tcBorders>
      </w:tcPr>
    </w:tblStylePr>
    <w:tblStylePr w:type="band1Vert">
      <w:tblPr/>
      <w:tcPr>
        <w:shd w:color="auto" w:fill="FDE4D0" w:themeFill="accent6" w:themeFillTint="3F" w:val="clear"/>
      </w:tcPr>
    </w:tblStylePr>
    <w:tblStylePr w:type="band1Horz">
      <w:tblPr/>
      <w:tcPr>
        <w:shd w:color="auto" w:fill="FDE4D0" w:themeFill="accent6" w:themeFillTint="3F" w:val="clear"/>
      </w:tcPr>
    </w:tblStylePr>
  </w:style>
  <w:style w:customStyle="1" w:styleId="LightList-Accent11" w:type="table">
    <w:name w:val="Light List - Accent 11"/>
    <w:basedOn w:val="TableNormal"/>
    <w:uiPriority w:val="61"/>
    <w:rsid w:val="00E1232E"/>
    <w:rPr>
      <w:rFonts w:ascii="Times New Roman" w:eastAsia="Times New Roman" w:hAnsi="Times New Roman"/>
      <w:sz w:val="20"/>
      <w:szCs w:val="20"/>
    </w:rPr>
    <w:tblPr>
      <w:tblStyleRowBandSize w:val="1"/>
      <w:tblStyleColBandSize w:val="1"/>
      <w:tblInd w:type="dxa" w:w="0"/>
      <w:tblBorders>
        <w:top w:color="4F81BD" w:space="0" w:sz="8" w:themeColor="accent1" w:val="single"/>
        <w:left w:color="4F81BD" w:space="0" w:sz="8" w:themeColor="accent1" w:val="single"/>
        <w:bottom w:color="4F81BD" w:space="0" w:sz="8" w:themeColor="accent1" w:val="single"/>
        <w:right w:color="4F81BD" w:space="0" w:sz="8" w:themeColor="accent1" w:val="single"/>
      </w:tblBorders>
      <w:tblCellMar>
        <w:top w:type="dxa" w:w="0"/>
        <w:left w:type="dxa" w:w="108"/>
        <w:bottom w:type="dxa" w:w="0"/>
        <w:right w:type="dxa" w:w="108"/>
      </w:tblCellMar>
    </w:tblPr>
    <w:tblStylePr w:type="firstRow">
      <w:pPr>
        <w:spacing w:after="0" w:afterAutospacing="0" w:afterLines="0" w:before="0" w:beforeAutospacing="0" w:beforeLines="0" w:line="240" w:lineRule="auto"/>
      </w:pPr>
      <w:rPr>
        <w:b/>
        <w:bCs/>
        <w:color w:themeColor="background1" w:val="FFFFFF"/>
      </w:rPr>
      <w:tblPr/>
      <w:tcPr>
        <w:shd w:color="auto" w:fill="4F81BD" w:themeFill="accent1" w:val="clear"/>
      </w:tcPr>
    </w:tblStylePr>
    <w:tblStylePr w:type="lastRow">
      <w:pPr>
        <w:spacing w:after="0" w:afterAutospacing="0" w:afterLines="0" w:before="0" w:beforeAutospacing="0" w:beforeLines="0" w:line="240" w:lineRule="auto"/>
      </w:pPr>
      <w:rPr>
        <w:b/>
        <w:bCs/>
      </w:rPr>
      <w:tblPr/>
      <w:tcPr>
        <w:tcBorders>
          <w:top w:color="4F81BD" w:space="0" w:sz="6" w:themeColor="accent1" w:val="double"/>
          <w:left w:color="4F81BD" w:space="0" w:sz="8" w:themeColor="accent1" w:val="single"/>
          <w:bottom w:color="4F81BD" w:space="0" w:sz="8" w:themeColor="accent1" w:val="single"/>
          <w:right w:color="4F81BD" w:space="0" w:sz="8" w:themeColor="accent1" w:val="single"/>
        </w:tcBorders>
      </w:tcPr>
    </w:tblStylePr>
    <w:tblStylePr w:type="firstCol">
      <w:rPr>
        <w:b/>
        <w:bCs/>
      </w:rPr>
    </w:tblStylePr>
    <w:tblStylePr w:type="lastCol">
      <w:rPr>
        <w:b/>
        <w:bCs/>
      </w:rPr>
    </w:tblStylePr>
    <w:tblStylePr w:type="band1Vert">
      <w:tblPr/>
      <w:tcPr>
        <w:tcBorders>
          <w:top w:color="4F81BD" w:space="0" w:sz="8" w:themeColor="accent1" w:val="single"/>
          <w:left w:color="4F81BD" w:space="0" w:sz="8" w:themeColor="accent1" w:val="single"/>
          <w:bottom w:color="4F81BD" w:space="0" w:sz="8" w:themeColor="accent1" w:val="single"/>
          <w:right w:color="4F81BD" w:space="0" w:sz="8" w:themeColor="accent1" w:val="single"/>
        </w:tcBorders>
      </w:tcPr>
    </w:tblStylePr>
    <w:tblStylePr w:type="band1Horz">
      <w:tblPr/>
      <w:tcPr>
        <w:tcBorders>
          <w:top w:color="4F81BD" w:space="0" w:sz="8" w:themeColor="accent1" w:val="single"/>
          <w:left w:color="4F81BD" w:space="0" w:sz="8" w:themeColor="accent1" w:val="single"/>
          <w:bottom w:color="4F81BD" w:space="0" w:sz="8" w:themeColor="accent1" w:val="single"/>
          <w:right w:color="4F81BD" w:space="0" w:sz="8" w:themeColor="accent1" w:val="single"/>
        </w:tcBorders>
      </w:tcPr>
    </w:tblStylePr>
  </w:style>
  <w:style w:customStyle="1" w:styleId="ColorfulGrid1" w:type="table">
    <w:name w:val="Colorful Grid1"/>
    <w:basedOn w:val="TableNormal"/>
    <w:uiPriority w:val="73"/>
    <w:rsid w:val="00E1232E"/>
    <w:rPr>
      <w:rFonts w:ascii="Times New Roman" w:eastAsia="Times New Roman" w:hAnsi="Times New Roman"/>
      <w:color w:themeColor="text1" w:val="000000"/>
      <w:sz w:val="20"/>
      <w:szCs w:val="20"/>
    </w:rPr>
    <w:tblPr>
      <w:tblStyleRowBandSize w:val="1"/>
      <w:tblStyleColBandSize w:val="1"/>
      <w:tblInd w:type="dxa" w:w="0"/>
      <w:tblBorders>
        <w:insideH w:color="FFFFFF" w:space="0" w:sz="4" w:themeColor="background1" w:val="single"/>
      </w:tblBorders>
      <w:tblCellMar>
        <w:top w:type="dxa" w:w="0"/>
        <w:left w:type="dxa" w:w="108"/>
        <w:bottom w:type="dxa" w:w="0"/>
        <w:right w:type="dxa" w:w="108"/>
      </w:tblCellMar>
    </w:tblPr>
    <w:tcPr>
      <w:shd w:color="auto" w:fill="CCCCCC" w:themeFill="text1" w:themeFillTint="33" w:val="clear"/>
    </w:tcPr>
    <w:tblStylePr w:type="firstRow">
      <w:rPr>
        <w:b/>
        <w:bCs/>
      </w:rPr>
      <w:tblPr/>
      <w:tcPr>
        <w:shd w:color="auto" w:fill="999999" w:themeFill="text1" w:themeFillTint="66" w:val="clear"/>
      </w:tcPr>
    </w:tblStylePr>
    <w:tblStylePr w:type="lastRow">
      <w:rPr>
        <w:b/>
        <w:bCs/>
        <w:color w:themeColor="text1" w:val="000000"/>
      </w:rPr>
      <w:tblPr/>
      <w:tcPr>
        <w:shd w:color="auto" w:fill="999999" w:themeFill="text1" w:themeFillTint="66" w:val="clear"/>
      </w:tcPr>
    </w:tblStylePr>
    <w:tblStylePr w:type="firstCol">
      <w:rPr>
        <w:color w:themeColor="background1" w:val="FFFFFF"/>
      </w:rPr>
      <w:tblPr/>
      <w:tcPr>
        <w:shd w:color="auto" w:fill="000000" w:themeFill="text1" w:themeFillShade="BF" w:val="clear"/>
      </w:tcPr>
    </w:tblStylePr>
    <w:tblStylePr w:type="lastCol">
      <w:rPr>
        <w:color w:themeColor="background1" w:val="FFFFFF"/>
      </w:rPr>
      <w:tblPr/>
      <w:tcPr>
        <w:shd w:color="auto" w:fill="000000" w:themeFill="text1" w:themeFillShade="BF" w:val="clear"/>
      </w:tcPr>
    </w:tblStylePr>
    <w:tblStylePr w:type="band1Vert">
      <w:tblPr/>
      <w:tcPr>
        <w:shd w:color="auto" w:fill="808080" w:themeFill="text1" w:themeFillTint="7F" w:val="clear"/>
      </w:tcPr>
    </w:tblStylePr>
    <w:tblStylePr w:type="band1Horz">
      <w:tblPr/>
      <w:tcPr>
        <w:shd w:color="auto" w:fill="808080" w:themeFill="text1" w:themeFillTint="7F" w:val="clear"/>
      </w:tcPr>
    </w:tblStylePr>
  </w:style>
  <w:style w:customStyle="1" w:styleId="MediumList11" w:type="table">
    <w:name w:val="Medium List 11"/>
    <w:basedOn w:val="TableNormal"/>
    <w:uiPriority w:val="65"/>
    <w:rsid w:val="00E1232E"/>
    <w:rPr>
      <w:rFonts w:ascii="Times New Roman" w:eastAsia="Times New Roman" w:hAnsi="Times New Roman"/>
      <w:color w:themeColor="text1" w:val="000000"/>
      <w:sz w:val="20"/>
      <w:szCs w:val="20"/>
    </w:rPr>
    <w:tblPr>
      <w:tblStyleRowBandSize w:val="1"/>
      <w:tblStyleColBandSize w:val="1"/>
      <w:tblInd w:type="dxa" w:w="0"/>
      <w:tblBorders>
        <w:top w:color="000000" w:space="0" w:sz="8" w:themeColor="text1" w:val="single"/>
        <w:bottom w:color="000000" w:space="0" w:sz="8" w:themeColor="text1" w:val="single"/>
      </w:tblBorders>
      <w:tblCellMar>
        <w:top w:type="dxa" w:w="0"/>
        <w:left w:type="dxa" w:w="108"/>
        <w:bottom w:type="dxa" w:w="0"/>
        <w:right w:type="dxa" w:w="108"/>
      </w:tblCellMar>
    </w:tblPr>
    <w:tblStylePr w:type="firstRow">
      <w:rPr>
        <w:rFonts w:asciiTheme="majorHAnsi" w:cstheme="majorBidi" w:eastAsiaTheme="majorEastAsia" w:hAnsiTheme="majorHAnsi" w:hint="default"/>
      </w:rPr>
      <w:tblPr/>
      <w:tcPr>
        <w:tcBorders>
          <w:top w:val="nil"/>
          <w:bottom w:color="000000" w:space="0" w:sz="8" w:themeColor="text1" w:val="single"/>
        </w:tcBorders>
      </w:tcPr>
    </w:tblStylePr>
    <w:tblStylePr w:type="lastRow">
      <w:rPr>
        <w:b/>
        <w:bCs/>
        <w:color w:themeColor="text2" w:val="1F497D"/>
      </w:rPr>
      <w:tblPr/>
      <w:tcPr>
        <w:tcBorders>
          <w:top w:color="000000" w:space="0" w:sz="8" w:themeColor="text1" w:val="single"/>
          <w:bottom w:color="000000" w:space="0" w:sz="8" w:themeColor="text1" w:val="single"/>
        </w:tcBorders>
      </w:tcPr>
    </w:tblStylePr>
    <w:tblStylePr w:type="firstCol">
      <w:rPr>
        <w:b/>
        <w:bCs/>
      </w:rPr>
    </w:tblStylePr>
    <w:tblStylePr w:type="lastCol">
      <w:rPr>
        <w:b/>
        <w:bCs/>
      </w:rPr>
      <w:tblPr/>
      <w:tcPr>
        <w:tcBorders>
          <w:top w:color="000000" w:space="0" w:sz="8" w:themeColor="text1" w:val="single"/>
          <w:bottom w:color="000000" w:space="0" w:sz="8" w:themeColor="text1" w:val="single"/>
        </w:tcBorders>
      </w:tcPr>
    </w:tblStylePr>
    <w:tblStylePr w:type="band1Vert">
      <w:tblPr/>
      <w:tcPr>
        <w:shd w:color="auto" w:fill="C0C0C0" w:themeFill="text1" w:themeFillTint="3F" w:val="clear"/>
      </w:tcPr>
    </w:tblStylePr>
    <w:tblStylePr w:type="band1Horz">
      <w:tblPr/>
      <w:tcPr>
        <w:shd w:color="auto" w:fill="C0C0C0" w:themeFill="text1" w:themeFillTint="3F" w:val="clear"/>
      </w:tcPr>
    </w:tblStylePr>
  </w:style>
  <w:style w:customStyle="1" w:styleId="LightList1" w:type="table">
    <w:name w:val="Light List1"/>
    <w:basedOn w:val="TableNormal"/>
    <w:uiPriority w:val="61"/>
    <w:rsid w:val="00E1232E"/>
    <w:rPr>
      <w:rFonts w:ascii="Times New Roman" w:eastAsia="Times New Roman" w:hAnsi="Times New Roman"/>
      <w:sz w:val="20"/>
      <w:szCs w:val="20"/>
    </w:rPr>
    <w:tblPr>
      <w:tblStyleRowBandSize w:val="1"/>
      <w:tblStyleColBandSize w:val="1"/>
      <w:tblInd w:type="dxa" w:w="0"/>
      <w:tblBorders>
        <w:top w:color="000000" w:space="0" w:sz="8" w:themeColor="text1" w:val="single"/>
        <w:left w:color="000000" w:space="0" w:sz="8" w:themeColor="text1" w:val="single"/>
        <w:bottom w:color="000000" w:space="0" w:sz="8" w:themeColor="text1" w:val="single"/>
        <w:right w:color="000000" w:space="0" w:sz="8" w:themeColor="text1" w:val="single"/>
      </w:tblBorders>
      <w:tblCellMar>
        <w:top w:type="dxa" w:w="0"/>
        <w:left w:type="dxa" w:w="108"/>
        <w:bottom w:type="dxa" w:w="0"/>
        <w:right w:type="dxa" w:w="108"/>
      </w:tblCellMar>
    </w:tblPr>
    <w:tblStylePr w:type="firstRow">
      <w:pPr>
        <w:spacing w:after="0" w:afterAutospacing="0" w:afterLines="0" w:before="0" w:beforeAutospacing="0" w:beforeLines="0" w:line="240" w:lineRule="auto"/>
      </w:pPr>
      <w:rPr>
        <w:b/>
        <w:bCs/>
        <w:color w:themeColor="background1" w:val="FFFFFF"/>
      </w:rPr>
      <w:tblPr/>
      <w:tcPr>
        <w:shd w:color="auto" w:fill="000000" w:themeFill="text1" w:val="clear"/>
      </w:tcPr>
    </w:tblStylePr>
    <w:tblStylePr w:type="lastRow">
      <w:pPr>
        <w:spacing w:after="0" w:afterAutospacing="0" w:afterLines="0" w:before="0" w:beforeAutospacing="0" w:beforeLines="0" w:line="240" w:lineRule="auto"/>
      </w:pPr>
      <w:rPr>
        <w:b/>
        <w:bCs/>
      </w:rPr>
      <w:tblPr/>
      <w:tcPr>
        <w:tcBorders>
          <w:top w:color="000000" w:space="0" w:sz="6" w:themeColor="text1" w:val="double"/>
          <w:left w:color="000000" w:space="0" w:sz="8" w:themeColor="text1" w:val="single"/>
          <w:bottom w:color="000000" w:space="0" w:sz="8" w:themeColor="text1" w:val="single"/>
          <w:right w:color="000000" w:space="0" w:sz="8" w:themeColor="text1" w:val="single"/>
        </w:tcBorders>
      </w:tcPr>
    </w:tblStylePr>
    <w:tblStylePr w:type="firstCol">
      <w:rPr>
        <w:b/>
        <w:bCs/>
      </w:rPr>
    </w:tblStylePr>
    <w:tblStylePr w:type="lastCol">
      <w:rPr>
        <w:b/>
        <w:bCs/>
      </w:rPr>
    </w:tblStylePr>
    <w:tblStylePr w:type="band1Vert">
      <w:tblPr/>
      <w:tcPr>
        <w:tcBorders>
          <w:top w:color="000000" w:space="0" w:sz="8" w:themeColor="text1" w:val="single"/>
          <w:left w:color="000000" w:space="0" w:sz="8" w:themeColor="text1" w:val="single"/>
          <w:bottom w:color="000000" w:space="0" w:sz="8" w:themeColor="text1" w:val="single"/>
          <w:right w:color="000000" w:space="0" w:sz="8" w:themeColor="text1" w:val="single"/>
        </w:tcBorders>
      </w:tcPr>
    </w:tblStylePr>
    <w:tblStylePr w:type="band1Horz">
      <w:tblPr/>
      <w:tcPr>
        <w:tcBorders>
          <w:top w:color="000000" w:space="0" w:sz="8" w:themeColor="text1" w:val="single"/>
          <w:left w:color="000000" w:space="0" w:sz="8" w:themeColor="text1" w:val="single"/>
          <w:bottom w:color="000000" w:space="0" w:sz="8" w:themeColor="text1" w:val="single"/>
          <w:right w:color="000000" w:space="0" w:sz="8" w:themeColor="text1" w:val="single"/>
        </w:tcBorders>
      </w:tcPr>
    </w:tblStylePr>
  </w:style>
  <w:style w:customStyle="1" w:styleId="MediumGrid21" w:type="table">
    <w:name w:val="Medium Grid 21"/>
    <w:basedOn w:val="TableNormal"/>
    <w:uiPriority w:val="68"/>
    <w:rsid w:val="00E1232E"/>
    <w:rPr>
      <w:rFonts w:asciiTheme="majorHAnsi" w:cstheme="majorBidi" w:eastAsiaTheme="majorEastAsia" w:hAnsiTheme="majorHAnsi"/>
      <w:color w:themeColor="text1" w:val="000000"/>
      <w:sz w:val="20"/>
      <w:szCs w:val="20"/>
    </w:rPr>
    <w:tblPr>
      <w:tblStyleRowBandSize w:val="1"/>
      <w:tblStyleColBandSize w:val="1"/>
      <w:tblInd w:type="dxa" w:w="0"/>
      <w:tblBorders>
        <w:top w:color="000000" w:space="0" w:sz="8" w:themeColor="text1" w:val="single"/>
        <w:left w:color="000000" w:space="0" w:sz="8" w:themeColor="text1" w:val="single"/>
        <w:bottom w:color="000000" w:space="0" w:sz="8" w:themeColor="text1" w:val="single"/>
        <w:right w:color="000000" w:space="0" w:sz="8" w:themeColor="text1" w:val="single"/>
        <w:insideH w:color="000000" w:space="0" w:sz="8" w:themeColor="text1" w:val="single"/>
        <w:insideV w:color="000000" w:space="0" w:sz="8" w:themeColor="text1" w:val="single"/>
      </w:tblBorders>
      <w:tblCellMar>
        <w:top w:type="dxa" w:w="0"/>
        <w:left w:type="dxa" w:w="108"/>
        <w:bottom w:type="dxa" w:w="0"/>
        <w:right w:type="dxa" w:w="108"/>
      </w:tblCellMar>
    </w:tblPr>
    <w:tcPr>
      <w:shd w:color="auto" w:fill="C0C0C0" w:themeFill="text1" w:themeFillTint="3F" w:val="clear"/>
    </w:tcPr>
    <w:tblStylePr w:type="firstRow">
      <w:rPr>
        <w:b/>
        <w:bCs/>
        <w:color w:themeColor="text1" w:val="000000"/>
      </w:rPr>
      <w:tblPr/>
      <w:tcPr>
        <w:shd w:color="auto" w:fill="E6E6E6" w:themeFill="text1" w:themeFillTint="19" w:val="clear"/>
      </w:tcPr>
    </w:tblStylePr>
    <w:tblStylePr w:type="lastRow">
      <w:rPr>
        <w:b/>
        <w:bCs/>
        <w:color w:themeColor="text1" w:val="000000"/>
      </w:rPr>
      <w:tblPr/>
      <w:tcPr>
        <w:tcBorders>
          <w:top w:color="000000" w:space="0" w:sz="12" w:themeColor="text1" w:val="single"/>
          <w:left w:val="nil"/>
          <w:bottom w:val="nil"/>
          <w:right w:val="nil"/>
          <w:insideH w:val="nil"/>
          <w:insideV w:val="nil"/>
        </w:tcBorders>
        <w:shd w:color="auto" w:fill="FFFFFF" w:themeFill="background1" w:val="clear"/>
      </w:tcPr>
    </w:tblStylePr>
    <w:tblStylePr w:type="firstCol">
      <w:rPr>
        <w:b/>
        <w:bCs/>
        <w:color w:themeColor="text1" w:val="000000"/>
      </w:rPr>
      <w:tblPr/>
      <w:tcPr>
        <w:tcBorders>
          <w:top w:val="nil"/>
          <w:left w:val="nil"/>
          <w:bottom w:val="nil"/>
          <w:right w:val="nil"/>
          <w:insideH w:val="nil"/>
          <w:insideV w:val="nil"/>
        </w:tcBorders>
        <w:shd w:color="auto" w:fill="FFFFFF" w:themeFill="background1" w:val="clear"/>
      </w:tcPr>
    </w:tblStylePr>
    <w:tblStylePr w:type="lastCol">
      <w:rPr>
        <w:b w:val="0"/>
        <w:bCs w:val="0"/>
        <w:color w:themeColor="text1" w:val="000000"/>
      </w:rPr>
      <w:tblPr/>
      <w:tcPr>
        <w:tcBorders>
          <w:top w:val="nil"/>
          <w:left w:val="nil"/>
          <w:bottom w:val="nil"/>
          <w:right w:val="nil"/>
          <w:insideH w:val="nil"/>
          <w:insideV w:val="nil"/>
        </w:tcBorders>
        <w:shd w:color="auto" w:fill="CCCCCC" w:themeFill="text1" w:themeFillTint="33" w:val="clear"/>
      </w:tcPr>
    </w:tblStylePr>
    <w:tblStylePr w:type="band1Vert">
      <w:tblPr/>
      <w:tcPr>
        <w:shd w:color="auto" w:fill="808080" w:themeFill="text1" w:themeFillTint="7F" w:val="clear"/>
      </w:tcPr>
    </w:tblStylePr>
    <w:tblStylePr w:type="band1Horz">
      <w:tblPr/>
      <w:tcPr>
        <w:tcBorders>
          <w:insideH w:color="000000" w:space="0" w:sz="6" w:themeColor="text1" w:val="single"/>
          <w:insideV w:color="000000" w:space="0" w:sz="6" w:themeColor="text1" w:val="single"/>
        </w:tcBorders>
        <w:shd w:color="auto" w:fill="808080" w:themeFill="text1" w:themeFillTint="7F" w:val="clear"/>
      </w:tcPr>
    </w:tblStylePr>
    <w:tblStylePr w:type="nwCell">
      <w:tblPr/>
      <w:tcPr>
        <w:shd w:color="auto" w:fill="FFFFFF" w:themeFill="background1" w:val="clear"/>
      </w:tcPr>
    </w:tblStylePr>
  </w:style>
  <w:style w:styleId="FootnoteReference" w:type="character">
    <w:name w:val="footnote reference"/>
    <w:basedOn w:val="DefaultParagraphFont"/>
    <w:uiPriority w:val="99"/>
    <w:unhideWhenUsed/>
    <w:locked/>
    <w:rsid w:val="0049645A"/>
    <w:rPr>
      <w:vertAlign w:val="superscript"/>
    </w:rPr>
  </w:style>
  <w:style w:customStyle="1" w:styleId="disclaimer" w:type="paragraph">
    <w:name w:val="disclaimer"/>
    <w:basedOn w:val="Normal"/>
    <w:rsid w:val="00575FAB"/>
    <w:pPr>
      <w:spacing w:after="100" w:afterAutospacing="1" w:before="100" w:beforeAutospacing="1" w:line="240" w:lineRule="auto"/>
    </w:pPr>
    <w:rPr>
      <w:rFonts w:ascii="Times" w:hAnsi="Times"/>
      <w:sz w:val="20"/>
      <w:szCs w:val="20"/>
      <w:lang w:eastAsia="en-US"/>
    </w:rPr>
  </w:style>
  <w:style w:styleId="Emphasis" w:type="character">
    <w:name w:val="Emphasis"/>
    <w:basedOn w:val="DefaultParagraphFont"/>
    <w:uiPriority w:val="20"/>
    <w:qFormat/>
    <w:locked/>
    <w:rsid w:val="00A2002E"/>
    <w:rPr>
      <w:i/>
      <w:i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233584556">
      <w:bodyDiv w:val="1"/>
      <w:marLeft w:val="0"/>
      <w:marRight w:val="0"/>
      <w:marTop w:val="0"/>
      <w:marBottom w:val="0"/>
      <w:divBdr>
        <w:top w:val="none" w:sz="0" w:space="0" w:color="auto"/>
        <w:left w:val="none" w:sz="0" w:space="0" w:color="auto"/>
        <w:bottom w:val="none" w:sz="0" w:space="0" w:color="auto"/>
        <w:right w:val="none" w:sz="0" w:space="0" w:color="auto"/>
      </w:divBdr>
      <w:divsChild>
        <w:div w:id="1323466538">
          <w:blockQuote w:val="1"/>
          <w:marLeft w:val="720"/>
          <w:marRight w:val="720"/>
          <w:marTop w:val="100"/>
          <w:marBottom w:val="100"/>
          <w:divBdr>
            <w:top w:val="none" w:sz="0" w:space="0" w:color="auto"/>
            <w:left w:val="none" w:sz="0" w:space="0" w:color="auto"/>
            <w:bottom w:val="none" w:sz="0" w:space="0" w:color="auto"/>
            <w:right w:val="none" w:sz="0" w:space="0" w:color="auto"/>
          </w:divBdr>
        </w:div>
        <w:div w:id="540753297">
          <w:blockQuote w:val="1"/>
          <w:marLeft w:val="720"/>
          <w:marRight w:val="720"/>
          <w:marTop w:val="100"/>
          <w:marBottom w:val="100"/>
          <w:divBdr>
            <w:top w:val="none" w:sz="0" w:space="0" w:color="auto"/>
            <w:left w:val="none" w:sz="0" w:space="0" w:color="auto"/>
            <w:bottom w:val="none" w:sz="0" w:space="0" w:color="auto"/>
            <w:right w:val="none" w:sz="0" w:space="0" w:color="auto"/>
          </w:divBdr>
        </w:div>
        <w:div w:id="2067560568">
          <w:blockQuote w:val="1"/>
          <w:marLeft w:val="720"/>
          <w:marRight w:val="720"/>
          <w:marTop w:val="100"/>
          <w:marBottom w:val="100"/>
          <w:divBdr>
            <w:top w:val="none" w:sz="0" w:space="0" w:color="auto"/>
            <w:left w:val="none" w:sz="0" w:space="0" w:color="auto"/>
            <w:bottom w:val="none" w:sz="0" w:space="0" w:color="auto"/>
            <w:right w:val="none" w:sz="0" w:space="0" w:color="auto"/>
          </w:divBdr>
        </w:div>
        <w:div w:id="1162282195">
          <w:blockQuote w:val="1"/>
          <w:marLeft w:val="720"/>
          <w:marRight w:val="720"/>
          <w:marTop w:val="100"/>
          <w:marBottom w:val="100"/>
          <w:divBdr>
            <w:top w:val="none" w:sz="0" w:space="0" w:color="auto"/>
            <w:left w:val="none" w:sz="0" w:space="0" w:color="auto"/>
            <w:bottom w:val="none" w:sz="0" w:space="0" w:color="auto"/>
            <w:right w:val="none" w:sz="0" w:space="0" w:color="auto"/>
          </w:divBdr>
        </w:div>
        <w:div w:id="485322580">
          <w:blockQuote w:val="1"/>
          <w:marLeft w:val="720"/>
          <w:marRight w:val="720"/>
          <w:marTop w:val="100"/>
          <w:marBottom w:val="100"/>
          <w:divBdr>
            <w:top w:val="none" w:sz="0" w:space="0" w:color="auto"/>
            <w:left w:val="none" w:sz="0" w:space="0" w:color="auto"/>
            <w:bottom w:val="none" w:sz="0" w:space="0" w:color="auto"/>
            <w:right w:val="none" w:sz="0" w:space="0" w:color="auto"/>
          </w:divBdr>
        </w:div>
        <w:div w:id="83036598">
          <w:blockQuote w:val="1"/>
          <w:marLeft w:val="720"/>
          <w:marRight w:val="720"/>
          <w:marTop w:val="100"/>
          <w:marBottom w:val="100"/>
          <w:divBdr>
            <w:top w:val="none" w:sz="0" w:space="0" w:color="auto"/>
            <w:left w:val="none" w:sz="0" w:space="0" w:color="auto"/>
            <w:bottom w:val="none" w:sz="0" w:space="0" w:color="auto"/>
            <w:right w:val="none" w:sz="0" w:space="0" w:color="auto"/>
          </w:divBdr>
        </w:div>
        <w:div w:id="224531235">
          <w:blockQuote w:val="1"/>
          <w:marLeft w:val="720"/>
          <w:marRight w:val="720"/>
          <w:marTop w:val="100"/>
          <w:marBottom w:val="100"/>
          <w:divBdr>
            <w:top w:val="none" w:sz="0" w:space="0" w:color="auto"/>
            <w:left w:val="none" w:sz="0" w:space="0" w:color="auto"/>
            <w:bottom w:val="none" w:sz="0" w:space="0" w:color="auto"/>
            <w:right w:val="none" w:sz="0" w:space="0" w:color="auto"/>
          </w:divBdr>
        </w:div>
        <w:div w:id="752896876">
          <w:blockQuote w:val="1"/>
          <w:marLeft w:val="720"/>
          <w:marRight w:val="720"/>
          <w:marTop w:val="100"/>
          <w:marBottom w:val="100"/>
          <w:divBdr>
            <w:top w:val="none" w:sz="0" w:space="0" w:color="auto"/>
            <w:left w:val="none" w:sz="0" w:space="0" w:color="auto"/>
            <w:bottom w:val="none" w:sz="0" w:space="0" w:color="auto"/>
            <w:right w:val="none" w:sz="0" w:space="0" w:color="auto"/>
          </w:divBdr>
        </w:div>
        <w:div w:id="2098214261">
          <w:blockQuote w:val="1"/>
          <w:marLeft w:val="720"/>
          <w:marRight w:val="720"/>
          <w:marTop w:val="100"/>
          <w:marBottom w:val="100"/>
          <w:divBdr>
            <w:top w:val="none" w:sz="0" w:space="0" w:color="auto"/>
            <w:left w:val="none" w:sz="0" w:space="0" w:color="auto"/>
            <w:bottom w:val="none" w:sz="0" w:space="0" w:color="auto"/>
            <w:right w:val="none" w:sz="0" w:space="0" w:color="auto"/>
          </w:divBdr>
        </w:div>
        <w:div w:id="1349941460">
          <w:blockQuote w:val="1"/>
          <w:marLeft w:val="720"/>
          <w:marRight w:val="720"/>
          <w:marTop w:val="100"/>
          <w:marBottom w:val="100"/>
          <w:divBdr>
            <w:top w:val="none" w:sz="0" w:space="0" w:color="auto"/>
            <w:left w:val="none" w:sz="0" w:space="0" w:color="auto"/>
            <w:bottom w:val="none" w:sz="0" w:space="0" w:color="auto"/>
            <w:right w:val="none" w:sz="0" w:space="0" w:color="auto"/>
          </w:divBdr>
        </w:div>
        <w:div w:id="2009213380">
          <w:blockQuote w:val="1"/>
          <w:marLeft w:val="720"/>
          <w:marRight w:val="720"/>
          <w:marTop w:val="100"/>
          <w:marBottom w:val="100"/>
          <w:divBdr>
            <w:top w:val="none" w:sz="0" w:space="0" w:color="auto"/>
            <w:left w:val="none" w:sz="0" w:space="0" w:color="auto"/>
            <w:bottom w:val="none" w:sz="0" w:space="0" w:color="auto"/>
            <w:right w:val="none" w:sz="0" w:space="0" w:color="auto"/>
          </w:divBdr>
        </w:div>
        <w:div w:id="1618443962">
          <w:blockQuote w:val="1"/>
          <w:marLeft w:val="720"/>
          <w:marRight w:val="720"/>
          <w:marTop w:val="100"/>
          <w:marBottom w:val="100"/>
          <w:divBdr>
            <w:top w:val="none" w:sz="0" w:space="0" w:color="auto"/>
            <w:left w:val="none" w:sz="0" w:space="0" w:color="auto"/>
            <w:bottom w:val="none" w:sz="0" w:space="0" w:color="auto"/>
            <w:right w:val="none" w:sz="0" w:space="0" w:color="auto"/>
          </w:divBdr>
        </w:div>
        <w:div w:id="1383139316">
          <w:blockQuote w:val="1"/>
          <w:marLeft w:val="720"/>
          <w:marRight w:val="720"/>
          <w:marTop w:val="100"/>
          <w:marBottom w:val="100"/>
          <w:divBdr>
            <w:top w:val="none" w:sz="0" w:space="0" w:color="auto"/>
            <w:left w:val="none" w:sz="0" w:space="0" w:color="auto"/>
            <w:bottom w:val="none" w:sz="0" w:space="0" w:color="auto"/>
            <w:right w:val="none" w:sz="0" w:space="0" w:color="auto"/>
          </w:divBdr>
        </w:div>
        <w:div w:id="943074930">
          <w:blockQuote w:val="1"/>
          <w:marLeft w:val="720"/>
          <w:marRight w:val="720"/>
          <w:marTop w:val="100"/>
          <w:marBottom w:val="100"/>
          <w:divBdr>
            <w:top w:val="none" w:sz="0" w:space="0" w:color="auto"/>
            <w:left w:val="none" w:sz="0" w:space="0" w:color="auto"/>
            <w:bottom w:val="none" w:sz="0" w:space="0" w:color="auto"/>
            <w:right w:val="none" w:sz="0" w:space="0" w:color="auto"/>
          </w:divBdr>
        </w:div>
        <w:div w:id="1375424791">
          <w:blockQuote w:val="1"/>
          <w:marLeft w:val="720"/>
          <w:marRight w:val="720"/>
          <w:marTop w:val="100"/>
          <w:marBottom w:val="100"/>
          <w:divBdr>
            <w:top w:val="none" w:sz="0" w:space="0" w:color="auto"/>
            <w:left w:val="none" w:sz="0" w:space="0" w:color="auto"/>
            <w:bottom w:val="none" w:sz="0" w:space="0" w:color="auto"/>
            <w:right w:val="none" w:sz="0" w:space="0" w:color="auto"/>
          </w:divBdr>
        </w:div>
        <w:div w:id="153381271">
          <w:blockQuote w:val="1"/>
          <w:marLeft w:val="720"/>
          <w:marRight w:val="720"/>
          <w:marTop w:val="100"/>
          <w:marBottom w:val="100"/>
          <w:divBdr>
            <w:top w:val="none" w:sz="0" w:space="0" w:color="auto"/>
            <w:left w:val="none" w:sz="0" w:space="0" w:color="auto"/>
            <w:bottom w:val="none" w:sz="0" w:space="0" w:color="auto"/>
            <w:right w:val="none" w:sz="0" w:space="0" w:color="auto"/>
          </w:divBdr>
        </w:div>
        <w:div w:id="1557006020">
          <w:blockQuote w:val="1"/>
          <w:marLeft w:val="720"/>
          <w:marRight w:val="720"/>
          <w:marTop w:val="100"/>
          <w:marBottom w:val="100"/>
          <w:divBdr>
            <w:top w:val="none" w:sz="0" w:space="0" w:color="auto"/>
            <w:left w:val="none" w:sz="0" w:space="0" w:color="auto"/>
            <w:bottom w:val="none" w:sz="0" w:space="0" w:color="auto"/>
            <w:right w:val="none" w:sz="0" w:space="0" w:color="auto"/>
          </w:divBdr>
        </w:div>
        <w:div w:id="388117017">
          <w:blockQuote w:val="1"/>
          <w:marLeft w:val="720"/>
          <w:marRight w:val="720"/>
          <w:marTop w:val="100"/>
          <w:marBottom w:val="100"/>
          <w:divBdr>
            <w:top w:val="none" w:sz="0" w:space="0" w:color="auto"/>
            <w:left w:val="none" w:sz="0" w:space="0" w:color="auto"/>
            <w:bottom w:val="none" w:sz="0" w:space="0" w:color="auto"/>
            <w:right w:val="none" w:sz="0" w:space="0" w:color="auto"/>
          </w:divBdr>
        </w:div>
        <w:div w:id="17436407">
          <w:blockQuote w:val="1"/>
          <w:marLeft w:val="720"/>
          <w:marRight w:val="720"/>
          <w:marTop w:val="100"/>
          <w:marBottom w:val="100"/>
          <w:divBdr>
            <w:top w:val="none" w:sz="0" w:space="0" w:color="auto"/>
            <w:left w:val="none" w:sz="0" w:space="0" w:color="auto"/>
            <w:bottom w:val="none" w:sz="0" w:space="0" w:color="auto"/>
            <w:right w:val="none" w:sz="0" w:space="0" w:color="auto"/>
          </w:divBdr>
        </w:div>
        <w:div w:id="356974689">
          <w:blockQuote w:val="1"/>
          <w:marLeft w:val="720"/>
          <w:marRight w:val="720"/>
          <w:marTop w:val="100"/>
          <w:marBottom w:val="100"/>
          <w:divBdr>
            <w:top w:val="none" w:sz="0" w:space="0" w:color="auto"/>
            <w:left w:val="none" w:sz="0" w:space="0" w:color="auto"/>
            <w:bottom w:val="none" w:sz="0" w:space="0" w:color="auto"/>
            <w:right w:val="none" w:sz="0" w:space="0" w:color="auto"/>
          </w:divBdr>
        </w:div>
        <w:div w:id="429400356">
          <w:blockQuote w:val="1"/>
          <w:marLeft w:val="720"/>
          <w:marRight w:val="720"/>
          <w:marTop w:val="100"/>
          <w:marBottom w:val="100"/>
          <w:divBdr>
            <w:top w:val="none" w:sz="0" w:space="0" w:color="auto"/>
            <w:left w:val="none" w:sz="0" w:space="0" w:color="auto"/>
            <w:bottom w:val="none" w:sz="0" w:space="0" w:color="auto"/>
            <w:right w:val="none" w:sz="0" w:space="0" w:color="auto"/>
          </w:divBdr>
        </w:div>
        <w:div w:id="1900897446">
          <w:blockQuote w:val="1"/>
          <w:marLeft w:val="720"/>
          <w:marRight w:val="720"/>
          <w:marTop w:val="100"/>
          <w:marBottom w:val="100"/>
          <w:divBdr>
            <w:top w:val="none" w:sz="0" w:space="0" w:color="auto"/>
            <w:left w:val="none" w:sz="0" w:space="0" w:color="auto"/>
            <w:bottom w:val="none" w:sz="0" w:space="0" w:color="auto"/>
            <w:right w:val="none" w:sz="0" w:space="0" w:color="auto"/>
          </w:divBdr>
        </w:div>
        <w:div w:id="1567951967">
          <w:blockQuote w:val="1"/>
          <w:marLeft w:val="720"/>
          <w:marRight w:val="720"/>
          <w:marTop w:val="100"/>
          <w:marBottom w:val="100"/>
          <w:divBdr>
            <w:top w:val="none" w:sz="0" w:space="0" w:color="auto"/>
            <w:left w:val="none" w:sz="0" w:space="0" w:color="auto"/>
            <w:bottom w:val="none" w:sz="0" w:space="0" w:color="auto"/>
            <w:right w:val="none" w:sz="0" w:space="0" w:color="auto"/>
          </w:divBdr>
        </w:div>
        <w:div w:id="600145073">
          <w:blockQuote w:val="1"/>
          <w:marLeft w:val="720"/>
          <w:marRight w:val="720"/>
          <w:marTop w:val="100"/>
          <w:marBottom w:val="100"/>
          <w:divBdr>
            <w:top w:val="none" w:sz="0" w:space="0" w:color="auto"/>
            <w:left w:val="none" w:sz="0" w:space="0" w:color="auto"/>
            <w:bottom w:val="none" w:sz="0" w:space="0" w:color="auto"/>
            <w:right w:val="none" w:sz="0" w:space="0" w:color="auto"/>
          </w:divBdr>
        </w:div>
        <w:div w:id="853493210">
          <w:blockQuote w:val="1"/>
          <w:marLeft w:val="720"/>
          <w:marRight w:val="720"/>
          <w:marTop w:val="100"/>
          <w:marBottom w:val="100"/>
          <w:divBdr>
            <w:top w:val="none" w:sz="0" w:space="0" w:color="auto"/>
            <w:left w:val="none" w:sz="0" w:space="0" w:color="auto"/>
            <w:bottom w:val="none" w:sz="0" w:space="0" w:color="auto"/>
            <w:right w:val="none" w:sz="0" w:space="0" w:color="auto"/>
          </w:divBdr>
        </w:div>
        <w:div w:id="1175072868">
          <w:blockQuote w:val="1"/>
          <w:marLeft w:val="720"/>
          <w:marRight w:val="720"/>
          <w:marTop w:val="100"/>
          <w:marBottom w:val="100"/>
          <w:divBdr>
            <w:top w:val="none" w:sz="0" w:space="0" w:color="auto"/>
            <w:left w:val="none" w:sz="0" w:space="0" w:color="auto"/>
            <w:bottom w:val="none" w:sz="0" w:space="0" w:color="auto"/>
            <w:right w:val="none" w:sz="0" w:space="0" w:color="auto"/>
          </w:divBdr>
        </w:div>
        <w:div w:id="2085103040">
          <w:blockQuote w:val="1"/>
          <w:marLeft w:val="720"/>
          <w:marRight w:val="720"/>
          <w:marTop w:val="100"/>
          <w:marBottom w:val="100"/>
          <w:divBdr>
            <w:top w:val="none" w:sz="0" w:space="0" w:color="auto"/>
            <w:left w:val="none" w:sz="0" w:space="0" w:color="auto"/>
            <w:bottom w:val="none" w:sz="0" w:space="0" w:color="auto"/>
            <w:right w:val="none" w:sz="0" w:space="0" w:color="auto"/>
          </w:divBdr>
        </w:div>
        <w:div w:id="1003359963">
          <w:blockQuote w:val="1"/>
          <w:marLeft w:val="720"/>
          <w:marRight w:val="720"/>
          <w:marTop w:val="100"/>
          <w:marBottom w:val="100"/>
          <w:divBdr>
            <w:top w:val="none" w:sz="0" w:space="0" w:color="auto"/>
            <w:left w:val="none" w:sz="0" w:space="0" w:color="auto"/>
            <w:bottom w:val="none" w:sz="0" w:space="0" w:color="auto"/>
            <w:right w:val="none" w:sz="0" w:space="0" w:color="auto"/>
          </w:divBdr>
        </w:div>
        <w:div w:id="1698461026">
          <w:blockQuote w:val="1"/>
          <w:marLeft w:val="720"/>
          <w:marRight w:val="720"/>
          <w:marTop w:val="100"/>
          <w:marBottom w:val="100"/>
          <w:divBdr>
            <w:top w:val="none" w:sz="0" w:space="0" w:color="auto"/>
            <w:left w:val="none" w:sz="0" w:space="0" w:color="auto"/>
            <w:bottom w:val="none" w:sz="0" w:space="0" w:color="auto"/>
            <w:right w:val="none" w:sz="0" w:space="0" w:color="auto"/>
          </w:divBdr>
        </w:div>
        <w:div w:id="1358652970">
          <w:blockQuote w:val="1"/>
          <w:marLeft w:val="720"/>
          <w:marRight w:val="720"/>
          <w:marTop w:val="100"/>
          <w:marBottom w:val="100"/>
          <w:divBdr>
            <w:top w:val="none" w:sz="0" w:space="0" w:color="auto"/>
            <w:left w:val="none" w:sz="0" w:space="0" w:color="auto"/>
            <w:bottom w:val="none" w:sz="0" w:space="0" w:color="auto"/>
            <w:right w:val="none" w:sz="0" w:space="0" w:color="auto"/>
          </w:divBdr>
        </w:div>
        <w:div w:id="292255334">
          <w:blockQuote w:val="1"/>
          <w:marLeft w:val="720"/>
          <w:marRight w:val="720"/>
          <w:marTop w:val="100"/>
          <w:marBottom w:val="100"/>
          <w:divBdr>
            <w:top w:val="none" w:sz="0" w:space="0" w:color="auto"/>
            <w:left w:val="none" w:sz="0" w:space="0" w:color="auto"/>
            <w:bottom w:val="none" w:sz="0" w:space="0" w:color="auto"/>
            <w:right w:val="none" w:sz="0" w:space="0" w:color="auto"/>
          </w:divBdr>
        </w:div>
        <w:div w:id="1549608476">
          <w:blockQuote w:val="1"/>
          <w:marLeft w:val="720"/>
          <w:marRight w:val="720"/>
          <w:marTop w:val="100"/>
          <w:marBottom w:val="100"/>
          <w:divBdr>
            <w:top w:val="none" w:sz="0" w:space="0" w:color="auto"/>
            <w:left w:val="none" w:sz="0" w:space="0" w:color="auto"/>
            <w:bottom w:val="none" w:sz="0" w:space="0" w:color="auto"/>
            <w:right w:val="none" w:sz="0" w:space="0" w:color="auto"/>
          </w:divBdr>
        </w:div>
        <w:div w:id="438070274">
          <w:blockQuote w:val="1"/>
          <w:marLeft w:val="720"/>
          <w:marRight w:val="720"/>
          <w:marTop w:val="100"/>
          <w:marBottom w:val="100"/>
          <w:divBdr>
            <w:top w:val="none" w:sz="0" w:space="0" w:color="auto"/>
            <w:left w:val="none" w:sz="0" w:space="0" w:color="auto"/>
            <w:bottom w:val="none" w:sz="0" w:space="0" w:color="auto"/>
            <w:right w:val="none" w:sz="0" w:space="0" w:color="auto"/>
          </w:divBdr>
        </w:div>
        <w:div w:id="1006638718">
          <w:blockQuote w:val="1"/>
          <w:marLeft w:val="720"/>
          <w:marRight w:val="720"/>
          <w:marTop w:val="100"/>
          <w:marBottom w:val="100"/>
          <w:divBdr>
            <w:top w:val="none" w:sz="0" w:space="0" w:color="auto"/>
            <w:left w:val="none" w:sz="0" w:space="0" w:color="auto"/>
            <w:bottom w:val="none" w:sz="0" w:space="0" w:color="auto"/>
            <w:right w:val="none" w:sz="0" w:space="0" w:color="auto"/>
          </w:divBdr>
        </w:div>
        <w:div w:id="1710837715">
          <w:blockQuote w:val="1"/>
          <w:marLeft w:val="720"/>
          <w:marRight w:val="720"/>
          <w:marTop w:val="100"/>
          <w:marBottom w:val="100"/>
          <w:divBdr>
            <w:top w:val="none" w:sz="0" w:space="0" w:color="auto"/>
            <w:left w:val="none" w:sz="0" w:space="0" w:color="auto"/>
            <w:bottom w:val="none" w:sz="0" w:space="0" w:color="auto"/>
            <w:right w:val="none" w:sz="0" w:space="0" w:color="auto"/>
          </w:divBdr>
        </w:div>
        <w:div w:id="2011638762">
          <w:blockQuote w:val="1"/>
          <w:marLeft w:val="720"/>
          <w:marRight w:val="720"/>
          <w:marTop w:val="100"/>
          <w:marBottom w:val="100"/>
          <w:divBdr>
            <w:top w:val="none" w:sz="0" w:space="0" w:color="auto"/>
            <w:left w:val="none" w:sz="0" w:space="0" w:color="auto"/>
            <w:bottom w:val="none" w:sz="0" w:space="0" w:color="auto"/>
            <w:right w:val="none" w:sz="0" w:space="0" w:color="auto"/>
          </w:divBdr>
        </w:div>
        <w:div w:id="1286428448">
          <w:blockQuote w:val="1"/>
          <w:marLeft w:val="720"/>
          <w:marRight w:val="720"/>
          <w:marTop w:val="100"/>
          <w:marBottom w:val="100"/>
          <w:divBdr>
            <w:top w:val="none" w:sz="0" w:space="0" w:color="auto"/>
            <w:left w:val="none" w:sz="0" w:space="0" w:color="auto"/>
            <w:bottom w:val="none" w:sz="0" w:space="0" w:color="auto"/>
            <w:right w:val="none" w:sz="0" w:space="0" w:color="auto"/>
          </w:divBdr>
        </w:div>
        <w:div w:id="2012171320">
          <w:blockQuote w:val="1"/>
          <w:marLeft w:val="720"/>
          <w:marRight w:val="720"/>
          <w:marTop w:val="100"/>
          <w:marBottom w:val="100"/>
          <w:divBdr>
            <w:top w:val="none" w:sz="0" w:space="0" w:color="auto"/>
            <w:left w:val="none" w:sz="0" w:space="0" w:color="auto"/>
            <w:bottom w:val="none" w:sz="0" w:space="0" w:color="auto"/>
            <w:right w:val="none" w:sz="0" w:space="0" w:color="auto"/>
          </w:divBdr>
        </w:div>
        <w:div w:id="662319618">
          <w:blockQuote w:val="1"/>
          <w:marLeft w:val="720"/>
          <w:marRight w:val="720"/>
          <w:marTop w:val="100"/>
          <w:marBottom w:val="100"/>
          <w:divBdr>
            <w:top w:val="none" w:sz="0" w:space="0" w:color="auto"/>
            <w:left w:val="none" w:sz="0" w:space="0" w:color="auto"/>
            <w:bottom w:val="none" w:sz="0" w:space="0" w:color="auto"/>
            <w:right w:val="none" w:sz="0" w:space="0" w:color="auto"/>
          </w:divBdr>
        </w:div>
        <w:div w:id="302121957">
          <w:blockQuote w:val="1"/>
          <w:marLeft w:val="720"/>
          <w:marRight w:val="720"/>
          <w:marTop w:val="100"/>
          <w:marBottom w:val="100"/>
          <w:divBdr>
            <w:top w:val="none" w:sz="0" w:space="0" w:color="auto"/>
            <w:left w:val="none" w:sz="0" w:space="0" w:color="auto"/>
            <w:bottom w:val="none" w:sz="0" w:space="0" w:color="auto"/>
            <w:right w:val="none" w:sz="0" w:space="0" w:color="auto"/>
          </w:divBdr>
        </w:div>
        <w:div w:id="1696038598">
          <w:blockQuote w:val="1"/>
          <w:marLeft w:val="720"/>
          <w:marRight w:val="720"/>
          <w:marTop w:val="100"/>
          <w:marBottom w:val="100"/>
          <w:divBdr>
            <w:top w:val="none" w:sz="0" w:space="0" w:color="auto"/>
            <w:left w:val="none" w:sz="0" w:space="0" w:color="auto"/>
            <w:bottom w:val="none" w:sz="0" w:space="0" w:color="auto"/>
            <w:right w:val="none" w:sz="0" w:space="0" w:color="auto"/>
          </w:divBdr>
        </w:div>
        <w:div w:id="651955210">
          <w:blockQuote w:val="1"/>
          <w:marLeft w:val="720"/>
          <w:marRight w:val="720"/>
          <w:marTop w:val="100"/>
          <w:marBottom w:val="100"/>
          <w:divBdr>
            <w:top w:val="none" w:sz="0" w:space="0" w:color="auto"/>
            <w:left w:val="none" w:sz="0" w:space="0" w:color="auto"/>
            <w:bottom w:val="none" w:sz="0" w:space="0" w:color="auto"/>
            <w:right w:val="none" w:sz="0" w:space="0" w:color="auto"/>
          </w:divBdr>
        </w:div>
        <w:div w:id="1802305639">
          <w:blockQuote w:val="1"/>
          <w:marLeft w:val="720"/>
          <w:marRight w:val="720"/>
          <w:marTop w:val="100"/>
          <w:marBottom w:val="100"/>
          <w:divBdr>
            <w:top w:val="none" w:sz="0" w:space="0" w:color="auto"/>
            <w:left w:val="none" w:sz="0" w:space="0" w:color="auto"/>
            <w:bottom w:val="none" w:sz="0" w:space="0" w:color="auto"/>
            <w:right w:val="none" w:sz="0" w:space="0" w:color="auto"/>
          </w:divBdr>
        </w:div>
        <w:div w:id="2073961201">
          <w:blockQuote w:val="1"/>
          <w:marLeft w:val="720"/>
          <w:marRight w:val="720"/>
          <w:marTop w:val="100"/>
          <w:marBottom w:val="100"/>
          <w:divBdr>
            <w:top w:val="none" w:sz="0" w:space="0" w:color="auto"/>
            <w:left w:val="none" w:sz="0" w:space="0" w:color="auto"/>
            <w:bottom w:val="none" w:sz="0" w:space="0" w:color="auto"/>
            <w:right w:val="none" w:sz="0" w:space="0" w:color="auto"/>
          </w:divBdr>
        </w:div>
        <w:div w:id="2067144602">
          <w:blockQuote w:val="1"/>
          <w:marLeft w:val="720"/>
          <w:marRight w:val="720"/>
          <w:marTop w:val="100"/>
          <w:marBottom w:val="100"/>
          <w:divBdr>
            <w:top w:val="none" w:sz="0" w:space="0" w:color="auto"/>
            <w:left w:val="none" w:sz="0" w:space="0" w:color="auto"/>
            <w:bottom w:val="none" w:sz="0" w:space="0" w:color="auto"/>
            <w:right w:val="none" w:sz="0" w:space="0" w:color="auto"/>
          </w:divBdr>
        </w:div>
        <w:div w:id="1485465261">
          <w:blockQuote w:val="1"/>
          <w:marLeft w:val="720"/>
          <w:marRight w:val="720"/>
          <w:marTop w:val="100"/>
          <w:marBottom w:val="100"/>
          <w:divBdr>
            <w:top w:val="none" w:sz="0" w:space="0" w:color="auto"/>
            <w:left w:val="none" w:sz="0" w:space="0" w:color="auto"/>
            <w:bottom w:val="none" w:sz="0" w:space="0" w:color="auto"/>
            <w:right w:val="none" w:sz="0" w:space="0" w:color="auto"/>
          </w:divBdr>
        </w:div>
        <w:div w:id="520242838">
          <w:blockQuote w:val="1"/>
          <w:marLeft w:val="720"/>
          <w:marRight w:val="720"/>
          <w:marTop w:val="100"/>
          <w:marBottom w:val="100"/>
          <w:divBdr>
            <w:top w:val="none" w:sz="0" w:space="0" w:color="auto"/>
            <w:left w:val="none" w:sz="0" w:space="0" w:color="auto"/>
            <w:bottom w:val="none" w:sz="0" w:space="0" w:color="auto"/>
            <w:right w:val="none" w:sz="0" w:space="0" w:color="auto"/>
          </w:divBdr>
        </w:div>
        <w:div w:id="117798893">
          <w:blockQuote w:val="1"/>
          <w:marLeft w:val="720"/>
          <w:marRight w:val="720"/>
          <w:marTop w:val="100"/>
          <w:marBottom w:val="100"/>
          <w:divBdr>
            <w:top w:val="none" w:sz="0" w:space="0" w:color="auto"/>
            <w:left w:val="none" w:sz="0" w:space="0" w:color="auto"/>
            <w:bottom w:val="none" w:sz="0" w:space="0" w:color="auto"/>
            <w:right w:val="none" w:sz="0" w:space="0" w:color="auto"/>
          </w:divBdr>
        </w:div>
        <w:div w:id="1618292922">
          <w:blockQuote w:val="1"/>
          <w:marLeft w:val="720"/>
          <w:marRight w:val="720"/>
          <w:marTop w:val="100"/>
          <w:marBottom w:val="100"/>
          <w:divBdr>
            <w:top w:val="none" w:sz="0" w:space="0" w:color="auto"/>
            <w:left w:val="none" w:sz="0" w:space="0" w:color="auto"/>
            <w:bottom w:val="none" w:sz="0" w:space="0" w:color="auto"/>
            <w:right w:val="none" w:sz="0" w:space="0" w:color="auto"/>
          </w:divBdr>
        </w:div>
        <w:div w:id="2012948248">
          <w:blockQuote w:val="1"/>
          <w:marLeft w:val="720"/>
          <w:marRight w:val="720"/>
          <w:marTop w:val="100"/>
          <w:marBottom w:val="100"/>
          <w:divBdr>
            <w:top w:val="none" w:sz="0" w:space="0" w:color="auto"/>
            <w:left w:val="none" w:sz="0" w:space="0" w:color="auto"/>
            <w:bottom w:val="none" w:sz="0" w:space="0" w:color="auto"/>
            <w:right w:val="none" w:sz="0" w:space="0" w:color="auto"/>
          </w:divBdr>
        </w:div>
        <w:div w:id="1429501468">
          <w:blockQuote w:val="1"/>
          <w:marLeft w:val="720"/>
          <w:marRight w:val="720"/>
          <w:marTop w:val="100"/>
          <w:marBottom w:val="100"/>
          <w:divBdr>
            <w:top w:val="none" w:sz="0" w:space="0" w:color="auto"/>
            <w:left w:val="none" w:sz="0" w:space="0" w:color="auto"/>
            <w:bottom w:val="none" w:sz="0" w:space="0" w:color="auto"/>
            <w:right w:val="none" w:sz="0" w:space="0" w:color="auto"/>
          </w:divBdr>
        </w:div>
        <w:div w:id="1016810012">
          <w:blockQuote w:val="1"/>
          <w:marLeft w:val="720"/>
          <w:marRight w:val="720"/>
          <w:marTop w:val="100"/>
          <w:marBottom w:val="100"/>
          <w:divBdr>
            <w:top w:val="none" w:sz="0" w:space="0" w:color="auto"/>
            <w:left w:val="none" w:sz="0" w:space="0" w:color="auto"/>
            <w:bottom w:val="none" w:sz="0" w:space="0" w:color="auto"/>
            <w:right w:val="none" w:sz="0" w:space="0" w:color="auto"/>
          </w:divBdr>
        </w:div>
        <w:div w:id="696153713">
          <w:blockQuote w:val="1"/>
          <w:marLeft w:val="720"/>
          <w:marRight w:val="720"/>
          <w:marTop w:val="100"/>
          <w:marBottom w:val="100"/>
          <w:divBdr>
            <w:top w:val="none" w:sz="0" w:space="0" w:color="auto"/>
            <w:left w:val="none" w:sz="0" w:space="0" w:color="auto"/>
            <w:bottom w:val="none" w:sz="0" w:space="0" w:color="auto"/>
            <w:right w:val="none" w:sz="0" w:space="0" w:color="auto"/>
          </w:divBdr>
        </w:div>
        <w:div w:id="2129622589">
          <w:blockQuote w:val="1"/>
          <w:marLeft w:val="720"/>
          <w:marRight w:val="720"/>
          <w:marTop w:val="100"/>
          <w:marBottom w:val="100"/>
          <w:divBdr>
            <w:top w:val="none" w:sz="0" w:space="0" w:color="auto"/>
            <w:left w:val="none" w:sz="0" w:space="0" w:color="auto"/>
            <w:bottom w:val="none" w:sz="0" w:space="0" w:color="auto"/>
            <w:right w:val="none" w:sz="0" w:space="0" w:color="auto"/>
          </w:divBdr>
        </w:div>
        <w:div w:id="953444125">
          <w:blockQuote w:val="1"/>
          <w:marLeft w:val="720"/>
          <w:marRight w:val="720"/>
          <w:marTop w:val="100"/>
          <w:marBottom w:val="100"/>
          <w:divBdr>
            <w:top w:val="none" w:sz="0" w:space="0" w:color="auto"/>
            <w:left w:val="none" w:sz="0" w:space="0" w:color="auto"/>
            <w:bottom w:val="none" w:sz="0" w:space="0" w:color="auto"/>
            <w:right w:val="none" w:sz="0" w:space="0" w:color="auto"/>
          </w:divBdr>
        </w:div>
        <w:div w:id="2043506410">
          <w:blockQuote w:val="1"/>
          <w:marLeft w:val="720"/>
          <w:marRight w:val="720"/>
          <w:marTop w:val="100"/>
          <w:marBottom w:val="100"/>
          <w:divBdr>
            <w:top w:val="none" w:sz="0" w:space="0" w:color="auto"/>
            <w:left w:val="none" w:sz="0" w:space="0" w:color="auto"/>
            <w:bottom w:val="none" w:sz="0" w:space="0" w:color="auto"/>
            <w:right w:val="none" w:sz="0" w:space="0" w:color="auto"/>
          </w:divBdr>
        </w:div>
        <w:div w:id="572202687">
          <w:blockQuote w:val="1"/>
          <w:marLeft w:val="720"/>
          <w:marRight w:val="720"/>
          <w:marTop w:val="100"/>
          <w:marBottom w:val="100"/>
          <w:divBdr>
            <w:top w:val="none" w:sz="0" w:space="0" w:color="auto"/>
            <w:left w:val="none" w:sz="0" w:space="0" w:color="auto"/>
            <w:bottom w:val="none" w:sz="0" w:space="0" w:color="auto"/>
            <w:right w:val="none" w:sz="0" w:space="0" w:color="auto"/>
          </w:divBdr>
        </w:div>
        <w:div w:id="97990185">
          <w:blockQuote w:val="1"/>
          <w:marLeft w:val="720"/>
          <w:marRight w:val="720"/>
          <w:marTop w:val="100"/>
          <w:marBottom w:val="100"/>
          <w:divBdr>
            <w:top w:val="none" w:sz="0" w:space="0" w:color="auto"/>
            <w:left w:val="none" w:sz="0" w:space="0" w:color="auto"/>
            <w:bottom w:val="none" w:sz="0" w:space="0" w:color="auto"/>
            <w:right w:val="none" w:sz="0" w:space="0" w:color="auto"/>
          </w:divBdr>
        </w:div>
        <w:div w:id="1563178732">
          <w:blockQuote w:val="1"/>
          <w:marLeft w:val="720"/>
          <w:marRight w:val="720"/>
          <w:marTop w:val="100"/>
          <w:marBottom w:val="100"/>
          <w:divBdr>
            <w:top w:val="none" w:sz="0" w:space="0" w:color="auto"/>
            <w:left w:val="none" w:sz="0" w:space="0" w:color="auto"/>
            <w:bottom w:val="none" w:sz="0" w:space="0" w:color="auto"/>
            <w:right w:val="none" w:sz="0" w:space="0" w:color="auto"/>
          </w:divBdr>
        </w:div>
        <w:div w:id="598216345">
          <w:blockQuote w:val="1"/>
          <w:marLeft w:val="720"/>
          <w:marRight w:val="720"/>
          <w:marTop w:val="100"/>
          <w:marBottom w:val="100"/>
          <w:divBdr>
            <w:top w:val="none" w:sz="0" w:space="0" w:color="auto"/>
            <w:left w:val="none" w:sz="0" w:space="0" w:color="auto"/>
            <w:bottom w:val="none" w:sz="0" w:space="0" w:color="auto"/>
            <w:right w:val="none" w:sz="0" w:space="0" w:color="auto"/>
          </w:divBdr>
        </w:div>
        <w:div w:id="2104842094">
          <w:blockQuote w:val="1"/>
          <w:marLeft w:val="720"/>
          <w:marRight w:val="720"/>
          <w:marTop w:val="100"/>
          <w:marBottom w:val="100"/>
          <w:divBdr>
            <w:top w:val="none" w:sz="0" w:space="0" w:color="auto"/>
            <w:left w:val="none" w:sz="0" w:space="0" w:color="auto"/>
            <w:bottom w:val="none" w:sz="0" w:space="0" w:color="auto"/>
            <w:right w:val="none" w:sz="0" w:space="0" w:color="auto"/>
          </w:divBdr>
        </w:div>
        <w:div w:id="998264309">
          <w:blockQuote w:val="1"/>
          <w:marLeft w:val="720"/>
          <w:marRight w:val="720"/>
          <w:marTop w:val="100"/>
          <w:marBottom w:val="100"/>
          <w:divBdr>
            <w:top w:val="none" w:sz="0" w:space="0" w:color="auto"/>
            <w:left w:val="none" w:sz="0" w:space="0" w:color="auto"/>
            <w:bottom w:val="none" w:sz="0" w:space="0" w:color="auto"/>
            <w:right w:val="none" w:sz="0" w:space="0" w:color="auto"/>
          </w:divBdr>
        </w:div>
        <w:div w:id="1231647615">
          <w:blockQuote w:val="1"/>
          <w:marLeft w:val="720"/>
          <w:marRight w:val="720"/>
          <w:marTop w:val="100"/>
          <w:marBottom w:val="100"/>
          <w:divBdr>
            <w:top w:val="none" w:sz="0" w:space="0" w:color="auto"/>
            <w:left w:val="none" w:sz="0" w:space="0" w:color="auto"/>
            <w:bottom w:val="none" w:sz="0" w:space="0" w:color="auto"/>
            <w:right w:val="none" w:sz="0" w:space="0" w:color="auto"/>
          </w:divBdr>
        </w:div>
        <w:div w:id="89981030">
          <w:blockQuote w:val="1"/>
          <w:marLeft w:val="720"/>
          <w:marRight w:val="720"/>
          <w:marTop w:val="100"/>
          <w:marBottom w:val="100"/>
          <w:divBdr>
            <w:top w:val="none" w:sz="0" w:space="0" w:color="auto"/>
            <w:left w:val="none" w:sz="0" w:space="0" w:color="auto"/>
            <w:bottom w:val="none" w:sz="0" w:space="0" w:color="auto"/>
            <w:right w:val="none" w:sz="0" w:space="0" w:color="auto"/>
          </w:divBdr>
        </w:div>
        <w:div w:id="1337610901">
          <w:blockQuote w:val="1"/>
          <w:marLeft w:val="720"/>
          <w:marRight w:val="720"/>
          <w:marTop w:val="100"/>
          <w:marBottom w:val="100"/>
          <w:divBdr>
            <w:top w:val="none" w:sz="0" w:space="0" w:color="auto"/>
            <w:left w:val="none" w:sz="0" w:space="0" w:color="auto"/>
            <w:bottom w:val="none" w:sz="0" w:space="0" w:color="auto"/>
            <w:right w:val="none" w:sz="0" w:space="0" w:color="auto"/>
          </w:divBdr>
        </w:div>
        <w:div w:id="857934319">
          <w:blockQuote w:val="1"/>
          <w:marLeft w:val="720"/>
          <w:marRight w:val="720"/>
          <w:marTop w:val="100"/>
          <w:marBottom w:val="100"/>
          <w:divBdr>
            <w:top w:val="none" w:sz="0" w:space="0" w:color="auto"/>
            <w:left w:val="none" w:sz="0" w:space="0" w:color="auto"/>
            <w:bottom w:val="none" w:sz="0" w:space="0" w:color="auto"/>
            <w:right w:val="none" w:sz="0" w:space="0" w:color="auto"/>
          </w:divBdr>
        </w:div>
        <w:div w:id="820268236">
          <w:blockQuote w:val="1"/>
          <w:marLeft w:val="720"/>
          <w:marRight w:val="720"/>
          <w:marTop w:val="100"/>
          <w:marBottom w:val="100"/>
          <w:divBdr>
            <w:top w:val="none" w:sz="0" w:space="0" w:color="auto"/>
            <w:left w:val="none" w:sz="0" w:space="0" w:color="auto"/>
            <w:bottom w:val="none" w:sz="0" w:space="0" w:color="auto"/>
            <w:right w:val="none" w:sz="0" w:space="0" w:color="auto"/>
          </w:divBdr>
        </w:div>
        <w:div w:id="1583102518">
          <w:blockQuote w:val="1"/>
          <w:marLeft w:val="720"/>
          <w:marRight w:val="720"/>
          <w:marTop w:val="100"/>
          <w:marBottom w:val="100"/>
          <w:divBdr>
            <w:top w:val="none" w:sz="0" w:space="0" w:color="auto"/>
            <w:left w:val="none" w:sz="0" w:space="0" w:color="auto"/>
            <w:bottom w:val="none" w:sz="0" w:space="0" w:color="auto"/>
            <w:right w:val="none" w:sz="0" w:space="0" w:color="auto"/>
          </w:divBdr>
        </w:div>
        <w:div w:id="1225096632">
          <w:blockQuote w:val="1"/>
          <w:marLeft w:val="720"/>
          <w:marRight w:val="720"/>
          <w:marTop w:val="100"/>
          <w:marBottom w:val="100"/>
          <w:divBdr>
            <w:top w:val="none" w:sz="0" w:space="0" w:color="auto"/>
            <w:left w:val="none" w:sz="0" w:space="0" w:color="auto"/>
            <w:bottom w:val="none" w:sz="0" w:space="0" w:color="auto"/>
            <w:right w:val="none" w:sz="0" w:space="0" w:color="auto"/>
          </w:divBdr>
        </w:div>
        <w:div w:id="954285832">
          <w:blockQuote w:val="1"/>
          <w:marLeft w:val="720"/>
          <w:marRight w:val="720"/>
          <w:marTop w:val="100"/>
          <w:marBottom w:val="100"/>
          <w:divBdr>
            <w:top w:val="none" w:sz="0" w:space="0" w:color="auto"/>
            <w:left w:val="none" w:sz="0" w:space="0" w:color="auto"/>
            <w:bottom w:val="none" w:sz="0" w:space="0" w:color="auto"/>
            <w:right w:val="none" w:sz="0" w:space="0" w:color="auto"/>
          </w:divBdr>
        </w:div>
        <w:div w:id="608009353">
          <w:blockQuote w:val="1"/>
          <w:marLeft w:val="720"/>
          <w:marRight w:val="720"/>
          <w:marTop w:val="100"/>
          <w:marBottom w:val="100"/>
          <w:divBdr>
            <w:top w:val="none" w:sz="0" w:space="0" w:color="auto"/>
            <w:left w:val="none" w:sz="0" w:space="0" w:color="auto"/>
            <w:bottom w:val="none" w:sz="0" w:space="0" w:color="auto"/>
            <w:right w:val="none" w:sz="0" w:space="0" w:color="auto"/>
          </w:divBdr>
        </w:div>
        <w:div w:id="926690797">
          <w:blockQuote w:val="1"/>
          <w:marLeft w:val="720"/>
          <w:marRight w:val="720"/>
          <w:marTop w:val="100"/>
          <w:marBottom w:val="100"/>
          <w:divBdr>
            <w:top w:val="none" w:sz="0" w:space="0" w:color="auto"/>
            <w:left w:val="none" w:sz="0" w:space="0" w:color="auto"/>
            <w:bottom w:val="none" w:sz="0" w:space="0" w:color="auto"/>
            <w:right w:val="none" w:sz="0" w:space="0" w:color="auto"/>
          </w:divBdr>
        </w:div>
        <w:div w:id="2029018459">
          <w:blockQuote w:val="1"/>
          <w:marLeft w:val="720"/>
          <w:marRight w:val="720"/>
          <w:marTop w:val="100"/>
          <w:marBottom w:val="100"/>
          <w:divBdr>
            <w:top w:val="none" w:sz="0" w:space="0" w:color="auto"/>
            <w:left w:val="none" w:sz="0" w:space="0" w:color="auto"/>
            <w:bottom w:val="none" w:sz="0" w:space="0" w:color="auto"/>
            <w:right w:val="none" w:sz="0" w:space="0" w:color="auto"/>
          </w:divBdr>
        </w:div>
        <w:div w:id="2129623315">
          <w:blockQuote w:val="1"/>
          <w:marLeft w:val="720"/>
          <w:marRight w:val="720"/>
          <w:marTop w:val="100"/>
          <w:marBottom w:val="100"/>
          <w:divBdr>
            <w:top w:val="none" w:sz="0" w:space="0" w:color="auto"/>
            <w:left w:val="none" w:sz="0" w:space="0" w:color="auto"/>
            <w:bottom w:val="none" w:sz="0" w:space="0" w:color="auto"/>
            <w:right w:val="none" w:sz="0" w:space="0" w:color="auto"/>
          </w:divBdr>
        </w:div>
        <w:div w:id="43062346">
          <w:blockQuote w:val="1"/>
          <w:marLeft w:val="720"/>
          <w:marRight w:val="720"/>
          <w:marTop w:val="100"/>
          <w:marBottom w:val="100"/>
          <w:divBdr>
            <w:top w:val="none" w:sz="0" w:space="0" w:color="auto"/>
            <w:left w:val="none" w:sz="0" w:space="0" w:color="auto"/>
            <w:bottom w:val="none" w:sz="0" w:space="0" w:color="auto"/>
            <w:right w:val="none" w:sz="0" w:space="0" w:color="auto"/>
          </w:divBdr>
        </w:div>
        <w:div w:id="1693188887">
          <w:blockQuote w:val="1"/>
          <w:marLeft w:val="720"/>
          <w:marRight w:val="720"/>
          <w:marTop w:val="100"/>
          <w:marBottom w:val="100"/>
          <w:divBdr>
            <w:top w:val="none" w:sz="0" w:space="0" w:color="auto"/>
            <w:left w:val="none" w:sz="0" w:space="0" w:color="auto"/>
            <w:bottom w:val="none" w:sz="0" w:space="0" w:color="auto"/>
            <w:right w:val="none" w:sz="0" w:space="0" w:color="auto"/>
          </w:divBdr>
        </w:div>
        <w:div w:id="349573984">
          <w:blockQuote w:val="1"/>
          <w:marLeft w:val="720"/>
          <w:marRight w:val="720"/>
          <w:marTop w:val="100"/>
          <w:marBottom w:val="100"/>
          <w:divBdr>
            <w:top w:val="none" w:sz="0" w:space="0" w:color="auto"/>
            <w:left w:val="none" w:sz="0" w:space="0" w:color="auto"/>
            <w:bottom w:val="none" w:sz="0" w:space="0" w:color="auto"/>
            <w:right w:val="none" w:sz="0" w:space="0" w:color="auto"/>
          </w:divBdr>
        </w:div>
        <w:div w:id="1290622179">
          <w:blockQuote w:val="1"/>
          <w:marLeft w:val="720"/>
          <w:marRight w:val="720"/>
          <w:marTop w:val="100"/>
          <w:marBottom w:val="100"/>
          <w:divBdr>
            <w:top w:val="none" w:sz="0" w:space="0" w:color="auto"/>
            <w:left w:val="none" w:sz="0" w:space="0" w:color="auto"/>
            <w:bottom w:val="none" w:sz="0" w:space="0" w:color="auto"/>
            <w:right w:val="none" w:sz="0" w:space="0" w:color="auto"/>
          </w:divBdr>
        </w:div>
        <w:div w:id="496187097">
          <w:blockQuote w:val="1"/>
          <w:marLeft w:val="720"/>
          <w:marRight w:val="720"/>
          <w:marTop w:val="100"/>
          <w:marBottom w:val="100"/>
          <w:divBdr>
            <w:top w:val="none" w:sz="0" w:space="0" w:color="auto"/>
            <w:left w:val="none" w:sz="0" w:space="0" w:color="auto"/>
            <w:bottom w:val="none" w:sz="0" w:space="0" w:color="auto"/>
            <w:right w:val="none" w:sz="0" w:space="0" w:color="auto"/>
          </w:divBdr>
        </w:div>
        <w:div w:id="1015109282">
          <w:blockQuote w:val="1"/>
          <w:marLeft w:val="720"/>
          <w:marRight w:val="720"/>
          <w:marTop w:val="100"/>
          <w:marBottom w:val="100"/>
          <w:divBdr>
            <w:top w:val="none" w:sz="0" w:space="0" w:color="auto"/>
            <w:left w:val="none" w:sz="0" w:space="0" w:color="auto"/>
            <w:bottom w:val="none" w:sz="0" w:space="0" w:color="auto"/>
            <w:right w:val="none" w:sz="0" w:space="0" w:color="auto"/>
          </w:divBdr>
        </w:div>
        <w:div w:id="575171879">
          <w:blockQuote w:val="1"/>
          <w:marLeft w:val="720"/>
          <w:marRight w:val="720"/>
          <w:marTop w:val="100"/>
          <w:marBottom w:val="100"/>
          <w:divBdr>
            <w:top w:val="none" w:sz="0" w:space="0" w:color="auto"/>
            <w:left w:val="none" w:sz="0" w:space="0" w:color="auto"/>
            <w:bottom w:val="none" w:sz="0" w:space="0" w:color="auto"/>
            <w:right w:val="none" w:sz="0" w:space="0" w:color="auto"/>
          </w:divBdr>
        </w:div>
        <w:div w:id="552233416">
          <w:blockQuote w:val="1"/>
          <w:marLeft w:val="720"/>
          <w:marRight w:val="720"/>
          <w:marTop w:val="100"/>
          <w:marBottom w:val="100"/>
          <w:divBdr>
            <w:top w:val="none" w:sz="0" w:space="0" w:color="auto"/>
            <w:left w:val="none" w:sz="0" w:space="0" w:color="auto"/>
            <w:bottom w:val="none" w:sz="0" w:space="0" w:color="auto"/>
            <w:right w:val="none" w:sz="0" w:space="0" w:color="auto"/>
          </w:divBdr>
        </w:div>
        <w:div w:id="840314933">
          <w:blockQuote w:val="1"/>
          <w:marLeft w:val="720"/>
          <w:marRight w:val="720"/>
          <w:marTop w:val="100"/>
          <w:marBottom w:val="100"/>
          <w:divBdr>
            <w:top w:val="none" w:sz="0" w:space="0" w:color="auto"/>
            <w:left w:val="none" w:sz="0" w:space="0" w:color="auto"/>
            <w:bottom w:val="none" w:sz="0" w:space="0" w:color="auto"/>
            <w:right w:val="none" w:sz="0" w:space="0" w:color="auto"/>
          </w:divBdr>
        </w:div>
        <w:div w:id="1697926422">
          <w:blockQuote w:val="1"/>
          <w:marLeft w:val="720"/>
          <w:marRight w:val="720"/>
          <w:marTop w:val="100"/>
          <w:marBottom w:val="100"/>
          <w:divBdr>
            <w:top w:val="none" w:sz="0" w:space="0" w:color="auto"/>
            <w:left w:val="none" w:sz="0" w:space="0" w:color="auto"/>
            <w:bottom w:val="none" w:sz="0" w:space="0" w:color="auto"/>
            <w:right w:val="none" w:sz="0" w:space="0" w:color="auto"/>
          </w:divBdr>
        </w:div>
        <w:div w:id="1668048213">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457184412">
      <w:bodyDiv w:val="1"/>
      <w:marLeft w:val="0"/>
      <w:marRight w:val="0"/>
      <w:marTop w:val="0"/>
      <w:marBottom w:val="0"/>
      <w:divBdr>
        <w:top w:val="none" w:sz="0" w:space="0" w:color="auto"/>
        <w:left w:val="none" w:sz="0" w:space="0" w:color="auto"/>
        <w:bottom w:val="none" w:sz="0" w:space="0" w:color="auto"/>
        <w:right w:val="none" w:sz="0" w:space="0" w:color="auto"/>
      </w:divBdr>
    </w:div>
    <w:div w:id="1916814110">
      <w:bodyDiv w:val="1"/>
      <w:marLeft w:val="0"/>
      <w:marRight w:val="0"/>
      <w:marTop w:val="0"/>
      <w:marBottom w:val="0"/>
      <w:divBdr>
        <w:top w:val="none" w:sz="0" w:space="0" w:color="auto"/>
        <w:left w:val="none" w:sz="0" w:space="0" w:color="auto"/>
        <w:bottom w:val="none" w:sz="0" w:space="0" w:color="auto"/>
        <w:right w:val="none" w:sz="0" w:space="0" w:color="auto"/>
      </w:divBdr>
    </w:div>
    <w:div w:id="213864195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Relationships xmlns="http://schemas.openxmlformats.org/package/2006/relationships"><Relationship Target="endnotes.xml" Type="http://schemas.openxmlformats.org/officeDocument/2006/relationships/endnotes" Id="rId8"/><Relationship Target="styles.xml" Type="http://schemas.openxmlformats.org/officeDocument/2006/relationships/styles" Id="rId3"/><Relationship Target="footnotes.xml" Type="http://schemas.openxmlformats.org/officeDocument/2006/relationships/footnotes" Id="rId7"/><Relationship Target="theme/theme1.xml" Type="http://schemas.openxmlformats.org/officeDocument/2006/relationships/theme" Id="rId12"/><Relationship Target="numbering.xml" Type="http://schemas.openxmlformats.org/officeDocument/2006/relationships/numbering" Id="rId2"/><Relationship Target="../customXml/item1.xml" Type="http://schemas.openxmlformats.org/officeDocument/2006/relationships/customXml" Id="rId1"/><Relationship Target="webSettings.xml" Type="http://schemas.openxmlformats.org/officeDocument/2006/relationships/webSettings" Id="rId6"/><Relationship Target="glossary/document.xml" Type="http://schemas.openxmlformats.org/officeDocument/2006/relationships/glossaryDocument" Id="rId11"/><Relationship Target="settings.xml" Type="http://schemas.openxmlformats.org/officeDocument/2006/relationships/settings" Id="rId5"/><Relationship Target="fontTable.xml" Type="http://schemas.openxmlformats.org/officeDocument/2006/relationships/fontTable" Id="rId10"/><Relationship Target="stylesWithEffects.xml" Type="http://schemas.microsoft.com/office/2007/relationships/stylesWithEffects" Id="rId4"/><Relationship Target="media/image1.gif" Type="http://schemas.openxmlformats.org/officeDocument/2006/relationships/image" Id="rId9"/><Relationship Target="media/document_image_rId13.jpeg" Type="http://schemas.openxmlformats.org/officeDocument/2006/relationships/image" Id="rId13"/><Relationship Target="media/document_image_rId14.jpeg" Type="http://schemas.openxmlformats.org/officeDocument/2006/relationships/image" Id="rId14"/><Relationship Target="media/document_image_rId15.jpeg" Type="http://schemas.openxmlformats.org/officeDocument/2006/relationships/image" Id="rId15"/><Relationship Target="media/document_image_rId16.jpeg" Type="http://schemas.openxmlformats.org/officeDocument/2006/relationships/image" Id="rId16"/><Relationship Target="media/document_image_rId17.jpeg" Type="http://schemas.openxmlformats.org/officeDocument/2006/relationships/image" Id="rId17"/><Relationship Target="media/document_image_rId18.jpeg" Type="http://schemas.openxmlformats.org/officeDocument/2006/relationships/image" Id="rId18"/><Relationship Target="media/document_image_rId19.jpeg" Type="http://schemas.openxmlformats.org/officeDocument/2006/relationships/image" Id="rId19"/><Relationship TargetMode="External" Target="#_Ref174992585" Type="http://schemas.openxmlformats.org/officeDocument/2006/relationships/hyperlink" Id="rId20"/><Relationship TargetMode="External" Target="#_Ref174992585" Type="http://schemas.openxmlformats.org/officeDocument/2006/relationships/hyperlink" Id="rId21"/><Relationship TargetMode="External" Target="#_Ref174993068" Type="http://schemas.openxmlformats.org/officeDocument/2006/relationships/hyperlink" Id="rId22"/><Relationship TargetMode="External" Target="#_Ref174993068" Type="http://schemas.openxmlformats.org/officeDocument/2006/relationships/hyperlink" Id="rId23"/><Relationship TargetMode="External" Target="#_Ref175047946" Type="http://schemas.openxmlformats.org/officeDocument/2006/relationships/hyperlink" Id="rId24"/><Relationship TargetMode="External" Target="#_Ref175047946" Type="http://schemas.openxmlformats.org/officeDocument/2006/relationships/hyperlink" Id="rId25"/><Relationship TargetMode="External" Target="#_Ref175047965" Type="http://schemas.openxmlformats.org/officeDocument/2006/relationships/hyperlink" Id="rId26"/><Relationship TargetMode="External" Target="#_Ref175047965" Type="http://schemas.openxmlformats.org/officeDocument/2006/relationships/hyperlink" Id="rId27"/><Relationship TargetMode="External" Target="#_Ref175737735" Type="http://schemas.openxmlformats.org/officeDocument/2006/relationships/hyperlink" Id="rId28"/><Relationship TargetMode="External" Target="#_Ref175737735" Type="http://schemas.openxmlformats.org/officeDocument/2006/relationships/hyperlink" Id="rId29"/><Relationship TargetMode="External" Target="#_Ref174993803" Type="http://schemas.openxmlformats.org/officeDocument/2006/relationships/hyperlink" Id="rId30"/><Relationship TargetMode="External" Target="#_Ref174993803" Type="http://schemas.openxmlformats.org/officeDocument/2006/relationships/hyperlink" Id="rId31"/><Relationship TargetMode="External" Target="#_Ref174993745" Type="http://schemas.openxmlformats.org/officeDocument/2006/relationships/hyperlink" Id="rId32"/><Relationship TargetMode="External" Target="#_Ref174993745" Type="http://schemas.openxmlformats.org/officeDocument/2006/relationships/hyperlink" Id="rId33"/><Relationship TargetMode="External" Target="#_Ref174993803" Type="http://schemas.openxmlformats.org/officeDocument/2006/relationships/hyperlink" Id="rId34"/><Relationship TargetMode="External" Target="#_Ref174993803" Type="http://schemas.openxmlformats.org/officeDocument/2006/relationships/hyperlink" Id="rId35"/><Relationship TargetMode="External" Target="#_Ref175743149" Type="http://schemas.openxmlformats.org/officeDocument/2006/relationships/hyperlink" Id="rId36"/><Relationship TargetMode="External" Target="#_Ref175743149" Type="http://schemas.openxmlformats.org/officeDocument/2006/relationships/hyperlink" Id="rId37"/></Relationships>
</file>

<file path=word/glossary/_rels/document.xml.rels><?xml version="1.0" encoding="UTF-8" standalone="yes"?><Relationships xmlns="http://schemas.openxmlformats.org/package/2006/relationships"><Relationship Target="settings.xml" Type="http://schemas.openxmlformats.org/officeDocument/2006/relationships/settings" Id="rId3"/><Relationship Target="stylesWithEffects.xml" Type="http://schemas.microsoft.com/office/2007/relationships/stylesWithEffects" Id="rId2"/><Relationship Target="styles.xml" Type="http://schemas.openxmlformats.org/officeDocument/2006/relationships/styles" Id="rId1"/><Relationship Target="fontTable.xml" Type="http://schemas.openxmlformats.org/officeDocument/2006/relationships/fontTable" Id="rId5"/><Relationship Target="webSettings.xml" Type="http://schemas.openxmlformats.org/officeDocument/2006/relationships/webSettings" Id="rId4"/></Relationships>
</file>

<file path=word/glossary/document.xml><?xml version="1.0" encoding="utf-8"?>
<w:glossary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Parts>
    <w:docPart>
      <w:docPartPr>
        <w:name w:val="2287E3D7A5999C449F68774214E87459"/>
        <w:category>
          <w:name w:val="General"/>
          <w:gallery w:val="placeholder"/>
        </w:category>
        <w:types>
          <w:type w:val="bbPlcHdr"/>
        </w:types>
        <w:behaviors>
          <w:behavior w:val="content"/>
        </w:behaviors>
        <w:guid w:val="{0537D08B-F94C-044D-835A-2BC092447721}"/>
      </w:docPartPr>
      <w:docPartBody>
        <w:p w:rsidR="007F094C" w:rsidRDefault="007F094C">
          <w:pPr>
            <w:pStyle w:val="2287E3D7A5999C449F68774214E87459"/>
          </w:pPr>
          <w:r w:rsidRPr="007D6BF3">
            <w:rPr>
              <w:rStyle w:val="PlaceholderText"/>
            </w:rPr>
            <w:t>Click here to enter text.</w:t>
          </w:r>
        </w:p>
      </w:docPartBody>
    </w:docPart>
    <w:docPart>
      <w:docPartPr>
        <w:name w:val="23714A54DE1C5349A32215100E23C70C"/>
        <w:category>
          <w:name w:val="General"/>
          <w:gallery w:val="placeholder"/>
        </w:category>
        <w:types>
          <w:type w:val="bbPlcHdr"/>
        </w:types>
        <w:behaviors>
          <w:behavior w:val="content"/>
        </w:behaviors>
        <w:guid w:val="{E29D3CFA-BB34-C948-A790-3C397D74A74D}"/>
      </w:docPartPr>
      <w:docPartBody>
        <w:p w:rsidR="007F094C" w:rsidRDefault="00CC11D7">
          <w:pPr>
            <w:pStyle w:val="23714A54DE1C5349A32215100E23C70C"/>
          </w:pPr>
          <w:r w:rsidRPr="00B078D6">
            <w:t xml:space="preserve"> </w:t>
          </w:r>
        </w:p>
      </w:docPartBody>
    </w:docPart>
    <w:docPart>
      <w:docPartPr>
        <w:name w:val="CEA0958D29B321449DAA1A3408663E44"/>
        <w:category>
          <w:name w:val="General"/>
          <w:gallery w:val="placeholder"/>
        </w:category>
        <w:types>
          <w:type w:val="bbPlcHdr"/>
        </w:types>
        <w:behaviors>
          <w:behavior w:val="content"/>
        </w:behaviors>
        <w:guid w:val="{036767BC-DC7D-5C41-8639-44AB00F097D0}"/>
      </w:docPartPr>
      <w:docPartBody>
        <w:p w:rsidR="007F094C" w:rsidRDefault="00CC11D7">
          <w:pPr>
            <w:pStyle w:val="CEA0958D29B321449DAA1A3408663E44"/>
          </w:pPr>
          <w:r>
            <w:t xml:space="preserve"> </w:t>
          </w:r>
        </w:p>
      </w:docPartBody>
    </w:docPart>
    <w:docPart>
      <w:docPartPr>
        <w:name w:val="9CA603291F38E74C952F4F0686E7F43F"/>
        <w:category>
          <w:name w:val="General"/>
          <w:gallery w:val="placeholder"/>
        </w:category>
        <w:types>
          <w:type w:val="bbPlcHdr"/>
        </w:types>
        <w:behaviors>
          <w:behavior w:val="content"/>
        </w:behaviors>
        <w:guid w:val="{1B21091D-1056-0A40-8911-B11446567541}"/>
      </w:docPartPr>
      <w:docPartBody>
        <w:p w:rsidR="007F094C" w:rsidRDefault="00CC11D7">
          <w:pPr>
            <w:pStyle w:val="9CA603291F38E74C952F4F0686E7F43F"/>
          </w:pPr>
          <w:r w:rsidRPr="00B078D6">
            <w:t xml:space="preserve"> </w:t>
          </w:r>
        </w:p>
      </w:docPartBody>
    </w:docPart>
    <w:docPart>
      <w:docPartPr>
        <w:name w:val="6457288971B39E4CA9B911AD82732253"/>
        <w:category>
          <w:name w:val="General"/>
          <w:gallery w:val="placeholder"/>
        </w:category>
        <w:types>
          <w:type w:val="bbPlcHdr"/>
        </w:types>
        <w:behaviors>
          <w:behavior w:val="content"/>
        </w:behaviors>
        <w:guid w:val="{C03967DB-C583-6243-9BBB-914394D42E0D}"/>
      </w:docPartPr>
      <w:docPartBody>
        <w:p w:rsidR="007F094C" w:rsidRDefault="00CC11D7">
          <w:pPr>
            <w:pStyle w:val="6457288971B39E4CA9B911AD82732253"/>
          </w:pPr>
          <w:r w:rsidRPr="00B078D6">
            <w:t xml:space="preserve"> </w:t>
          </w:r>
        </w:p>
      </w:docPartBody>
    </w:docPart>
    <w:docPart>
      <w:docPartPr>
        <w:name w:val="49E1DA3C6A1E71459A736F86010B5AED"/>
        <w:category>
          <w:name w:val="General"/>
          <w:gallery w:val="placeholder"/>
        </w:category>
        <w:types>
          <w:type w:val="bbPlcHdr"/>
        </w:types>
        <w:behaviors>
          <w:behavior w:val="content"/>
        </w:behaviors>
        <w:guid w:val="{D3EB71CC-499A-254B-88E7-CFA1CC78C65F}"/>
      </w:docPartPr>
      <w:docPartBody>
        <w:p w:rsidR="007F094C" w:rsidRDefault="00CC11D7">
          <w:pPr>
            <w:pStyle w:val="49E1DA3C6A1E71459A736F86010B5AED"/>
          </w:pPr>
          <w:r w:rsidRPr="00B078D6">
            <w:t xml:space="preserve"> </w:t>
          </w:r>
        </w:p>
      </w:docPartBody>
    </w:docPart>
    <w:docPart>
      <w:docPartPr>
        <w:name w:val="5D455C8DB3370C429E683BD45AAD2263"/>
        <w:category>
          <w:name w:val="General"/>
          <w:gallery w:val="placeholder"/>
        </w:category>
        <w:types>
          <w:type w:val="bbPlcHdr"/>
        </w:types>
        <w:behaviors>
          <w:behavior w:val="content"/>
        </w:behaviors>
        <w:guid w:val="{1B0155DF-46F7-CB47-BBFC-843A778954FB}"/>
      </w:docPartPr>
      <w:docPartBody>
        <w:p w:rsidR="007F094C" w:rsidRDefault="00CC11D7">
          <w:pPr>
            <w:pStyle w:val="5D455C8DB3370C429E683BD45AAD2263"/>
          </w:pPr>
          <w:r>
            <w:t xml:space="preserve"> </w:t>
          </w:r>
        </w:p>
      </w:docPartBody>
    </w:docPart>
    <w:docPart>
      <w:docPartPr>
        <w:name w:val="8E1FCF9D9BCC7544965FEDDA8E4336E8"/>
        <w:category>
          <w:name w:val="General"/>
          <w:gallery w:val="placeholder"/>
        </w:category>
        <w:types>
          <w:type w:val="bbPlcHdr"/>
        </w:types>
        <w:behaviors>
          <w:behavior w:val="content"/>
        </w:behaviors>
        <w:guid w:val="{E0E948F2-5A4A-C845-B5B7-0280CF55CDFB}"/>
      </w:docPartPr>
      <w:docPartBody>
        <w:p w:rsidR="007F094C" w:rsidRDefault="00CC11D7">
          <w:pPr>
            <w:pStyle w:val="8E1FCF9D9BCC7544965FEDDA8E4336E8"/>
          </w:pPr>
          <w:r>
            <w:t xml:space="preserve"> </w:t>
          </w:r>
        </w:p>
      </w:docPartBody>
    </w:docPart>
    <w:docPart>
      <w:docPartPr>
        <w:name w:val="BB94B27A1B38FB49AA2427CB2341BFF9"/>
        <w:category>
          <w:name w:val="General"/>
          <w:gallery w:val="placeholder"/>
        </w:category>
        <w:types>
          <w:type w:val="bbPlcHdr"/>
        </w:types>
        <w:behaviors>
          <w:behavior w:val="content"/>
        </w:behaviors>
        <w:guid w:val="{F3C10B63-67C7-CB49-A633-14B42706E0D9}"/>
      </w:docPartPr>
      <w:docPartBody>
        <w:p w:rsidR="007F094C" w:rsidRDefault="00CC11D7">
          <w:pPr>
            <w:pStyle w:val="BB94B27A1B38FB49AA2427CB2341BFF9"/>
          </w:pPr>
          <w:r>
            <w:t xml:space="preserve"> </w:t>
          </w:r>
        </w:p>
      </w:docPartBody>
    </w:docPart>
    <w:docPart>
      <w:docPartPr>
        <w:name w:val="9628263C21A0F347B1037F8B6E2E16E6"/>
        <w:category>
          <w:name w:val="General"/>
          <w:gallery w:val="placeholder"/>
        </w:category>
        <w:types>
          <w:type w:val="bbPlcHdr"/>
        </w:types>
        <w:behaviors>
          <w:behavior w:val="content"/>
        </w:behaviors>
        <w:guid w:val="{92E82AAD-5512-8D45-AE98-4CC62B3E9470}"/>
      </w:docPartPr>
      <w:docPartBody>
        <w:p w:rsidR="007F094C" w:rsidRDefault="00CC11D7">
          <w:pPr>
            <w:pStyle w:val="9628263C21A0F347B1037F8B6E2E16E6"/>
          </w:pPr>
          <w:r>
            <w:t xml:space="preserve"> </w:t>
          </w:r>
        </w:p>
      </w:docPartBody>
    </w:docPart>
    <w:docPart>
      <w:docPartPr>
        <w:name w:val="5A00766E1BC20A46B675FA54E3371F87"/>
        <w:category>
          <w:name w:val="General"/>
          <w:gallery w:val="placeholder"/>
        </w:category>
        <w:types>
          <w:type w:val="bbPlcHdr"/>
        </w:types>
        <w:behaviors>
          <w:behavior w:val="content"/>
        </w:behaviors>
        <w:guid w:val="{6C6BB8E0-C4BF-B441-879B-A1E0E9E70456}"/>
      </w:docPartPr>
      <w:docPartBody>
        <w:p w:rsidR="007F094C" w:rsidRDefault="00CC11D7">
          <w:pPr>
            <w:pStyle w:val="5A00766E1BC20A46B675FA54E3371F87"/>
          </w:pPr>
          <w:r w:rsidRPr="00B078D6">
            <w:t xml:space="preserve"> </w:t>
          </w:r>
        </w:p>
      </w:docPartBody>
    </w:docPart>
    <w:docPart>
      <w:docPartPr>
        <w:name w:val="A23E6993E6A8F64D83520CA63B49071B"/>
        <w:category>
          <w:name w:val="General"/>
          <w:gallery w:val="placeholder"/>
        </w:category>
        <w:types>
          <w:type w:val="bbPlcHdr"/>
        </w:types>
        <w:behaviors>
          <w:behavior w:val="content"/>
        </w:behaviors>
        <w:guid w:val="{8D486C68-67A9-ED40-990D-ABF9DFAFEB43}"/>
      </w:docPartPr>
      <w:docPartBody>
        <w:p w:rsidR="007F094C" w:rsidRDefault="00CC11D7">
          <w:pPr>
            <w:pStyle w:val="A23E6993E6A8F64D83520CA63B49071B"/>
          </w:pPr>
          <w:r>
            <w:t xml:space="preserve"> </w:t>
          </w:r>
        </w:p>
      </w:docPartBody>
    </w:docPart>
    <w:docPart>
      <w:docPartPr>
        <w:name w:val="060452A863326F40B8E9CC07DB6917FD"/>
        <w:category>
          <w:name w:val="General"/>
          <w:gallery w:val="placeholder"/>
        </w:category>
        <w:types>
          <w:type w:val="bbPlcHdr"/>
        </w:types>
        <w:behaviors>
          <w:behavior w:val="content"/>
        </w:behaviors>
        <w:guid w:val="{F6206FBE-4217-7544-895C-D388963981AC}"/>
      </w:docPartPr>
      <w:docPartBody>
        <w:p w:rsidR="007F094C" w:rsidRDefault="00CC11D7">
          <w:pPr>
            <w:pStyle w:val="060452A863326F40B8E9CC07DB6917FD"/>
          </w:pPr>
          <w:r>
            <w:t xml:space="preserve"> </w:t>
          </w:r>
        </w:p>
      </w:docPartBody>
    </w:docPart>
    <w:docPart>
      <w:docPartPr>
        <w:name w:val="6628CDE8242ABE4A8E58F2768A081E0C"/>
        <w:category>
          <w:name w:val="General"/>
          <w:gallery w:val="placeholder"/>
        </w:category>
        <w:types>
          <w:type w:val="bbPlcHdr"/>
        </w:types>
        <w:behaviors>
          <w:behavior w:val="content"/>
        </w:behaviors>
        <w:guid w:val="{1FE18A0F-DB3B-FD4A-A40D-520FD74D3C25}"/>
      </w:docPartPr>
      <w:docPartBody>
        <w:p w:rsidR="007F094C" w:rsidRDefault="00CC11D7">
          <w:pPr>
            <w:pStyle w:val="6628CDE8242ABE4A8E58F2768A081E0C"/>
          </w:pPr>
          <w:r w:rsidRPr="00B078D6">
            <w:t xml:space="preserve"> </w:t>
          </w:r>
        </w:p>
      </w:docPartBody>
    </w:docPart>
    <w:docPart>
      <w:docPartPr>
        <w:name w:val="B3EE222B3A0F7C449BC3F6E77D0B866B"/>
        <w:category>
          <w:name w:val="General"/>
          <w:gallery w:val="placeholder"/>
        </w:category>
        <w:types>
          <w:type w:val="bbPlcHdr"/>
        </w:types>
        <w:behaviors>
          <w:behavior w:val="content"/>
        </w:behaviors>
        <w:guid w:val="{DEAAB4C5-9614-2A45-AF4E-33C616ADCC96}"/>
      </w:docPartPr>
      <w:docPartBody>
        <w:p w:rsidR="007F094C" w:rsidRDefault="00CC11D7">
          <w:pPr>
            <w:pStyle w:val="B3EE222B3A0F7C449BC3F6E77D0B866B"/>
          </w:pPr>
          <w:r>
            <w:t xml:space="preserve"> </w:t>
          </w:r>
        </w:p>
      </w:docPartBody>
    </w:docPart>
    <w:docPart>
      <w:docPartPr>
        <w:name w:val="1A38A171EF11A54DB21B83C7D4CB0CBA"/>
        <w:category>
          <w:name w:val="General"/>
          <w:gallery w:val="placeholder"/>
        </w:category>
        <w:types>
          <w:type w:val="bbPlcHdr"/>
        </w:types>
        <w:behaviors>
          <w:behavior w:val="content"/>
        </w:behaviors>
        <w:guid w:val="{59702FA5-1039-BC44-B78A-B01E172DC7B0}"/>
      </w:docPartPr>
      <w:docPartBody>
        <w:p w:rsidR="007F094C" w:rsidRDefault="00CC11D7">
          <w:pPr>
            <w:pStyle w:val="1A38A171EF11A54DB21B83C7D4CB0CBA"/>
          </w:pPr>
          <w:r>
            <w:t xml:space="preserve"> </w:t>
          </w:r>
        </w:p>
      </w:docPartBody>
    </w:docPart>
    <w:docPart>
      <w:docPartPr>
        <w:name w:val="C38290365A6BEE4A83D8CA3C9A53E9A8"/>
        <w:category>
          <w:name w:val="General"/>
          <w:gallery w:val="placeholder"/>
        </w:category>
        <w:types>
          <w:type w:val="bbPlcHdr"/>
        </w:types>
        <w:behaviors>
          <w:behavior w:val="content"/>
        </w:behaviors>
        <w:guid w:val="{3C535162-8843-2740-B4C8-12ABBD23F239}"/>
      </w:docPartPr>
      <w:docPartBody>
        <w:p w:rsidR="007F094C" w:rsidRDefault="00CC11D7">
          <w:pPr>
            <w:pStyle w:val="C38290365A6BEE4A83D8CA3C9A53E9A8"/>
          </w:pPr>
          <w:r>
            <w:t xml:space="preserve"> </w:t>
          </w:r>
        </w:p>
      </w:docPartBody>
    </w:docPart>
    <w:docPart>
      <w:docPartPr>
        <w:name w:val="A7B47E2D68429748B46F94DAB4579B86"/>
        <w:category>
          <w:name w:val="General"/>
          <w:gallery w:val="placeholder"/>
        </w:category>
        <w:types>
          <w:type w:val="bbPlcHdr"/>
        </w:types>
        <w:behaviors>
          <w:behavior w:val="content"/>
        </w:behaviors>
        <w:guid w:val="{4C59AF83-1241-3E48-884F-52147C7AC1DC}"/>
      </w:docPartPr>
      <w:docPartBody>
        <w:p w:rsidR="007F094C" w:rsidRDefault="00CC11D7">
          <w:pPr>
            <w:pStyle w:val="A7B47E2D68429748B46F94DAB4579B86"/>
          </w:pPr>
          <w:r>
            <w:t xml:space="preserve"> </w:t>
          </w:r>
        </w:p>
      </w:docPartBody>
    </w:docPart>
    <w:docPart>
      <w:docPartPr>
        <w:name w:val="E8B7626A71E1B64AB957DAADD4528E61"/>
        <w:category>
          <w:name w:val="General"/>
          <w:gallery w:val="placeholder"/>
        </w:category>
        <w:types>
          <w:type w:val="bbPlcHdr"/>
        </w:types>
        <w:behaviors>
          <w:behavior w:val="content"/>
        </w:behaviors>
        <w:guid w:val="{F6FF1757-727B-5F46-B297-7C222A873B84}"/>
      </w:docPartPr>
      <w:docPartBody>
        <w:p w:rsidR="007F094C" w:rsidRDefault="00CC11D7">
          <w:pPr>
            <w:pStyle w:val="E8B7626A71E1B64AB957DAADD4528E61"/>
          </w:pPr>
          <w:r>
            <w:t xml:space="preserve"> </w:t>
          </w:r>
        </w:p>
      </w:docPartBody>
    </w:docPart>
    <w:docPart>
      <w:docPartPr>
        <w:name w:val="217D38CADD01B94283F7C310F9E5BE50"/>
        <w:category>
          <w:name w:val="General"/>
          <w:gallery w:val="placeholder"/>
        </w:category>
        <w:types>
          <w:type w:val="bbPlcHdr"/>
        </w:types>
        <w:behaviors>
          <w:behavior w:val="content"/>
        </w:behaviors>
        <w:guid w:val="{1B3EF63B-9AE2-EF4F-9034-60D6F8919FC9}"/>
      </w:docPartPr>
      <w:docPartBody>
        <w:p w:rsidR="007F094C" w:rsidRDefault="00CC11D7">
          <w:pPr>
            <w:pStyle w:val="217D38CADD01B94283F7C310F9E5BE50"/>
          </w:pPr>
          <w:r>
            <w:t xml:space="preserve"> </w:t>
          </w:r>
        </w:p>
      </w:docPartBody>
    </w:docPart>
    <w:docPart>
      <w:docPartPr>
        <w:name w:val="2FBB1D739F997A4C9851874ABC8B0AC1"/>
        <w:category>
          <w:name w:val="General"/>
          <w:gallery w:val="placeholder"/>
        </w:category>
        <w:types>
          <w:type w:val="bbPlcHdr"/>
        </w:types>
        <w:behaviors>
          <w:behavior w:val="content"/>
        </w:behaviors>
        <w:guid w:val="{C758149D-25F4-9348-8BE5-D48EC9AC86CA}"/>
      </w:docPartPr>
      <w:docPartBody>
        <w:p w:rsidR="007F094C" w:rsidRDefault="00CC11D7">
          <w:pPr>
            <w:pStyle w:val="2FBB1D739F997A4C9851874ABC8B0AC1"/>
          </w:pPr>
          <w:r>
            <w:t xml:space="preserve"> </w:t>
          </w:r>
        </w:p>
      </w:docPartBody>
    </w:docPart>
    <w:docPart>
      <w:docPartPr>
        <w:name w:val="F09835F13B8F9844838CACDD8B96763F"/>
        <w:category>
          <w:name w:val="General"/>
          <w:gallery w:val="placeholder"/>
        </w:category>
        <w:types>
          <w:type w:val="bbPlcHdr"/>
        </w:types>
        <w:behaviors>
          <w:behavior w:val="content"/>
        </w:behaviors>
        <w:guid w:val="{4D3115AC-1E93-1146-AE15-23519131424C}"/>
      </w:docPartPr>
      <w:docPartBody>
        <w:p w:rsidR="007F094C" w:rsidRDefault="00CC11D7">
          <w:pPr>
            <w:pStyle w:val="F09835F13B8F9844838CACDD8B96763F"/>
          </w:pPr>
          <w:r w:rsidRPr="00F822F4">
            <w:t xml:space="preserve"> </w:t>
          </w:r>
        </w:p>
      </w:docPartBody>
    </w:docPart>
    <w:docPart>
      <w:docPartPr>
        <w:name w:val="4D4B4D2BC735494E88685FCB1B11F7E2"/>
        <w:category>
          <w:name w:val="General"/>
          <w:gallery w:val="placeholder"/>
        </w:category>
        <w:types>
          <w:type w:val="bbPlcHdr"/>
        </w:types>
        <w:behaviors>
          <w:behavior w:val="content"/>
        </w:behaviors>
        <w:guid w:val="{EB8C9ADF-3140-4244-8D17-9EA5E5BDBBB6}"/>
      </w:docPartPr>
      <w:docPartBody>
        <w:p w:rsidR="007F094C" w:rsidRDefault="00CC11D7">
          <w:pPr>
            <w:pStyle w:val="4D4B4D2BC735494E88685FCB1B11F7E2"/>
          </w:pPr>
          <w:r>
            <w:t xml:space="preserve"> </w:t>
          </w:r>
        </w:p>
      </w:docPartBody>
    </w:docPart>
    <w:docPart>
      <w:docPartPr>
        <w:name w:val="001534073BC94C468D9A6C5C3502283B"/>
        <w:category>
          <w:name w:val="General"/>
          <w:gallery w:val="placeholder"/>
        </w:category>
        <w:types>
          <w:type w:val="bbPlcHdr"/>
        </w:types>
        <w:behaviors>
          <w:behavior w:val="content"/>
        </w:behaviors>
        <w:guid w:val="{8B93A6E6-188E-4556-A8FE-9082511EB03C}"/>
      </w:docPartPr>
      <w:docPartBody>
        <w:p w:rsidR="00CC11D7" w:rsidRDefault="00CC11D7" w:rsidP="00757FAD">
          <w:pPr>
            <w:pStyle w:val="001534073BC94C468D9A6C5C3502283B"/>
          </w:pPr>
          <w:r w:rsidRPr="00B078D6">
            <w:t xml:space="preserve"> </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libri">
    <w:panose1 w:val="020F0502020204030204"/>
    <w:charset w:val="00"/>
    <w:family w:val="swiss"/>
    <w:pitch w:val="variable"/>
    <w:sig w:usb0="E10002FF" w:usb1="4000ACFF" w:usb2="00000009" w:usb3="00000000" w:csb0="0000019F" w:csb1="00000000"/>
  </w:font>
  <w:font w:name="Cambria">
    <w:panose1 w:val="02040503050406030204"/>
    <w:charset w:val="00"/>
    <w:family w:val="roman"/>
    <w:pitch w:val="variable"/>
    <w:sig w:usb0="E00002FF" w:usb1="400004FF" w:usb2="00000000" w:usb3="00000000" w:csb0="0000019F" w:csb1="00000000"/>
  </w:font>
  <w:font w:name="MS Gothic">
    <w:altName w:val="ＭＳ ゴシック"/>
    <w:panose1 w:val="020B0609070205080204"/>
    <w:charset w:val="80"/>
    <w:family w:val="modern"/>
    <w:pitch w:val="fixed"/>
    <w:sig w:usb0="E00002FF" w:usb1="6AC7FDFB" w:usb2="00000012" w:usb3="00000000" w:csb0="0002009F" w:csb1="00000000"/>
  </w:font>
  <w:font w:name="Tahoma">
    <w:panose1 w:val="020B0604030504040204"/>
    <w:charset w:val="00"/>
    <w:family w:val="swiss"/>
    <w:pitch w:val="variable"/>
    <w:sig w:usb0="E1002EFF" w:usb1="C000605B" w:usb2="00000029" w:usb3="00000000" w:csb0="000101FF" w:csb1="00000000"/>
  </w:font>
  <w:font w:name="Lucida Grande">
    <w:charset w:val="00"/>
    <w:family w:val="auto"/>
    <w:pitch w:val="variable"/>
    <w:sig w:usb0="E1000AEF" w:usb1="5000A1FF" w:usb2="00000000" w:usb3="00000000" w:csb0="000001BF" w:csb1="00000000"/>
  </w:font>
  <w:font w:name="MS Mincho">
    <w:altName w:val="ＭＳ 明朝"/>
    <w:panose1 w:val="02020609040205080304"/>
    <w:charset w:val="80"/>
    <w:family w:val="modern"/>
    <w:pitch w:val="fixed"/>
    <w:sig w:usb0="E00002FF" w:usb1="6AC7FDFB" w:usb2="00000012" w:usb3="00000000" w:csb0="0002009F" w:csb1="00000000"/>
  </w:font>
  <w:font w:name="Arial(W1)">
    <w:panose1 w:val="00000000000000000000"/>
    <w:charset w:val="00"/>
    <w:family w:val="swiss"/>
    <w:notTrueType/>
    <w:pitch w:val="variable"/>
    <w:sig w:usb0="00000003" w:usb1="00000000" w:usb2="00000000" w:usb3="00000000" w:csb0="00000001" w:csb1="00000000"/>
  </w:font>
  <w:font w:name="Arial (W1)">
    <w:altName w:val="Arial"/>
    <w:charset w:val="00"/>
    <w:family w:val="swiss"/>
    <w:pitch w:val="variable"/>
    <w:sig w:usb0="00000000" w:usb1="80000000" w:usb2="00000008" w:usb3="00000000" w:csb0="000001FF" w:csb1="00000000"/>
  </w:font>
  <w:font w:name="Arial Bold">
    <w:panose1 w:val="020B0704020202020204"/>
    <w:charset w:val="00"/>
    <w:family w:val="swiss"/>
    <w:notTrueType/>
    <w:pitch w:val="default"/>
    <w:sig w:usb0="00000003" w:usb1="00000000" w:usb2="00000000" w:usb3="00000000" w:csb0="00000001" w:csb1="00000000"/>
  </w:font>
  <w:font w:name="Helvetica">
    <w:panose1 w:val="020B0604020202020204"/>
    <w:charset w:val="00"/>
    <w:family w:val="swiss"/>
    <w:notTrueType/>
    <w:pitch w:val="variable"/>
    <w:sig w:usb0="00000003" w:usb1="00000000" w:usb2="00000000" w:usb3="00000000" w:csb0="00000001" w:csb1="00000000"/>
  </w:font>
  <w:font w:name="Times">
    <w:panose1 w:val="02020603050405020304"/>
    <w:charset w:val="00"/>
    <w:family w:val="roman"/>
    <w:pitch w:val="variable"/>
    <w:sig w:usb0="E0002AFF" w:usb1="C0007841" w:usb2="00000009" w:usb3="00000000" w:csb0="000001F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view w:val="normal"/>
  <w:defaultTabStop w:val="720"/>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F094C"/>
    <w:rsid w:val="00160E2F"/>
    <w:rsid w:val="00377260"/>
    <w:rsid w:val="003D17F5"/>
    <w:rsid w:val="003E00C7"/>
    <w:rsid w:val="006E4039"/>
    <w:rsid w:val="00757FAD"/>
    <w:rsid w:val="007F094C"/>
    <w:rsid w:val="00834DB5"/>
    <w:rsid w:val="00972566"/>
    <w:rsid w:val="00A032F9"/>
    <w:rsid w:val="00A8140D"/>
    <w:rsid w:val="00B5169D"/>
    <w:rsid w:val="00B62839"/>
    <w:rsid w:val="00CC11D7"/>
    <w:rsid w:val="00CF7259"/>
    <w:rsid w:val="00DF4988"/>
    <w:rsid w:val="00EA5C35"/>
    <w:rsid w:val="00ED273B"/>
    <w:rsid w:val="00F67B6D"/>
    <w:rsid w:val="00FE4881"/>
  </w:rsids>
  <m:mathPr>
    <m:mathFont m:val="Cambria Math"/>
    <m:brkBin m:val="before"/>
    <m:brkBinSub m:val="--"/>
    <m:smallFrac m:val="0"/>
    <m:dispDef/>
    <m:lMargin m:val="0"/>
    <m:rMargin m:val="0"/>
    <m:defJc m:val="centerGroup"/>
    <m:wrapIndent m:val="1440"/>
    <m:intLim m:val="subSup"/>
    <m:naryLim m:val="undOvr"/>
  </m:mathPr>
  <w:themeFontLang w:val="en-AU" w:eastAsia="ja-JP"/>
  <w:clrSchemeMapping w:bg1="light1" w:t1="dark1" w:bg2="light2" w:t2="dark2" w:accent1="accent1" w:accent2="accent2" w:accent3="accent3" w:accent4="accent4" w:accent5="accent5" w:accent6="accent6" w:hyperlink="hyperlink" w:followedHyperlink="followedHyperlink"/>
  <w:doNotAutoCompressPictures/>
  <w:decimalSymbol w:val="."/>
  <w:listSeparator w:val=","/>
  <w14:defaultImageDpi w14:val="300"/>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4"/>
        <w:szCs w:val="24"/>
        <w:lang w:val="en-AU" w:eastAsia="ja-JP"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PlaceholderText">
    <w:name w:val="Placeholder Text"/>
    <w:basedOn w:val="DefaultParagraphFont"/>
    <w:uiPriority w:val="99"/>
    <w:semiHidden/>
    <w:rsid w:val="00CC11D7"/>
    <w:rPr>
      <w:color w:val="808080"/>
    </w:rPr>
  </w:style>
  <w:style w:type="paragraph" w:customStyle="1" w:styleId="2287E3D7A5999C449F68774214E87459">
    <w:name w:val="2287E3D7A5999C449F68774214E87459"/>
  </w:style>
  <w:style w:type="paragraph" w:customStyle="1" w:styleId="23714A54DE1C5349A32215100E23C70C">
    <w:name w:val="23714A54DE1C5349A32215100E23C70C"/>
  </w:style>
  <w:style w:type="paragraph" w:customStyle="1" w:styleId="CEA0958D29B321449DAA1A3408663E44">
    <w:name w:val="CEA0958D29B321449DAA1A3408663E44"/>
  </w:style>
  <w:style w:type="paragraph" w:customStyle="1" w:styleId="9CA603291F38E74C952F4F0686E7F43F">
    <w:name w:val="9CA603291F38E74C952F4F0686E7F43F"/>
  </w:style>
  <w:style w:type="paragraph" w:customStyle="1" w:styleId="6457288971B39E4CA9B911AD82732253">
    <w:name w:val="6457288971B39E4CA9B911AD82732253"/>
  </w:style>
  <w:style w:type="paragraph" w:customStyle="1" w:styleId="49E1DA3C6A1E71459A736F86010B5AED">
    <w:name w:val="49E1DA3C6A1E71459A736F86010B5AED"/>
  </w:style>
  <w:style w:type="paragraph" w:customStyle="1" w:styleId="5D455C8DB3370C429E683BD45AAD2263">
    <w:name w:val="5D455C8DB3370C429E683BD45AAD2263"/>
  </w:style>
  <w:style w:type="paragraph" w:customStyle="1" w:styleId="8E1FCF9D9BCC7544965FEDDA8E4336E8">
    <w:name w:val="8E1FCF9D9BCC7544965FEDDA8E4336E8"/>
  </w:style>
  <w:style w:type="paragraph" w:customStyle="1" w:styleId="BB94B27A1B38FB49AA2427CB2341BFF9">
    <w:name w:val="BB94B27A1B38FB49AA2427CB2341BFF9"/>
  </w:style>
  <w:style w:type="paragraph" w:customStyle="1" w:styleId="9628263C21A0F347B1037F8B6E2E16E6">
    <w:name w:val="9628263C21A0F347B1037F8B6E2E16E6"/>
  </w:style>
  <w:style w:type="paragraph" w:customStyle="1" w:styleId="5A00766E1BC20A46B675FA54E3371F87">
    <w:name w:val="5A00766E1BC20A46B675FA54E3371F87"/>
  </w:style>
  <w:style w:type="paragraph" w:customStyle="1" w:styleId="A23E6993E6A8F64D83520CA63B49071B">
    <w:name w:val="A23E6993E6A8F64D83520CA63B49071B"/>
  </w:style>
  <w:style w:type="paragraph" w:customStyle="1" w:styleId="060452A863326F40B8E9CC07DB6917FD">
    <w:name w:val="060452A863326F40B8E9CC07DB6917FD"/>
  </w:style>
  <w:style w:type="paragraph" w:customStyle="1" w:styleId="6628CDE8242ABE4A8E58F2768A081E0C">
    <w:name w:val="6628CDE8242ABE4A8E58F2768A081E0C"/>
  </w:style>
  <w:style w:type="paragraph" w:customStyle="1" w:styleId="B3EE222B3A0F7C449BC3F6E77D0B866B">
    <w:name w:val="B3EE222B3A0F7C449BC3F6E77D0B866B"/>
  </w:style>
  <w:style w:type="paragraph" w:customStyle="1" w:styleId="1A38A171EF11A54DB21B83C7D4CB0CBA">
    <w:name w:val="1A38A171EF11A54DB21B83C7D4CB0CBA"/>
  </w:style>
  <w:style w:type="paragraph" w:customStyle="1" w:styleId="C38290365A6BEE4A83D8CA3C9A53E9A8">
    <w:name w:val="C38290365A6BEE4A83D8CA3C9A53E9A8"/>
  </w:style>
  <w:style w:type="paragraph" w:customStyle="1" w:styleId="A7B47E2D68429748B46F94DAB4579B86">
    <w:name w:val="A7B47E2D68429748B46F94DAB4579B86"/>
  </w:style>
  <w:style w:type="paragraph" w:customStyle="1" w:styleId="E8B7626A71E1B64AB957DAADD4528E61">
    <w:name w:val="E8B7626A71E1B64AB957DAADD4528E61"/>
  </w:style>
  <w:style w:type="paragraph" w:customStyle="1" w:styleId="217D38CADD01B94283F7C310F9E5BE50">
    <w:name w:val="217D38CADD01B94283F7C310F9E5BE50"/>
  </w:style>
  <w:style w:type="paragraph" w:customStyle="1" w:styleId="2FBB1D739F997A4C9851874ABC8B0AC1">
    <w:name w:val="2FBB1D739F997A4C9851874ABC8B0AC1"/>
  </w:style>
  <w:style w:type="paragraph" w:customStyle="1" w:styleId="F09835F13B8F9844838CACDD8B96763F">
    <w:name w:val="F09835F13B8F9844838CACDD8B96763F"/>
  </w:style>
  <w:style w:type="paragraph" w:customStyle="1" w:styleId="4D4B4D2BC735494E88685FCB1B11F7E2">
    <w:name w:val="4D4B4D2BC735494E88685FCB1B11F7E2"/>
  </w:style>
  <w:style w:type="paragraph" w:customStyle="1" w:styleId="6DD604F3D83441E0ACFB8E524F030D05">
    <w:name w:val="6DD604F3D83441E0ACFB8E524F030D05"/>
    <w:rsid w:val="00CF7259"/>
    <w:pPr>
      <w:spacing w:after="200" w:line="276" w:lineRule="auto"/>
    </w:pPr>
    <w:rPr>
      <w:sz w:val="22"/>
      <w:szCs w:val="22"/>
      <w:lang w:eastAsia="en-AU"/>
    </w:rPr>
  </w:style>
  <w:style w:type="paragraph" w:customStyle="1" w:styleId="001534073BC94C468D9A6C5C3502283B">
    <w:name w:val="001534073BC94C468D9A6C5C3502283B"/>
    <w:rsid w:val="00757FAD"/>
    <w:pPr>
      <w:spacing w:after="200" w:line="276" w:lineRule="auto"/>
    </w:pPr>
    <w:rPr>
      <w:sz w:val="22"/>
      <w:szCs w:val="22"/>
      <w:lang w:eastAsia="en-AU"/>
    </w:rPr>
  </w:style>
</w:styles>
</file>

<file path=word/glossary/stylesWithEffects.xml><?xml version="1.0" encoding="utf-8"?>
<w:styles xmlns:w="http://schemas.openxmlformats.org/wordprocessingml/2006/main" xmlns:mc="http://schemas.openxmlformats.org/markup-compatibility/2006" xmlns:m="http://schemas.openxmlformats.org/officeDocument/2006/math" xmlns:o="urn:schemas-microsoft-com:office:office" xmlns:r="http://schemas.openxmlformats.org/officeDocument/2006/relationships" xmlns:v="urn:schemas-microsoft-com:vml" xmlns:w10="urn:schemas-microsoft-com:office:word" xmlns:w14="http://schemas.microsoft.com/office/word/2010/wordml" xmlns:wne="http://schemas.microsoft.com/office/word/2006/wordml" xmlns:wp="http://schemas.openxmlformats.org/drawingml/2006/wordprocessingDrawing" xmlns:wp14="http://schemas.microsoft.com/office/word/2010/wordprocessingDrawing" xmlns:wpc="http://schemas.microsoft.com/office/word/2010/wordprocessingCanvas" xmlns:wpg="http://schemas.microsoft.com/office/word/2010/wordprocessingGroup" xmlns:wpi="http://schemas.microsoft.com/office/word/2010/wordprocessingInk" xmlns:wps="http://schemas.microsoft.com/office/word/2010/wordprocessingShape" mc:Ignorable="w14 wp14">
  <w:docDefaults>
    <w:rPrDefault>
      <w:rPr>
        <w:rFonts w:asciiTheme="minorHAnsi" w:cstheme="minorBidi" w:eastAsiaTheme="minorEastAsia" w:hAnsiTheme="minorHAnsi"/>
        <w:sz w:val="24"/>
        <w:szCs w:val="24"/>
        <w:lang w:bidi="ar-SA" w:eastAsia="ja-JP" w:val="en-AU"/>
      </w:rPr>
    </w:rPrDefault>
    <w:pPrDefault/>
  </w:docDefaults>
  <w:latentStyles w:count="267" w:defLockedState="0" w:defQFormat="0" w:defSemiHidden="1" w:defUIPriority="99" w:defUnhideWhenUsed="1">
    <w:lsdException w:name="Normal" w:qFormat="1" w:semiHidden="0" w:uiPriority="0" w:unhideWhenUsed="0"/>
    <w:lsdException w:name="heading 1" w:qFormat="1" w:semiHidden="0" w:uiPriority="9" w:unhideWhenUsed="0"/>
    <w:lsdException w:name="heading 2" w:qFormat="1" w:uiPriority="9"/>
    <w:lsdException w:name="heading 3" w:qFormat="1" w:uiPriority="9"/>
    <w:lsdException w:name="heading 4" w:qFormat="1" w:uiPriority="9"/>
    <w:lsdException w:name="heading 5" w:qFormat="1" w:uiPriority="9"/>
    <w:lsdException w:name="heading 6" w:qFormat="1" w:uiPriority="9"/>
    <w:lsdException w:name="heading 7" w:qFormat="1" w:uiPriority="9"/>
    <w:lsdException w:name="heading 8" w:qFormat="1" w:uiPriority="9"/>
    <w:lsdException w:name="heading 9" w:qFormat="1" w:uiPriority="9"/>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qFormat="1" w:uiPriority="35"/>
    <w:lsdException w:name="Title" w:qFormat="1" w:semiHidden="0" w:uiPriority="10" w:unhideWhenUsed="0"/>
    <w:lsdException w:name="Default Paragraph Font" w:uiPriority="1"/>
    <w:lsdException w:name="Subtitle" w:qFormat="1" w:semiHidden="0" w:uiPriority="11" w:unhideWhenUsed="0"/>
    <w:lsdException w:name="Strong" w:qFormat="1" w:semiHidden="0" w:uiPriority="22" w:unhideWhenUsed="0"/>
    <w:lsdException w:name="Emphasis" w:qFormat="1" w:semiHidden="0" w:uiPriority="20" w:unhideWhenUsed="0"/>
    <w:lsdException w:name="Table Grid" w:semiHidden="0" w:uiPriority="59" w:unhideWhenUsed="0"/>
    <w:lsdException w:name="Placeholder Text" w:unhideWhenUsed="0"/>
    <w:lsdException w:name="No Spacing" w:qFormat="1" w:semiHidden="0" w:uiPriority="1"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qFormat="1" w:semiHidden="0" w:uiPriority="34" w:unhideWhenUsed="0"/>
    <w:lsdException w:name="Quote" w:qFormat="1" w:semiHidden="0" w:uiPriority="29" w:unhideWhenUsed="0"/>
    <w:lsdException w:name="Intense Quote" w:qFormat="1" w:semiHidden="0" w:uiPriority="30"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qFormat="1" w:semiHidden="0" w:uiPriority="19" w:unhideWhenUsed="0"/>
    <w:lsdException w:name="Intense Emphasis" w:qFormat="1" w:semiHidden="0" w:uiPriority="21" w:unhideWhenUsed="0"/>
    <w:lsdException w:name="Subtle Reference" w:qFormat="1" w:semiHidden="0" w:uiPriority="31" w:unhideWhenUsed="0"/>
    <w:lsdException w:name="Intense Reference" w:qFormat="1" w:semiHidden="0" w:uiPriority="32" w:unhideWhenUsed="0"/>
    <w:lsdException w:name="Book Title" w:qFormat="1" w:semiHidden="0" w:uiPriority="33" w:unhideWhenUsed="0"/>
    <w:lsdException w:name="Bibliography" w:uiPriority="37"/>
    <w:lsdException w:name="TOC Heading" w:qFormat="1" w:uiPriority="39"/>
  </w:latentStyles>
  <w:style w:default="1" w:styleId="Normal" w:type="paragraph">
    <w:name w:val="Normal"/>
    <w:qFormat/>
  </w:style>
  <w:style w:default="1" w:styleId="DefaultParagraphFont" w:type="character">
    <w:name w:val="Default Paragraph Font"/>
    <w:uiPriority w:val="1"/>
    <w:semiHidden/>
    <w:unhideWhenUsed/>
  </w:style>
  <w:style w:default="1" w:styleId="TableNormal" w:type="table">
    <w:name w:val="Normal Table"/>
    <w:uiPriority w:val="99"/>
    <w:semiHidden/>
    <w:unhideWhenUsed/>
    <w:tblPr>
      <w:tblInd w:type="dxa" w:w="0"/>
      <w:tblCellMar>
        <w:top w:type="dxa" w:w="0"/>
        <w:left w:type="dxa" w:w="108"/>
        <w:bottom w:type="dxa" w:w="0"/>
        <w:right w:type="dxa" w:w="108"/>
      </w:tblCellMar>
    </w:tblPr>
  </w:style>
  <w:style w:default="1" w:styleId="NoList" w:type="numbering">
    <w:name w:val="No List"/>
    <w:uiPriority w:val="99"/>
    <w:semiHidden/>
    <w:unhideWhenUsed/>
  </w:style>
  <w:style w:styleId="PlaceholderText" w:type="character">
    <w:name w:val="Placeholder Text"/>
    <w:basedOn w:val="DefaultParagraphFont"/>
    <w:uiPriority w:val="99"/>
    <w:semiHidden/>
    <w:rsid w:val="00CC11D7"/>
    <w:rPr>
      <w:color w:val="808080"/>
    </w:rPr>
  </w:style>
  <w:style w:customStyle="1" w:styleId="2287E3D7A5999C449F68774214E87459" w:type="paragraph">
    <w:name w:val="2287E3D7A5999C449F68774214E87459"/>
  </w:style>
  <w:style w:customStyle="1" w:styleId="23714A54DE1C5349A32215100E23C70C" w:type="paragraph">
    <w:name w:val="23714A54DE1C5349A32215100E23C70C"/>
  </w:style>
  <w:style w:customStyle="1" w:styleId="CEA0958D29B321449DAA1A3408663E44" w:type="paragraph">
    <w:name w:val="CEA0958D29B321449DAA1A3408663E44"/>
  </w:style>
  <w:style w:customStyle="1" w:styleId="9CA603291F38E74C952F4F0686E7F43F" w:type="paragraph">
    <w:name w:val="9CA603291F38E74C952F4F0686E7F43F"/>
  </w:style>
  <w:style w:customStyle="1" w:styleId="6457288971B39E4CA9B911AD82732253" w:type="paragraph">
    <w:name w:val="6457288971B39E4CA9B911AD82732253"/>
  </w:style>
  <w:style w:customStyle="1" w:styleId="49E1DA3C6A1E71459A736F86010B5AED" w:type="paragraph">
    <w:name w:val="49E1DA3C6A1E71459A736F86010B5AED"/>
  </w:style>
  <w:style w:customStyle="1" w:styleId="5D455C8DB3370C429E683BD45AAD2263" w:type="paragraph">
    <w:name w:val="5D455C8DB3370C429E683BD45AAD2263"/>
  </w:style>
  <w:style w:customStyle="1" w:styleId="8E1FCF9D9BCC7544965FEDDA8E4336E8" w:type="paragraph">
    <w:name w:val="8E1FCF9D9BCC7544965FEDDA8E4336E8"/>
  </w:style>
  <w:style w:customStyle="1" w:styleId="BB94B27A1B38FB49AA2427CB2341BFF9" w:type="paragraph">
    <w:name w:val="BB94B27A1B38FB49AA2427CB2341BFF9"/>
  </w:style>
  <w:style w:customStyle="1" w:styleId="9628263C21A0F347B1037F8B6E2E16E6" w:type="paragraph">
    <w:name w:val="9628263C21A0F347B1037F8B6E2E16E6"/>
  </w:style>
  <w:style w:customStyle="1" w:styleId="5A00766E1BC20A46B675FA54E3371F87" w:type="paragraph">
    <w:name w:val="5A00766E1BC20A46B675FA54E3371F87"/>
  </w:style>
  <w:style w:customStyle="1" w:styleId="A23E6993E6A8F64D83520CA63B49071B" w:type="paragraph">
    <w:name w:val="A23E6993E6A8F64D83520CA63B49071B"/>
  </w:style>
  <w:style w:customStyle="1" w:styleId="060452A863326F40B8E9CC07DB6917FD" w:type="paragraph">
    <w:name w:val="060452A863326F40B8E9CC07DB6917FD"/>
  </w:style>
  <w:style w:customStyle="1" w:styleId="6628CDE8242ABE4A8E58F2768A081E0C" w:type="paragraph">
    <w:name w:val="6628CDE8242ABE4A8E58F2768A081E0C"/>
  </w:style>
  <w:style w:customStyle="1" w:styleId="B3EE222B3A0F7C449BC3F6E77D0B866B" w:type="paragraph">
    <w:name w:val="B3EE222B3A0F7C449BC3F6E77D0B866B"/>
  </w:style>
  <w:style w:customStyle="1" w:styleId="1A38A171EF11A54DB21B83C7D4CB0CBA" w:type="paragraph">
    <w:name w:val="1A38A171EF11A54DB21B83C7D4CB0CBA"/>
  </w:style>
  <w:style w:customStyle="1" w:styleId="C38290365A6BEE4A83D8CA3C9A53E9A8" w:type="paragraph">
    <w:name w:val="C38290365A6BEE4A83D8CA3C9A53E9A8"/>
  </w:style>
  <w:style w:customStyle="1" w:styleId="A7B47E2D68429748B46F94DAB4579B86" w:type="paragraph">
    <w:name w:val="A7B47E2D68429748B46F94DAB4579B86"/>
  </w:style>
  <w:style w:customStyle="1" w:styleId="E8B7626A71E1B64AB957DAADD4528E61" w:type="paragraph">
    <w:name w:val="E8B7626A71E1B64AB957DAADD4528E61"/>
  </w:style>
  <w:style w:customStyle="1" w:styleId="217D38CADD01B94283F7C310F9E5BE50" w:type="paragraph">
    <w:name w:val="217D38CADD01B94283F7C310F9E5BE50"/>
  </w:style>
  <w:style w:customStyle="1" w:styleId="2FBB1D739F997A4C9851874ABC8B0AC1" w:type="paragraph">
    <w:name w:val="2FBB1D739F997A4C9851874ABC8B0AC1"/>
  </w:style>
  <w:style w:customStyle="1" w:styleId="F09835F13B8F9844838CACDD8B96763F" w:type="paragraph">
    <w:name w:val="F09835F13B8F9844838CACDD8B96763F"/>
  </w:style>
  <w:style w:customStyle="1" w:styleId="4D4B4D2BC735494E88685FCB1B11F7E2" w:type="paragraph">
    <w:name w:val="4D4B4D2BC735494E88685FCB1B11F7E2"/>
  </w:style>
  <w:style w:customStyle="1" w:styleId="6DD604F3D83441E0ACFB8E524F030D05" w:type="paragraph">
    <w:name w:val="6DD604F3D83441E0ACFB8E524F030D05"/>
    <w:rsid w:val="00CF7259"/>
    <w:pPr>
      <w:spacing w:after="200" w:line="276" w:lineRule="auto"/>
    </w:pPr>
    <w:rPr>
      <w:sz w:val="22"/>
      <w:szCs w:val="22"/>
      <w:lang w:eastAsia="en-AU"/>
    </w:rPr>
  </w:style>
  <w:style w:customStyle="1" w:styleId="001534073BC94C468D9A6C5C3502283B" w:type="paragraph">
    <w:name w:val="001534073BC94C468D9A6C5C3502283B"/>
    <w:rsid w:val="00757FAD"/>
    <w:pPr>
      <w:spacing w:after="200" w:line="276" w:lineRule="auto"/>
    </w:pPr>
    <w:rPr>
      <w:sz w:val="22"/>
      <w:szCs w:val="22"/>
      <w:lang w:eastAsia="en-AU"/>
    </w:rPr>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webSetting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Relationships xmlns="http://schemas.openxmlformats.org/package/2006/relationships"><Relationship Target="itemProps1.xml" Type="http://schemas.openxmlformats.org/officeDocument/2006/relationships/customXmlProps" Id="rId1"/></Relationships>
</file>

<file path=customXml/item1.xml><?xml version="1.0" encoding="utf-8"?>
<b:Sources xmlns:w="http://schemas.openxmlformats.org/wordprocessingml/2006/main" xmlns:m="http://schemas.openxmlformats.org/officeDocument/2006/math" xmlns:w14="http://schemas.microsoft.com/office/word/2010/wordml" xmlns:r="http://schemas.openxmlformats.org/officeDocument/2006/relationships" xmlns:wp="http://schemas.openxmlformats.org/drawingml/2006/wordprocessingDrawing" xmlns:a="http://schemas.openxmlformats.org/drawingml/2006/main" xmlns:wp14="http://schemas.microsoft.com/office/word/2010/wordprocessingDrawing" xmlns:w15="http://schemas.microsoft.com/office/word/2012/wordml" xmlns:mc="http://schemas.openxmlformats.org/markup-compatibility/2006" xmlns:a14="http://schemas.microsoft.com/office/drawing/2010/main" xmlns:sl="http://schemas.openxmlformats.org/schemaLibrary/2006/main" xmlns:wne="http://schemas.microsoft.com/office/word/2006/wordml" xmlns:c="http://schemas.openxmlformats.org/drawingml/2006/chart" xmlns:cdr="http://schemas.openxmlformats.org/drawingml/2006/chartDrawing" xmlns:c14="http://schemas.microsoft.com/office/drawing/2007/8/2/chart" xmlns:dgm="http://schemas.openxmlformats.org/drawingml/2006/diagram" xmlns:pic="http://schemas.openxmlformats.org/drawingml/2006/picture" xmlns:xdr="http://schemas.openxmlformats.org/drawingml/2006/spreadsheetDrawing" xmlns:dsp="http://schemas.microsoft.com/office/drawing/2008/diagram" xmlns:o="urn:schemas-microsoft-com:office:office" xmlns:v="urn:schemas-microsoft-com:vml" xmlns:xvml="urn:schemas-microsoft-com:office:excel" xmlns:w10="urn:schemas-microsoft-com:office:word" xmlns:pvml="urn:schemas-microsoft-com:office:powerpoint" xmlns:cppr="http://schemas.microsoft.com/office/2006/coverPageProps" xmlns:odx="http://opendope.org/xpaths" xmlns:odc="http://opendope.org/conditions" xmlns:odq="http://opendope.org/questions" xmlns:oda="http://opendope.org/answers" xmlns:odi="http://opendope.org/components" xmlns:odgm="http://opendope.org/SmartArt/DataHierarchy" xmlns:b="http://schemas.openxmlformats.org/officeDocument/2006/bibliography" xmlns:msink="http://schemas.microsoft.com/ink/2010/main" xmlns:cdr14="http://schemas.microsoft.com/office/drawing/2010/chartDrawing" xmlns:c15="http://schemas.microsoft.com/office/drawing/2012/chart" xmlns:cs="http://schemas.microsoft.com/office/drawing/2012/chartStyle" xmlns:ns38="http://www.w3.org/1998/Math/MathML" xmlns:ns39="http://www.w3.org/2003/InkML" xmlns:a13cmd="http://schemas.microsoft.com/office/drawing/2013/main/command" xmlns:cx="http://schemas.microsoft.com/office/drawing/2014/chartex" xmlns:c16="http://schemas.microsoft.com/office/drawing/2014/chart" xmlns:dgm1611="http://schemas.microsoft.com/office/drawing/2016/11/diagram" xmlns:c173="http://schemas.microsoft.com/office/drawing/2017/03/chart" xmlns:am3d="http://schemas.microsoft.com/office/drawing/2017/model3d" xmlns:an18="http://schemas.microsoft.com/office/drawing/2018/animation" xmlns:anam3d="http://schemas.microsoft.com/office/drawing/2018/animation/model3d" xmlns:iact="http://schemas.microsoft.com/office/powerpoint/2014/inkAction" xmlns:thm15="http://schemas.microsoft.com/office/thememl/2012/main" xmlns:wps="http://schemas.microsoft.com/office/word/2010/wordprocessingShape" xmlns:wpc="http://schemas.microsoft.com/office/word/2010/wordprocessingCanvas" xmlns:wpg="http://schemas.microsoft.com/office/word/2010/wordprocessingGroup" xmlns:w16se="http://schemas.microsoft.com/office/word/2015/wordml/symex" xmlns:w16cid="http://schemas.microsoft.com/office/word/2016/wordml/cid" xmlns:wetp="http://schemas.microsoft.com/office/webextensions/taskpanes/2010/11" xmlns:we="http://schemas.microsoft.com/office/webextensions/webextension/2010/11" xmlns:comp="http://schemas.openxmlformats.org/drawingml/2006/compatibility" xmlns:lc="http://schemas.openxmlformats.org/drawingml/2006/lockedCanvas" xmlns:dgm14="http://schemas.microsoft.com/office/drawing/2010/diagram" xmlns:a15="http://schemas.microsoft.com/office/drawing/2012/main" xmlns:pic14="http://schemas.microsoft.com/office/drawing/2010/picture" xmlns:c16ac="http://schemas.microsoft.com/office/drawing/2014/chart/ac" xmlns:a16="http://schemas.microsoft.com/office/drawing/2014/main" xmlns:a1611="http://schemas.microsoft.com/office/drawing/2016/11/main" xmlns:dgm1612="http://schemas.microsoft.com/office/drawing/2016/12/diagram" xmlns:a16svg="http://schemas.microsoft.com/office/drawing/2016/SVG/main" xmlns:adec="http://schemas.microsoft.com/office/drawing/2017/decorative" xmlns:a18hc="http://schemas.microsoft.com/office/drawing/2018/hyperlinkcolor" xmlns:wp15="http://schemas.microsoft.com/office/word/2012/wordprocessingDrawing" SelectedStyle="\APA.XSL" StyleName="APA"/>
</file>

<file path=customXml/itemProps1.xml><?xml version="1.0" encoding="utf-8"?>
<ds:datastoreItem xmlns:ds="http://schemas.openxmlformats.org/officeDocument/2006/customXml" ds:itemID="{EBD6D699-177F-43CA-B73F-02C38C2B7F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72</TotalTime>
  <Pages>1</Pages>
  <Words>234</Words>
  <Characters>1338</Characters>
  <Application>Microsoft Office Word</Application>
  <DocSecurity>0</DocSecurity>
  <Lines>11</Lines>
  <Paragraphs>3</Paragraphs>
  <ScaleCrop>false</ScaleCrop>
  <HeadingPairs>
    <vt:vector size="2" baseType="variant">
      <vt:variant>
        <vt:lpstr>Title</vt:lpstr>
      </vt:variant>
      <vt:variant>
        <vt:i4>1</vt:i4>
      </vt:variant>
    </vt:vector>
  </HeadingPairs>
  <TitlesOfParts>
    <vt:vector size="1" baseType="lpstr">
      <vt:lpstr/>
    </vt:vector>
  </TitlesOfParts>
  <Company>Department of Attorney General &amp; Justice</Company>
  <LinksUpToDate>false</LinksUpToDate>
  <CharactersWithSpaces>1569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Xabi Errotabehere</dc:creator>
  <cp:lastModifiedBy>Thomas Bui</cp:lastModifiedBy>
  <cp:revision>29</cp:revision>
  <cp:lastPrinted>2014-09-01T05:35:00Z</cp:lastPrinted>
  <dcterms:created xsi:type="dcterms:W3CDTF">2014-10-03T02:54:00Z</dcterms:created>
  <dcterms:modified xsi:type="dcterms:W3CDTF">2015-02-25T06:52:00Z</dcterms:modified>
</cp:coreProperties>
</file>