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Civil and Administrative Tribunal</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McNeill v Clarence Valley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NSWCATAD 382</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15 October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16 December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16 December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Administrative and Equal Opportunity Division</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J Sullivan, Senior Member</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decision under review is affirmed.</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ADMINISTRATIVE LAW — administrative review — government information — scope of review —personal information — copyright — reasonable searches</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Administrative Decisions Review Act 1997 (NSW)</w:t>
                </w:r>
                <w:r>
                  <w:br/>
                </w:r>
                <w:r>
                  <w:t xml:space="preserve">Civil and Administrative Tribunal Act 2013 (NSW)</w:t>
                </w:r>
                <w:r>
                  <w:br/>
                </w:r>
                <w:r>
                  <w:t xml:space="preserve">Government Information (Public Access) Act 2009 (NSW)</w:t>
                </w:r>
                <w:r>
                  <w:br/>
                </w:r>
                <w:r>
                  <w:t xml:space="preserve">Local Government Act 1993 (NSW)</w:t>
                </w:r>
                <w:r>
                  <w:br/>
                </w:r>
                <w:r>
                  <w:t xml:space="preserve">Privacy and Personal Information Protection Act 1998 (NSW) </w:t>
                </w:r>
                <w:r>
                  <w:br/>
                </w:r>
                <w:r>
                  <w:t xml:space="preserve">State Records Act 1998 (NSW)</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Amos v Central Coast Council [2018] NSWCATAD 101</w:t>
                </w:r>
                <w:r>
                  <w:br/>
                </w:r>
                <w:r>
                  <w:t xml:space="preserve">Crewdson v Central Sydney AHS [2002] NSWCA 345</w:t>
                </w:r>
                <w:r>
                  <w:br/>
                </w:r>
                <w:r>
                  <w:t xml:space="preserve">Kirk v Industrial Relations Commission [2010] HCA 1</w:t>
                </w:r>
                <w:r>
                  <w:br/>
                </w:r>
                <w:r>
                  <w:t xml:space="preserve">OD v Department of Education and Training (GD) [2005] NSWADTAP 74</w:t>
                </w:r>
                <w:r>
                  <w:br/>
                </w:r>
                <w:r>
                  <w:t xml:space="preserve">Raven v University of Sydney [2015] NSWCATAD 104</w:t>
                </w:r>
                <w:r>
                  <w:br/>
                </w:r>
                <w:r>
                  <w:t xml:space="preserve">Redfern Legal Centre v Commissioner of Police [2021] NSWCATAD 288</w:t>
                </w:r>
                <w:r>
                  <w:br/>
                </w:r>
                <w:r>
                  <w:t xml:space="preserve">Wojciechowska v Commissioner of Police [2020] NSWCATAP 173</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None cited</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Craigh McNeill (Applicant)</w:t>
                </w:r>
                <w:r>
                  <w:br/>
                </w:r>
                <w:r>
                  <w:t xml:space="preserve">Clarence Valley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Applicant (Self-Represented)</w:t>
                </w:r>
                <w:r>
                  <w:br/>
                </w:r>
                <w:r>
                  <w:t xml:space="preserve">Local Government Legal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2024/00268200</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REASONS FOR DECISION</w:t>
      </w:r>
    </w:p>
    <w:p>
      <w:pPr>
        <w:pStyle w:val="CaselawNumbered10"/>
        <w:numPr>
          <w:ilvl w:val="0"/>
          <w:numId w:val="22"/>
        </w:numPr>
        <w:spacing w:before="150" w:after="0"/>
        <w:ind w:left="600" w:hanging="600"/>
      </w:pPr>
      <w:r>
        <w:rPr>
          <w:rFonts w:ascii="Arial"/>
          <w:color w:val="000000"/>
          <w:sz w:val="24"/>
        </w:rPr>
        <w:t>Mr Craigh</w:t>
      </w:r>
      <w:r>
        <w:rPr>
          <w:rFonts w:ascii="Arial"/>
          <w:color w:val="000000"/>
          <w:sz w:val="24"/>
        </w:rPr>
        <w:t xml:space="preserve"> </w:t>
      </w:r>
      <w:r>
        <w:rPr>
          <w:rFonts w:ascii="Arial"/>
          <w:color w:val="000000"/>
          <w:sz w:val="24"/>
        </w:rPr>
        <w:t>McNeill (</w:t>
      </w:r>
      <w:r>
        <w:rPr>
          <w:rFonts w:ascii="Arial"/>
          <w:b/>
          <w:color w:val="000000"/>
          <w:sz w:val="24"/>
        </w:rPr>
        <w:t>the Applicant</w:t>
      </w:r>
      <w:r>
        <w:rPr>
          <w:rFonts w:ascii="Arial"/>
          <w:color w:val="000000"/>
          <w:sz w:val="24"/>
        </w:rPr>
        <w:t>) applied to this Tribunal for an administrative review of the decision of Clarence Valley Council (</w:t>
      </w:r>
      <w:r>
        <w:rPr>
          <w:rFonts w:ascii="Arial"/>
          <w:b/>
          <w:color w:val="000000"/>
          <w:sz w:val="24"/>
        </w:rPr>
        <w:t xml:space="preserve">the </w:t>
      </w:r>
      <w:r>
        <w:rPr>
          <w:rFonts w:ascii="Arial"/>
          <w:b/>
          <w:color w:val="000000"/>
          <w:sz w:val="24"/>
        </w:rPr>
        <w:t>Council</w:t>
      </w:r>
      <w:r>
        <w:rPr>
          <w:rFonts w:ascii="Arial"/>
          <w:color w:val="000000"/>
          <w:sz w:val="24"/>
        </w:rPr>
        <w:t xml:space="preserve">) </w:t>
      </w:r>
      <w:r>
        <w:rPr>
          <w:rFonts w:ascii="Arial"/>
          <w:color w:val="000000"/>
          <w:sz w:val="24"/>
        </w:rPr>
        <w:t xml:space="preserve">dated 8 July 2024 </w:t>
      </w:r>
      <w:r>
        <w:rPr>
          <w:rFonts w:ascii="Arial"/>
          <w:color w:val="000000"/>
          <w:sz w:val="24"/>
        </w:rPr>
        <w:t xml:space="preserve">in response to his request for information under the </w:t>
      </w:r>
      <w:r>
        <w:rPr>
          <w:rFonts w:ascii="Arial"/>
          <w:i/>
          <w:color w:val="000000"/>
          <w:sz w:val="24"/>
        </w:rPr>
        <w:t xml:space="preserve">Government Information (Public Access) Act </w:t>
      </w:r>
      <w:r>
        <w:rPr>
          <w:rFonts w:ascii="Arial"/>
          <w:i/>
          <w:color w:val="000000"/>
          <w:sz w:val="24"/>
        </w:rPr>
        <w:t>2</w:t>
      </w:r>
      <w:r>
        <w:rPr>
          <w:rFonts w:ascii="Arial"/>
          <w:i/>
          <w:color w:val="000000"/>
          <w:sz w:val="24"/>
        </w:rPr>
        <w:t xml:space="preserve">009 </w:t>
      </w:r>
      <w:r>
        <w:rPr>
          <w:rFonts w:ascii="Arial"/>
          <w:color w:val="000000"/>
          <w:sz w:val="24"/>
        </w:rPr>
        <w:t>(NSW) (</w:t>
      </w:r>
      <w:r>
        <w:rPr>
          <w:rFonts w:ascii="Arial"/>
          <w:b/>
          <w:color w:val="000000"/>
          <w:sz w:val="24"/>
        </w:rPr>
        <w:t>GIPA Act</w:t>
      </w:r>
      <w:r>
        <w:rPr>
          <w:rFonts w:ascii="Arial"/>
          <w:color w:val="000000"/>
          <w:sz w:val="24"/>
        </w:rPr>
        <w:t>).</w:t>
      </w:r>
    </w:p>
    <w:p>
      <w:pPr>
        <w:pStyle w:val="CaselawNumbered10"/>
        <w:numPr>
          <w:ilvl w:val="0"/>
          <w:numId w:val="22"/>
        </w:numPr>
        <w:spacing w:before="150" w:after="0"/>
        <w:ind w:left="600" w:hanging="600"/>
      </w:pPr>
      <w:r>
        <w:rPr>
          <w:rFonts w:ascii="Arial"/>
          <w:color w:val="000000"/>
          <w:sz w:val="24"/>
        </w:rPr>
        <w:t>For the reasons below, the Council</w:t>
      </w:r>
      <w:r>
        <w:rPr>
          <w:rFonts w:ascii="Arial"/>
          <w:color w:val="000000"/>
          <w:sz w:val="24"/>
        </w:rPr>
        <w:t>’</w:t>
      </w:r>
      <w:r>
        <w:rPr>
          <w:rFonts w:ascii="Arial"/>
          <w:color w:val="000000"/>
          <w:sz w:val="24"/>
        </w:rPr>
        <w:t>s decision is affirmed.</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The a</w:t>
      </w:r>
      <w:r>
        <w:rPr>
          <w:rFonts w:ascii="Arial"/>
          <w:color w:val="000000"/>
          <w:sz w:val="24"/>
        </w:rPr>
        <w:t xml:space="preserve">pplication </w:t>
      </w:r>
      <w:r>
        <w:rPr>
          <w:rFonts w:ascii="Arial"/>
          <w:color w:val="000000"/>
          <w:sz w:val="24"/>
        </w:rPr>
        <w:t>to the Council was made</w:t>
      </w:r>
      <w:r>
        <w:rPr>
          <w:rFonts w:ascii="Arial"/>
          <w:color w:val="000000"/>
          <w:sz w:val="24"/>
        </w:rPr>
        <w:t xml:space="preserve"> </w:t>
      </w:r>
      <w:r>
        <w:rPr>
          <w:rFonts w:ascii="Arial"/>
          <w:color w:val="000000"/>
          <w:sz w:val="24"/>
        </w:rPr>
        <w:t>by the Applicant</w:t>
      </w:r>
      <w:r>
        <w:rPr>
          <w:rFonts w:ascii="Arial"/>
          <w:color w:val="000000"/>
          <w:sz w:val="24"/>
        </w:rPr>
        <w:t xml:space="preserve"> </w:t>
      </w:r>
      <w:r>
        <w:rPr>
          <w:rFonts w:ascii="Arial"/>
          <w:color w:val="000000"/>
          <w:sz w:val="24"/>
        </w:rPr>
        <w:t>on 8 May 2024</w:t>
      </w:r>
      <w:r>
        <w:rPr>
          <w:rFonts w:ascii="Arial"/>
          <w:color w:val="000000"/>
          <w:sz w:val="24"/>
        </w:rPr>
        <w:t xml:space="preserve"> </w:t>
      </w:r>
      <w:r>
        <w:rPr>
          <w:rFonts w:ascii="Arial"/>
          <w:color w:val="000000"/>
          <w:sz w:val="24"/>
        </w:rPr>
        <w:t xml:space="preserve">(the </w:t>
      </w:r>
      <w:r>
        <w:rPr>
          <w:rFonts w:ascii="Arial"/>
          <w:b/>
          <w:color w:val="000000"/>
          <w:sz w:val="24"/>
        </w:rPr>
        <w:t>GIPA Application</w:t>
      </w:r>
      <w:r>
        <w:rPr>
          <w:rFonts w:ascii="Arial"/>
          <w:color w:val="000000"/>
          <w:sz w:val="24"/>
        </w:rPr>
        <w:t>)</w:t>
      </w:r>
      <w:r>
        <w:rPr>
          <w:rFonts w:ascii="Arial"/>
          <w:color w:val="000000"/>
          <w:sz w:val="24"/>
        </w:rPr>
        <w:t xml:space="preserve">. </w:t>
      </w:r>
      <w:r>
        <w:rPr>
          <w:rFonts w:ascii="Arial"/>
          <w:color w:val="000000"/>
          <w:sz w:val="24"/>
        </w:rPr>
        <w:t xml:space="preserve">The Applicant </w:t>
      </w:r>
      <w:r>
        <w:rPr>
          <w:rFonts w:ascii="Arial"/>
          <w:color w:val="000000"/>
          <w:sz w:val="24"/>
        </w:rPr>
        <w:t xml:space="preserve">sought access to information regarding the application by the Council of bushfire relief grant funds and community funds in relation to the development selection process for the </w:t>
      </w:r>
      <w:r>
        <w:rPr>
          <w:rFonts w:ascii="Arial"/>
          <w:color w:val="000000"/>
          <w:sz w:val="24"/>
        </w:rPr>
        <w:t>“</w:t>
      </w:r>
      <w:r>
        <w:rPr>
          <w:rFonts w:ascii="Arial"/>
          <w:color w:val="000000"/>
          <w:sz w:val="24"/>
        </w:rPr>
        <w:t>Treelands Drive Community Hub project</w:t>
      </w:r>
      <w:r>
        <w:rPr>
          <w:rFonts w:ascii="Arial"/>
          <w:color w:val="000000"/>
          <w:sz w:val="24"/>
        </w:rPr>
        <w:t>”</w:t>
      </w:r>
      <w:r>
        <w:rPr>
          <w:rFonts w:ascii="Arial"/>
          <w:color w:val="000000"/>
          <w:sz w:val="24"/>
        </w:rPr>
        <w:t>.</w:t>
      </w:r>
    </w:p>
    <w:p>
      <w:pPr>
        <w:pStyle w:val="CaselawNumbered10"/>
        <w:numPr>
          <w:ilvl w:val="0"/>
          <w:numId w:val="23"/>
        </w:numPr>
        <w:spacing w:before="150" w:after="0"/>
        <w:ind w:left="600" w:hanging="600"/>
      </w:pPr>
      <w:r>
        <w:rPr>
          <w:rFonts w:ascii="Arial"/>
          <w:color w:val="000000"/>
          <w:sz w:val="24"/>
        </w:rPr>
        <w:t xml:space="preserve">His request </w:t>
      </w:r>
      <w:r>
        <w:rPr>
          <w:rFonts w:ascii="Arial"/>
          <w:color w:val="000000"/>
          <w:sz w:val="24"/>
        </w:rPr>
        <w:t xml:space="preserve">(under the </w:t>
      </w:r>
      <w:r>
        <w:rPr>
          <w:rFonts w:ascii="Arial"/>
          <w:color w:val="000000"/>
          <w:sz w:val="24"/>
        </w:rPr>
        <w:t xml:space="preserve">heading </w:t>
      </w:r>
      <w:r>
        <w:rPr>
          <w:rFonts w:ascii="Arial"/>
          <w:color w:val="000000"/>
          <w:sz w:val="24"/>
        </w:rPr>
        <w:t>“</w:t>
      </w:r>
      <w:r>
        <w:rPr>
          <w:rFonts w:ascii="Arial"/>
          <w:i/>
          <w:color w:val="000000"/>
          <w:sz w:val="24"/>
        </w:rPr>
        <w:t>What information are you seeking</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was in the following terms:</w:t>
      </w:r>
    </w:p>
    <w:p>
      <w:pPr>
        <w:pStyle w:val="CaselawQuote"/>
        <w:spacing w:before="150" w:after="150"/>
        <w:ind w:left="1350"/>
        <w:jc w:val="left"/>
      </w:pPr>
      <w:r>
        <w:rPr>
          <w:rFonts w:ascii="Arial"/>
          <w:color w:val="000000"/>
          <w:sz w:val="22"/>
        </w:rPr>
        <w:t>The lack of any documentation or evidence that Ms. Black actually investigated varying the design contract per the Council’s resolution is a key aspect of concern. As such, confirming whether records exist is crucial for understanding if the General Manager fulfilled her duties in implementing this lawful Council decision.</w:t>
      </w:r>
    </w:p>
    <w:p>
      <w:pPr>
        <w:pStyle w:val="CaselawQuote"/>
        <w:spacing w:before="150" w:after="150"/>
        <w:ind w:left="1350"/>
        <w:jc w:val="left"/>
      </w:pPr>
      <w:r>
        <w:rPr>
          <w:rFonts w:ascii="Arial"/>
          <w:color w:val="000000"/>
          <w:sz w:val="22"/>
        </w:rPr>
        <w:t xml:space="preserve">Under the [GIPA Act], I am requesting access to the following information held by Clarence Valley Council relating to the Treelands </w:t>
      </w:r>
      <w:r>
        <w:rPr>
          <w:rFonts w:ascii="Arial"/>
          <w:color w:val="000000"/>
          <w:sz w:val="22"/>
        </w:rPr>
        <w:t>Drive</w:t>
      </w:r>
      <w:r>
        <w:rPr>
          <w:rFonts w:ascii="Arial"/>
          <w:color w:val="000000"/>
          <w:sz w:val="22"/>
        </w:rPr>
        <w:t xml:space="preserve"> Community Hub project (BLERF-0094) for the period of 1 July 2022 to 1 September 2023.</w:t>
      </w:r>
    </w:p>
    <w:p>
      <w:pPr>
        <w:pStyle w:val="CaselawQuote"/>
        <w:spacing w:before="150" w:after="150"/>
        <w:ind w:left="1350"/>
        <w:jc w:val="left"/>
      </w:pPr>
      <w:r>
        <w:rPr>
          <w:rFonts w:ascii="Arial"/>
          <w:color w:val="000000"/>
          <w:sz w:val="22"/>
        </w:rPr>
        <w:t>1.</w:t>
      </w:r>
      <w:r>
        <w:rPr>
          <w:rFonts w:ascii="Arial"/>
          <w:color w:val="000000"/>
          <w:sz w:val="22"/>
        </w:rPr>
        <w:t xml:space="preserve"> Any written documentation, </w:t>
      </w:r>
      <w:r>
        <w:rPr>
          <w:rFonts w:ascii="Arial"/>
          <w:color w:val="000000"/>
          <w:sz w:val="22"/>
        </w:rPr>
        <w:t>correspondence</w:t>
      </w:r>
      <w:r>
        <w:rPr>
          <w:rFonts w:ascii="Arial"/>
          <w:color w:val="000000"/>
          <w:sz w:val="22"/>
        </w:rPr>
        <w:t xml:space="preserve">, </w:t>
      </w:r>
      <w:r>
        <w:rPr>
          <w:rFonts w:ascii="Arial"/>
          <w:color w:val="000000"/>
          <w:sz w:val="22"/>
        </w:rPr>
        <w:t>notes, emails or other records showing that Ms.</w:t>
      </w:r>
      <w:r>
        <w:rPr>
          <w:rFonts w:ascii="Arial"/>
          <w:color w:val="000000"/>
          <w:sz w:val="22"/>
        </w:rPr>
        <w:t xml:space="preserve"> Laura Black, the General Manager, or other Council staff investigated or considered </w:t>
      </w:r>
      <w:r>
        <w:rPr>
          <w:rFonts w:ascii="Arial"/>
          <w:color w:val="000000"/>
          <w:sz w:val="22"/>
        </w:rPr>
        <w:t>“</w:t>
      </w:r>
      <w:r>
        <w:rPr>
          <w:rFonts w:ascii="Arial"/>
          <w:color w:val="000000"/>
          <w:sz w:val="22"/>
        </w:rPr>
        <w:t xml:space="preserve">a contract </w:t>
      </w:r>
      <w:r>
        <w:rPr>
          <w:rFonts w:ascii="Arial"/>
          <w:color w:val="000000"/>
          <w:sz w:val="22"/>
        </w:rPr>
        <w:t>variation</w:t>
      </w:r>
      <w:r>
        <w:rPr>
          <w:rFonts w:ascii="Arial"/>
          <w:color w:val="000000"/>
          <w:sz w:val="22"/>
        </w:rPr>
        <w:t xml:space="preserve"> with the </w:t>
      </w:r>
      <w:r>
        <w:rPr>
          <w:rFonts w:ascii="Arial"/>
          <w:color w:val="000000"/>
          <w:sz w:val="22"/>
        </w:rPr>
        <w:t>current</w:t>
      </w:r>
      <w:r>
        <w:rPr>
          <w:rFonts w:ascii="Arial"/>
          <w:color w:val="000000"/>
          <w:sz w:val="22"/>
        </w:rPr>
        <w:t xml:space="preserve"> design contract for the detailed design of Option B</w:t>
      </w:r>
      <w:r>
        <w:rPr>
          <w:rFonts w:ascii="Arial"/>
          <w:color w:val="000000"/>
          <w:sz w:val="22"/>
        </w:rPr>
        <w:t>”</w:t>
      </w:r>
      <w:r>
        <w:rPr>
          <w:rFonts w:ascii="Arial"/>
          <w:color w:val="000000"/>
          <w:sz w:val="22"/>
        </w:rPr>
        <w:t xml:space="preserve"> as per the Council resolution 07.22.290 passed on 13 </w:t>
      </w:r>
      <w:r>
        <w:rPr>
          <w:rFonts w:ascii="Arial"/>
          <w:color w:val="000000"/>
          <w:sz w:val="22"/>
        </w:rPr>
        <w:t>December</w:t>
      </w:r>
      <w:r>
        <w:rPr>
          <w:rFonts w:ascii="Arial"/>
          <w:color w:val="000000"/>
          <w:sz w:val="22"/>
        </w:rPr>
        <w:t xml:space="preserve"> 2022.</w:t>
      </w:r>
    </w:p>
    <w:p>
      <w:pPr>
        <w:pStyle w:val="CaselawQuote"/>
        <w:spacing w:before="150" w:after="150"/>
        <w:ind w:left="1350"/>
        <w:jc w:val="left"/>
      </w:pPr>
      <w:r>
        <w:rPr>
          <w:rFonts w:ascii="Arial"/>
          <w:color w:val="000000"/>
          <w:sz w:val="22"/>
        </w:rPr>
        <w:t>[Screenshot of Council Resolution – 07.22.290]</w:t>
      </w:r>
    </w:p>
    <w:p>
      <w:pPr>
        <w:pStyle w:val="CaselawQuote"/>
        <w:spacing w:before="150" w:after="150"/>
        <w:ind w:left="1350"/>
        <w:jc w:val="left"/>
      </w:pPr>
      <w:r>
        <w:rPr>
          <w:rFonts w:ascii="Arial"/>
          <w:color w:val="000000"/>
          <w:sz w:val="22"/>
        </w:rPr>
        <w:t>2. Specifically, I request:</w:t>
      </w:r>
    </w:p>
    <w:p>
      <w:pPr>
        <w:pStyle w:val="CaselawQuote"/>
        <w:spacing w:before="150" w:after="150"/>
        <w:ind w:left="1350"/>
        <w:jc w:val="left"/>
      </w:pPr>
      <w:r>
        <w:rPr>
          <w:rFonts w:ascii="Arial"/>
          <w:color w:val="000000"/>
          <w:sz w:val="22"/>
        </w:rPr>
        <w:t>- Notes, records or documentation prepared by Ms. Black or staff regarding exploring or assessing a contract variation for Option B</w:t>
      </w:r>
    </w:p>
    <w:p>
      <w:pPr>
        <w:pStyle w:val="CaselawQuote"/>
        <w:spacing w:before="150" w:after="150"/>
        <w:ind w:left="1350"/>
        <w:jc w:val="left"/>
      </w:pPr>
      <w:r>
        <w:rPr>
          <w:rFonts w:ascii="Arial"/>
          <w:color w:val="000000"/>
          <w:sz w:val="22"/>
        </w:rPr>
        <w:t xml:space="preserve">- </w:t>
      </w:r>
      <w:r>
        <w:rPr>
          <w:rFonts w:ascii="Arial"/>
          <w:color w:val="000000"/>
          <w:sz w:val="22"/>
        </w:rPr>
        <w:t>A</w:t>
      </w:r>
      <w:r>
        <w:rPr>
          <w:rFonts w:ascii="Arial"/>
          <w:color w:val="000000"/>
          <w:sz w:val="22"/>
        </w:rPr>
        <w:t xml:space="preserve">ny </w:t>
      </w:r>
      <w:r>
        <w:rPr>
          <w:rFonts w:ascii="Arial"/>
          <w:color w:val="000000"/>
          <w:sz w:val="22"/>
        </w:rPr>
        <w:t>details</w:t>
      </w:r>
      <w:r>
        <w:rPr>
          <w:rFonts w:ascii="Arial"/>
          <w:color w:val="000000"/>
          <w:sz w:val="22"/>
        </w:rPr>
        <w:t xml:space="preserve"> of discussions, meetings or consultations held regarding a potential contract variation for Option B</w:t>
      </w:r>
    </w:p>
    <w:p>
      <w:pPr>
        <w:pStyle w:val="CaselawQuote"/>
        <w:spacing w:before="150" w:after="150"/>
        <w:ind w:left="1350"/>
        <w:jc w:val="left"/>
      </w:pPr>
      <w:r>
        <w:rPr>
          <w:rFonts w:ascii="Arial"/>
          <w:color w:val="000000"/>
          <w:sz w:val="22"/>
        </w:rPr>
        <w:t>-</w:t>
      </w:r>
      <w:r>
        <w:rPr>
          <w:rFonts w:ascii="Arial"/>
          <w:color w:val="000000"/>
          <w:sz w:val="22"/>
        </w:rPr>
        <w:t xml:space="preserve"> A list of who was involved or attended any meetings about varying the contract for Option B </w:t>
      </w:r>
    </w:p>
    <w:p>
      <w:pPr>
        <w:pStyle w:val="CaselawQuote"/>
        <w:spacing w:before="150" w:after="150"/>
        <w:ind w:left="1350"/>
        <w:jc w:val="left"/>
      </w:pPr>
      <w:r>
        <w:rPr>
          <w:rFonts w:ascii="Arial"/>
          <w:color w:val="000000"/>
          <w:sz w:val="22"/>
        </w:rPr>
        <w:t>- Correspondence</w:t>
      </w:r>
      <w:r>
        <w:rPr>
          <w:rFonts w:ascii="Arial"/>
          <w:color w:val="000000"/>
          <w:sz w:val="22"/>
        </w:rPr>
        <w:t xml:space="preserve"> with the architect, contracts or the Department of </w:t>
      </w:r>
      <w:r>
        <w:rPr>
          <w:rFonts w:ascii="Arial"/>
          <w:color w:val="000000"/>
          <w:sz w:val="22"/>
        </w:rPr>
        <w:t>Regional</w:t>
      </w:r>
      <w:r>
        <w:rPr>
          <w:rFonts w:ascii="Arial"/>
          <w:color w:val="000000"/>
          <w:sz w:val="22"/>
        </w:rPr>
        <w:t xml:space="preserve"> NSW about varying the design contract for Option B</w:t>
      </w:r>
    </w:p>
    <w:p>
      <w:pPr>
        <w:pStyle w:val="CaselawQuote"/>
        <w:spacing w:before="150" w:after="150"/>
        <w:ind w:left="1350"/>
        <w:jc w:val="left"/>
      </w:pPr>
      <w:r>
        <w:rPr>
          <w:rFonts w:ascii="Arial"/>
          <w:color w:val="000000"/>
          <w:sz w:val="22"/>
        </w:rPr>
        <w:t xml:space="preserve">- Analysis, assessments or </w:t>
      </w:r>
      <w:r>
        <w:rPr>
          <w:rFonts w:ascii="Arial"/>
          <w:color w:val="000000"/>
          <w:sz w:val="22"/>
        </w:rPr>
        <w:t>advice</w:t>
      </w:r>
      <w:r>
        <w:rPr>
          <w:rFonts w:ascii="Arial"/>
          <w:color w:val="000000"/>
          <w:sz w:val="22"/>
        </w:rPr>
        <w:t xml:space="preserve"> obtained about whether Option B would meet the grant guidelines or could be accommodated within the approved funding allocation</w:t>
      </w:r>
    </w:p>
    <w:p>
      <w:pPr>
        <w:pStyle w:val="CaselawQuote"/>
        <w:spacing w:before="150" w:after="150"/>
        <w:ind w:left="1350"/>
        <w:jc w:val="left"/>
      </w:pPr>
      <w:r>
        <w:rPr>
          <w:rFonts w:ascii="Arial"/>
          <w:color w:val="000000"/>
          <w:sz w:val="22"/>
        </w:rPr>
        <w:t>3. Any other information directly relevant to Ms. Black’s investigation and t</w:t>
      </w:r>
      <w:r>
        <w:rPr>
          <w:rFonts w:ascii="Arial"/>
          <w:color w:val="000000"/>
          <w:sz w:val="22"/>
        </w:rPr>
        <w:t xml:space="preserve">he </w:t>
      </w:r>
      <w:r>
        <w:rPr>
          <w:rFonts w:ascii="Arial"/>
          <w:color w:val="000000"/>
          <w:sz w:val="22"/>
        </w:rPr>
        <w:t>Council’</w:t>
      </w:r>
      <w:r>
        <w:rPr>
          <w:rFonts w:ascii="Arial"/>
          <w:color w:val="000000"/>
          <w:sz w:val="22"/>
        </w:rPr>
        <w:t xml:space="preserve">s consideration of </w:t>
      </w:r>
      <w:r>
        <w:rPr>
          <w:rFonts w:ascii="Arial"/>
          <w:color w:val="000000"/>
          <w:sz w:val="22"/>
        </w:rPr>
        <w:t>“a contract variation with the current design contract for the detailed design of Option B”</w:t>
      </w:r>
      <w:r>
        <w:rPr>
          <w:rFonts w:ascii="Arial"/>
          <w:color w:val="000000"/>
          <w:sz w:val="22"/>
        </w:rPr>
        <w:t xml:space="preserve"> as specifically requested by the 13 </w:t>
      </w:r>
      <w:r>
        <w:rPr>
          <w:rFonts w:ascii="Arial"/>
          <w:color w:val="000000"/>
          <w:sz w:val="22"/>
        </w:rPr>
        <w:t>December</w:t>
      </w:r>
      <w:r>
        <w:rPr>
          <w:rFonts w:ascii="Arial"/>
          <w:color w:val="000000"/>
          <w:sz w:val="22"/>
        </w:rPr>
        <w:t xml:space="preserve"> 2022 resolution.</w:t>
      </w:r>
    </w:p>
    <w:p>
      <w:pPr>
        <w:pStyle w:val="CaselawQuote"/>
        <w:spacing w:before="150" w:after="150"/>
        <w:ind w:left="1350"/>
        <w:jc w:val="left"/>
      </w:pPr>
      <w:r>
        <w:rPr>
          <w:rFonts w:ascii="Arial"/>
          <w:color w:val="000000"/>
          <w:sz w:val="22"/>
        </w:rPr>
        <w:t>4. If no records exist showing that this investigation occurred, please explicitly confirm that no such records of documentation can be found relating to the Council resolution requesting investigation of a contract variation for Option B.</w:t>
      </w:r>
    </w:p>
    <w:p>
      <w:pPr>
        <w:pStyle w:val="CaselawQuote"/>
        <w:spacing w:before="150" w:after="150"/>
        <w:ind w:left="1350"/>
        <w:jc w:val="left"/>
      </w:pPr>
      <w:r>
        <w:rPr>
          <w:rFonts w:ascii="Arial"/>
          <w:color w:val="000000"/>
          <w:sz w:val="22"/>
        </w:rPr>
        <w:t>5. Any information regarding that Option B was never designed to the point that it could be progressed as a viable option, and would not be completed by June 2024.</w:t>
      </w:r>
    </w:p>
    <w:p>
      <w:pPr>
        <w:pStyle w:val="CaselawQuote"/>
        <w:spacing w:before="150" w:after="150"/>
        <w:ind w:left="1350"/>
        <w:jc w:val="left"/>
      </w:pPr>
      <w:r>
        <w:rPr>
          <w:rFonts w:ascii="Arial"/>
          <w:color w:val="000000"/>
          <w:sz w:val="22"/>
        </w:rPr>
        <w:t>6. Any documentation, reports, briefing notes or correspondence provided to councillors prior to the 13 Dece</w:t>
      </w:r>
      <w:r>
        <w:rPr>
          <w:rFonts w:ascii="Arial"/>
          <w:color w:val="000000"/>
          <w:sz w:val="22"/>
        </w:rPr>
        <w:t xml:space="preserve">mber 2022 council meeting that disclosed the fact that council staff, particularly the General Manager Ms. Laura Black, had already been in discussions with the Department of Regional NSW about an alternative </w:t>
      </w:r>
      <w:r>
        <w:rPr>
          <w:rFonts w:ascii="Arial"/>
          <w:color w:val="000000"/>
          <w:sz w:val="22"/>
        </w:rPr>
        <w:t>“Option B”</w:t>
      </w:r>
      <w:r>
        <w:rPr>
          <w:rFonts w:ascii="Arial"/>
          <w:color w:val="000000"/>
          <w:sz w:val="22"/>
        </w:rPr>
        <w:t xml:space="preserve"> refurbishment proposal for the project.</w:t>
      </w:r>
    </w:p>
    <w:p>
      <w:pPr>
        <w:pStyle w:val="CaselawQuote"/>
        <w:spacing w:before="150" w:after="150"/>
        <w:ind w:left="1350"/>
        <w:jc w:val="left"/>
      </w:pPr>
      <w:r>
        <w:rPr>
          <w:rFonts w:ascii="Arial"/>
          <w:color w:val="000000"/>
          <w:sz w:val="22"/>
        </w:rPr>
        <w:t>Specifically, I am seeking any evidence that councillors were made aware, before passing the 13 December 2022 resolution</w:t>
      </w:r>
      <w:r>
        <w:rPr>
          <w:rFonts w:ascii="Arial"/>
          <w:color w:val="000000"/>
          <w:sz w:val="22"/>
        </w:rPr>
        <w:t xml:space="preserve"> directing Ms. Black to </w:t>
      </w:r>
      <w:r>
        <w:rPr>
          <w:rFonts w:ascii="Arial"/>
          <w:color w:val="000000"/>
          <w:sz w:val="22"/>
        </w:rPr>
        <w:t>“Investigate a contract variation with the current design contract for the detailed design of Option B”, that council staff had already raised the possibility of Option B with DRNSW months earlier in September 2022 per the email from Bronwyn Morgan dated 26/09/2022.</w:t>
      </w:r>
    </w:p>
    <w:p>
      <w:pPr>
        <w:pStyle w:val="CaselawQuote"/>
        <w:spacing w:before="150" w:after="150"/>
        <w:ind w:left="1350"/>
        <w:jc w:val="left"/>
      </w:pPr>
      <w:r>
        <w:rPr>
          <w:rFonts w:ascii="Arial"/>
          <w:color w:val="000000"/>
          <w:sz w:val="22"/>
        </w:rPr>
        <w:t xml:space="preserve">7. Any records of discussions, meeting minutes or notes taken by council staff regarding their interactions with DRNSW about Option B prior to December 2022, which may have been provided to councillors to inform them of the permissibility of Option B as a </w:t>
      </w:r>
      <w:r>
        <w:rPr>
          <w:rFonts w:ascii="Arial"/>
          <w:color w:val="000000"/>
          <w:sz w:val="22"/>
        </w:rPr>
        <w:t>“scope variation”</w:t>
      </w:r>
      <w:r>
        <w:rPr>
          <w:rFonts w:ascii="Arial"/>
          <w:color w:val="000000"/>
          <w:sz w:val="22"/>
        </w:rPr>
        <w:t xml:space="preserve"> under the grant guidelines.</w:t>
      </w:r>
    </w:p>
    <w:p>
      <w:pPr>
        <w:pStyle w:val="CaselawQuote"/>
        <w:spacing w:before="150" w:after="150"/>
        <w:ind w:left="1350"/>
        <w:jc w:val="left"/>
      </w:pPr>
      <w:r>
        <w:rPr>
          <w:rFonts w:ascii="Arial"/>
          <w:color w:val="000000"/>
          <w:sz w:val="22"/>
        </w:rPr>
        <w:t>8 If no such documentation or records exist showing that councillors were briefed about the prior Option B discussions with DRNSW before December 2022, I request that this be clearly confirmed that councillors do not appear to have been made aware of these prior interactions when passing the resolution to investigate Option B.</w:t>
      </w:r>
    </w:p>
    <w:p>
      <w:pPr>
        <w:pStyle w:val="CaselawQuote"/>
        <w:spacing w:before="150" w:after="150"/>
        <w:ind w:left="1350"/>
        <w:jc w:val="left"/>
      </w:pPr>
      <w:r>
        <w:rPr>
          <w:rFonts w:ascii="Arial"/>
          <w:color w:val="000000"/>
          <w:sz w:val="22"/>
        </w:rPr>
        <w:t>The evidence suggests there may have been a disconnect between what council staff knew about Option B’</w:t>
      </w:r>
      <w:r>
        <w:rPr>
          <w:rFonts w:ascii="Arial"/>
          <w:color w:val="000000"/>
          <w:sz w:val="22"/>
        </w:rPr>
        <w:t xml:space="preserve">s potential permissibility based on their September 2022 discussions with DRNSW, and what was communicated to councillors in the December 2022 business papers which described Option B as only a </w:t>
      </w:r>
      <w:r>
        <w:rPr>
          <w:rFonts w:ascii="Arial"/>
          <w:color w:val="000000"/>
          <w:sz w:val="22"/>
        </w:rPr>
        <w:t>“conceptual”</w:t>
      </w:r>
      <w:r>
        <w:rPr>
          <w:rFonts w:ascii="Arial"/>
          <w:color w:val="000000"/>
          <w:sz w:val="22"/>
        </w:rPr>
        <w:t xml:space="preserve"> proposal requiring </w:t>
      </w:r>
      <w:r>
        <w:rPr>
          <w:rFonts w:ascii="Arial"/>
          <w:color w:val="000000"/>
          <w:sz w:val="22"/>
        </w:rPr>
        <w:t>“significant design work”.</w:t>
      </w:r>
    </w:p>
    <w:p>
      <w:pPr>
        <w:pStyle w:val="CaselawQuote"/>
        <w:spacing w:before="150" w:after="150"/>
        <w:ind w:left="1350"/>
        <w:jc w:val="left"/>
      </w:pPr>
      <w:r>
        <w:rPr>
          <w:rFonts w:ascii="Arial"/>
          <w:color w:val="000000"/>
          <w:sz w:val="22"/>
        </w:rPr>
        <w:t>This raises</w:t>
      </w:r>
      <w:r>
        <w:rPr>
          <w:rFonts w:ascii="Arial"/>
          <w:color w:val="000000"/>
          <w:sz w:val="22"/>
        </w:rPr>
        <w:t xml:space="preserve"> concerns that councillors may have been deprived of full information from staff about the status of Option B and DRNSW</w:t>
      </w:r>
      <w:r>
        <w:rPr>
          <w:rFonts w:ascii="Arial"/>
          <w:color w:val="000000"/>
          <w:sz w:val="22"/>
        </w:rPr>
        <w:t>’s advice when directing the investigation in December 2022. As such, any records showing councillors were briefed on these prior Option B discussions with DRNSW are highly relevant to assessing whether they received complete and accurate information to make an informed decision .</w:t>
      </w:r>
    </w:p>
    <w:p>
      <w:pPr>
        <w:pStyle w:val="CaselawNumbered10"/>
        <w:numPr>
          <w:ilvl w:val="0"/>
          <w:numId w:val="24"/>
        </w:numPr>
        <w:spacing w:before="150" w:after="0"/>
        <w:ind w:left="600" w:hanging="600"/>
      </w:pPr>
      <w:r>
        <w:rPr>
          <w:rFonts w:ascii="Arial"/>
          <w:color w:val="000000"/>
          <w:sz w:val="24"/>
        </w:rPr>
        <w:t xml:space="preserve">The </w:t>
      </w:r>
      <w:r>
        <w:rPr>
          <w:rFonts w:ascii="Arial"/>
          <w:color w:val="000000"/>
          <w:sz w:val="24"/>
        </w:rPr>
        <w:t>GIPA A</w:t>
      </w:r>
      <w:r>
        <w:rPr>
          <w:rFonts w:ascii="Arial"/>
          <w:color w:val="000000"/>
          <w:sz w:val="24"/>
        </w:rPr>
        <w:t>pplication was dealt with by a Council Governance Officer who was at all relevant times authorised by the principal officer of the Council to carry out functions under the GIPA Act, including to make a reviewable decision in connection with an access application made to the Council under s</w:t>
      </w:r>
      <w:r>
        <w:rPr>
          <w:rFonts w:ascii="Arial"/>
          <w:color w:val="000000"/>
          <w:sz w:val="24"/>
        </w:rPr>
        <w:t> 9(3) of the GIPA Act.</w:t>
      </w:r>
    </w:p>
    <w:p>
      <w:pPr>
        <w:pStyle w:val="CaselawNumbered10"/>
        <w:numPr>
          <w:ilvl w:val="0"/>
          <w:numId w:val="24"/>
        </w:numPr>
        <w:spacing w:before="150" w:after="0"/>
        <w:ind w:left="600" w:hanging="600"/>
      </w:pPr>
      <w:r>
        <w:rPr>
          <w:rFonts w:ascii="Arial"/>
          <w:color w:val="000000"/>
          <w:sz w:val="24"/>
        </w:rPr>
        <w:t>On 4 July 2024, the Council contacted the Applicant because the requested information included documents related to a third party</w:t>
      </w:r>
      <w:r>
        <w:rPr>
          <w:rFonts w:ascii="Arial"/>
          <w:color w:val="000000"/>
          <w:sz w:val="24"/>
        </w:rPr>
        <w:t>, requiring</w:t>
      </w:r>
      <w:r>
        <w:rPr>
          <w:rFonts w:ascii="Arial"/>
          <w:color w:val="000000"/>
          <w:sz w:val="24"/>
        </w:rPr>
        <w:t xml:space="preserve"> </w:t>
      </w:r>
      <w:r>
        <w:rPr>
          <w:rFonts w:ascii="Arial"/>
          <w:color w:val="000000"/>
          <w:sz w:val="24"/>
        </w:rPr>
        <w:t xml:space="preserve">consultation </w:t>
      </w:r>
      <w:r>
        <w:rPr>
          <w:rFonts w:ascii="Arial"/>
          <w:color w:val="000000"/>
          <w:sz w:val="24"/>
        </w:rPr>
        <w:t xml:space="preserve">with the </w:t>
      </w:r>
      <w:r>
        <w:rPr>
          <w:rFonts w:ascii="Arial"/>
          <w:color w:val="000000"/>
          <w:sz w:val="24"/>
        </w:rPr>
        <w:t>third party under s 54 of the GIPA Act</w:t>
      </w:r>
      <w:r>
        <w:rPr>
          <w:rFonts w:ascii="Arial"/>
          <w:color w:val="000000"/>
          <w:sz w:val="24"/>
        </w:rPr>
        <w:t xml:space="preserve"> </w:t>
      </w:r>
      <w:r>
        <w:rPr>
          <w:rFonts w:ascii="Arial"/>
          <w:color w:val="000000"/>
          <w:sz w:val="24"/>
        </w:rPr>
        <w:t>before release of any information.</w:t>
      </w:r>
      <w:r>
        <w:rPr>
          <w:rFonts w:ascii="Arial"/>
          <w:color w:val="000000"/>
          <w:sz w:val="24"/>
        </w:rPr>
        <w:t xml:space="preserve"> </w:t>
      </w:r>
    </w:p>
    <w:p>
      <w:pPr>
        <w:pStyle w:val="CaselawNumbered10"/>
        <w:numPr>
          <w:ilvl w:val="0"/>
          <w:numId w:val="24"/>
        </w:numPr>
        <w:spacing w:before="150" w:after="0"/>
        <w:ind w:left="600" w:hanging="600"/>
      </w:pPr>
      <w:r>
        <w:rPr>
          <w:rFonts w:ascii="Arial"/>
          <w:color w:val="000000"/>
          <w:sz w:val="24"/>
        </w:rPr>
        <w:t xml:space="preserve">On 15 July 2024, following that consultation, the Council emailed a </w:t>
      </w:r>
      <w:r>
        <w:rPr>
          <w:rFonts w:ascii="Arial"/>
          <w:color w:val="000000"/>
          <w:sz w:val="24"/>
        </w:rPr>
        <w:t xml:space="preserve">Notice of Decision dated 8 July 2024 </w:t>
      </w:r>
      <w:r>
        <w:rPr>
          <w:rFonts w:ascii="Arial"/>
          <w:color w:val="000000"/>
          <w:sz w:val="24"/>
        </w:rPr>
        <w:t>(</w:t>
      </w:r>
      <w:r>
        <w:rPr>
          <w:rFonts w:ascii="Arial"/>
          <w:b/>
          <w:color w:val="000000"/>
          <w:sz w:val="24"/>
        </w:rPr>
        <w:t>Decision</w:t>
      </w:r>
      <w:r>
        <w:rPr>
          <w:rFonts w:ascii="Arial"/>
          <w:color w:val="000000"/>
          <w:sz w:val="24"/>
        </w:rPr>
        <w:t xml:space="preserve">) </w:t>
      </w:r>
      <w:r>
        <w:rPr>
          <w:rFonts w:ascii="Arial"/>
          <w:color w:val="000000"/>
          <w:sz w:val="24"/>
        </w:rPr>
        <w:t>to the Applicant</w:t>
      </w:r>
      <w:r>
        <w:rPr>
          <w:rFonts w:ascii="Arial"/>
          <w:color w:val="000000"/>
          <w:sz w:val="24"/>
        </w:rPr>
        <w:t>.</w:t>
      </w:r>
      <w:r>
        <w:rPr>
          <w:rFonts w:ascii="Arial"/>
          <w:color w:val="000000"/>
          <w:sz w:val="24"/>
        </w:rPr>
        <w:t xml:space="preserve"> </w:t>
      </w:r>
      <w:r>
        <w:rPr>
          <w:rFonts w:ascii="Arial"/>
          <w:color w:val="000000"/>
          <w:sz w:val="24"/>
        </w:rPr>
        <w:t>The Decision noted, in respect of the searches undertaken, that:</w:t>
      </w:r>
    </w:p>
    <w:p>
      <w:pPr>
        <w:pStyle w:val="CaselawNumbered1"/>
        <w:numPr>
          <w:ilvl w:val="0"/>
          <w:numId w:val="25"/>
        </w:numPr>
        <w:spacing w:before="150" w:after="0"/>
        <w:ind w:left="1350" w:hanging="750"/>
      </w:pPr>
      <w:r>
        <w:rPr>
          <w:rFonts w:ascii="Arial"/>
          <w:color w:val="000000"/>
          <w:sz w:val="24"/>
        </w:rPr>
        <w:t>T</w:t>
      </w:r>
      <w:r>
        <w:rPr>
          <w:rFonts w:ascii="Arial"/>
          <w:color w:val="000000"/>
          <w:sz w:val="24"/>
        </w:rPr>
        <w:t>he officer had con</w:t>
      </w:r>
      <w:r>
        <w:rPr>
          <w:rFonts w:ascii="Arial"/>
          <w:color w:val="000000"/>
          <w:sz w:val="24"/>
        </w:rPr>
        <w:t xml:space="preserve">sulted </w:t>
      </w:r>
      <w:r>
        <w:rPr>
          <w:rFonts w:ascii="Arial"/>
          <w:color w:val="000000"/>
          <w:sz w:val="24"/>
        </w:rPr>
        <w:t>with four staff members of Council, being the Dire</w:t>
      </w:r>
      <w:r>
        <w:rPr>
          <w:rFonts w:ascii="Arial"/>
          <w:color w:val="000000"/>
          <w:sz w:val="24"/>
        </w:rPr>
        <w:t>c</w:t>
      </w:r>
      <w:r>
        <w:rPr>
          <w:rFonts w:ascii="Arial"/>
          <w:color w:val="000000"/>
          <w:sz w:val="24"/>
        </w:rPr>
        <w:t>tor Works &amp; Ci</w:t>
      </w:r>
      <w:r>
        <w:rPr>
          <w:rFonts w:ascii="Arial"/>
          <w:color w:val="000000"/>
          <w:sz w:val="24"/>
        </w:rPr>
        <w:t>v</w:t>
      </w:r>
      <w:r>
        <w:rPr>
          <w:rFonts w:ascii="Arial"/>
          <w:color w:val="000000"/>
          <w:sz w:val="24"/>
        </w:rPr>
        <w:t>il, the General Manager, the Customer Service Officer (RFI &amp; GIPA) and the Project Management Officer for the relevant project</w:t>
      </w:r>
      <w:r>
        <w:rPr>
          <w:rFonts w:ascii="Arial"/>
          <w:color w:val="000000"/>
          <w:sz w:val="24"/>
        </w:rPr>
        <w:t>;</w:t>
      </w:r>
    </w:p>
    <w:p>
      <w:pPr>
        <w:pStyle w:val="CaselawNumbered1"/>
        <w:numPr>
          <w:ilvl w:val="0"/>
          <w:numId w:val="25"/>
        </w:numPr>
        <w:spacing w:before="150" w:after="0"/>
        <w:ind w:left="1350" w:hanging="750"/>
      </w:pPr>
      <w:r>
        <w:rPr>
          <w:rFonts w:ascii="Arial"/>
          <w:color w:val="000000"/>
          <w:sz w:val="24"/>
        </w:rPr>
        <w:t>There had been previous GIPA Applications by the Applicant related to the same subject matter. The Schedule of Documents provided more information and it was noted that some of the information had already been provided to him.</w:t>
      </w:r>
    </w:p>
    <w:p>
      <w:pPr>
        <w:pStyle w:val="CaselawNumbered10"/>
        <w:numPr>
          <w:ilvl w:val="0"/>
          <w:numId w:val="26"/>
        </w:numPr>
        <w:spacing w:before="150" w:after="0"/>
        <w:ind w:left="600" w:hanging="600"/>
      </w:pPr>
      <w:r>
        <w:rPr>
          <w:rFonts w:ascii="Arial"/>
          <w:color w:val="000000"/>
          <w:sz w:val="24"/>
        </w:rPr>
        <w:t xml:space="preserve">The Decision also stated (at p.4) that the officer had consulted with the General Manager who explained that </w:t>
      </w:r>
      <w:r>
        <w:rPr>
          <w:rFonts w:ascii="Arial"/>
          <w:color w:val="000000"/>
          <w:sz w:val="24"/>
        </w:rPr>
        <w:t>“</w:t>
      </w:r>
      <w:r>
        <w:rPr>
          <w:rFonts w:ascii="Arial"/>
          <w:color w:val="000000"/>
          <w:sz w:val="24"/>
        </w:rPr>
        <w:t>the resolution 07.22.290 did not progress as explained in subsequent business papers</w:t>
      </w:r>
      <w:r>
        <w:rPr>
          <w:rFonts w:ascii="Arial"/>
          <w:color w:val="000000"/>
          <w:sz w:val="24"/>
        </w:rPr>
        <w:t>”</w:t>
      </w:r>
      <w:r>
        <w:rPr>
          <w:rFonts w:ascii="Arial"/>
          <w:color w:val="000000"/>
          <w:sz w:val="24"/>
        </w:rPr>
        <w:t>.</w:t>
      </w:r>
    </w:p>
    <w:p>
      <w:pPr>
        <w:pStyle w:val="CaselawNumbered10"/>
        <w:numPr>
          <w:ilvl w:val="0"/>
          <w:numId w:val="26"/>
        </w:numPr>
        <w:spacing w:before="150" w:after="0"/>
        <w:ind w:left="600" w:hanging="600"/>
      </w:pPr>
      <w:r>
        <w:rPr>
          <w:rFonts w:ascii="Arial"/>
          <w:color w:val="000000"/>
          <w:sz w:val="24"/>
        </w:rPr>
        <w:t>According</w:t>
      </w:r>
      <w:r>
        <w:rPr>
          <w:rFonts w:ascii="Arial"/>
          <w:color w:val="000000"/>
          <w:sz w:val="24"/>
        </w:rPr>
        <w:t xml:space="preserve">ly, the Decision (in summary) advised that all </w:t>
      </w:r>
      <w:r>
        <w:rPr>
          <w:rFonts w:ascii="Arial"/>
          <w:color w:val="000000"/>
          <w:sz w:val="24"/>
        </w:rPr>
        <w:t>“</w:t>
      </w:r>
      <w:r>
        <w:rPr>
          <w:rFonts w:ascii="Arial"/>
          <w:color w:val="000000"/>
          <w:sz w:val="24"/>
        </w:rPr>
        <w:t>government information</w:t>
      </w:r>
      <w:r>
        <w:rPr>
          <w:rFonts w:ascii="Arial"/>
          <w:color w:val="000000"/>
          <w:sz w:val="24"/>
        </w:rPr>
        <w:t>”</w:t>
      </w:r>
      <w:r>
        <w:rPr>
          <w:rFonts w:ascii="Arial"/>
          <w:color w:val="000000"/>
          <w:sz w:val="24"/>
        </w:rPr>
        <w:t xml:space="preserve"> </w:t>
      </w:r>
      <w:r>
        <w:rPr>
          <w:rFonts w:ascii="Arial"/>
          <w:color w:val="000000"/>
          <w:sz w:val="24"/>
        </w:rPr>
        <w:t xml:space="preserve">which </w:t>
      </w:r>
      <w:r>
        <w:rPr>
          <w:rFonts w:ascii="Arial"/>
          <w:color w:val="000000"/>
          <w:sz w:val="24"/>
        </w:rPr>
        <w:t xml:space="preserve">the Council </w:t>
      </w:r>
      <w:r>
        <w:rPr>
          <w:rFonts w:ascii="Arial"/>
          <w:color w:val="000000"/>
          <w:sz w:val="24"/>
        </w:rPr>
        <w:t>held at the date of the GIPA Application was located, and provided, to the Applicant</w:t>
      </w:r>
      <w:r>
        <w:rPr>
          <w:rFonts w:ascii="Arial"/>
          <w:color w:val="000000"/>
          <w:sz w:val="24"/>
        </w:rPr>
        <w:t>; the only exceptions being as follows:</w:t>
      </w:r>
      <w:r>
        <w:rPr>
          <w:rFonts w:ascii="Arial"/>
          <w:color w:val="000000"/>
          <w:sz w:val="24"/>
        </w:rPr>
        <w:t xml:space="preserve">. </w:t>
      </w:r>
    </w:p>
    <w:p>
      <w:pPr>
        <w:pStyle w:val="CaselawNumbered1"/>
        <w:numPr>
          <w:ilvl w:val="0"/>
          <w:numId w:val="27"/>
        </w:numPr>
        <w:spacing w:before="150" w:after="0"/>
        <w:ind w:left="1350" w:hanging="750"/>
      </w:pPr>
      <w:r>
        <w:rPr>
          <w:rFonts w:ascii="Arial"/>
          <w:color w:val="000000"/>
          <w:sz w:val="24"/>
        </w:rPr>
        <w:t xml:space="preserve">Third </w:t>
      </w:r>
      <w:r>
        <w:rPr>
          <w:rFonts w:ascii="Arial"/>
          <w:color w:val="000000"/>
          <w:sz w:val="24"/>
        </w:rPr>
        <w:t xml:space="preserve">party information comprising architect plans relating to </w:t>
      </w:r>
      <w:r>
        <w:rPr>
          <w:rFonts w:ascii="Arial"/>
          <w:color w:val="000000"/>
          <w:sz w:val="24"/>
        </w:rPr>
        <w:t>“</w:t>
      </w:r>
      <w:r>
        <w:rPr>
          <w:rFonts w:ascii="Arial"/>
          <w:color w:val="000000"/>
          <w:sz w:val="24"/>
        </w:rPr>
        <w:t>Option B</w:t>
      </w:r>
      <w:r>
        <w:rPr>
          <w:rFonts w:ascii="Arial"/>
          <w:color w:val="000000"/>
          <w:sz w:val="24"/>
        </w:rPr>
        <w:t>”</w:t>
      </w:r>
      <w:r>
        <w:rPr>
          <w:rFonts w:ascii="Arial"/>
          <w:color w:val="000000"/>
          <w:sz w:val="24"/>
        </w:rPr>
        <w:t xml:space="preserve"> </w:t>
      </w:r>
      <w:r>
        <w:rPr>
          <w:rFonts w:ascii="Arial"/>
          <w:color w:val="000000"/>
          <w:sz w:val="24"/>
        </w:rPr>
        <w:t xml:space="preserve">was not sent to the Applicant; rather, due to the architect claiming copyright over those plans, </w:t>
      </w:r>
      <w:r>
        <w:rPr>
          <w:rFonts w:ascii="Arial"/>
          <w:color w:val="000000"/>
          <w:sz w:val="24"/>
        </w:rPr>
        <w:t xml:space="preserve">those documents were </w:t>
      </w:r>
      <w:r>
        <w:rPr>
          <w:rFonts w:ascii="Arial"/>
          <w:color w:val="000000"/>
          <w:sz w:val="24"/>
        </w:rPr>
        <w:t>made available for viewing by the Applicant at the Council</w:t>
      </w:r>
      <w:r>
        <w:rPr>
          <w:rFonts w:ascii="Arial"/>
          <w:color w:val="000000"/>
          <w:sz w:val="24"/>
        </w:rPr>
        <w:t>’</w:t>
      </w:r>
      <w:r>
        <w:rPr>
          <w:rFonts w:ascii="Arial"/>
          <w:color w:val="000000"/>
          <w:sz w:val="24"/>
        </w:rPr>
        <w:t>s offices</w:t>
      </w:r>
      <w:r>
        <w:rPr>
          <w:rFonts w:ascii="Arial"/>
          <w:color w:val="000000"/>
          <w:sz w:val="24"/>
        </w:rPr>
        <w:t xml:space="preserve">; </w:t>
      </w:r>
      <w:r>
        <w:rPr>
          <w:rFonts w:ascii="Arial"/>
          <w:color w:val="000000"/>
          <w:sz w:val="24"/>
        </w:rPr>
        <w:t>and</w:t>
      </w:r>
    </w:p>
    <w:p>
      <w:pPr>
        <w:pStyle w:val="CaselawNumbered1"/>
        <w:numPr>
          <w:ilvl w:val="0"/>
          <w:numId w:val="27"/>
        </w:numPr>
        <w:spacing w:before="150" w:after="0"/>
        <w:ind w:left="1350" w:hanging="750"/>
      </w:pPr>
      <w:r>
        <w:rPr>
          <w:rFonts w:ascii="Arial"/>
          <w:color w:val="000000"/>
          <w:sz w:val="24"/>
        </w:rPr>
        <w:t xml:space="preserve">Redactions </w:t>
      </w:r>
      <w:r>
        <w:rPr>
          <w:rFonts w:ascii="Arial"/>
          <w:color w:val="000000"/>
          <w:sz w:val="24"/>
        </w:rPr>
        <w:t xml:space="preserve">made </w:t>
      </w:r>
      <w:r>
        <w:rPr>
          <w:rFonts w:ascii="Arial"/>
          <w:color w:val="000000"/>
          <w:sz w:val="24"/>
        </w:rPr>
        <w:t xml:space="preserve">to </w:t>
      </w:r>
      <w:r>
        <w:rPr>
          <w:rFonts w:ascii="Arial"/>
          <w:color w:val="000000"/>
          <w:sz w:val="24"/>
        </w:rPr>
        <w:t xml:space="preserve">conceal </w:t>
      </w:r>
      <w:r>
        <w:rPr>
          <w:rFonts w:ascii="Arial"/>
          <w:color w:val="000000"/>
          <w:sz w:val="24"/>
        </w:rPr>
        <w:t>“</w:t>
      </w:r>
      <w:r>
        <w:rPr>
          <w:rFonts w:ascii="Arial"/>
          <w:color w:val="000000"/>
          <w:sz w:val="24"/>
        </w:rPr>
        <w:t>personal information</w:t>
      </w:r>
      <w:r>
        <w:rPr>
          <w:rFonts w:ascii="Arial"/>
          <w:color w:val="000000"/>
          <w:sz w:val="24"/>
        </w:rPr>
        <w:t>”</w:t>
      </w:r>
      <w:r>
        <w:rPr>
          <w:rFonts w:ascii="Arial"/>
          <w:color w:val="000000"/>
          <w:sz w:val="24"/>
        </w:rPr>
        <w:t xml:space="preserve"> </w:t>
      </w:r>
      <w:r>
        <w:rPr>
          <w:rFonts w:ascii="Arial"/>
          <w:color w:val="000000"/>
          <w:sz w:val="24"/>
        </w:rPr>
        <w:t>comprising names and contact details of individuals.</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The Applicant filed his application to the Tribunal for administrative review of the Original Decision on 19 July 2024. </w:t>
      </w:r>
      <w:r>
        <w:rPr>
          <w:rFonts w:ascii="Arial"/>
          <w:color w:val="000000"/>
          <w:sz w:val="24"/>
        </w:rPr>
        <w:t>The document attached to that application stated as follows:</w:t>
      </w:r>
    </w:p>
    <w:p>
      <w:pPr>
        <w:pStyle w:val="CaselawQuote"/>
        <w:spacing w:before="150" w:after="150"/>
        <w:ind w:left="1350"/>
        <w:jc w:val="left"/>
      </w:pPr>
      <w:r>
        <w:rPr>
          <w:rFonts w:ascii="Arial"/>
          <w:color w:val="000000"/>
          <w:sz w:val="22"/>
        </w:rPr>
        <w:t>I am appealing the decision made by Clarence Valley Council on 9 July 2024 regarding my GIPA Application (ref GIPA2024/0017) for the following reasons:</w:t>
      </w:r>
    </w:p>
    <w:p>
      <w:pPr>
        <w:pStyle w:val="CaselawQuote"/>
        <w:spacing w:before="150" w:after="150"/>
        <w:ind w:left="1350"/>
        <w:jc w:val="left"/>
      </w:pPr>
      <w:r>
        <w:rPr>
          <w:rFonts w:ascii="Arial"/>
          <w:b/>
          <w:color w:val="000000"/>
          <w:sz w:val="22"/>
        </w:rPr>
        <w:t>1. Inadequate searches:</w:t>
      </w:r>
      <w:r>
        <w:rPr>
          <w:rFonts w:ascii="Arial"/>
          <w:color w:val="000000"/>
          <w:sz w:val="22"/>
        </w:rPr>
        <w:t xml:space="preserve"> The decision maker claims to have consulted with relevant staff, but provides no evidence of thorough searches being conducted for the specific documents and information I requested, particularly regarding the investigation of Option B as directed by Council resolution 07.22.290.</w:t>
      </w:r>
    </w:p>
    <w:p>
      <w:pPr>
        <w:pStyle w:val="CaselawQuote"/>
        <w:spacing w:before="150" w:after="150"/>
        <w:ind w:left="1350"/>
        <w:jc w:val="left"/>
      </w:pPr>
      <w:r>
        <w:rPr>
          <w:rFonts w:ascii="Arial"/>
          <w:b/>
          <w:color w:val="000000"/>
          <w:sz w:val="22"/>
        </w:rPr>
        <w:t>2.</w:t>
      </w:r>
      <w:r>
        <w:rPr>
          <w:rFonts w:ascii="Arial"/>
          <w:b/>
          <w:color w:val="000000"/>
          <w:sz w:val="22"/>
        </w:rPr>
        <w:t xml:space="preserve"> Failure to address key aspects of the request:</w:t>
      </w:r>
      <w:r>
        <w:rPr>
          <w:rFonts w:ascii="Arial"/>
          <w:color w:val="000000"/>
          <w:sz w:val="22"/>
        </w:rPr>
        <w:t xml:space="preserve"> The decision does not explicitly address several key elements of my request, including:</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Confirmation of whether records exist showing the General Manager investigated Option B as directed;</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Information about Option B’s viability and completion timeline</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 xml:space="preserve">Evidence of councillors being briefed on prior Option B discussions with DRNSW </w:t>
      </w:r>
    </w:p>
    <w:p>
      <w:pPr>
        <w:pStyle w:val="CaselawQuote"/>
        <w:spacing w:before="150" w:after="150"/>
        <w:ind w:left="1350"/>
        <w:jc w:val="left"/>
      </w:pPr>
      <w:r>
        <w:rPr>
          <w:rFonts w:ascii="Arial"/>
          <w:b/>
          <w:color w:val="000000"/>
          <w:sz w:val="22"/>
        </w:rPr>
        <w:t>3.</w:t>
      </w:r>
      <w:r>
        <w:rPr>
          <w:rFonts w:ascii="Arial"/>
          <w:b/>
          <w:color w:val="000000"/>
          <w:sz w:val="22"/>
        </w:rPr>
        <w:t xml:space="preserve"> Overreliance on copyright claims:</w:t>
      </w:r>
      <w:r>
        <w:rPr>
          <w:rFonts w:ascii="Arial"/>
          <w:color w:val="000000"/>
          <w:sz w:val="22"/>
        </w:rPr>
        <w:t xml:space="preserve"> The decision maker has overly restricted access to key documents citing copyright concerns, when the GIPA Act allows for provision of copies in certain circumstances, especially given the strong public interest in this matter.</w:t>
      </w:r>
    </w:p>
    <w:p>
      <w:pPr>
        <w:pStyle w:val="CaselawQuote"/>
        <w:spacing w:before="150" w:after="150"/>
        <w:ind w:left="1350"/>
        <w:jc w:val="left"/>
      </w:pPr>
      <w:r>
        <w:rPr>
          <w:rFonts w:ascii="Arial"/>
          <w:b/>
          <w:color w:val="000000"/>
          <w:sz w:val="22"/>
        </w:rPr>
        <w:t>4.</w:t>
      </w:r>
      <w:r>
        <w:rPr>
          <w:rFonts w:ascii="Arial"/>
          <w:b/>
          <w:color w:val="000000"/>
          <w:sz w:val="22"/>
        </w:rPr>
        <w:t xml:space="preserve"> Insufficient consideration of public interest factors:</w:t>
      </w:r>
      <w:r>
        <w:rPr>
          <w:rFonts w:ascii="Arial"/>
          <w:color w:val="000000"/>
          <w:sz w:val="22"/>
        </w:rPr>
        <w:t xml:space="preserve"> The decision fails to adequately weigh the significant public interest considerations I outlined, including:</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Ensuring proper administration of government grants programs</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Accountability for substantial public expenditure</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Transparency in decision-making processes</w:t>
      </w:r>
    </w:p>
    <w:p>
      <w:pPr>
        <w:pStyle w:val="CaselawQuote"/>
        <w:spacing w:before="150" w:after="150"/>
        <w:ind w:left="1350"/>
        <w:jc w:val="left"/>
      </w:pPr>
      <w:r>
        <w:rPr>
          <w:rFonts w:ascii="Arial"/>
          <w:color w:val="000000"/>
          <w:sz w:val="22"/>
        </w:rPr>
        <w:t>•</w:t>
      </w:r>
      <w:r>
        <w:rPr>
          <w:rFonts w:ascii="Arial"/>
          <w:color w:val="000000"/>
          <w:sz w:val="22"/>
        </w:rPr>
        <w:t>   </w:t>
      </w:r>
      <w:r>
        <w:rPr>
          <w:rFonts w:ascii="Arial"/>
          <w:color w:val="000000"/>
          <w:sz w:val="22"/>
        </w:rPr>
        <w:t>Potential misconduct in failing to implement a lawful Council resolution</w:t>
      </w:r>
    </w:p>
    <w:p>
      <w:pPr>
        <w:pStyle w:val="CaselawQuote"/>
        <w:spacing w:before="150" w:after="150"/>
        <w:ind w:left="1350"/>
        <w:jc w:val="left"/>
      </w:pPr>
      <w:r>
        <w:rPr>
          <w:rFonts w:ascii="Arial"/>
          <w:b/>
          <w:color w:val="000000"/>
          <w:sz w:val="22"/>
        </w:rPr>
        <w:t>5.</w:t>
      </w:r>
      <w:r>
        <w:rPr>
          <w:rFonts w:ascii="Arial"/>
          <w:b/>
          <w:color w:val="000000"/>
          <w:sz w:val="22"/>
        </w:rPr>
        <w:t xml:space="preserve"> Inadequate justification for redactions:</w:t>
      </w:r>
      <w:r>
        <w:rPr>
          <w:rFonts w:ascii="Arial"/>
          <w:color w:val="000000"/>
          <w:sz w:val="22"/>
        </w:rPr>
        <w:t xml:space="preserve"> The decision provides minimal explanation for redactions made citing only broad legislative clauses without specific reasoning.</w:t>
      </w:r>
    </w:p>
    <w:p>
      <w:pPr>
        <w:pStyle w:val="CaselawQuote"/>
        <w:spacing w:before="150" w:after="150"/>
        <w:ind w:left="1350"/>
        <w:jc w:val="left"/>
      </w:pPr>
      <w:r>
        <w:rPr>
          <w:rFonts w:ascii="Arial"/>
          <w:b/>
          <w:color w:val="000000"/>
          <w:sz w:val="22"/>
        </w:rPr>
        <w:t>6.</w:t>
      </w:r>
      <w:r>
        <w:rPr>
          <w:rFonts w:ascii="Arial"/>
          <w:b/>
          <w:color w:val="000000"/>
          <w:sz w:val="22"/>
        </w:rPr>
        <w:t xml:space="preserve"> Failure to provide a complete schedule of documents:</w:t>
      </w:r>
      <w:r>
        <w:rPr>
          <w:rFonts w:ascii="Arial"/>
          <w:color w:val="000000"/>
          <w:sz w:val="22"/>
        </w:rPr>
        <w:t xml:space="preserve"> </w:t>
      </w:r>
      <w:r>
        <w:rPr>
          <w:rFonts w:ascii="Arial"/>
          <w:color w:val="000000"/>
          <w:sz w:val="22"/>
        </w:rPr>
        <w:t>The schedule provided does not appear to comprehensively cover all potentially relevant documents, particularly those related to the investigation of Option B.</w:t>
      </w:r>
    </w:p>
    <w:p>
      <w:pPr>
        <w:pStyle w:val="CaselawQuote"/>
        <w:spacing w:before="150" w:after="150"/>
        <w:ind w:left="1350"/>
        <w:jc w:val="left"/>
      </w:pPr>
      <w:r>
        <w:rPr>
          <w:rFonts w:ascii="Arial"/>
          <w:color w:val="000000"/>
          <w:sz w:val="22"/>
        </w:rPr>
        <w:t>Given</w:t>
      </w:r>
      <w:r>
        <w:rPr>
          <w:rFonts w:ascii="Arial"/>
          <w:color w:val="000000"/>
          <w:sz w:val="22"/>
        </w:rPr>
        <w:t xml:space="preserve"> these issues, I request that NCAT review this decision and order a more thorough search for relevant documents, reassess the public interest considerations, and provide greater access to the requested information in line with the objectives of the GIPA Act. </w:t>
      </w:r>
    </w:p>
    <w:p>
      <w:pPr>
        <w:pStyle w:val="CaselawNumbered10"/>
        <w:numPr>
          <w:ilvl w:val="0"/>
          <w:numId w:val="29"/>
        </w:numPr>
        <w:spacing w:before="150" w:after="0"/>
        <w:ind w:left="600" w:hanging="600"/>
      </w:pPr>
      <w:r>
        <w:rPr>
          <w:rFonts w:ascii="Arial"/>
          <w:color w:val="000000"/>
          <w:sz w:val="24"/>
        </w:rPr>
        <w:t xml:space="preserve">On 31 July 2024, the Applicant requested that these proceedings be consolidated with other GIPA proceedings allocated file number 2024/00176464. </w:t>
      </w:r>
      <w:r>
        <w:rPr>
          <w:rFonts w:ascii="Arial"/>
          <w:color w:val="000000"/>
          <w:sz w:val="24"/>
        </w:rPr>
        <w:t xml:space="preserve"> </w:t>
      </w:r>
      <w:r>
        <w:rPr>
          <w:rFonts w:ascii="Arial"/>
          <w:color w:val="000000"/>
          <w:sz w:val="24"/>
        </w:rPr>
        <w:t xml:space="preserve">In support, the Applicant filed numerous further documents and correspondence including chronologies, correspondence and sequences of events. </w:t>
      </w:r>
    </w:p>
    <w:p>
      <w:pPr>
        <w:pStyle w:val="CaselawNumbered10"/>
        <w:numPr>
          <w:ilvl w:val="0"/>
          <w:numId w:val="29"/>
        </w:numPr>
        <w:spacing w:before="150" w:after="0"/>
        <w:ind w:left="600" w:hanging="600"/>
      </w:pPr>
      <w:r>
        <w:rPr>
          <w:rFonts w:ascii="Arial"/>
          <w:color w:val="000000"/>
          <w:sz w:val="24"/>
        </w:rPr>
        <w:t>On 5 August 2024, the Tribunal made orders in respect of the management of the proceedings. They included:</w:t>
      </w:r>
    </w:p>
    <w:p>
      <w:pPr>
        <w:pStyle w:val="CaselawNumbered1"/>
        <w:numPr>
          <w:ilvl w:val="0"/>
          <w:numId w:val="30"/>
        </w:numPr>
        <w:spacing w:before="150" w:after="0"/>
        <w:ind w:left="1350" w:hanging="750"/>
      </w:pPr>
      <w:r>
        <w:rPr>
          <w:rFonts w:ascii="Arial"/>
          <w:color w:val="000000"/>
          <w:sz w:val="24"/>
        </w:rPr>
        <w:t xml:space="preserve">Order 2 </w:t>
      </w:r>
      <w:r>
        <w:rPr>
          <w:rFonts w:ascii="Arial"/>
          <w:color w:val="000000"/>
          <w:sz w:val="24"/>
        </w:rPr>
        <w:t xml:space="preserve">– </w:t>
      </w:r>
      <w:r>
        <w:rPr>
          <w:rFonts w:ascii="Arial"/>
          <w:color w:val="000000"/>
          <w:sz w:val="24"/>
        </w:rPr>
        <w:t xml:space="preserve">which refused the application made by the Applicant to consolidate this matter with </w:t>
      </w:r>
      <w:r>
        <w:rPr>
          <w:rFonts w:ascii="Arial"/>
          <w:color w:val="000000"/>
          <w:sz w:val="24"/>
        </w:rPr>
        <w:t xml:space="preserve">the </w:t>
      </w:r>
      <w:r>
        <w:rPr>
          <w:rFonts w:ascii="Arial"/>
          <w:color w:val="000000"/>
          <w:sz w:val="24"/>
        </w:rPr>
        <w:t>other GIPA proceedings;</w:t>
      </w:r>
    </w:p>
    <w:p>
      <w:pPr>
        <w:pStyle w:val="CaselawNumbered1"/>
        <w:numPr>
          <w:ilvl w:val="0"/>
          <w:numId w:val="30"/>
        </w:numPr>
        <w:spacing w:before="150" w:after="0"/>
        <w:ind w:left="1350" w:hanging="750"/>
      </w:pPr>
      <w:r>
        <w:rPr>
          <w:rFonts w:ascii="Arial"/>
          <w:color w:val="000000"/>
          <w:sz w:val="24"/>
        </w:rPr>
        <w:t xml:space="preserve">Order 4 </w:t>
      </w:r>
      <w:r>
        <w:rPr>
          <w:rFonts w:ascii="Arial"/>
          <w:color w:val="000000"/>
          <w:sz w:val="24"/>
        </w:rPr>
        <w:t xml:space="preserve">– </w:t>
      </w:r>
      <w:r>
        <w:rPr>
          <w:rFonts w:ascii="Arial"/>
          <w:color w:val="000000"/>
          <w:sz w:val="24"/>
        </w:rPr>
        <w:t>requiring the Applicant to provide the Council with details of the documents which he stated have not been provided to him in respect to his access application; and</w:t>
      </w:r>
    </w:p>
    <w:p>
      <w:pPr>
        <w:pStyle w:val="CaselawNumbered1"/>
        <w:numPr>
          <w:ilvl w:val="0"/>
          <w:numId w:val="30"/>
        </w:numPr>
        <w:spacing w:before="150" w:after="0"/>
        <w:ind w:left="1350" w:hanging="750"/>
      </w:pPr>
      <w:r>
        <w:rPr>
          <w:rFonts w:ascii="Arial"/>
          <w:color w:val="000000"/>
          <w:sz w:val="24"/>
        </w:rPr>
        <w:t xml:space="preserve">Order </w:t>
      </w:r>
      <w:r>
        <w:rPr>
          <w:rFonts w:ascii="Arial"/>
          <w:color w:val="000000"/>
          <w:sz w:val="24"/>
        </w:rPr>
        <w:t xml:space="preserve">5 - </w:t>
      </w:r>
      <w:r>
        <w:rPr>
          <w:rFonts w:ascii="Arial"/>
          <w:color w:val="000000"/>
          <w:sz w:val="24"/>
        </w:rPr>
        <w:t>an order that the proceeding be listed for mediation on 28 August 2024.</w:t>
      </w:r>
    </w:p>
    <w:p>
      <w:pPr>
        <w:pStyle w:val="CaselawNumbered10"/>
        <w:numPr>
          <w:ilvl w:val="0"/>
          <w:numId w:val="31"/>
        </w:numPr>
        <w:spacing w:before="150" w:after="0"/>
        <w:ind w:left="600" w:hanging="600"/>
      </w:pPr>
      <w:r>
        <w:rPr>
          <w:rFonts w:ascii="Arial"/>
          <w:color w:val="000000"/>
          <w:sz w:val="24"/>
        </w:rPr>
        <w:t xml:space="preserve">The mediation on 28 August 2024 </w:t>
      </w:r>
      <w:r>
        <w:rPr>
          <w:rFonts w:ascii="Arial"/>
          <w:color w:val="000000"/>
          <w:sz w:val="24"/>
        </w:rPr>
        <w:t>d</w:t>
      </w:r>
      <w:r>
        <w:rPr>
          <w:rFonts w:ascii="Arial"/>
          <w:color w:val="000000"/>
          <w:sz w:val="24"/>
        </w:rPr>
        <w:t>id not resolve the dispute between the parties.</w:t>
      </w:r>
    </w:p>
    <w:p>
      <w:pPr>
        <w:pStyle w:val="CaselawNumbered10"/>
        <w:numPr>
          <w:ilvl w:val="0"/>
          <w:numId w:val="31"/>
        </w:numPr>
        <w:spacing w:before="150" w:after="0"/>
        <w:ind w:left="600" w:hanging="600"/>
      </w:pPr>
      <w:r>
        <w:rPr>
          <w:rFonts w:ascii="Arial"/>
          <w:color w:val="000000"/>
          <w:sz w:val="24"/>
        </w:rPr>
        <w:t xml:space="preserve">On 24 September 2024, the Applicant filed </w:t>
      </w:r>
      <w:r>
        <w:rPr>
          <w:rFonts w:ascii="Arial"/>
          <w:color w:val="000000"/>
          <w:sz w:val="24"/>
        </w:rPr>
        <w:t>written submissions</w:t>
      </w:r>
      <w:r>
        <w:rPr>
          <w:rFonts w:ascii="Arial"/>
          <w:color w:val="000000"/>
          <w:sz w:val="24"/>
        </w:rPr>
        <w:t xml:space="preserve"> </w:t>
      </w:r>
      <w:r>
        <w:rPr>
          <w:rFonts w:ascii="Arial"/>
          <w:color w:val="000000"/>
          <w:sz w:val="24"/>
        </w:rPr>
        <w:t>(discussed below)</w:t>
      </w:r>
      <w:r>
        <w:rPr>
          <w:rFonts w:ascii="Arial"/>
          <w:color w:val="000000"/>
          <w:sz w:val="24"/>
        </w:rPr>
        <w:t xml:space="preserve">, together with </w:t>
      </w:r>
      <w:r>
        <w:rPr>
          <w:rFonts w:ascii="Arial"/>
          <w:color w:val="000000"/>
          <w:sz w:val="24"/>
        </w:rPr>
        <w:t xml:space="preserve">an application for a summons to be issued to the General Manager of the Council to attend and give evidence at the hearing. The summons was opposed by the Council, on the basis that it had </w:t>
      </w:r>
      <w:r>
        <w:rPr>
          <w:rFonts w:ascii="Arial"/>
          <w:color w:val="000000"/>
          <w:sz w:val="24"/>
        </w:rPr>
        <w:t>“</w:t>
      </w:r>
      <w:r>
        <w:rPr>
          <w:rFonts w:ascii="Arial"/>
          <w:color w:val="000000"/>
          <w:sz w:val="24"/>
        </w:rPr>
        <w:t>no legitimate forensic purpose</w:t>
      </w:r>
      <w:r>
        <w:rPr>
          <w:rFonts w:ascii="Arial"/>
          <w:color w:val="000000"/>
          <w:sz w:val="24"/>
        </w:rPr>
        <w:t>”</w:t>
      </w:r>
      <w:r>
        <w:rPr>
          <w:rFonts w:ascii="Arial"/>
          <w:color w:val="000000"/>
          <w:sz w:val="24"/>
        </w:rPr>
        <w:t>; it also noted that the General Manager was not involved in the Notice of Decision and had no evidence relevant to the matte</w:t>
      </w:r>
      <w:r>
        <w:rPr>
          <w:rFonts w:ascii="Arial"/>
          <w:color w:val="000000"/>
          <w:sz w:val="24"/>
        </w:rPr>
        <w:t>r</w:t>
      </w:r>
      <w:r>
        <w:rPr>
          <w:rFonts w:ascii="Arial"/>
          <w:color w:val="000000"/>
          <w:sz w:val="24"/>
        </w:rPr>
        <w:t>s under review.</w:t>
      </w:r>
      <w:r>
        <w:rPr>
          <w:rFonts w:ascii="Arial"/>
          <w:color w:val="000000"/>
          <w:sz w:val="24"/>
        </w:rPr>
        <w:t xml:space="preserve"> </w:t>
      </w:r>
    </w:p>
    <w:p>
      <w:pPr>
        <w:pStyle w:val="CaselawNumbered10"/>
        <w:numPr>
          <w:ilvl w:val="0"/>
          <w:numId w:val="31"/>
        </w:numPr>
        <w:spacing w:before="150" w:after="0"/>
        <w:ind w:left="600" w:hanging="600"/>
      </w:pPr>
      <w:r>
        <w:rPr>
          <w:rFonts w:ascii="Arial"/>
          <w:color w:val="000000"/>
          <w:sz w:val="24"/>
        </w:rPr>
        <w:t>On 25 September 2024, the solicitor for the Council wrote to the Applican</w:t>
      </w:r>
      <w:r>
        <w:rPr>
          <w:rFonts w:ascii="Arial"/>
          <w:color w:val="000000"/>
          <w:sz w:val="24"/>
        </w:rPr>
        <w:t>t</w:t>
      </w:r>
      <w:r>
        <w:rPr>
          <w:rFonts w:ascii="Arial"/>
          <w:color w:val="000000"/>
          <w:sz w:val="24"/>
        </w:rPr>
        <w:t>. The letter said (inter alia):</w:t>
      </w:r>
    </w:p>
    <w:p>
      <w:pPr>
        <w:pStyle w:val="CaselawQuote"/>
        <w:spacing w:before="150" w:after="150"/>
        <w:ind w:left="1350"/>
        <w:jc w:val="left"/>
      </w:pPr>
      <w:r>
        <w:rPr>
          <w:rFonts w:ascii="Arial"/>
          <w:color w:val="000000"/>
          <w:sz w:val="22"/>
        </w:rPr>
        <w:t xml:space="preserve">It is apparent from your submissions that you are not seeking orders in relation to the Notice of Decision of 8 July 2024 but rather you are attempting to seek orders that are outside the jurisdiction of NCAT, namely under the </w:t>
      </w:r>
      <w:r>
        <w:rPr>
          <w:rFonts w:ascii="Arial"/>
          <w:i/>
          <w:color w:val="000000"/>
          <w:sz w:val="22"/>
        </w:rPr>
        <w:t xml:space="preserve">State Records Act 1998 </w:t>
      </w:r>
      <w:r>
        <w:rPr>
          <w:rFonts w:ascii="Arial"/>
          <w:color w:val="000000"/>
          <w:sz w:val="22"/>
        </w:rPr>
        <w:t xml:space="preserve">and the </w:t>
      </w:r>
      <w:r>
        <w:rPr>
          <w:rFonts w:ascii="Arial"/>
          <w:i/>
          <w:color w:val="000000"/>
          <w:sz w:val="22"/>
        </w:rPr>
        <w:t>Local Government Act 1993.</w:t>
      </w:r>
    </w:p>
    <w:p>
      <w:pPr>
        <w:pStyle w:val="CaselawQuote"/>
        <w:spacing w:before="150" w:after="150"/>
        <w:ind w:left="1350"/>
        <w:jc w:val="left"/>
      </w:pPr>
      <w:r>
        <w:rPr>
          <w:rFonts w:ascii="Arial"/>
          <w:color w:val="000000"/>
          <w:sz w:val="22"/>
        </w:rPr>
        <w:t>If it is your intention to continue with these proceedings and seek orders that are outside the jurisdiction of NCAT, and Council is successful, Council will be seeking an order for costs against you and will rely on this letter.</w:t>
      </w:r>
    </w:p>
    <w:p>
      <w:pPr>
        <w:pStyle w:val="CaselawQuote"/>
        <w:spacing w:before="150" w:after="150"/>
        <w:ind w:left="1350"/>
        <w:jc w:val="left"/>
      </w:pPr>
      <w:r>
        <w:rPr>
          <w:rFonts w:ascii="Arial"/>
          <w:color w:val="000000"/>
          <w:sz w:val="22"/>
        </w:rPr>
        <w:t>As Council is to file its evidence and submissions by 4 October 2024, we require a response from you by close of business 27 September 2024.</w:t>
      </w:r>
    </w:p>
    <w:p>
      <w:pPr>
        <w:pStyle w:val="CaselawNumbered10"/>
        <w:numPr>
          <w:ilvl w:val="0"/>
          <w:numId w:val="32"/>
        </w:numPr>
        <w:spacing w:before="150" w:after="0"/>
        <w:ind w:left="600" w:hanging="600"/>
      </w:pPr>
      <w:r>
        <w:rPr>
          <w:rFonts w:ascii="Arial"/>
          <w:color w:val="000000"/>
          <w:sz w:val="24"/>
        </w:rPr>
        <w:t xml:space="preserve">The Applicant responded on 25 September 2024 </w:t>
      </w:r>
      <w:r>
        <w:rPr>
          <w:rFonts w:ascii="Arial"/>
          <w:color w:val="000000"/>
          <w:sz w:val="24"/>
        </w:rPr>
        <w:t>“</w:t>
      </w:r>
      <w:r>
        <w:rPr>
          <w:rFonts w:ascii="Arial"/>
          <w:color w:val="000000"/>
          <w:sz w:val="24"/>
        </w:rPr>
        <w:t>addressing the concerns raised about the jurisdiction of NCAT in this matter</w:t>
      </w:r>
      <w:r>
        <w:rPr>
          <w:rFonts w:ascii="Arial"/>
          <w:color w:val="000000"/>
          <w:sz w:val="24"/>
        </w:rPr>
        <w:t>”</w:t>
      </w:r>
      <w:r>
        <w:rPr>
          <w:rFonts w:ascii="Arial"/>
          <w:color w:val="000000"/>
          <w:sz w:val="24"/>
        </w:rPr>
        <w:t xml:space="preserve"> </w:t>
      </w:r>
      <w:r>
        <w:rPr>
          <w:rFonts w:ascii="Arial"/>
          <w:color w:val="000000"/>
          <w:sz w:val="24"/>
        </w:rPr>
        <w:t>saying, inter alia:</w:t>
      </w:r>
    </w:p>
    <w:p>
      <w:pPr>
        <w:pStyle w:val="CaselawQuote"/>
        <w:spacing w:before="150" w:after="150"/>
        <w:ind w:left="1350"/>
        <w:jc w:val="left"/>
      </w:pPr>
      <w:r>
        <w:rPr>
          <w:rFonts w:ascii="Arial"/>
          <w:color w:val="000000"/>
          <w:sz w:val="22"/>
        </w:rPr>
        <w:t>While my submissions reference issues under the State Records Act.. and the Local Government Act.. these references are made in the context of ensuring compliance with the .. GIPA Act.</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 xml:space="preserve">The issues highlighted </w:t>
      </w:r>
      <w:r>
        <w:rPr>
          <w:rFonts w:ascii="Arial"/>
          <w:color w:val="000000"/>
          <w:sz w:val="22"/>
        </w:rPr>
        <w:t>in my submissions, such as inadequate searches and documentation are central to determining whether the council has complied with its obligations under the GIPA Act. These issues are not separate from NCAT’s jurisdiction but are integral to ensuring transparency and accountability in government operations.</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My intention is not to seek orders outside NCAT’s jurisdiction but rather to ensure that all</w:t>
      </w:r>
      <w:r>
        <w:rPr>
          <w:rFonts w:ascii="Arial"/>
          <w:color w:val="000000"/>
          <w:sz w:val="22"/>
        </w:rPr>
        <w:t xml:space="preserve"> relevant factors affecting transparency and access to information are addressed comprehensively..</w:t>
      </w:r>
    </w:p>
    <w:p>
      <w:pPr>
        <w:pStyle w:val="CaselawQuote"/>
        <w:spacing w:before="150" w:after="150"/>
        <w:ind w:left="1350"/>
        <w:jc w:val="left"/>
      </w:pPr>
      <w:r>
        <w:rPr>
          <w:rFonts w:ascii="Arial"/>
          <w:color w:val="000000"/>
          <w:sz w:val="22"/>
        </w:rPr>
        <w:t>While I understand the council’</w:t>
      </w:r>
      <w:r>
        <w:rPr>
          <w:rFonts w:ascii="Arial"/>
          <w:color w:val="000000"/>
          <w:sz w:val="22"/>
        </w:rPr>
        <w:t xml:space="preserve">s intention to seek a costs order if successful, I believe that my concerns are legitimate and grounded in the need for </w:t>
      </w:r>
      <w:r>
        <w:rPr>
          <w:rFonts w:ascii="Arial"/>
          <w:color w:val="000000"/>
          <w:sz w:val="22"/>
        </w:rPr>
        <w:t>transparency and accountability. Given the public interest in ensuring that local government operations are transparent and compliant with statutory obligations, any costs order would be unjust….</w:t>
      </w:r>
    </w:p>
    <w:p>
      <w:pPr>
        <w:pStyle w:val="CaselawQuote"/>
        <w:spacing w:before="150" w:after="150"/>
        <w:ind w:left="1350"/>
        <w:jc w:val="left"/>
      </w:pPr>
      <w:r>
        <w:rPr>
          <w:rFonts w:ascii="Arial"/>
          <w:color w:val="000000"/>
          <w:sz w:val="22"/>
        </w:rPr>
        <w:t>In light of these clarifications, I will continue to pursue these proceedings to ensure that the council’</w:t>
      </w:r>
      <w:r>
        <w:rPr>
          <w:rFonts w:ascii="Arial"/>
          <w:color w:val="000000"/>
          <w:sz w:val="22"/>
        </w:rPr>
        <w:t xml:space="preserve">s actions are transparent and compliant with statutory obligations. I look forward to presenting my case at the NCAT hearing on 15 October 2024. </w:t>
      </w:r>
    </w:p>
    <w:p>
      <w:pPr>
        <w:pStyle w:val="CaselawNumbered10"/>
        <w:numPr>
          <w:ilvl w:val="0"/>
          <w:numId w:val="33"/>
        </w:numPr>
        <w:spacing w:before="150" w:after="0"/>
        <w:ind w:left="600" w:hanging="600"/>
      </w:pPr>
      <w:r>
        <w:rPr>
          <w:rFonts w:ascii="Arial"/>
          <w:color w:val="000000"/>
          <w:sz w:val="24"/>
        </w:rPr>
        <w:t>On 8 October 2024 the application to issue a summons was refused by the Tribunal</w:t>
      </w:r>
      <w:r>
        <w:rPr>
          <w:rFonts w:ascii="Arial"/>
          <w:color w:val="000000"/>
          <w:sz w:val="24"/>
        </w:rPr>
        <w:t>, which noted that the Applicant</w:t>
      </w:r>
      <w:r>
        <w:rPr>
          <w:rFonts w:ascii="Arial"/>
          <w:color w:val="000000"/>
          <w:sz w:val="24"/>
        </w:rPr>
        <w:t>’</w:t>
      </w:r>
      <w:r>
        <w:rPr>
          <w:rFonts w:ascii="Arial"/>
          <w:color w:val="000000"/>
          <w:sz w:val="24"/>
        </w:rPr>
        <w:t>s stated reasons did not disclose any relevance to the proceedings before the Tribunal.</w:t>
      </w:r>
      <w:r>
        <w:rPr>
          <w:rFonts w:ascii="Arial"/>
          <w:color w:val="000000"/>
          <w:sz w:val="24"/>
        </w:rPr>
        <w:t xml:space="preserve"> </w:t>
      </w:r>
    </w:p>
    <w:p>
      <w:pPr>
        <w:pStyle w:val="CaselawHeading2"/>
        <w:keepNext/>
        <w:spacing w:before="150" w:after="150" w:line="264"/>
        <w:ind w:left="0"/>
        <w:jc w:val="left"/>
      </w:pPr>
      <w:r>
        <w:rPr>
          <w:rFonts w:ascii="Arial"/>
        </w:rPr>
        <w:t>Materials</w:t>
      </w:r>
      <w:r>
        <w:rPr>
          <w:rFonts w:ascii="Arial"/>
        </w:rPr>
        <w:t xml:space="preserve"> before the Tribunal</w:t>
      </w:r>
    </w:p>
    <w:p>
      <w:pPr>
        <w:pStyle w:val="CaselawNumbered10"/>
        <w:numPr>
          <w:ilvl w:val="0"/>
          <w:numId w:val="34"/>
        </w:numPr>
        <w:spacing w:before="150" w:after="0"/>
        <w:ind w:left="600" w:hanging="600"/>
      </w:pPr>
      <w:r>
        <w:rPr>
          <w:rFonts w:ascii="Arial"/>
          <w:color w:val="000000"/>
          <w:sz w:val="24"/>
        </w:rPr>
        <w:t xml:space="preserve">In addition to the application dated </w:t>
      </w:r>
      <w:r>
        <w:rPr>
          <w:rFonts w:ascii="Arial"/>
          <w:color w:val="000000"/>
          <w:sz w:val="24"/>
        </w:rPr>
        <w:t>12 July 2024, filed on 19 July 2024 (A1)</w:t>
      </w:r>
      <w:r>
        <w:rPr>
          <w:rFonts w:ascii="Arial"/>
          <w:color w:val="000000"/>
          <w:sz w:val="24"/>
        </w:rPr>
        <w:t>, the Applicant filed submissions, a witness statement of the Applicant, and accompanying documents on 24 September 2024 (bundle at A2); many of which related to the issue of Summons (which was refused), and/or overlapped with matters being considered in the other proceedings</w:t>
      </w:r>
      <w:r>
        <w:rPr>
          <w:rFonts w:ascii="Arial"/>
          <w:color w:val="000000"/>
          <w:sz w:val="24"/>
        </w:rPr>
        <w:t>, despite the consolidation request being refused by the Tribunal on 5 August 2024</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The Council relied on the following materials:</w:t>
      </w:r>
    </w:p>
    <w:p>
      <w:pPr>
        <w:pStyle w:val="CaselawNumbered1"/>
        <w:numPr>
          <w:ilvl w:val="0"/>
          <w:numId w:val="35"/>
        </w:numPr>
        <w:spacing w:before="150" w:after="0"/>
        <w:ind w:left="1350" w:hanging="750"/>
      </w:pPr>
      <w:r>
        <w:rPr>
          <w:rFonts w:ascii="Arial"/>
          <w:color w:val="000000"/>
          <w:sz w:val="24"/>
        </w:rPr>
        <w:t>“</w:t>
      </w:r>
      <w:r>
        <w:rPr>
          <w:rFonts w:ascii="Arial"/>
          <w:color w:val="000000"/>
          <w:sz w:val="24"/>
        </w:rPr>
        <w:t>Respondent</w:t>
      </w:r>
      <w:r>
        <w:rPr>
          <w:rFonts w:ascii="Arial"/>
          <w:color w:val="000000"/>
          <w:sz w:val="24"/>
        </w:rPr>
        <w:t>’</w:t>
      </w:r>
      <w:r>
        <w:rPr>
          <w:rFonts w:ascii="Arial"/>
          <w:color w:val="000000"/>
          <w:sz w:val="24"/>
        </w:rPr>
        <w:t>s Submissions</w:t>
      </w:r>
      <w:r>
        <w:rPr>
          <w:rFonts w:ascii="Arial"/>
          <w:color w:val="000000"/>
          <w:sz w:val="24"/>
        </w:rPr>
        <w:t>”</w:t>
      </w:r>
      <w:r>
        <w:rPr>
          <w:rFonts w:ascii="Arial"/>
          <w:color w:val="000000"/>
          <w:sz w:val="24"/>
        </w:rPr>
        <w:t xml:space="preserve"> </w:t>
      </w:r>
      <w:r>
        <w:rPr>
          <w:rFonts w:ascii="Arial"/>
          <w:color w:val="000000"/>
          <w:sz w:val="24"/>
        </w:rPr>
        <w:t>dated 13 September 2024 (filed 13 September 2024</w:t>
      </w:r>
      <w:r>
        <w:rPr>
          <w:rFonts w:ascii="Arial"/>
          <w:color w:val="000000"/>
          <w:sz w:val="24"/>
        </w:rPr>
        <w:t>)</w:t>
      </w:r>
      <w:r>
        <w:rPr>
          <w:rFonts w:ascii="Arial"/>
          <w:color w:val="000000"/>
          <w:sz w:val="24"/>
        </w:rPr>
        <w:t xml:space="preserve"> </w:t>
      </w:r>
      <w:r>
        <w:rPr>
          <w:rFonts w:ascii="Arial"/>
          <w:color w:val="000000"/>
          <w:sz w:val="24"/>
        </w:rPr>
        <w:t>(R1);</w:t>
      </w:r>
    </w:p>
    <w:p>
      <w:pPr>
        <w:pStyle w:val="CaselawNumbered1"/>
        <w:numPr>
          <w:ilvl w:val="0"/>
          <w:numId w:val="35"/>
        </w:numPr>
        <w:spacing w:before="150" w:after="0"/>
        <w:ind w:left="1350" w:hanging="750"/>
      </w:pPr>
      <w:r>
        <w:rPr>
          <w:rFonts w:ascii="Arial"/>
          <w:color w:val="000000"/>
          <w:sz w:val="24"/>
        </w:rPr>
        <w:t>Affidavit of Alexandra Moar (</w:t>
      </w:r>
      <w:r>
        <w:rPr>
          <w:rFonts w:ascii="Arial"/>
          <w:b/>
          <w:color w:val="000000"/>
          <w:sz w:val="24"/>
        </w:rPr>
        <w:t>Ms Moar</w:t>
      </w:r>
      <w:r>
        <w:rPr>
          <w:rFonts w:ascii="Arial"/>
          <w:color w:val="000000"/>
          <w:sz w:val="24"/>
        </w:rPr>
        <w:t>) dated 13 September 2024 (filed 13 September 2024) with annexures (R2);</w:t>
      </w:r>
    </w:p>
    <w:p>
      <w:pPr>
        <w:pStyle w:val="CaselawNumbered1"/>
        <w:numPr>
          <w:ilvl w:val="0"/>
          <w:numId w:val="35"/>
        </w:numPr>
        <w:spacing w:before="150" w:after="0"/>
        <w:ind w:left="1350" w:hanging="750"/>
      </w:pPr>
      <w:r>
        <w:rPr>
          <w:rFonts w:ascii="Arial"/>
          <w:color w:val="000000"/>
          <w:sz w:val="24"/>
        </w:rPr>
        <w:t>“</w:t>
      </w:r>
      <w:r>
        <w:rPr>
          <w:rFonts w:ascii="Arial"/>
          <w:color w:val="000000"/>
          <w:sz w:val="24"/>
        </w:rPr>
        <w:t>Respondent</w:t>
      </w:r>
      <w:r>
        <w:rPr>
          <w:rFonts w:ascii="Arial"/>
          <w:color w:val="000000"/>
          <w:sz w:val="24"/>
        </w:rPr>
        <w:t>’</w:t>
      </w:r>
      <w:r>
        <w:rPr>
          <w:rFonts w:ascii="Arial"/>
          <w:color w:val="000000"/>
          <w:sz w:val="24"/>
        </w:rPr>
        <w:t>s Submissions in Reply</w:t>
      </w:r>
      <w:r>
        <w:rPr>
          <w:rFonts w:ascii="Arial"/>
          <w:color w:val="000000"/>
          <w:sz w:val="24"/>
        </w:rPr>
        <w:t>”</w:t>
      </w:r>
      <w:r>
        <w:rPr>
          <w:rFonts w:ascii="Arial"/>
          <w:color w:val="000000"/>
          <w:sz w:val="24"/>
        </w:rPr>
        <w:t xml:space="preserve"> </w:t>
      </w:r>
      <w:r>
        <w:rPr>
          <w:rFonts w:ascii="Arial"/>
          <w:color w:val="000000"/>
          <w:sz w:val="24"/>
        </w:rPr>
        <w:t>dated 1 October 2024 (filed 2 October 2024) (R3);</w:t>
      </w:r>
    </w:p>
    <w:p>
      <w:pPr>
        <w:pStyle w:val="CaselawNumbered1"/>
        <w:numPr>
          <w:ilvl w:val="0"/>
          <w:numId w:val="35"/>
        </w:numPr>
        <w:spacing w:before="150" w:after="0"/>
        <w:ind w:left="1350" w:hanging="750"/>
      </w:pPr>
      <w:r>
        <w:rPr>
          <w:rFonts w:ascii="Arial"/>
          <w:color w:val="000000"/>
          <w:sz w:val="24"/>
        </w:rPr>
        <w:t>(Further) Affidavit of Ms Moar dated 1 October 2024 (filed 2 October 2024) annexing a revised schedule of documents (R4); and</w:t>
      </w:r>
    </w:p>
    <w:p>
      <w:pPr>
        <w:pStyle w:val="CaselawNumbered1"/>
        <w:numPr>
          <w:ilvl w:val="0"/>
          <w:numId w:val="35"/>
        </w:numPr>
        <w:spacing w:before="150" w:after="0"/>
        <w:ind w:left="1350" w:hanging="750"/>
      </w:pPr>
      <w:r>
        <w:rPr>
          <w:rFonts w:ascii="Arial"/>
          <w:color w:val="000000"/>
          <w:sz w:val="24"/>
        </w:rPr>
        <w:t xml:space="preserve">Affidavit of Marlie Jade Caban dated 1 October 2024 (filed 2 October 2024) annexing </w:t>
      </w:r>
      <w:r>
        <w:rPr>
          <w:rFonts w:ascii="Arial"/>
          <w:color w:val="000000"/>
          <w:sz w:val="24"/>
        </w:rPr>
        <w:t xml:space="preserve">the </w:t>
      </w:r>
      <w:r>
        <w:rPr>
          <w:rFonts w:ascii="Arial"/>
          <w:color w:val="000000"/>
          <w:sz w:val="24"/>
        </w:rPr>
        <w:t xml:space="preserve">correspondence between the parties dated 25 September 2024 </w:t>
      </w:r>
      <w:r>
        <w:rPr>
          <w:rFonts w:ascii="Arial"/>
          <w:color w:val="000000"/>
          <w:sz w:val="24"/>
        </w:rPr>
        <w:t xml:space="preserve">referred to above </w:t>
      </w:r>
      <w:r>
        <w:rPr>
          <w:rFonts w:ascii="Arial"/>
          <w:color w:val="000000"/>
          <w:sz w:val="24"/>
        </w:rPr>
        <w:t>(R5).</w:t>
      </w:r>
    </w:p>
    <w:p>
      <w:pPr>
        <w:pStyle w:val="CaselawNumbered10"/>
        <w:numPr>
          <w:ilvl w:val="0"/>
          <w:numId w:val="36"/>
        </w:numPr>
        <w:spacing w:before="150" w:after="0"/>
        <w:ind w:left="600" w:hanging="600"/>
      </w:pPr>
      <w:r>
        <w:rPr>
          <w:rFonts w:ascii="Arial"/>
          <w:color w:val="000000"/>
          <w:sz w:val="24"/>
        </w:rPr>
        <w:t xml:space="preserve">As requested during the hearing, the Council provided a copy of the Information Management Policy of the Council by email to the Tribunal on 15 October 2024 (R6). </w:t>
      </w:r>
    </w:p>
    <w:p>
      <w:pPr>
        <w:pStyle w:val="CaselawHeading1"/>
        <w:keepNext/>
        <w:spacing w:before="150" w:after="150" w:line="264"/>
        <w:ind w:left="0"/>
        <w:jc w:val="left"/>
      </w:pPr>
      <w:r>
        <w:rPr>
          <w:rFonts w:ascii="Arial"/>
        </w:rPr>
        <w:t>CONSIDERATION</w:t>
      </w:r>
    </w:p>
    <w:p>
      <w:pPr>
        <w:pStyle w:val="CaselawHeading2"/>
        <w:keepNext/>
        <w:spacing w:before="150" w:after="150" w:line="264"/>
        <w:ind w:left="0"/>
        <w:jc w:val="left"/>
      </w:pPr>
      <w:r>
        <w:rPr>
          <w:rFonts w:ascii="Arial"/>
        </w:rPr>
        <w:t>The Legislative Framework</w:t>
      </w:r>
      <w:r>
        <w:rPr>
          <w:rFonts w:ascii="Arial"/>
        </w:rPr>
        <w:t xml:space="preserve"> </w:t>
      </w:r>
    </w:p>
    <w:p>
      <w:pPr>
        <w:pStyle w:val="CaselawHeading3"/>
        <w:keepNext/>
        <w:spacing w:before="150" w:after="150" w:line="264"/>
        <w:ind w:left="0"/>
        <w:jc w:val="left"/>
      </w:pPr>
      <w:r>
        <w:rPr>
          <w:rFonts w:ascii="Arial"/>
        </w:rPr>
        <w:t xml:space="preserve">Jurisdiction </w:t>
      </w:r>
      <w:r>
        <w:rPr>
          <w:rFonts w:ascii="Arial"/>
        </w:rPr>
        <w:t>and role of the Tribunal</w:t>
      </w:r>
    </w:p>
    <w:p>
      <w:pPr>
        <w:pStyle w:val="CaselawNumbered10"/>
        <w:numPr>
          <w:ilvl w:val="0"/>
          <w:numId w:val="37"/>
        </w:numPr>
        <w:spacing w:before="150" w:after="0"/>
        <w:ind w:left="600" w:hanging="600"/>
      </w:pPr>
      <w:r>
        <w:rPr>
          <w:rFonts w:ascii="Arial"/>
          <w:color w:val="000000"/>
          <w:sz w:val="24"/>
        </w:rPr>
        <w:t xml:space="preserve">Under the </w:t>
      </w:r>
      <w:r>
        <w:rPr>
          <w:rFonts w:ascii="Arial"/>
          <w:i/>
          <w:color w:val="000000"/>
          <w:sz w:val="24"/>
        </w:rPr>
        <w:t>Administrative Decisions Review Act 1997</w:t>
      </w:r>
      <w:r>
        <w:rPr>
          <w:rFonts w:ascii="Arial"/>
          <w:color w:val="000000"/>
          <w:sz w:val="24"/>
        </w:rPr>
        <w:t xml:space="preserve"> </w:t>
      </w:r>
      <w:r>
        <w:rPr>
          <w:rFonts w:ascii="Arial"/>
          <w:color w:val="000000"/>
          <w:sz w:val="24"/>
        </w:rPr>
        <w:t>(NSW) (</w:t>
      </w:r>
      <w:r>
        <w:rPr>
          <w:rFonts w:ascii="Arial"/>
          <w:b/>
          <w:color w:val="000000"/>
          <w:sz w:val="24"/>
        </w:rPr>
        <w:t>ADR Act</w:t>
      </w:r>
      <w:r>
        <w:rPr>
          <w:rFonts w:ascii="Arial"/>
          <w:color w:val="000000"/>
          <w:sz w:val="24"/>
        </w:rPr>
        <w:t>):</w:t>
      </w:r>
    </w:p>
    <w:p>
      <w:pPr>
        <w:pStyle w:val="CaselawNumbered1"/>
        <w:numPr>
          <w:ilvl w:val="0"/>
          <w:numId w:val="38"/>
        </w:numPr>
        <w:spacing w:before="150" w:after="0"/>
        <w:ind w:left="1350" w:hanging="750"/>
      </w:pPr>
      <w:r>
        <w:rPr>
          <w:rFonts w:ascii="Arial"/>
          <w:color w:val="000000"/>
          <w:sz w:val="24"/>
        </w:rPr>
        <w:t xml:space="preserve">An </w:t>
      </w:r>
      <w:r>
        <w:rPr>
          <w:rFonts w:ascii="Arial"/>
          <w:color w:val="000000"/>
          <w:sz w:val="24"/>
        </w:rPr>
        <w:t xml:space="preserve">application for administrative review </w:t>
      </w:r>
      <w:r>
        <w:rPr>
          <w:rFonts w:ascii="Arial"/>
          <w:color w:val="000000"/>
          <w:sz w:val="24"/>
        </w:rPr>
        <w:t xml:space="preserve">by the Tribunal </w:t>
      </w:r>
      <w:r>
        <w:rPr>
          <w:rFonts w:ascii="Arial"/>
          <w:color w:val="000000"/>
          <w:sz w:val="24"/>
        </w:rPr>
        <w:t xml:space="preserve">of </w:t>
      </w:r>
      <w:r>
        <w:rPr>
          <w:rFonts w:ascii="Arial"/>
          <w:color w:val="000000"/>
          <w:sz w:val="24"/>
        </w:rPr>
        <w:t>“</w:t>
      </w:r>
      <w:r>
        <w:rPr>
          <w:rFonts w:ascii="Arial"/>
          <w:color w:val="000000"/>
          <w:sz w:val="24"/>
        </w:rPr>
        <w:t>an administratively reviewable decision</w:t>
      </w:r>
      <w:r>
        <w:rPr>
          <w:rFonts w:ascii="Arial"/>
          <w:color w:val="000000"/>
          <w:sz w:val="24"/>
        </w:rPr>
        <w:t>”</w:t>
      </w:r>
      <w:r>
        <w:rPr>
          <w:rFonts w:ascii="Arial"/>
          <w:color w:val="000000"/>
          <w:sz w:val="24"/>
        </w:rPr>
        <w:t xml:space="preserve"> </w:t>
      </w:r>
      <w:r>
        <w:rPr>
          <w:rFonts w:ascii="Arial"/>
          <w:color w:val="000000"/>
          <w:sz w:val="24"/>
        </w:rPr>
        <w:t>may only be made by an interested person:</w:t>
      </w:r>
      <w:r>
        <w:rPr>
          <w:rFonts w:ascii="Arial"/>
          <w:color w:val="000000"/>
          <w:sz w:val="24"/>
        </w:rPr>
        <w:t> s</w:t>
      </w:r>
      <w:r>
        <w:rPr>
          <w:rFonts w:ascii="Arial"/>
          <w:color w:val="000000"/>
          <w:sz w:val="24"/>
        </w:rPr>
        <w:t xml:space="preserve"> </w:t>
      </w:r>
      <w:r>
        <w:rPr>
          <w:rFonts w:ascii="Arial"/>
          <w:color w:val="000000"/>
          <w:sz w:val="24"/>
        </w:rPr>
        <w:t>55</w:t>
      </w:r>
      <w:r>
        <w:rPr>
          <w:rFonts w:ascii="Arial"/>
          <w:color w:val="000000"/>
          <w:sz w:val="24"/>
        </w:rPr>
        <w:t xml:space="preserve">. </w:t>
      </w:r>
    </w:p>
    <w:p>
      <w:pPr>
        <w:pStyle w:val="CaselawNumbered1"/>
        <w:numPr>
          <w:ilvl w:val="0"/>
          <w:numId w:val="38"/>
        </w:numPr>
        <w:spacing w:before="150" w:after="0"/>
        <w:ind w:left="1350" w:hanging="750"/>
      </w:pPr>
      <w:r>
        <w:rPr>
          <w:rFonts w:ascii="Arial"/>
          <w:color w:val="000000"/>
          <w:sz w:val="24"/>
        </w:rPr>
        <w:t>A</w:t>
      </w:r>
      <w:r>
        <w:rPr>
          <w:rFonts w:ascii="Arial"/>
          <w:color w:val="000000"/>
          <w:sz w:val="24"/>
        </w:rPr>
        <w:t xml:space="preserve">n administratively reviewable decision is </w:t>
      </w:r>
      <w:r>
        <w:rPr>
          <w:rFonts w:ascii="Arial"/>
          <w:color w:val="000000"/>
          <w:sz w:val="24"/>
        </w:rPr>
        <w:t>“</w:t>
      </w:r>
      <w:r>
        <w:rPr>
          <w:rFonts w:ascii="Arial"/>
          <w:color w:val="000000"/>
          <w:sz w:val="24"/>
        </w:rPr>
        <w:t>a decision of an administrator over which the Tribunal has administrative review jurisdiction</w:t>
      </w:r>
      <w:r>
        <w:rPr>
          <w:rFonts w:ascii="Arial"/>
          <w:color w:val="000000"/>
          <w:sz w:val="24"/>
        </w:rPr>
        <w:t>”</w:t>
      </w:r>
      <w:r>
        <w:rPr>
          <w:rFonts w:ascii="Arial"/>
          <w:color w:val="000000"/>
          <w:sz w:val="24"/>
        </w:rPr>
        <w:t xml:space="preserve">: s 7 ADR Act. </w:t>
      </w:r>
      <w:r>
        <w:rPr>
          <w:rFonts w:ascii="Arial"/>
          <w:color w:val="000000"/>
          <w:sz w:val="24"/>
        </w:rPr>
        <w:t xml:space="preserve"> </w:t>
      </w:r>
    </w:p>
    <w:p>
      <w:pPr>
        <w:pStyle w:val="CaselawNumbered1"/>
        <w:numPr>
          <w:ilvl w:val="0"/>
          <w:numId w:val="38"/>
        </w:numPr>
        <w:spacing w:before="150" w:after="0"/>
        <w:ind w:left="1350" w:hanging="750"/>
      </w:pPr>
      <w:r>
        <w:rPr>
          <w:rFonts w:ascii="Arial"/>
          <w:color w:val="000000"/>
          <w:sz w:val="24"/>
        </w:rPr>
        <w:t xml:space="preserve">An </w:t>
      </w:r>
      <w:r>
        <w:rPr>
          <w:rFonts w:ascii="Arial"/>
          <w:color w:val="000000"/>
          <w:sz w:val="24"/>
        </w:rPr>
        <w:t>“</w:t>
      </w:r>
      <w:r>
        <w:rPr>
          <w:rFonts w:ascii="Arial"/>
          <w:color w:val="000000"/>
          <w:sz w:val="24"/>
        </w:rPr>
        <w:t>administrator</w:t>
      </w:r>
      <w:r>
        <w:rPr>
          <w:rFonts w:ascii="Arial"/>
          <w:color w:val="000000"/>
          <w:sz w:val="24"/>
        </w:rPr>
        <w:t>”</w:t>
      </w:r>
      <w:r>
        <w:rPr>
          <w:rFonts w:ascii="Arial"/>
          <w:color w:val="000000"/>
          <w:sz w:val="24"/>
        </w:rPr>
        <w:t xml:space="preserve"> </w:t>
      </w:r>
      <w:r>
        <w:rPr>
          <w:rFonts w:ascii="Arial"/>
          <w:color w:val="000000"/>
          <w:sz w:val="24"/>
        </w:rPr>
        <w:t>is the person or body that makes the decision under enabling legislation</w:t>
      </w:r>
      <w:r>
        <w:rPr>
          <w:rFonts w:ascii="Arial"/>
          <w:color w:val="000000"/>
          <w:sz w:val="24"/>
        </w:rPr>
        <w:t xml:space="preserve"> </w:t>
      </w:r>
      <w:r>
        <w:rPr>
          <w:rFonts w:ascii="Arial"/>
          <w:color w:val="000000"/>
          <w:sz w:val="24"/>
        </w:rPr>
        <w:t xml:space="preserve">(relevantly, here, the Council) </w:t>
      </w:r>
      <w:r>
        <w:rPr>
          <w:rFonts w:ascii="Arial"/>
          <w:color w:val="000000"/>
          <w:sz w:val="24"/>
        </w:rPr>
        <w:t>: s 8 ADR Act.</w:t>
      </w:r>
    </w:p>
    <w:p>
      <w:pPr>
        <w:pStyle w:val="CaselawNumbered1"/>
        <w:numPr>
          <w:ilvl w:val="0"/>
          <w:numId w:val="38"/>
        </w:numPr>
        <w:spacing w:before="150" w:after="0"/>
        <w:ind w:left="1350" w:hanging="750"/>
      </w:pPr>
      <w:r>
        <w:rPr>
          <w:rFonts w:ascii="Arial"/>
          <w:color w:val="000000"/>
          <w:sz w:val="24"/>
        </w:rPr>
        <w:t xml:space="preserve">The Tribunal has administrative review jurisdiction over a decision of an administrator </w:t>
      </w:r>
      <w:r>
        <w:rPr>
          <w:rFonts w:ascii="Arial"/>
          <w:color w:val="000000"/>
          <w:sz w:val="24"/>
        </w:rPr>
        <w:t>“</w:t>
      </w:r>
      <w:r>
        <w:rPr>
          <w:rFonts w:ascii="Arial"/>
          <w:color w:val="000000"/>
          <w:sz w:val="24"/>
        </w:rPr>
        <w:t xml:space="preserve">if enabling legislation </w:t>
      </w:r>
      <w:r>
        <w:rPr>
          <w:rFonts w:ascii="Arial"/>
          <w:color w:val="000000"/>
          <w:sz w:val="24"/>
        </w:rPr>
        <w:t xml:space="preserve">[here, the GIPA Act] </w:t>
      </w:r>
      <w:r>
        <w:rPr>
          <w:rFonts w:ascii="Arial"/>
          <w:color w:val="000000"/>
          <w:sz w:val="24"/>
        </w:rPr>
        <w:t>provides that applications may be made to the Tribunal for an administrative review under this Act of any such decision</w:t>
      </w:r>
      <w:r>
        <w:rPr>
          <w:rFonts w:ascii="Arial"/>
          <w:color w:val="000000"/>
          <w:sz w:val="24"/>
        </w:rPr>
        <w:t>”</w:t>
      </w:r>
      <w:r>
        <w:rPr>
          <w:rFonts w:ascii="Arial"/>
          <w:color w:val="000000"/>
          <w:sz w:val="24"/>
        </w:rPr>
        <w:t>: s</w:t>
      </w:r>
      <w:r>
        <w:rPr>
          <w:rFonts w:ascii="Arial"/>
          <w:color w:val="000000"/>
          <w:sz w:val="24"/>
        </w:rPr>
        <w:t> </w:t>
      </w:r>
      <w:r>
        <w:rPr>
          <w:rFonts w:ascii="Arial"/>
          <w:color w:val="000000"/>
          <w:sz w:val="24"/>
        </w:rPr>
        <w:t xml:space="preserve">9 ADR Act. </w:t>
      </w:r>
    </w:p>
    <w:p>
      <w:pPr>
        <w:pStyle w:val="CaselawNumbered10"/>
        <w:numPr>
          <w:ilvl w:val="0"/>
          <w:numId w:val="39"/>
        </w:numPr>
        <w:spacing w:before="150" w:after="0"/>
        <w:ind w:left="600" w:hanging="600"/>
      </w:pPr>
      <w:r>
        <w:rPr>
          <w:rFonts w:ascii="Arial"/>
          <w:color w:val="000000"/>
          <w:sz w:val="24"/>
        </w:rPr>
        <w:t>Under the GIPA Act:</w:t>
      </w:r>
    </w:p>
    <w:p>
      <w:pPr>
        <w:pStyle w:val="CaselawNumbered1"/>
        <w:numPr>
          <w:ilvl w:val="0"/>
          <w:numId w:val="40"/>
        </w:numPr>
        <w:spacing w:before="150" w:after="0"/>
        <w:ind w:left="1350" w:hanging="750"/>
      </w:pPr>
      <w:r>
        <w:rPr>
          <w:rFonts w:ascii="Arial"/>
          <w:color w:val="000000"/>
          <w:sz w:val="24"/>
        </w:rPr>
        <w:t>“</w:t>
      </w:r>
      <w:r>
        <w:rPr>
          <w:rFonts w:ascii="Arial"/>
          <w:color w:val="000000"/>
          <w:sz w:val="24"/>
        </w:rPr>
        <w:t>Government information</w:t>
      </w:r>
      <w:r>
        <w:rPr>
          <w:rFonts w:ascii="Arial"/>
          <w:color w:val="000000"/>
          <w:sz w:val="24"/>
        </w:rPr>
        <w:t>”</w:t>
      </w:r>
      <w:r>
        <w:rPr>
          <w:rFonts w:ascii="Arial"/>
          <w:color w:val="000000"/>
          <w:sz w:val="24"/>
        </w:rPr>
        <w:t xml:space="preserve"> </w:t>
      </w:r>
      <w:r>
        <w:rPr>
          <w:rFonts w:ascii="Arial"/>
          <w:color w:val="000000"/>
          <w:sz w:val="24"/>
        </w:rPr>
        <w:t>means information contained in a record held by an agency: s 4(1);</w:t>
      </w:r>
    </w:p>
    <w:p>
      <w:pPr>
        <w:pStyle w:val="CaselawNumbered1"/>
        <w:numPr>
          <w:ilvl w:val="0"/>
          <w:numId w:val="40"/>
        </w:numPr>
        <w:spacing w:before="150" w:after="0"/>
        <w:ind w:left="1350" w:hanging="750"/>
      </w:pPr>
      <w:r>
        <w:rPr>
          <w:rFonts w:ascii="Arial"/>
          <w:color w:val="000000"/>
          <w:sz w:val="24"/>
        </w:rPr>
        <w:t xml:space="preserve">A </w:t>
      </w:r>
      <w:r>
        <w:rPr>
          <w:rFonts w:ascii="Arial"/>
          <w:color w:val="000000"/>
          <w:sz w:val="24"/>
        </w:rPr>
        <w:t>“</w:t>
      </w:r>
      <w:r>
        <w:rPr>
          <w:rFonts w:ascii="Arial"/>
          <w:color w:val="000000"/>
          <w:sz w:val="24"/>
        </w:rPr>
        <w:t>record</w:t>
      </w:r>
      <w:r>
        <w:rPr>
          <w:rFonts w:ascii="Arial"/>
          <w:color w:val="000000"/>
          <w:sz w:val="24"/>
        </w:rPr>
        <w:t>”</w:t>
      </w:r>
      <w:r>
        <w:rPr>
          <w:rFonts w:ascii="Arial"/>
          <w:color w:val="000000"/>
          <w:sz w:val="24"/>
        </w:rPr>
        <w:t xml:space="preserve"> </w:t>
      </w:r>
      <w:r>
        <w:rPr>
          <w:rFonts w:ascii="Arial"/>
          <w:color w:val="000000"/>
          <w:sz w:val="24"/>
        </w:rPr>
        <w:t>is defined in cl 10 of Schedule 4 as follows:</w:t>
      </w:r>
    </w:p>
    <w:p>
      <w:pPr>
        <w:pStyle w:val="CaselawQuote"/>
        <w:spacing w:before="150" w:after="150"/>
        <w:ind w:left="1350"/>
        <w:jc w:val="left"/>
      </w:pPr>
      <w:r>
        <w:rPr>
          <w:rFonts w:ascii="Arial"/>
          <w:color w:val="000000"/>
          <w:sz w:val="22"/>
        </w:rPr>
        <w:t xml:space="preserve">(1) </w:t>
      </w:r>
      <w:r>
        <w:rPr>
          <w:rFonts w:ascii="Arial"/>
          <w:i/>
          <w:color w:val="000000"/>
          <w:sz w:val="22"/>
        </w:rPr>
        <w:t>record</w:t>
      </w:r>
      <w:r>
        <w:rPr>
          <w:rFonts w:ascii="Arial"/>
          <w:color w:val="000000"/>
          <w:sz w:val="22"/>
        </w:rPr>
        <w:t> means any document or other source of information compiled, recorded or stored in written form or by electronic process, or in any other manner or by any other means.</w:t>
      </w:r>
    </w:p>
    <w:p>
      <w:pPr>
        <w:pStyle w:val="CaselawQuote"/>
        <w:spacing w:before="150" w:after="150"/>
        <w:ind w:left="1350"/>
        <w:jc w:val="left"/>
      </w:pPr>
      <w:r>
        <w:rPr>
          <w:rFonts w:ascii="Arial"/>
          <w:color w:val="000000"/>
          <w:sz w:val="22"/>
        </w:rPr>
        <w:t>(2)</w:t>
      </w:r>
      <w:r>
        <w:rPr>
          <w:rFonts w:ascii="Arial"/>
          <w:color w:val="000000"/>
          <w:sz w:val="22"/>
        </w:rPr>
        <w:t xml:space="preserve"> </w:t>
      </w:r>
      <w:r>
        <w:rPr>
          <w:rFonts w:ascii="Arial"/>
          <w:color w:val="000000"/>
          <w:sz w:val="22"/>
        </w:rPr>
        <w:t>A reference in this Act to a record includes a reference to a copy of the record.</w:t>
      </w:r>
    </w:p>
    <w:p>
      <w:pPr>
        <w:pStyle w:val="CaselawQuote"/>
        <w:spacing w:before="150" w:after="150"/>
        <w:ind w:left="1350"/>
        <w:jc w:val="left"/>
      </w:pPr>
      <w:r>
        <w:rPr>
          <w:rFonts w:ascii="Arial"/>
          <w:color w:val="000000"/>
          <w:sz w:val="22"/>
        </w:rPr>
        <w:t>(3)</w:t>
      </w:r>
      <w:r>
        <w:rPr>
          <w:rFonts w:ascii="Arial"/>
          <w:color w:val="000000"/>
          <w:sz w:val="22"/>
        </w:rPr>
        <w:t xml:space="preserve"> </w:t>
      </w:r>
      <w:r>
        <w:rPr>
          <w:rFonts w:ascii="Arial"/>
          <w:color w:val="000000"/>
          <w:sz w:val="22"/>
        </w:rPr>
        <w:t>For the purposes of the definition of record in this Act, the knowledge of a person is not a record.</w:t>
      </w:r>
    </w:p>
    <w:p>
      <w:pPr>
        <w:pStyle w:val="CaselawNumbered1"/>
        <w:numPr>
          <w:ilvl w:val="0"/>
          <w:numId w:val="41"/>
        </w:numPr>
        <w:spacing w:before="150" w:after="0"/>
        <w:ind w:left="1350" w:hanging="750"/>
      </w:pPr>
      <w:r>
        <w:rPr>
          <w:rFonts w:ascii="Arial"/>
          <w:color w:val="000000"/>
          <w:sz w:val="24"/>
        </w:rPr>
        <w:t>Section</w:t>
      </w:r>
      <w:r>
        <w:rPr>
          <w:rFonts w:ascii="Arial"/>
          <w:color w:val="000000"/>
          <w:sz w:val="24"/>
        </w:rPr>
        <w:t xml:space="preserve"> </w:t>
      </w:r>
      <w:r>
        <w:rPr>
          <w:rFonts w:ascii="Arial"/>
          <w:color w:val="000000"/>
          <w:sz w:val="24"/>
        </w:rPr>
        <w:t xml:space="preserve">80 </w:t>
      </w:r>
      <w:r>
        <w:rPr>
          <w:rFonts w:ascii="Arial"/>
          <w:color w:val="000000"/>
          <w:sz w:val="24"/>
        </w:rPr>
        <w:t xml:space="preserve">sets out which decisions are </w:t>
      </w:r>
      <w:r>
        <w:rPr>
          <w:rFonts w:ascii="Arial"/>
          <w:color w:val="000000"/>
          <w:sz w:val="24"/>
        </w:rPr>
        <w:t>“</w:t>
      </w:r>
      <w:r>
        <w:rPr>
          <w:rFonts w:ascii="Arial"/>
          <w:color w:val="000000"/>
          <w:sz w:val="24"/>
        </w:rPr>
        <w:t>reviewable decisions</w:t>
      </w:r>
      <w:r>
        <w:rPr>
          <w:rFonts w:ascii="Arial"/>
          <w:color w:val="000000"/>
          <w:sz w:val="24"/>
        </w:rPr>
        <w:t>”</w:t>
      </w:r>
      <w:r>
        <w:rPr>
          <w:rFonts w:ascii="Arial"/>
          <w:color w:val="000000"/>
          <w:sz w:val="24"/>
        </w:rPr>
        <w:t xml:space="preserve"> </w:t>
      </w:r>
      <w:r>
        <w:rPr>
          <w:rFonts w:ascii="Arial"/>
          <w:color w:val="000000"/>
          <w:sz w:val="24"/>
        </w:rPr>
        <w:t>of an agency in respect of an access application</w:t>
      </w:r>
      <w:r>
        <w:rPr>
          <w:rFonts w:ascii="Arial"/>
          <w:color w:val="000000"/>
          <w:sz w:val="24"/>
        </w:rPr>
        <w:t xml:space="preserve">. </w:t>
      </w:r>
      <w:r>
        <w:rPr>
          <w:rFonts w:ascii="Arial"/>
          <w:color w:val="000000"/>
          <w:sz w:val="24"/>
        </w:rPr>
        <w:t>Relevantly, the section includes:</w:t>
      </w:r>
    </w:p>
    <w:p>
      <w:pPr>
        <w:pStyle w:val="CaselawQuote0"/>
        <w:spacing w:before="150" w:after="150"/>
        <w:ind w:left="2100"/>
        <w:jc w:val="left"/>
      </w:pPr>
      <w:r>
        <w:rPr>
          <w:rFonts w:ascii="Arial"/>
          <w:color w:val="000000"/>
          <w:sz w:val="22"/>
        </w:rPr>
        <w:t>(d)  a decision to provide access or to refuse to provide access to information in response to an access application,</w:t>
      </w:r>
    </w:p>
    <w:p>
      <w:pPr>
        <w:pStyle w:val="CaselawQuote0"/>
        <w:spacing w:before="150" w:after="150"/>
        <w:ind w:left="2100"/>
        <w:jc w:val="left"/>
      </w:pPr>
      <w:r>
        <w:rPr>
          <w:rFonts w:ascii="Arial"/>
          <w:color w:val="000000"/>
          <w:sz w:val="22"/>
        </w:rPr>
        <w:t>(e)  a decision that government information is not held by the agency,</w:t>
      </w:r>
    </w:p>
    <w:p>
      <w:pPr>
        <w:pStyle w:val="CaselawQuote0"/>
        <w:spacing w:before="150" w:after="150"/>
        <w:ind w:left="2100"/>
        <w:jc w:val="left"/>
      </w:pPr>
      <w:r>
        <w:rPr>
          <w:rFonts w:ascii="Arial"/>
          <w:color w:val="000000"/>
          <w:sz w:val="22"/>
        </w:rPr>
        <w:t>(f)  a decision that information applied for is already available to the applicant,</w:t>
      </w:r>
    </w:p>
    <w:p>
      <w:pPr>
        <w:pStyle w:val="CaselawQuote0"/>
        <w:spacing w:before="150" w:after="150"/>
        <w:ind w:left="2100"/>
        <w:jc w:val="left"/>
      </w:pPr>
      <w:r>
        <w:rPr>
          <w:rFonts w:ascii="Arial"/>
          <w:color w:val="000000"/>
          <w:sz w:val="22"/>
        </w:rPr>
        <w:t>…</w:t>
      </w:r>
    </w:p>
    <w:p>
      <w:pPr>
        <w:pStyle w:val="CaselawQuote1"/>
        <w:spacing w:before="150" w:after="150"/>
        <w:ind w:left="2850"/>
        <w:jc w:val="left"/>
      </w:pPr>
      <w:r>
        <w:rPr>
          <w:rFonts w:ascii="Arial"/>
          <w:color w:val="000000"/>
          <w:sz w:val="22"/>
        </w:rPr>
        <w:t>(i)  a decision to provide access to information in a particular way in response to an access application (or a decision not to provide access in the way requested by the applicant),</w:t>
      </w:r>
    </w:p>
    <w:p>
      <w:pPr>
        <w:pStyle w:val="CaselawNumbered1"/>
        <w:numPr>
          <w:ilvl w:val="0"/>
          <w:numId w:val="42"/>
        </w:numPr>
        <w:spacing w:before="150" w:after="0"/>
        <w:ind w:left="1350" w:hanging="750"/>
      </w:pPr>
      <w:r>
        <w:rPr>
          <w:rFonts w:ascii="Arial"/>
          <w:color w:val="000000"/>
          <w:sz w:val="24"/>
        </w:rPr>
        <w:t>Section</w:t>
      </w:r>
      <w:r>
        <w:rPr>
          <w:rFonts w:ascii="Arial"/>
          <w:color w:val="000000"/>
          <w:sz w:val="24"/>
        </w:rPr>
        <w:t xml:space="preserve"> </w:t>
      </w:r>
      <w:r>
        <w:rPr>
          <w:rFonts w:ascii="Arial"/>
          <w:color w:val="000000"/>
          <w:sz w:val="24"/>
        </w:rPr>
        <w:t xml:space="preserve">100(1) </w:t>
      </w:r>
      <w:r>
        <w:rPr>
          <w:rFonts w:ascii="Arial"/>
          <w:color w:val="000000"/>
          <w:sz w:val="24"/>
        </w:rPr>
        <w:t>gives a person aggrieved by a reviewable decision a right to apply to NCAT for an administrative review of that decision under the ADR Act.</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 xml:space="preserve">In this case, the Applicant is an </w:t>
      </w:r>
      <w:r>
        <w:rPr>
          <w:rFonts w:ascii="Arial"/>
          <w:color w:val="000000"/>
          <w:sz w:val="24"/>
        </w:rPr>
        <w:t>“</w:t>
      </w:r>
      <w:r>
        <w:rPr>
          <w:rFonts w:ascii="Arial"/>
          <w:color w:val="000000"/>
          <w:sz w:val="24"/>
        </w:rPr>
        <w:t>interested person</w:t>
      </w:r>
      <w:r>
        <w:rPr>
          <w:rFonts w:ascii="Arial"/>
          <w:color w:val="000000"/>
          <w:sz w:val="24"/>
        </w:rPr>
        <w:t>”</w:t>
      </w:r>
      <w:r>
        <w:rPr>
          <w:rFonts w:ascii="Arial"/>
          <w:color w:val="000000"/>
          <w:sz w:val="24"/>
        </w:rPr>
        <w:t xml:space="preserve"> </w:t>
      </w:r>
      <w:r>
        <w:rPr>
          <w:rFonts w:ascii="Arial"/>
          <w:color w:val="000000"/>
          <w:sz w:val="24"/>
        </w:rPr>
        <w:t xml:space="preserve">under the ADR Act and a person who is </w:t>
      </w:r>
      <w:r>
        <w:rPr>
          <w:rFonts w:ascii="Arial"/>
          <w:color w:val="000000"/>
          <w:sz w:val="24"/>
        </w:rPr>
        <w:t>“</w:t>
      </w:r>
      <w:r>
        <w:rPr>
          <w:rFonts w:ascii="Arial"/>
          <w:color w:val="000000"/>
          <w:sz w:val="24"/>
        </w:rPr>
        <w:t>aggrieved</w:t>
      </w:r>
      <w:r>
        <w:rPr>
          <w:rFonts w:ascii="Arial"/>
          <w:color w:val="000000"/>
          <w:sz w:val="24"/>
        </w:rPr>
        <w:t>”</w:t>
      </w:r>
      <w:r>
        <w:rPr>
          <w:rFonts w:ascii="Arial"/>
          <w:color w:val="000000"/>
          <w:sz w:val="24"/>
        </w:rPr>
        <w:t xml:space="preserve"> </w:t>
      </w:r>
      <w:r>
        <w:rPr>
          <w:rFonts w:ascii="Arial"/>
          <w:color w:val="000000"/>
          <w:sz w:val="24"/>
        </w:rPr>
        <w:t xml:space="preserve">for the purposes of the GIPA Act. </w:t>
      </w:r>
      <w:r>
        <w:rPr>
          <w:rFonts w:ascii="Arial"/>
          <w:color w:val="000000"/>
          <w:sz w:val="24"/>
        </w:rPr>
        <w:t>Accordingly, the Tribunal</w:t>
      </w:r>
      <w:r>
        <w:rPr>
          <w:rFonts w:ascii="Arial"/>
          <w:color w:val="000000"/>
          <w:sz w:val="24"/>
        </w:rPr>
        <w:t>’</w:t>
      </w:r>
      <w:r>
        <w:rPr>
          <w:rFonts w:ascii="Arial"/>
          <w:color w:val="000000"/>
          <w:sz w:val="24"/>
        </w:rPr>
        <w:t xml:space="preserve">s administrative review jurisdiction is engaged under the provisions above, and </w:t>
      </w:r>
      <w:r>
        <w:rPr>
          <w:rFonts w:ascii="Arial"/>
          <w:color w:val="000000"/>
          <w:sz w:val="24"/>
        </w:rPr>
        <w:t>s 3</w:t>
      </w:r>
      <w:r>
        <w:rPr>
          <w:rFonts w:ascii="Arial"/>
          <w:color w:val="000000"/>
          <w:sz w:val="24"/>
        </w:rPr>
        <w:t>0</w:t>
      </w:r>
      <w:r>
        <w:rPr>
          <w:rFonts w:ascii="Arial"/>
          <w:color w:val="000000"/>
          <w:sz w:val="24"/>
        </w:rPr>
        <w:t xml:space="preserve"> </w:t>
      </w:r>
      <w:r>
        <w:rPr>
          <w:rFonts w:ascii="Arial"/>
          <w:color w:val="000000"/>
          <w:sz w:val="24"/>
        </w:rPr>
        <w:t xml:space="preserve">of the </w:t>
      </w:r>
      <w:r>
        <w:rPr>
          <w:rFonts w:ascii="Arial"/>
          <w:i/>
          <w:color w:val="000000"/>
          <w:sz w:val="24"/>
        </w:rPr>
        <w:t xml:space="preserve">Civil and Administrative Tribunal Act 2013 </w:t>
      </w:r>
      <w:r>
        <w:rPr>
          <w:rFonts w:ascii="Arial"/>
          <w:color w:val="000000"/>
          <w:sz w:val="24"/>
        </w:rPr>
        <w:t>(NSW) (</w:t>
      </w:r>
      <w:r>
        <w:rPr>
          <w:rFonts w:ascii="Arial"/>
          <w:b/>
          <w:color w:val="000000"/>
          <w:sz w:val="24"/>
        </w:rPr>
        <w:t>CAT Act</w:t>
      </w:r>
      <w:r>
        <w:rPr>
          <w:rFonts w:ascii="Arial"/>
          <w:color w:val="000000"/>
          <w:sz w:val="24"/>
        </w:rPr>
        <w:t>).</w:t>
      </w:r>
    </w:p>
    <w:p>
      <w:pPr>
        <w:pStyle w:val="CaselawNumbered10"/>
        <w:numPr>
          <w:ilvl w:val="0"/>
          <w:numId w:val="43"/>
        </w:numPr>
        <w:spacing w:before="150" w:after="0"/>
        <w:ind w:left="600" w:hanging="600"/>
      </w:pPr>
      <w:r>
        <w:rPr>
          <w:rFonts w:ascii="Arial"/>
          <w:color w:val="000000"/>
          <w:sz w:val="24"/>
        </w:rPr>
        <w:t>In</w:t>
      </w:r>
      <w:r>
        <w:rPr>
          <w:rFonts w:ascii="Arial"/>
          <w:color w:val="000000"/>
          <w:sz w:val="24"/>
        </w:rPr>
        <w:t> determining an application for</w:t>
      </w:r>
      <w:r>
        <w:rPr>
          <w:rFonts w:ascii="Arial"/>
          <w:color w:val="000000"/>
          <w:sz w:val="24"/>
        </w:rPr>
        <w:t> administrative review, the Tribunal is to</w:t>
      </w:r>
      <w:r>
        <w:rPr>
          <w:rFonts w:ascii="Arial"/>
          <w:color w:val="000000"/>
          <w:sz w:val="24"/>
        </w:rPr>
        <w:t> consider s 63 of the</w:t>
      </w:r>
      <w:r>
        <w:rPr>
          <w:rFonts w:ascii="Arial"/>
          <w:color w:val="000000"/>
          <w:sz w:val="24"/>
        </w:rPr>
        <w:t> ADR Act which provides:</w:t>
      </w:r>
    </w:p>
    <w:p>
      <w:pPr>
        <w:pStyle w:val="CaselawQuote"/>
        <w:spacing w:before="150" w:after="150"/>
        <w:ind w:left="1350"/>
        <w:jc w:val="left"/>
      </w:pPr>
      <w:r>
        <w:rPr>
          <w:rFonts w:ascii="Arial"/>
          <w:b/>
          <w:color w:val="000000"/>
          <w:sz w:val="22"/>
        </w:rPr>
        <w:t>63 Determination of administrative review by Tribunal</w:t>
      </w:r>
    </w:p>
    <w:p>
      <w:pPr>
        <w:pStyle w:val="CaselawQuote"/>
        <w:spacing w:before="150" w:after="150"/>
        <w:ind w:left="1350"/>
        <w:jc w:val="left"/>
      </w:pPr>
      <w:r>
        <w:rPr>
          <w:rFonts w:ascii="Arial"/>
          <w:color w:val="000000"/>
          <w:sz w:val="22"/>
        </w:rPr>
        <w:t>(1)   In determining an application for an administrative review under this Act of an administratively reviewable decision, the Tribunal is to decide what the correct and preferable decision is having regard to the material then before it, including the following:</w:t>
      </w:r>
    </w:p>
    <w:p>
      <w:pPr>
        <w:pStyle w:val="CaselawQuote0"/>
        <w:spacing w:before="150" w:after="150"/>
        <w:ind w:left="2100"/>
        <w:jc w:val="left"/>
      </w:pPr>
      <w:r>
        <w:rPr>
          <w:rFonts w:ascii="Arial"/>
          <w:color w:val="000000"/>
          <w:sz w:val="22"/>
        </w:rPr>
        <w:t>(a)   any relevant factual material,</w:t>
      </w:r>
    </w:p>
    <w:p>
      <w:pPr>
        <w:pStyle w:val="CaselawQuote0"/>
        <w:spacing w:before="150" w:after="150"/>
        <w:ind w:left="2100"/>
        <w:jc w:val="left"/>
      </w:pPr>
      <w:r>
        <w:rPr>
          <w:rFonts w:ascii="Arial"/>
          <w:color w:val="000000"/>
          <w:sz w:val="22"/>
        </w:rPr>
        <w:t>(b)   any applicable written or unwritten law.</w:t>
      </w:r>
    </w:p>
    <w:p>
      <w:pPr>
        <w:pStyle w:val="CaselawQuote"/>
        <w:spacing w:before="150" w:after="150"/>
        <w:ind w:left="1350"/>
        <w:jc w:val="left"/>
      </w:pPr>
      <w:r>
        <w:rPr>
          <w:rFonts w:ascii="Arial"/>
          <w:color w:val="000000"/>
          <w:sz w:val="22"/>
        </w:rPr>
        <w:t>(2)   For this purpose, the Tribunal may exercise all of the functions that are conferred or imposed by any relevant legislation on the administrator who made the decision.</w:t>
      </w:r>
    </w:p>
    <w:p>
      <w:pPr>
        <w:pStyle w:val="CaselawQuote"/>
        <w:spacing w:before="150" w:after="150"/>
        <w:ind w:left="1350"/>
        <w:jc w:val="left"/>
      </w:pPr>
      <w:r>
        <w:rPr>
          <w:rFonts w:ascii="Arial"/>
          <w:color w:val="000000"/>
          <w:sz w:val="22"/>
        </w:rPr>
        <w:t>(3)   In determining an application for the administrative review of an administratively reviewable decision, the Tribunal may decide:</w:t>
      </w:r>
    </w:p>
    <w:p>
      <w:pPr>
        <w:pStyle w:val="CaselawQuote0"/>
        <w:spacing w:before="150" w:after="150"/>
        <w:ind w:left="2100"/>
        <w:jc w:val="left"/>
      </w:pPr>
      <w:r>
        <w:rPr>
          <w:rFonts w:ascii="Arial"/>
          <w:color w:val="000000"/>
          <w:sz w:val="22"/>
        </w:rPr>
        <w:t>(a)   to affirm the administratively reviewable decision, or</w:t>
      </w:r>
    </w:p>
    <w:p>
      <w:pPr>
        <w:pStyle w:val="CaselawQuote0"/>
        <w:spacing w:before="150" w:after="150"/>
        <w:ind w:left="2100"/>
        <w:jc w:val="left"/>
      </w:pPr>
      <w:r>
        <w:rPr>
          <w:rFonts w:ascii="Arial"/>
          <w:color w:val="000000"/>
          <w:sz w:val="22"/>
        </w:rPr>
        <w:t>(b)   to vary the administratively reviewable decision, or</w:t>
      </w:r>
    </w:p>
    <w:p>
      <w:pPr>
        <w:pStyle w:val="CaselawQuote0"/>
        <w:spacing w:before="150" w:after="150"/>
        <w:ind w:left="2100"/>
        <w:jc w:val="left"/>
      </w:pPr>
      <w:r>
        <w:rPr>
          <w:rFonts w:ascii="Arial"/>
          <w:color w:val="000000"/>
          <w:sz w:val="22"/>
        </w:rPr>
        <w:t>(c)   to set aside the administratively reviewable decision and make a decision in substitution for the administratively reviewable decision it set aside, or</w:t>
      </w:r>
    </w:p>
    <w:p>
      <w:pPr>
        <w:pStyle w:val="CaselawQuote0"/>
        <w:spacing w:before="150" w:after="150"/>
        <w:ind w:left="2100"/>
        <w:jc w:val="left"/>
      </w:pPr>
      <w:r>
        <w:rPr>
          <w:rFonts w:ascii="Arial"/>
          <w:color w:val="000000"/>
          <w:sz w:val="22"/>
        </w:rPr>
        <w:t>(d)   to set aside the administratively reviewable decision and remit the matter for reconsideration by the administrator in accordance with any directions or recommendations of the Tribunal.</w:t>
      </w:r>
    </w:p>
    <w:p>
      <w:pPr>
        <w:pStyle w:val="CaselawNumbered10"/>
        <w:numPr>
          <w:ilvl w:val="0"/>
          <w:numId w:val="44"/>
        </w:numPr>
        <w:spacing w:before="150" w:after="0"/>
        <w:ind w:left="600" w:hanging="600"/>
      </w:pPr>
      <w:r>
        <w:rPr>
          <w:rFonts w:ascii="Arial"/>
          <w:color w:val="000000"/>
          <w:sz w:val="24"/>
        </w:rPr>
        <w:t>Section</w:t>
      </w:r>
      <w:r>
        <w:rPr>
          <w:rFonts w:ascii="Arial"/>
          <w:color w:val="000000"/>
          <w:sz w:val="24"/>
        </w:rPr>
        <w:t xml:space="preserve"> </w:t>
      </w:r>
      <w:r>
        <w:rPr>
          <w:rFonts w:ascii="Arial"/>
          <w:color w:val="000000"/>
          <w:sz w:val="24"/>
        </w:rPr>
        <w:t xml:space="preserve">105(1) </w:t>
      </w:r>
      <w:r>
        <w:rPr>
          <w:rFonts w:ascii="Arial"/>
          <w:color w:val="000000"/>
          <w:sz w:val="24"/>
        </w:rPr>
        <w:t xml:space="preserve">of the GIPA Act </w:t>
      </w:r>
      <w:r>
        <w:rPr>
          <w:rFonts w:ascii="Arial"/>
          <w:color w:val="000000"/>
          <w:sz w:val="24"/>
        </w:rPr>
        <w:t xml:space="preserve">places the onus on the </w:t>
      </w:r>
      <w:r>
        <w:rPr>
          <w:rFonts w:ascii="Arial"/>
          <w:color w:val="000000"/>
          <w:sz w:val="24"/>
        </w:rPr>
        <w:t>Council in these proceedings to justify its decision</w:t>
      </w:r>
      <w:r>
        <w:rPr>
          <w:rFonts w:ascii="Arial"/>
          <w:color w:val="000000"/>
          <w:sz w:val="24"/>
        </w:rPr>
        <w:t xml:space="preserve"> </w:t>
      </w:r>
      <w:r>
        <w:rPr>
          <w:rFonts w:ascii="Arial"/>
          <w:color w:val="000000"/>
          <w:sz w:val="24"/>
        </w:rPr>
        <w:t>“</w:t>
      </w:r>
      <w:r>
        <w:rPr>
          <w:rFonts w:ascii="Arial"/>
          <w:color w:val="000000"/>
          <w:sz w:val="24"/>
        </w:rPr>
        <w:t>made under</w:t>
      </w:r>
      <w:r>
        <w:rPr>
          <w:rFonts w:ascii="Arial"/>
          <w:color w:val="000000"/>
          <w:sz w:val="24"/>
        </w:rPr>
        <w:t>”</w:t>
      </w:r>
      <w:r>
        <w:rPr>
          <w:rFonts w:ascii="Arial"/>
          <w:color w:val="000000"/>
          <w:sz w:val="24"/>
        </w:rPr>
        <w:t xml:space="preserve"> </w:t>
      </w:r>
      <w:r>
        <w:rPr>
          <w:rFonts w:ascii="Arial"/>
          <w:color w:val="000000"/>
          <w:sz w:val="24"/>
        </w:rPr>
        <w:t>the GIPA Act</w:t>
      </w:r>
      <w:r>
        <w:rPr>
          <w:rFonts w:ascii="Arial"/>
          <w:color w:val="000000"/>
          <w:sz w:val="24"/>
        </w:rPr>
        <w:t>; it provides as follows:</w:t>
      </w:r>
    </w:p>
    <w:p>
      <w:pPr>
        <w:pStyle w:val="CaselawQuote"/>
        <w:spacing w:before="150" w:after="150"/>
        <w:ind w:left="1350"/>
        <w:jc w:val="left"/>
      </w:pPr>
      <w:r>
        <w:rPr>
          <w:rFonts w:ascii="Arial"/>
          <w:b/>
          <w:color w:val="000000"/>
          <w:sz w:val="22"/>
        </w:rPr>
        <w:t>105 Onus on agency to justify decisions</w:t>
      </w:r>
    </w:p>
    <w:p>
      <w:pPr>
        <w:pStyle w:val="CaselawQuote"/>
        <w:spacing w:before="150" w:after="150"/>
        <w:ind w:left="1350"/>
        <w:jc w:val="left"/>
      </w:pPr>
      <w:r>
        <w:rPr>
          <w:rFonts w:ascii="Arial"/>
          <w:color w:val="000000"/>
          <w:sz w:val="22"/>
        </w:rPr>
        <w:t>In any review under this Division concerning a decision made under this Act by an agency, the burden of establishing that the decision is justified lies on the agency, except as otherwise provided by this section</w:t>
      </w:r>
    </w:p>
    <w:p>
      <w:pPr>
        <w:pStyle w:val="CaselawQuote"/>
        <w:spacing w:before="150" w:after="150"/>
        <w:ind w:left="1350"/>
        <w:jc w:val="left"/>
      </w:pPr>
      <w:r>
        <w:rPr>
          <w:rFonts w:ascii="Arial"/>
          <w:color w:val="000000"/>
          <w:sz w:val="22"/>
        </w:rPr>
        <w:t>…</w:t>
      </w:r>
    </w:p>
    <w:p>
      <w:pPr>
        <w:pStyle w:val="CaselawHeading3"/>
        <w:keepNext/>
        <w:spacing w:before="150" w:after="150" w:line="264"/>
        <w:ind w:left="0"/>
        <w:jc w:val="left"/>
      </w:pPr>
      <w:r>
        <w:rPr>
          <w:rFonts w:ascii="Arial"/>
        </w:rPr>
        <w:t>Object of the GIPA Act</w:t>
      </w:r>
    </w:p>
    <w:p>
      <w:pPr>
        <w:pStyle w:val="CaselawNumbered10"/>
        <w:numPr>
          <w:ilvl w:val="0"/>
          <w:numId w:val="45"/>
        </w:numPr>
        <w:spacing w:before="150" w:after="0"/>
        <w:ind w:left="600" w:hanging="600"/>
      </w:pPr>
      <w:r>
        <w:rPr>
          <w:rFonts w:ascii="Arial"/>
          <w:color w:val="000000"/>
          <w:sz w:val="24"/>
        </w:rPr>
        <w:t>The object of the</w:t>
      </w:r>
      <w:r>
        <w:rPr>
          <w:rFonts w:ascii="Arial"/>
          <w:color w:val="000000"/>
          <w:sz w:val="24"/>
        </w:rPr>
        <w:t xml:space="preserve"> </w:t>
      </w:r>
      <w:r>
        <w:rPr>
          <w:rFonts w:ascii="Arial"/>
          <w:color w:val="000000"/>
          <w:sz w:val="24"/>
        </w:rPr>
        <w:t>GIPA Act</w:t>
      </w:r>
      <w:r>
        <w:rPr>
          <w:rFonts w:ascii="Arial"/>
          <w:color w:val="000000"/>
          <w:sz w:val="24"/>
        </w:rPr>
        <w:t xml:space="preserve"> </w:t>
      </w:r>
      <w:r>
        <w:rPr>
          <w:rFonts w:ascii="Arial"/>
          <w:color w:val="000000"/>
          <w:sz w:val="24"/>
        </w:rPr>
        <w:t xml:space="preserve">as set out in s 3 is to open government information to the public. This is done by authorising and encouraging the proactive release of information by agencies and by giving members of the public an enforceable right to access government information. Access to government information is </w:t>
      </w:r>
      <w:r>
        <w:rPr>
          <w:rFonts w:ascii="Arial"/>
          <w:color w:val="000000"/>
          <w:sz w:val="24"/>
        </w:rPr>
        <w:t>to be restricted only when there is an overriding public interest against disclosure.</w:t>
      </w:r>
    </w:p>
    <w:p>
      <w:pPr>
        <w:pStyle w:val="CaselawHeading3"/>
        <w:keepNext/>
        <w:spacing w:before="150" w:after="150" w:line="264"/>
        <w:ind w:left="0"/>
        <w:jc w:val="left"/>
      </w:pPr>
      <w:r>
        <w:rPr>
          <w:rFonts w:ascii="Arial"/>
        </w:rPr>
        <w:t>Dealing with access applications</w:t>
      </w:r>
    </w:p>
    <w:p>
      <w:pPr>
        <w:pStyle w:val="CaselawNumbered10"/>
        <w:numPr>
          <w:ilvl w:val="0"/>
          <w:numId w:val="46"/>
        </w:numPr>
        <w:spacing w:before="150" w:after="0"/>
        <w:ind w:left="600" w:hanging="600"/>
      </w:pPr>
      <w:r>
        <w:rPr>
          <w:rFonts w:ascii="Arial"/>
          <w:color w:val="000000"/>
          <w:sz w:val="24"/>
        </w:rPr>
        <w:t>Part 4, Division</w:t>
      </w:r>
      <w:r>
        <w:rPr>
          <w:rFonts w:ascii="Arial"/>
          <w:color w:val="000000"/>
          <w:sz w:val="24"/>
        </w:rPr>
        <w:t xml:space="preserve"> </w:t>
      </w:r>
      <w:r>
        <w:rPr>
          <w:rFonts w:ascii="Arial"/>
          <w:color w:val="000000"/>
          <w:sz w:val="24"/>
        </w:rPr>
        <w:t xml:space="preserve">3 of the GIPA Act </w:t>
      </w:r>
      <w:r>
        <w:rPr>
          <w:rFonts w:ascii="Arial"/>
          <w:color w:val="000000"/>
          <w:sz w:val="24"/>
        </w:rPr>
        <w:t>sets out the process for dealing with access applications.</w:t>
      </w:r>
    </w:p>
    <w:p>
      <w:pPr>
        <w:pStyle w:val="CaselawNumbered10"/>
        <w:numPr>
          <w:ilvl w:val="0"/>
          <w:numId w:val="46"/>
        </w:numPr>
        <w:spacing w:before="150" w:after="0"/>
        <w:ind w:left="600" w:hanging="600"/>
      </w:pPr>
      <w:r>
        <w:rPr>
          <w:rFonts w:ascii="Arial"/>
          <w:color w:val="000000"/>
          <w:sz w:val="24"/>
        </w:rPr>
        <w:t xml:space="preserve">In responding to an access application there is a requirement for the </w:t>
      </w:r>
      <w:r>
        <w:rPr>
          <w:rFonts w:ascii="Arial"/>
          <w:color w:val="000000"/>
          <w:sz w:val="24"/>
        </w:rPr>
        <w:t>Council</w:t>
      </w:r>
      <w:r>
        <w:rPr>
          <w:rFonts w:ascii="Arial"/>
          <w:color w:val="000000"/>
          <w:sz w:val="24"/>
        </w:rPr>
        <w:t xml:space="preserve"> </w:t>
      </w:r>
      <w:r>
        <w:rPr>
          <w:rFonts w:ascii="Arial"/>
          <w:color w:val="000000"/>
          <w:sz w:val="24"/>
        </w:rPr>
        <w:t xml:space="preserve">to undertake </w:t>
      </w:r>
      <w:r>
        <w:rPr>
          <w:rFonts w:ascii="Arial"/>
          <w:i/>
          <w:color w:val="000000"/>
          <w:sz w:val="24"/>
        </w:rPr>
        <w:t>reasonable</w:t>
      </w:r>
      <w:r>
        <w:rPr>
          <w:rFonts w:ascii="Arial"/>
          <w:color w:val="000000"/>
          <w:sz w:val="24"/>
        </w:rPr>
        <w:t xml:space="preserve"> </w:t>
      </w:r>
      <w:r>
        <w:rPr>
          <w:rFonts w:ascii="Arial"/>
          <w:color w:val="000000"/>
          <w:sz w:val="24"/>
        </w:rPr>
        <w:t xml:space="preserve">searches to locate information sought in the request, which is held by </w:t>
      </w:r>
      <w:r>
        <w:rPr>
          <w:rFonts w:ascii="Arial"/>
          <w:color w:val="000000"/>
          <w:sz w:val="24"/>
        </w:rPr>
        <w:t>it</w:t>
      </w:r>
      <w:r>
        <w:rPr>
          <w:rFonts w:ascii="Arial"/>
          <w:color w:val="000000"/>
          <w:sz w:val="24"/>
        </w:rPr>
        <w:t>.</w:t>
      </w:r>
      <w:r>
        <w:rPr>
          <w:rFonts w:ascii="Arial"/>
          <w:color w:val="000000"/>
          <w:sz w:val="24"/>
        </w:rPr>
        <w:t> </w:t>
      </w:r>
      <w:r>
        <w:rPr>
          <w:rFonts w:ascii="Arial"/>
          <w:color w:val="000000"/>
          <w:sz w:val="24"/>
        </w:rPr>
        <w:t>This obligation arises under s 53 of the GIPA Act which provides:</w:t>
      </w:r>
    </w:p>
    <w:p>
      <w:pPr>
        <w:pStyle w:val="CaselawQuote"/>
        <w:spacing w:before="150" w:after="150"/>
        <w:ind w:left="1350"/>
        <w:jc w:val="left"/>
      </w:pPr>
      <w:r>
        <w:rPr>
          <w:rFonts w:ascii="Arial"/>
          <w:b/>
          <w:color w:val="000000"/>
          <w:sz w:val="22"/>
        </w:rPr>
        <w:t>53 Searches for information held by agency</w:t>
      </w:r>
    </w:p>
    <w:p>
      <w:pPr>
        <w:pStyle w:val="CaselawQuote"/>
        <w:spacing w:before="150" w:after="150"/>
        <w:ind w:left="1350"/>
        <w:jc w:val="left"/>
      </w:pPr>
      <w:r>
        <w:rPr>
          <w:rFonts w:ascii="Arial"/>
          <w:color w:val="000000"/>
          <w:sz w:val="22"/>
        </w:rPr>
        <w:t>(1)   The obligation of an agency to provide access to government information in response to an access application is limited to information held by the agency when the application is received.</w:t>
      </w:r>
    </w:p>
    <w:p>
      <w:pPr>
        <w:pStyle w:val="CaselawQuote"/>
        <w:spacing w:before="150" w:after="150"/>
        <w:ind w:left="1350"/>
        <w:jc w:val="left"/>
      </w:pPr>
      <w:r>
        <w:rPr>
          <w:rFonts w:ascii="Arial"/>
          <w:color w:val="000000"/>
          <w:sz w:val="22"/>
        </w:rPr>
        <w:t>(2)   An agency must undertake such reasonable searches as may be necessary to find any of the government information applied for that was held by the agency when the application was received. The agency’s searches must be conducted using the most efficient means reasonably available to the agency.</w:t>
      </w:r>
    </w:p>
    <w:p>
      <w:pPr>
        <w:pStyle w:val="CaselawQuote"/>
        <w:spacing w:before="150" w:after="150"/>
        <w:ind w:left="1350"/>
        <w:jc w:val="left"/>
      </w:pPr>
      <w:r>
        <w:rPr>
          <w:rFonts w:ascii="Arial"/>
          <w:color w:val="000000"/>
          <w:sz w:val="22"/>
        </w:rPr>
        <w:t>(3)   The obligation of an agency to undertake reasonable searches extends to searches using any resources reasonably available to the agency including resources that facilitate the retrieval of information stored electronically.</w:t>
      </w:r>
    </w:p>
    <w:p>
      <w:pPr>
        <w:pStyle w:val="CaselawQuote"/>
        <w:spacing w:before="150" w:after="150"/>
        <w:ind w:left="1350"/>
        <w:jc w:val="left"/>
      </w:pPr>
      <w:r>
        <w:rPr>
          <w:rFonts w:ascii="Arial"/>
          <w:color w:val="000000"/>
          <w:sz w:val="22"/>
        </w:rPr>
        <w:t>(4) An agency is not required to search for information in records held by the agency in an electronic backup system unless a record containing the information has been lost to the agency as a result of having been destroyed, transferred, or otherwise dealt with, in contravention of the</w:t>
      </w:r>
      <w:r>
        <w:rPr>
          <w:rFonts w:ascii="Arial"/>
          <w:color w:val="000000"/>
          <w:sz w:val="22"/>
        </w:rPr>
        <w:t xml:space="preserve"> </w:t>
      </w:r>
      <w:r>
        <w:rPr>
          <w:rFonts w:ascii="Arial"/>
          <w:i/>
          <w:color w:val="000000"/>
          <w:sz w:val="22"/>
        </w:rPr>
        <w:t xml:space="preserve">State Records Act 1998 </w:t>
      </w:r>
      <w:r>
        <w:rPr>
          <w:rFonts w:ascii="Arial"/>
          <w:color w:val="000000"/>
          <w:sz w:val="22"/>
        </w:rPr>
        <w:t>or contrary to the agency’s established record management procedures.</w:t>
      </w:r>
    </w:p>
    <w:p>
      <w:pPr>
        <w:pStyle w:val="CaselawQuote"/>
        <w:spacing w:before="150" w:after="150"/>
        <w:ind w:left="1350"/>
        <w:jc w:val="left"/>
      </w:pPr>
      <w:r>
        <w:rPr>
          <w:rFonts w:ascii="Arial"/>
          <w:color w:val="000000"/>
          <w:sz w:val="22"/>
        </w:rPr>
        <w:t>(5)   An agency is not required to undertake any search for information    that would require an unreasonable and substantial diversion of the agency’s resources.</w:t>
      </w:r>
    </w:p>
    <w:p>
      <w:pPr>
        <w:pStyle w:val="CaselawNumbered10"/>
        <w:numPr>
          <w:ilvl w:val="0"/>
          <w:numId w:val="47"/>
        </w:numPr>
        <w:spacing w:before="150" w:after="0"/>
        <w:ind w:left="600" w:hanging="600"/>
      </w:pPr>
      <w:r>
        <w:rPr>
          <w:rFonts w:ascii="Arial"/>
          <w:color w:val="000000"/>
          <w:sz w:val="24"/>
        </w:rPr>
        <w:t>Following that process, the Council (and here, the Tribunal) can do any of the following as provided for by s 58 of the GIPA Act (my emphasis):</w:t>
      </w:r>
    </w:p>
    <w:p>
      <w:pPr>
        <w:pStyle w:val="CaselawQuote"/>
        <w:spacing w:before="150" w:after="150"/>
        <w:ind w:left="1350"/>
        <w:jc w:val="left"/>
      </w:pPr>
      <w:r>
        <w:rPr>
          <w:rFonts w:ascii="Arial"/>
          <w:color w:val="000000"/>
          <w:sz w:val="22"/>
        </w:rPr>
        <w:t>(1)   An agency decides an access application for government</w:t>
      </w:r>
      <w:r>
        <w:rPr>
          <w:rFonts w:ascii="Arial"/>
          <w:color w:val="000000"/>
          <w:sz w:val="22"/>
        </w:rPr>
        <w:t xml:space="preserve"> </w:t>
      </w:r>
      <w:r>
        <w:rPr>
          <w:rFonts w:ascii="Arial"/>
          <w:color w:val="000000"/>
          <w:sz w:val="22"/>
        </w:rPr>
        <w:t>information</w:t>
      </w:r>
      <w:r>
        <w:rPr>
          <w:rFonts w:ascii="Arial"/>
          <w:color w:val="000000"/>
          <w:sz w:val="22"/>
        </w:rPr>
        <w:t xml:space="preserve"> </w:t>
      </w:r>
      <w:r>
        <w:rPr>
          <w:rFonts w:ascii="Arial"/>
          <w:color w:val="000000"/>
          <w:sz w:val="22"/>
        </w:rPr>
        <w:t>by -</w:t>
      </w:r>
    </w:p>
    <w:p>
      <w:pPr>
        <w:pStyle w:val="CaselawQuote0"/>
        <w:spacing w:before="150" w:after="150"/>
        <w:ind w:left="2100"/>
        <w:jc w:val="left"/>
      </w:pPr>
      <w:r>
        <w:rPr>
          <w:rFonts w:ascii="Arial"/>
          <w:color w:val="000000"/>
          <w:sz w:val="22"/>
        </w:rPr>
        <w:t>(a)   deciding to provide access to the information, or </w:t>
      </w:r>
    </w:p>
    <w:p>
      <w:pPr>
        <w:pStyle w:val="CaselawQuote0"/>
        <w:spacing w:before="150" w:after="150"/>
        <w:ind w:left="2100"/>
        <w:jc w:val="left"/>
      </w:pPr>
      <w:r>
        <w:rPr>
          <w:rFonts w:ascii="Arial"/>
          <w:i/>
          <w:color w:val="000000"/>
          <w:sz w:val="22"/>
        </w:rPr>
        <w:t>(b)   deciding that the information is not held by the agency, or </w:t>
      </w:r>
    </w:p>
    <w:p>
      <w:pPr>
        <w:pStyle w:val="CaselawQuote0"/>
        <w:spacing w:before="150" w:after="150"/>
        <w:ind w:left="2100"/>
        <w:jc w:val="left"/>
      </w:pPr>
      <w:r>
        <w:rPr>
          <w:rFonts w:ascii="Arial"/>
          <w:color w:val="000000"/>
          <w:sz w:val="22"/>
        </w:rPr>
        <w:t>(c)   deciding that the information is already available to the applicant (see section 59), or </w:t>
      </w:r>
    </w:p>
    <w:p>
      <w:pPr>
        <w:pStyle w:val="CaselawQuote0"/>
        <w:spacing w:before="150" w:after="150"/>
        <w:ind w:left="2100"/>
        <w:jc w:val="left"/>
      </w:pPr>
      <w:r>
        <w:rPr>
          <w:rFonts w:ascii="Arial"/>
          <w:i/>
          <w:color w:val="000000"/>
          <w:sz w:val="22"/>
        </w:rPr>
        <w:t>(d)   deciding to refuse to provide access to the information because there is an overriding public interest against disclosure of the information, or </w:t>
      </w:r>
    </w:p>
    <w:p>
      <w:pPr>
        <w:pStyle w:val="CaselawQuote0"/>
        <w:spacing w:before="150" w:after="150"/>
        <w:ind w:left="2100"/>
        <w:jc w:val="left"/>
      </w:pPr>
      <w:r>
        <w:rPr>
          <w:rFonts w:ascii="Arial"/>
          <w:color w:val="000000"/>
          <w:sz w:val="22"/>
        </w:rPr>
        <w:t>(e)   deciding to refuse to deal with the application (see section 60), or </w:t>
      </w:r>
    </w:p>
    <w:p>
      <w:pPr>
        <w:pStyle w:val="CaselawQuote0"/>
        <w:spacing w:before="150" w:after="150"/>
        <w:ind w:left="2100"/>
        <w:jc w:val="left"/>
      </w:pPr>
      <w:r>
        <w:rPr>
          <w:rFonts w:ascii="Arial"/>
          <w:color w:val="000000"/>
          <w:sz w:val="22"/>
        </w:rPr>
        <w:t>(f)   deciding to refuse to confirm or deny that information is held by the agency because there is an overriding public interest against disclosure of information confirming or denying that fact. </w:t>
      </w:r>
    </w:p>
    <w:p>
      <w:pPr>
        <w:pStyle w:val="CaselawQuote"/>
        <w:spacing w:before="150" w:after="150"/>
        <w:ind w:left="1350"/>
        <w:jc w:val="left"/>
      </w:pPr>
      <w:r>
        <w:rPr>
          <w:rFonts w:ascii="Arial"/>
          <w:color w:val="000000"/>
          <w:sz w:val="22"/>
        </w:rPr>
        <w:t>Note : These decisions are reviewable under Part</w:t>
      </w:r>
      <w:r>
        <w:rPr>
          <w:rFonts w:ascii="Arial"/>
          <w:color w:val="000000"/>
          <w:sz w:val="22"/>
        </w:rPr>
        <w:t xml:space="preserve"> 5.</w:t>
      </w:r>
    </w:p>
    <w:p>
      <w:pPr>
        <w:pStyle w:val="CaselawQuote"/>
        <w:spacing w:before="150" w:after="150"/>
        <w:ind w:left="1350"/>
        <w:jc w:val="left"/>
      </w:pPr>
      <w:r>
        <w:rPr>
          <w:rFonts w:ascii="Arial"/>
          <w:color w:val="000000"/>
          <w:sz w:val="22"/>
        </w:rPr>
        <w:t>(2)   More than one decision can be made in respect of a particular access application, so as to deal with the various items of information applied for. </w:t>
      </w:r>
    </w:p>
    <w:p>
      <w:pPr>
        <w:pStyle w:val="CaselawQuote"/>
        <w:spacing w:before="150" w:after="150"/>
        <w:ind w:left="1350"/>
        <w:jc w:val="left"/>
      </w:pPr>
      <w:r>
        <w:rPr>
          <w:rFonts w:ascii="Arial"/>
          <w:color w:val="000000"/>
          <w:sz w:val="22"/>
        </w:rPr>
        <w:t>(3)   If an agency finds that information or additional information is held by the agency after deciding an access application, the agency can make a further decision that replaces or supplements the original decision, but cannot be required to make a further decision in such a case. The further decision can be made even if the period within which the application is required to be decided has expired.</w:t>
      </w:r>
    </w:p>
    <w:p>
      <w:pPr>
        <w:pStyle w:val="CaselawHeading3"/>
        <w:keepNext/>
        <w:spacing w:before="150" w:after="150" w:line="264"/>
        <w:ind w:left="0"/>
        <w:jc w:val="left"/>
      </w:pPr>
      <w:r>
        <w:rPr>
          <w:rFonts w:ascii="Arial"/>
        </w:rPr>
        <w:t>Personal information should not be disclosed</w:t>
      </w:r>
    </w:p>
    <w:p>
      <w:pPr>
        <w:pStyle w:val="CaselawNumbered10"/>
        <w:numPr>
          <w:ilvl w:val="0"/>
          <w:numId w:val="48"/>
        </w:numPr>
        <w:spacing w:before="150" w:after="0"/>
        <w:ind w:left="600" w:hanging="600"/>
      </w:pPr>
      <w:r>
        <w:rPr>
          <w:rFonts w:ascii="Arial"/>
          <w:color w:val="000000"/>
          <w:sz w:val="24"/>
        </w:rPr>
        <w:t>Section 12 of the GIPA Act</w:t>
      </w:r>
      <w:r>
        <w:rPr>
          <w:rFonts w:ascii="Arial"/>
          <w:color w:val="000000"/>
          <w:sz w:val="24"/>
        </w:rPr>
        <w:t xml:space="preserve"> provides that there </w:t>
      </w:r>
      <w:r>
        <w:rPr>
          <w:rFonts w:ascii="Arial"/>
          <w:color w:val="000000"/>
          <w:sz w:val="24"/>
        </w:rPr>
        <w:t>“</w:t>
      </w:r>
      <w:r>
        <w:rPr>
          <w:rFonts w:ascii="Arial"/>
          <w:color w:val="000000"/>
          <w:sz w:val="24"/>
        </w:rPr>
        <w:t>is a general public interest in favour of the disclosure of government information</w:t>
      </w:r>
      <w:r>
        <w:rPr>
          <w:rFonts w:ascii="Arial"/>
          <w:color w:val="000000"/>
          <w:sz w:val="24"/>
        </w:rPr>
        <w:t>”</w:t>
      </w:r>
      <w:r>
        <w:rPr>
          <w:rFonts w:ascii="Arial"/>
          <w:color w:val="000000"/>
          <w:sz w:val="24"/>
        </w:rPr>
        <w:t>. But s</w:t>
      </w:r>
      <w:r>
        <w:rPr>
          <w:rFonts w:ascii="Arial"/>
          <w:color w:val="000000"/>
          <w:sz w:val="24"/>
        </w:rPr>
        <w:t xml:space="preserve"> 13 </w:t>
      </w:r>
      <w:r>
        <w:rPr>
          <w:rFonts w:ascii="Arial"/>
          <w:color w:val="000000"/>
          <w:sz w:val="24"/>
        </w:rPr>
        <w:t xml:space="preserve">sets out a </w:t>
      </w:r>
      <w:r>
        <w:rPr>
          <w:rFonts w:ascii="Arial"/>
          <w:color w:val="000000"/>
          <w:sz w:val="24"/>
        </w:rPr>
        <w:t>“</w:t>
      </w:r>
      <w:r>
        <w:rPr>
          <w:rFonts w:ascii="Arial"/>
          <w:color w:val="000000"/>
          <w:sz w:val="24"/>
        </w:rPr>
        <w:t>public interest test</w:t>
      </w:r>
      <w:r>
        <w:rPr>
          <w:rFonts w:ascii="Arial"/>
          <w:color w:val="000000"/>
          <w:sz w:val="24"/>
        </w:rPr>
        <w:t>”</w:t>
      </w:r>
      <w:r>
        <w:rPr>
          <w:rFonts w:ascii="Arial"/>
          <w:color w:val="000000"/>
          <w:sz w:val="24"/>
        </w:rPr>
        <w:t xml:space="preserve"> </w:t>
      </w:r>
      <w:r>
        <w:rPr>
          <w:rFonts w:ascii="Arial"/>
          <w:color w:val="000000"/>
          <w:sz w:val="24"/>
        </w:rPr>
        <w:t xml:space="preserve">which requires a determination of whether </w:t>
      </w:r>
      <w:r>
        <w:rPr>
          <w:rFonts w:ascii="Arial"/>
          <w:color w:val="000000"/>
          <w:sz w:val="24"/>
        </w:rPr>
        <w:t>“</w:t>
      </w:r>
      <w:r>
        <w:rPr>
          <w:rFonts w:ascii="Arial"/>
          <w:color w:val="000000"/>
          <w:sz w:val="24"/>
        </w:rPr>
        <w:t>on balance,</w:t>
      </w:r>
      <w:r>
        <w:rPr>
          <w:rFonts w:ascii="Arial"/>
          <w:color w:val="000000"/>
          <w:sz w:val="24"/>
        </w:rPr>
        <w:t>”</w:t>
      </w:r>
      <w:r>
        <w:rPr>
          <w:rFonts w:ascii="Arial"/>
          <w:color w:val="000000"/>
          <w:sz w:val="24"/>
        </w:rPr>
        <w:t xml:space="preserve"> </w:t>
      </w:r>
      <w:r>
        <w:rPr>
          <w:rFonts w:ascii="Arial"/>
          <w:color w:val="000000"/>
          <w:sz w:val="24"/>
        </w:rPr>
        <w:t>there are public interest considerations</w:t>
      </w:r>
      <w:r>
        <w:rPr>
          <w:rFonts w:ascii="Arial"/>
          <w:color w:val="000000"/>
          <w:sz w:val="24"/>
        </w:rPr>
        <w:t> in favour of</w:t>
      </w:r>
      <w:r>
        <w:rPr>
          <w:rFonts w:ascii="Arial"/>
          <w:color w:val="000000"/>
          <w:sz w:val="24"/>
        </w:rPr>
        <w:t> disclosure which outweigh the public interest considerations</w:t>
      </w:r>
      <w:r>
        <w:rPr>
          <w:rFonts w:ascii="Arial"/>
          <w:color w:val="000000"/>
          <w:sz w:val="24"/>
        </w:rPr>
        <w:t> against</w:t>
      </w:r>
      <w:r>
        <w:rPr>
          <w:rFonts w:ascii="Arial"/>
          <w:color w:val="000000"/>
          <w:sz w:val="24"/>
        </w:rPr>
        <w:t> disclosure.</w:t>
      </w:r>
    </w:p>
    <w:p>
      <w:pPr>
        <w:pStyle w:val="CaselawNumbered10"/>
        <w:numPr>
          <w:ilvl w:val="0"/>
          <w:numId w:val="48"/>
        </w:numPr>
        <w:spacing w:before="150" w:after="0"/>
        <w:ind w:left="600" w:hanging="600"/>
      </w:pPr>
      <w:r>
        <w:rPr>
          <w:rFonts w:ascii="Arial"/>
          <w:color w:val="000000"/>
          <w:sz w:val="24"/>
        </w:rPr>
        <w:t>In</w:t>
      </w:r>
      <w:r>
        <w:rPr>
          <w:rFonts w:ascii="Arial"/>
          <w:color w:val="000000"/>
          <w:sz w:val="24"/>
        </w:rPr>
        <w:t> </w:t>
      </w:r>
      <w:r>
        <w:rPr>
          <w:rFonts w:ascii="Arial"/>
          <w:i/>
          <w:color w:val="000000"/>
          <w:sz w:val="24"/>
        </w:rPr>
        <w:t>Flack v Commissioner of Police, New South Wales Police</w:t>
      </w:r>
      <w:r>
        <w:rPr>
          <w:rFonts w:ascii="Arial"/>
          <w:color w:val="000000"/>
          <w:sz w:val="24"/>
        </w:rPr>
        <w:t> [2011] NSWADT 286 and</w:t>
      </w:r>
      <w:r>
        <w:rPr>
          <w:rFonts w:ascii="Arial"/>
          <w:color w:val="000000"/>
          <w:sz w:val="24"/>
        </w:rPr>
        <w:t> </w:t>
      </w:r>
      <w:r>
        <w:rPr>
          <w:rFonts w:ascii="Arial"/>
          <w:i/>
          <w:color w:val="000000"/>
          <w:sz w:val="24"/>
        </w:rPr>
        <w:t>Hurst v Wagga Wagga City Council</w:t>
      </w:r>
      <w:r>
        <w:rPr>
          <w:rFonts w:ascii="Arial"/>
          <w:color w:val="000000"/>
          <w:sz w:val="24"/>
        </w:rPr>
        <w:t xml:space="preserve"> [2011] NSWADT 307, the Tribunal confirmed that the </w:t>
      </w:r>
      <w:r>
        <w:rPr>
          <w:rFonts w:ascii="Arial"/>
          <w:color w:val="000000"/>
          <w:sz w:val="24"/>
        </w:rPr>
        <w:t>“</w:t>
      </w:r>
      <w:r>
        <w:rPr>
          <w:rFonts w:ascii="Arial"/>
          <w:color w:val="000000"/>
          <w:sz w:val="24"/>
        </w:rPr>
        <w:t>public interest test</w:t>
      </w:r>
      <w:r>
        <w:rPr>
          <w:rFonts w:ascii="Arial"/>
          <w:color w:val="000000"/>
          <w:sz w:val="24"/>
        </w:rPr>
        <w:t>”</w:t>
      </w:r>
      <w:r>
        <w:rPr>
          <w:rFonts w:ascii="Arial"/>
          <w:color w:val="000000"/>
          <w:sz w:val="24"/>
        </w:rPr>
        <w:t xml:space="preserve"> </w:t>
      </w:r>
      <w:r>
        <w:rPr>
          <w:rFonts w:ascii="Arial"/>
          <w:color w:val="000000"/>
          <w:sz w:val="24"/>
        </w:rPr>
        <w:t>under section 13 requires agencies to</w:t>
      </w:r>
      <w:r>
        <w:rPr>
          <w:rFonts w:ascii="Arial"/>
          <w:color w:val="000000"/>
          <w:sz w:val="24"/>
        </w:rPr>
        <w:t> start with the presumption in favour of disclosure of information and:</w:t>
      </w:r>
    </w:p>
    <w:p>
      <w:pPr>
        <w:pStyle w:val="CaselawNumbered1"/>
        <w:numPr>
          <w:ilvl w:val="0"/>
          <w:numId w:val="49"/>
        </w:numPr>
        <w:spacing w:before="150" w:after="0"/>
        <w:ind w:left="1350" w:hanging="750"/>
      </w:pPr>
      <w:r>
        <w:rPr>
          <w:rFonts w:ascii="Arial"/>
          <w:color w:val="000000"/>
          <w:sz w:val="24"/>
        </w:rPr>
        <w:t>identify the public interest in favour of disclosure</w:t>
      </w:r>
      <w:r>
        <w:rPr>
          <w:rFonts w:ascii="Arial"/>
          <w:color w:val="000000"/>
          <w:sz w:val="24"/>
        </w:rPr>
        <w:t> (s 12);</w:t>
      </w:r>
    </w:p>
    <w:p>
      <w:pPr>
        <w:pStyle w:val="CaselawNumbered1"/>
        <w:numPr>
          <w:ilvl w:val="0"/>
          <w:numId w:val="49"/>
        </w:numPr>
        <w:spacing w:before="150" w:after="0"/>
        <w:ind w:left="1350" w:hanging="750"/>
      </w:pPr>
      <w:r>
        <w:rPr>
          <w:rFonts w:ascii="Arial"/>
          <w:color w:val="000000"/>
          <w:sz w:val="24"/>
        </w:rPr>
        <w:t>identify the public interest against disclosure with reference to the items listed in the Table to s 14 of the GIPA Act (the</w:t>
      </w:r>
      <w:r>
        <w:rPr>
          <w:rFonts w:ascii="Arial"/>
          <w:color w:val="000000"/>
          <w:sz w:val="24"/>
        </w:rPr>
        <w:t> s 14</w:t>
      </w:r>
      <w:r>
        <w:rPr>
          <w:rFonts w:ascii="Arial"/>
          <w:color w:val="000000"/>
          <w:sz w:val="24"/>
        </w:rPr>
        <w:t> Table); and</w:t>
      </w:r>
    </w:p>
    <w:p>
      <w:pPr>
        <w:pStyle w:val="CaselawNumbered1"/>
        <w:numPr>
          <w:ilvl w:val="0"/>
          <w:numId w:val="49"/>
        </w:numPr>
        <w:spacing w:before="150" w:after="0"/>
        <w:ind w:left="1350" w:hanging="750"/>
      </w:pPr>
      <w:r>
        <w:rPr>
          <w:rFonts w:ascii="Arial"/>
          <w:color w:val="000000"/>
          <w:sz w:val="24"/>
        </w:rPr>
        <w:t>determine</w:t>
      </w:r>
      <w:r>
        <w:rPr>
          <w:rFonts w:ascii="Arial"/>
          <w:color w:val="000000"/>
          <w:sz w:val="24"/>
        </w:rPr>
        <w:t> whether</w:t>
      </w:r>
      <w:r>
        <w:rPr>
          <w:rFonts w:ascii="Arial"/>
          <w:color w:val="000000"/>
          <w:sz w:val="24"/>
        </w:rPr>
        <w:t> the balance</w:t>
      </w:r>
      <w:r>
        <w:rPr>
          <w:rFonts w:ascii="Arial"/>
          <w:color w:val="000000"/>
          <w:sz w:val="24"/>
        </w:rPr>
        <w:t> of the public interest</w:t>
      </w:r>
      <w:r>
        <w:rPr>
          <w:rFonts w:ascii="Arial"/>
          <w:color w:val="000000"/>
          <w:sz w:val="24"/>
        </w:rPr>
        <w:t> lies</w:t>
      </w:r>
      <w:r>
        <w:rPr>
          <w:rFonts w:ascii="Arial"/>
          <w:color w:val="000000"/>
          <w:sz w:val="24"/>
        </w:rPr>
        <w:t> in favour of,</w:t>
      </w:r>
      <w:r>
        <w:rPr>
          <w:rFonts w:ascii="Arial"/>
          <w:color w:val="000000"/>
          <w:sz w:val="24"/>
        </w:rPr>
        <w:t> or against,</w:t>
      </w:r>
      <w:r>
        <w:rPr>
          <w:rFonts w:ascii="Arial"/>
          <w:color w:val="000000"/>
          <w:sz w:val="24"/>
        </w:rPr>
        <w:t> the disclosure of government information.</w:t>
      </w:r>
    </w:p>
    <w:p>
      <w:pPr>
        <w:pStyle w:val="CaselawNumbered10"/>
        <w:numPr>
          <w:ilvl w:val="0"/>
          <w:numId w:val="50"/>
        </w:numPr>
        <w:spacing w:before="150" w:after="0"/>
        <w:ind w:left="600" w:hanging="600"/>
      </w:pPr>
      <w:r>
        <w:rPr>
          <w:rFonts w:ascii="Arial"/>
          <w:color w:val="000000"/>
          <w:sz w:val="24"/>
        </w:rPr>
        <w:t>Section 14 relevantly provides:</w:t>
      </w:r>
    </w:p>
    <w:p>
      <w:pPr>
        <w:pStyle w:val="CaselawQuote"/>
        <w:spacing w:before="150" w:after="150"/>
        <w:ind w:left="1350"/>
        <w:jc w:val="left"/>
      </w:pPr>
      <w:r>
        <w:rPr>
          <w:rFonts w:ascii="Arial"/>
          <w:color w:val="000000"/>
          <w:sz w:val="22"/>
        </w:rPr>
        <w:t>14.   Public interest considerations against disclosure</w:t>
      </w:r>
    </w:p>
    <w:p>
      <w:pPr>
        <w:pStyle w:val="CaselawQuote"/>
        <w:spacing w:before="150" w:after="150"/>
        <w:ind w:left="1350"/>
        <w:jc w:val="left"/>
      </w:pPr>
      <w:r>
        <w:rPr>
          <w:rFonts w:ascii="Arial"/>
          <w:color w:val="000000"/>
          <w:sz w:val="22"/>
        </w:rPr>
        <w:t>(1)   It is to be conclusively presumed that there is an overriding public interest against disclosure of any of the government information described in Schedule 1.</w:t>
      </w:r>
    </w:p>
    <w:p>
      <w:pPr>
        <w:pStyle w:val="CaselawQuote"/>
        <w:spacing w:before="150" w:after="150"/>
        <w:ind w:left="1350"/>
        <w:jc w:val="left"/>
      </w:pPr>
      <w:r>
        <w:rPr>
          <w:rFonts w:ascii="Arial"/>
          <w:color w:val="000000"/>
          <w:sz w:val="22"/>
        </w:rPr>
        <w:t>(2)   The public interest considerations listed in the Table to this section are the only other considerations that may be taken into account under this Act as public interest considerations against disclosure for the purpose of determining whether there is an overriding public interest against disclosure of government information.</w:t>
      </w:r>
    </w:p>
    <w:p>
      <w:pPr>
        <w:pStyle w:val="CaselawNumbered10"/>
        <w:numPr>
          <w:ilvl w:val="0"/>
          <w:numId w:val="51"/>
        </w:numPr>
        <w:spacing w:before="150" w:after="0"/>
        <w:ind w:left="600" w:hanging="600"/>
      </w:pPr>
      <w:r>
        <w:rPr>
          <w:rFonts w:ascii="Arial"/>
          <w:color w:val="000000"/>
          <w:sz w:val="24"/>
        </w:rPr>
        <w:t>T</w:t>
      </w:r>
      <w:r>
        <w:rPr>
          <w:rFonts w:ascii="Arial"/>
          <w:color w:val="000000"/>
          <w:sz w:val="24"/>
        </w:rPr>
        <w:t>he</w:t>
      </w:r>
      <w:r>
        <w:rPr>
          <w:rFonts w:ascii="Arial"/>
          <w:color w:val="000000"/>
          <w:sz w:val="24"/>
        </w:rPr>
        <w:t> s 14 Table</w:t>
      </w:r>
      <w:r>
        <w:rPr>
          <w:rFonts w:ascii="Arial"/>
          <w:color w:val="000000"/>
          <w:sz w:val="24"/>
        </w:rPr>
        <w:t> </w:t>
      </w:r>
      <w:r>
        <w:rPr>
          <w:rFonts w:ascii="Arial"/>
          <w:color w:val="000000"/>
          <w:sz w:val="24"/>
        </w:rPr>
        <w:t xml:space="preserve">lists </w:t>
      </w:r>
      <w:r>
        <w:rPr>
          <w:rFonts w:ascii="Arial"/>
          <w:color w:val="000000"/>
          <w:sz w:val="24"/>
        </w:rPr>
        <w:t>“</w:t>
      </w:r>
      <w:r>
        <w:rPr>
          <w:rFonts w:ascii="Arial"/>
          <w:color w:val="000000"/>
          <w:sz w:val="24"/>
        </w:rPr>
        <w:t>public interest considerations</w:t>
      </w:r>
      <w:r>
        <w:rPr>
          <w:rFonts w:ascii="Arial"/>
          <w:color w:val="000000"/>
          <w:sz w:val="24"/>
        </w:rPr>
        <w:t>”</w:t>
      </w:r>
      <w:r>
        <w:rPr>
          <w:rFonts w:ascii="Arial"/>
          <w:color w:val="000000"/>
          <w:sz w:val="24"/>
        </w:rPr>
        <w:t xml:space="preserve"> </w:t>
      </w:r>
      <w:r>
        <w:rPr>
          <w:rFonts w:ascii="Arial"/>
          <w:color w:val="000000"/>
          <w:sz w:val="24"/>
        </w:rPr>
        <w:t xml:space="preserve">against the disclosure of government information </w:t>
      </w:r>
      <w:r>
        <w:rPr>
          <w:rFonts w:ascii="Arial"/>
          <w:color w:val="000000"/>
          <w:sz w:val="24"/>
        </w:rPr>
        <w:t>which includes</w:t>
      </w:r>
      <w:r>
        <w:rPr>
          <w:rFonts w:ascii="Arial"/>
          <w:color w:val="000000"/>
          <w:sz w:val="24"/>
        </w:rPr>
        <w:t>:</w:t>
      </w:r>
    </w:p>
    <w:p>
      <w:pPr>
        <w:pStyle w:val="CaselawQuote"/>
        <w:spacing w:before="150" w:after="150"/>
        <w:ind w:left="1350"/>
        <w:jc w:val="left"/>
      </w:pPr>
      <w:r>
        <w:rPr>
          <w:rFonts w:ascii="Arial"/>
          <w:b/>
          <w:color w:val="000000"/>
          <w:sz w:val="22"/>
        </w:rPr>
        <w:t>3.   Individual rights, judicial processes and natural justice</w:t>
      </w:r>
    </w:p>
    <w:p>
      <w:pPr>
        <w:pStyle w:val="CaselawQuote"/>
        <w:spacing w:before="150" w:after="150"/>
        <w:ind w:left="1350"/>
        <w:jc w:val="left"/>
      </w:pPr>
      <w:r>
        <w:rPr>
          <w:rFonts w:ascii="Arial"/>
          <w:color w:val="000000"/>
          <w:sz w:val="22"/>
        </w:rPr>
        <w:t>There is a public interest consideration against disclosure of information if disclosure of the information could reasonably be expected to have one or more of the following effects—</w:t>
      </w:r>
    </w:p>
    <w:p>
      <w:pPr>
        <w:pStyle w:val="CaselawQuote0"/>
        <w:spacing w:before="150" w:after="150"/>
        <w:ind w:left="2100"/>
        <w:jc w:val="left"/>
      </w:pPr>
      <w:r>
        <w:rPr>
          <w:rFonts w:ascii="Arial"/>
          <w:color w:val="000000"/>
          <w:sz w:val="22"/>
        </w:rPr>
        <w:t>(a)   reveal an individual’s personal information,</w:t>
      </w:r>
    </w:p>
    <w:p>
      <w:pPr>
        <w:pStyle w:val="CaselawQuote0"/>
        <w:spacing w:before="150" w:after="150"/>
        <w:ind w:left="2100"/>
        <w:jc w:val="left"/>
      </w:pPr>
      <w:r>
        <w:rPr>
          <w:rFonts w:ascii="Arial"/>
          <w:color w:val="000000"/>
          <w:sz w:val="22"/>
        </w:rPr>
        <w:t>(b)   contravene an information protection principle under the </w:t>
      </w:r>
      <w:r>
        <w:rPr>
          <w:rFonts w:ascii="Arial"/>
          <w:i/>
          <w:color w:val="000000"/>
          <w:sz w:val="22"/>
        </w:rPr>
        <w:t>Privacy and Personal Information Protection Act 1998</w:t>
      </w:r>
      <w:r>
        <w:rPr>
          <w:rFonts w:ascii="Arial"/>
          <w:color w:val="000000"/>
          <w:sz w:val="22"/>
        </w:rPr>
        <w:t> or a Health Privacy Principle under the </w:t>
      </w:r>
      <w:r>
        <w:rPr>
          <w:rFonts w:ascii="Arial"/>
          <w:i/>
          <w:color w:val="000000"/>
          <w:sz w:val="22"/>
        </w:rPr>
        <w:t>Health Records and Information Privacy Act 2002.</w:t>
      </w:r>
    </w:p>
    <w:p>
      <w:pPr>
        <w:pStyle w:val="CaselawNumbered10"/>
        <w:numPr>
          <w:ilvl w:val="0"/>
          <w:numId w:val="52"/>
        </w:numPr>
        <w:spacing w:before="150" w:after="0"/>
        <w:ind w:left="600" w:hanging="600"/>
      </w:pPr>
      <w:r>
        <w:rPr>
          <w:rFonts w:ascii="Arial"/>
          <w:color w:val="000000"/>
          <w:sz w:val="24"/>
        </w:rPr>
        <w:t>Schedule 4, claus</w:t>
      </w:r>
      <w:r>
        <w:rPr>
          <w:rFonts w:ascii="Arial"/>
          <w:color w:val="000000"/>
          <w:sz w:val="24"/>
        </w:rPr>
        <w:t>e 4 of the GIPA Act</w:t>
      </w:r>
      <w:r>
        <w:rPr>
          <w:rFonts w:ascii="Arial"/>
          <w:color w:val="000000"/>
          <w:sz w:val="24"/>
        </w:rPr>
        <w:t xml:space="preserve"> </w:t>
      </w:r>
      <w:r>
        <w:rPr>
          <w:rFonts w:ascii="Arial"/>
          <w:color w:val="000000"/>
          <w:sz w:val="24"/>
        </w:rPr>
        <w:t xml:space="preserve">contains the definition of </w:t>
      </w:r>
      <w:r>
        <w:rPr>
          <w:rFonts w:ascii="Arial"/>
          <w:color w:val="000000"/>
          <w:sz w:val="24"/>
        </w:rPr>
        <w:t>“</w:t>
      </w:r>
      <w:r>
        <w:rPr>
          <w:rFonts w:ascii="Arial"/>
          <w:color w:val="000000"/>
          <w:sz w:val="24"/>
        </w:rPr>
        <w:t>personal information</w:t>
      </w:r>
      <w:r>
        <w:rPr>
          <w:rFonts w:ascii="Arial"/>
          <w:color w:val="000000"/>
          <w:sz w:val="24"/>
        </w:rPr>
        <w:t>”</w:t>
      </w:r>
      <w:r>
        <w:rPr>
          <w:rFonts w:ascii="Arial"/>
          <w:color w:val="000000"/>
          <w:sz w:val="24"/>
        </w:rPr>
        <w:t xml:space="preserve"> </w:t>
      </w:r>
      <w:r>
        <w:rPr>
          <w:rFonts w:ascii="Arial"/>
          <w:color w:val="000000"/>
          <w:sz w:val="24"/>
        </w:rPr>
        <w:t>for the purposes of the Act. It provides, relevantly:</w:t>
      </w:r>
    </w:p>
    <w:p>
      <w:pPr>
        <w:pStyle w:val="CaselawQuote"/>
        <w:spacing w:before="150" w:after="150"/>
        <w:ind w:left="1350"/>
        <w:jc w:val="left"/>
      </w:pPr>
      <w:r>
        <w:rPr>
          <w:rFonts w:ascii="Arial"/>
          <w:b/>
          <w:color w:val="000000"/>
          <w:sz w:val="22"/>
        </w:rPr>
        <w:t>4   Personal information</w:t>
      </w:r>
    </w:p>
    <w:p>
      <w:pPr>
        <w:pStyle w:val="CaselawQuote"/>
        <w:spacing w:before="150" w:after="150"/>
        <w:ind w:left="1350"/>
        <w:jc w:val="left"/>
      </w:pPr>
      <w:r>
        <w:rPr>
          <w:rFonts w:ascii="Arial"/>
          <w:color w:val="000000"/>
          <w:sz w:val="22"/>
        </w:rPr>
        <w:t>(1)   In this Act, ”personal information” means information or an opinion (including information or an opinion forming part of a database and whether or not recorded in a material form) about an individual (whether living or dead) whose identity is apparent or can reasonably be ascertained from the information or opinion.</w:t>
      </w:r>
    </w:p>
    <w:p>
      <w:pPr>
        <w:pStyle w:val="CaselawQuote"/>
        <w:spacing w:before="150" w:after="150"/>
        <w:ind w:left="1350"/>
        <w:jc w:val="left"/>
      </w:pPr>
      <w:r>
        <w:rPr>
          <w:rFonts w:ascii="Arial"/>
          <w:color w:val="000000"/>
          <w:sz w:val="22"/>
        </w:rPr>
        <w:t>(2)   Personal information includes such things as an individual’s fingerprints, retina prints, body samples or genetic characteristics.</w:t>
      </w:r>
    </w:p>
    <w:p>
      <w:pPr>
        <w:pStyle w:val="CaselawQuote"/>
        <w:spacing w:before="150" w:after="150"/>
        <w:ind w:left="1350"/>
        <w:jc w:val="left"/>
      </w:pPr>
      <w:r>
        <w:rPr>
          <w:rFonts w:ascii="Arial"/>
          <w:color w:val="000000"/>
          <w:sz w:val="22"/>
        </w:rPr>
        <w:t>(3)   Personal information does not include any of the following:</w:t>
      </w:r>
    </w:p>
    <w:p>
      <w:pPr>
        <w:pStyle w:val="CaselawQuote0"/>
        <w:spacing w:before="150" w:after="150"/>
        <w:ind w:left="2100"/>
        <w:jc w:val="left"/>
      </w:pPr>
      <w:r>
        <w:rPr>
          <w:rFonts w:ascii="Arial"/>
          <w:color w:val="000000"/>
          <w:sz w:val="22"/>
        </w:rPr>
        <w:t>…</w:t>
      </w:r>
    </w:p>
    <w:p>
      <w:pPr>
        <w:pStyle w:val="CaselawQuote0"/>
        <w:spacing w:before="150" w:after="150"/>
        <w:ind w:left="2100"/>
        <w:jc w:val="left"/>
      </w:pPr>
      <w:r>
        <w:rPr>
          <w:rFonts w:ascii="Arial"/>
          <w:color w:val="000000"/>
          <w:sz w:val="22"/>
        </w:rPr>
        <w:t>(b)   information about an individual (comprising the individual’s name and non-personal contact details, including the individual’s position title, public functions and the agency in which the individual works) that reveals nothing more than the fact that the person was engaged in the exercise of public functions,</w:t>
      </w:r>
    </w:p>
    <w:p>
      <w:pPr>
        <w:pStyle w:val="CaselawQuote"/>
        <w:spacing w:before="150" w:after="150"/>
        <w:ind w:left="1350"/>
        <w:jc w:val="left"/>
      </w:pPr>
      <w:r>
        <w:rPr>
          <w:rFonts w:ascii="Arial"/>
          <w:color w:val="000000"/>
          <w:sz w:val="22"/>
        </w:rPr>
        <w:t>…</w:t>
      </w:r>
    </w:p>
    <w:p>
      <w:pPr>
        <w:pStyle w:val="CaselawNumbered10"/>
        <w:numPr>
          <w:ilvl w:val="0"/>
          <w:numId w:val="53"/>
        </w:numPr>
        <w:spacing w:before="150" w:after="0"/>
        <w:ind w:left="600" w:hanging="600"/>
      </w:pPr>
      <w:r>
        <w:rPr>
          <w:rFonts w:ascii="Arial"/>
          <w:color w:val="000000"/>
          <w:sz w:val="24"/>
        </w:rPr>
        <w:t>Part 2, Division</w:t>
      </w:r>
      <w:r>
        <w:rPr>
          <w:rFonts w:ascii="Arial"/>
          <w:color w:val="000000"/>
          <w:sz w:val="24"/>
        </w:rPr>
        <w:t> 1</w:t>
      </w:r>
      <w:r>
        <w:rPr>
          <w:rFonts w:ascii="Arial"/>
          <w:color w:val="000000"/>
          <w:sz w:val="24"/>
        </w:rPr>
        <w:t> of the</w:t>
      </w:r>
      <w:r>
        <w:rPr>
          <w:rFonts w:ascii="Arial"/>
          <w:color w:val="000000"/>
          <w:sz w:val="24"/>
        </w:rPr>
        <w:t> </w:t>
      </w:r>
      <w:r>
        <w:rPr>
          <w:rFonts w:ascii="Arial"/>
          <w:i/>
          <w:color w:val="000000"/>
          <w:sz w:val="24"/>
        </w:rPr>
        <w:t>Privacy and Personal Information Protection Act 1998</w:t>
      </w:r>
      <w:r>
        <w:rPr>
          <w:rFonts w:ascii="Arial"/>
          <w:color w:val="000000"/>
          <w:sz w:val="24"/>
        </w:rPr>
        <w:t> (NSW)</w:t>
      </w:r>
      <w:r>
        <w:rPr>
          <w:rFonts w:ascii="Arial"/>
          <w:color w:val="000000"/>
          <w:sz w:val="24"/>
        </w:rPr>
        <w:t> (</w:t>
      </w:r>
      <w:r>
        <w:rPr>
          <w:rFonts w:ascii="Arial"/>
          <w:b/>
          <w:color w:val="000000"/>
          <w:sz w:val="24"/>
        </w:rPr>
        <w:t>PPIP Act</w:t>
      </w:r>
      <w:r>
        <w:rPr>
          <w:rFonts w:ascii="Arial"/>
          <w:color w:val="000000"/>
          <w:sz w:val="24"/>
        </w:rPr>
        <w:t xml:space="preserve">) sets out the </w:t>
      </w:r>
      <w:r>
        <w:rPr>
          <w:rFonts w:ascii="Arial"/>
          <w:color w:val="000000"/>
          <w:sz w:val="24"/>
        </w:rPr>
        <w:t>“</w:t>
      </w:r>
      <w:r>
        <w:rPr>
          <w:rFonts w:ascii="Arial"/>
          <w:color w:val="000000"/>
          <w:sz w:val="24"/>
        </w:rPr>
        <w:t>information protection principles</w:t>
      </w:r>
      <w:r>
        <w:rPr>
          <w:rFonts w:ascii="Arial"/>
          <w:color w:val="000000"/>
          <w:sz w:val="24"/>
        </w:rPr>
        <w:t>”</w:t>
      </w:r>
      <w:r>
        <w:rPr>
          <w:rFonts w:ascii="Arial"/>
          <w:color w:val="000000"/>
          <w:sz w:val="24"/>
        </w:rPr>
        <w:t xml:space="preserve"> </w:t>
      </w:r>
      <w:r>
        <w:rPr>
          <w:rFonts w:ascii="Arial"/>
          <w:color w:val="000000"/>
          <w:sz w:val="24"/>
        </w:rPr>
        <w:t>prescribed by that Act. Section 18 relevantly provides</w:t>
      </w:r>
      <w:r>
        <w:rPr>
          <w:rFonts w:ascii="Arial"/>
          <w:color w:val="000000"/>
          <w:sz w:val="24"/>
        </w:rPr>
        <w:t>:</w:t>
      </w:r>
    </w:p>
    <w:p>
      <w:pPr>
        <w:pStyle w:val="CaselawQuote"/>
        <w:spacing w:before="150" w:after="150"/>
        <w:ind w:left="1350"/>
        <w:jc w:val="left"/>
      </w:pPr>
      <w:r>
        <w:rPr>
          <w:rFonts w:ascii="Arial"/>
          <w:b/>
          <w:color w:val="000000"/>
          <w:sz w:val="22"/>
        </w:rPr>
        <w:t>18   Limits on disclosure of personal information</w:t>
      </w:r>
    </w:p>
    <w:p>
      <w:pPr>
        <w:pStyle w:val="CaselawQuote"/>
        <w:spacing w:before="150" w:after="150"/>
        <w:ind w:left="1350"/>
        <w:jc w:val="left"/>
      </w:pPr>
      <w:r>
        <w:rPr>
          <w:rFonts w:ascii="Arial"/>
          <w:color w:val="000000"/>
          <w:sz w:val="22"/>
        </w:rPr>
        <w:t>(1)   A public sector agency that holds personal information must not disclose the information to a person (other than the individual to whom the information relates) or other body, whether or not such other person or body is a public sector agency, unless –</w:t>
      </w:r>
    </w:p>
    <w:p>
      <w:pPr>
        <w:pStyle w:val="CaselawQuote0"/>
        <w:spacing w:before="150" w:after="150"/>
        <w:ind w:left="2100"/>
        <w:jc w:val="left"/>
      </w:pPr>
      <w:r>
        <w:rPr>
          <w:rFonts w:ascii="Arial"/>
          <w:color w:val="000000"/>
          <w:sz w:val="22"/>
        </w:rPr>
        <w:t>(a)   the disclosure is directly related to the purpose for which the information was collected, and the agency disclosing the information has no reason to believe that the individual concerned would object to the disclosure, or</w:t>
      </w:r>
    </w:p>
    <w:p>
      <w:pPr>
        <w:pStyle w:val="CaselawQuote0"/>
        <w:spacing w:before="150" w:after="150"/>
        <w:ind w:left="2100"/>
        <w:jc w:val="left"/>
      </w:pPr>
      <w:r>
        <w:rPr>
          <w:rFonts w:ascii="Arial"/>
          <w:color w:val="000000"/>
          <w:sz w:val="22"/>
        </w:rPr>
        <w:t>(b)   the individual concerned is reasonably likely to have been aware, or has been made aware in accordance with section 10, that information of that kind is usually disclosed to that other person or body, or</w:t>
      </w:r>
    </w:p>
    <w:p>
      <w:pPr>
        <w:pStyle w:val="CaselawQuote0"/>
        <w:spacing w:before="150" w:after="150"/>
        <w:ind w:left="2100"/>
        <w:jc w:val="left"/>
      </w:pPr>
      <w:r>
        <w:rPr>
          <w:rFonts w:ascii="Arial"/>
          <w:color w:val="000000"/>
          <w:sz w:val="22"/>
        </w:rPr>
        <w:t>(c)   the agency believes on reasonable grounds that the disclosure is necessary to prevent or lessen a serious and imminent threat to the life or health of the individual concerned or another person.</w:t>
      </w:r>
    </w:p>
    <w:p>
      <w:pPr>
        <w:pStyle w:val="CaselawQuote"/>
        <w:spacing w:before="150" w:after="150"/>
        <w:ind w:left="1350"/>
        <w:jc w:val="left"/>
      </w:pPr>
      <w:r>
        <w:rPr>
          <w:rFonts w:ascii="Arial"/>
          <w:color w:val="000000"/>
          <w:sz w:val="22"/>
        </w:rPr>
        <w:t>…</w:t>
      </w:r>
    </w:p>
    <w:p>
      <w:pPr>
        <w:pStyle w:val="CaselawNumbered10"/>
        <w:numPr>
          <w:ilvl w:val="0"/>
          <w:numId w:val="54"/>
        </w:numPr>
        <w:spacing w:before="150" w:after="0"/>
        <w:ind w:left="600" w:hanging="600"/>
      </w:pPr>
      <w:r>
        <w:rPr>
          <w:rFonts w:ascii="Arial"/>
          <w:color w:val="000000"/>
          <w:sz w:val="24"/>
        </w:rPr>
        <w:t>The term</w:t>
      </w:r>
      <w:r>
        <w:rPr>
          <w:rFonts w:ascii="Arial"/>
          <w:color w:val="000000"/>
          <w:sz w:val="24"/>
        </w:rPr>
        <w:t> </w:t>
      </w:r>
      <w:r>
        <w:rPr>
          <w:rFonts w:ascii="Arial"/>
          <w:color w:val="000000"/>
          <w:sz w:val="24"/>
        </w:rPr>
        <w:t>”</w:t>
      </w:r>
      <w:r>
        <w:rPr>
          <w:rFonts w:ascii="Arial"/>
          <w:color w:val="000000"/>
          <w:sz w:val="24"/>
        </w:rPr>
        <w:t>personal information</w:t>
      </w:r>
      <w:r>
        <w:rPr>
          <w:rFonts w:ascii="Arial"/>
          <w:color w:val="000000"/>
          <w:sz w:val="24"/>
        </w:rPr>
        <w:t>”</w:t>
      </w:r>
      <w:r>
        <w:rPr>
          <w:rFonts w:ascii="Arial"/>
          <w:color w:val="000000"/>
          <w:sz w:val="24"/>
        </w:rPr>
        <w:t> is defined</w:t>
      </w:r>
      <w:r>
        <w:rPr>
          <w:rFonts w:ascii="Arial"/>
          <w:color w:val="000000"/>
          <w:sz w:val="24"/>
        </w:rPr>
        <w:t> in s 4 of the PPIP Act, relevantly, as follows:</w:t>
      </w:r>
    </w:p>
    <w:p>
      <w:pPr>
        <w:pStyle w:val="CaselawQuote"/>
        <w:spacing w:before="150" w:after="150"/>
        <w:ind w:left="1350"/>
        <w:jc w:val="left"/>
      </w:pPr>
      <w:r>
        <w:rPr>
          <w:rFonts w:ascii="Arial"/>
          <w:b/>
          <w:color w:val="000000"/>
          <w:sz w:val="22"/>
        </w:rPr>
        <w:t xml:space="preserve">4   Definition of </w:t>
      </w:r>
      <w:r>
        <w:rPr>
          <w:rFonts w:ascii="Arial"/>
          <w:b/>
          <w:color w:val="000000"/>
          <w:sz w:val="22"/>
        </w:rPr>
        <w:t>“Personal Information”</w:t>
      </w:r>
    </w:p>
    <w:p>
      <w:pPr>
        <w:pStyle w:val="CaselawQuote"/>
        <w:spacing w:before="150" w:after="150"/>
        <w:ind w:left="1350"/>
        <w:jc w:val="left"/>
      </w:pPr>
      <w:r>
        <w:rPr>
          <w:rFonts w:ascii="Arial"/>
          <w:color w:val="000000"/>
          <w:sz w:val="22"/>
        </w:rPr>
        <w:t>(1)   In this Act, ”personal information” means information or an opinion (including information or an opinion forming part of a database and whether or not recorded in a material form) about an individual whose identity is apparent or can reasonably be ascertained from the information or opinion.</w:t>
      </w:r>
    </w:p>
    <w:p>
      <w:pPr>
        <w:pStyle w:val="CaselawQuote"/>
        <w:spacing w:before="150" w:after="150"/>
        <w:ind w:left="1350"/>
        <w:jc w:val="left"/>
      </w:pPr>
      <w:r>
        <w:rPr>
          <w:rFonts w:ascii="Arial"/>
          <w:color w:val="000000"/>
          <w:sz w:val="22"/>
        </w:rPr>
        <w:t>…</w:t>
      </w:r>
    </w:p>
    <w:p>
      <w:pPr>
        <w:pStyle w:val="CaselawHeading2"/>
        <w:keepNext/>
        <w:spacing w:before="150" w:after="150" w:line="264"/>
        <w:ind w:left="0"/>
        <w:jc w:val="left"/>
      </w:pPr>
      <w:r>
        <w:rPr>
          <w:rFonts w:ascii="Arial"/>
        </w:rPr>
        <w:t>The Applicant’</w:t>
      </w:r>
      <w:r>
        <w:rPr>
          <w:rFonts w:ascii="Arial"/>
        </w:rPr>
        <w:t xml:space="preserve">s submissions </w:t>
      </w:r>
      <w:r>
        <w:rPr>
          <w:rFonts w:ascii="Arial"/>
        </w:rPr>
        <w:t>and claims</w:t>
      </w:r>
    </w:p>
    <w:p>
      <w:pPr>
        <w:pStyle w:val="CaselawNumbered10"/>
        <w:numPr>
          <w:ilvl w:val="0"/>
          <w:numId w:val="55"/>
        </w:numPr>
        <w:spacing w:before="150" w:after="0"/>
        <w:ind w:left="600" w:hanging="600"/>
      </w:pPr>
      <w:r>
        <w:rPr>
          <w:rFonts w:ascii="Arial"/>
          <w:color w:val="000000"/>
          <w:sz w:val="24"/>
        </w:rPr>
        <w:t xml:space="preserve">I turn now to deal with the breadth of the claims and submissions made by the Applicant. </w:t>
      </w:r>
    </w:p>
    <w:p>
      <w:pPr>
        <w:pStyle w:val="CaselawNumbered10"/>
        <w:numPr>
          <w:ilvl w:val="0"/>
          <w:numId w:val="55"/>
        </w:numPr>
        <w:spacing w:before="150" w:after="0"/>
        <w:ind w:left="600" w:hanging="600"/>
      </w:pPr>
      <w:r>
        <w:rPr>
          <w:rFonts w:ascii="Arial"/>
          <w:color w:val="000000"/>
          <w:sz w:val="24"/>
        </w:rPr>
        <w:t xml:space="preserve">The grounds of the Application are set out at paragraph </w:t>
      </w:r>
      <w:hyperlink r:id="rId13">
        <w:r>
          <w:rPr>
            <w:rFonts w:ascii="Arial"/>
            <w:color w:val="000000"/>
            <w:sz w:val="24"/>
            <w:u w:val="single"/>
          </w:rPr>
          <w:t/>
        </w:r>
        <w:r>
          <w:rPr>
            <w:rFonts w:ascii="Arial"/>
            <w:color w:val="000000"/>
            <w:sz w:val="24"/>
          </w:rPr>
          <w:t>10</w:t>
        </w:r>
      </w:hyperlink>
      <w:hyperlink r:id="rId14">
        <w:r>
          <w:rPr>
            <w:rFonts w:ascii="Arial"/>
            <w:color w:val="000000"/>
            <w:sz w:val="24"/>
          </w:rPr>
          <w:t/>
        </w:r>
      </w:hyperlink>
      <w:r>
        <w:rPr>
          <w:rFonts w:ascii="Arial"/>
          <w:color w:val="000000"/>
          <w:sz w:val="24"/>
        </w:rPr>
        <w:t xml:space="preserve"> </w:t>
      </w:r>
      <w:r>
        <w:rPr>
          <w:rFonts w:ascii="Arial"/>
          <w:color w:val="000000"/>
          <w:sz w:val="24"/>
        </w:rPr>
        <w:t xml:space="preserve">above. </w:t>
      </w:r>
    </w:p>
    <w:p>
      <w:pPr>
        <w:pStyle w:val="CaselawHeading3"/>
        <w:keepNext/>
        <w:spacing w:before="150" w:after="150" w:line="264"/>
        <w:ind w:left="0"/>
        <w:jc w:val="left"/>
      </w:pPr>
      <w:r>
        <w:rPr>
          <w:rFonts w:ascii="Arial"/>
        </w:rPr>
        <w:t>Maters within the scope of this review</w:t>
      </w:r>
    </w:p>
    <w:p>
      <w:pPr>
        <w:pStyle w:val="CaselawNumbered10"/>
        <w:numPr>
          <w:ilvl w:val="0"/>
          <w:numId w:val="56"/>
        </w:numPr>
        <w:spacing w:before="150" w:after="0"/>
        <w:ind w:left="600" w:hanging="600"/>
      </w:pPr>
      <w:r>
        <w:rPr>
          <w:rFonts w:ascii="Arial"/>
          <w:color w:val="000000"/>
          <w:sz w:val="24"/>
        </w:rPr>
        <w:t xml:space="preserve">The </w:t>
      </w:r>
      <w:r>
        <w:rPr>
          <w:rFonts w:ascii="Arial"/>
          <w:color w:val="000000"/>
          <w:sz w:val="24"/>
        </w:rPr>
        <w:t xml:space="preserve">following matters raised by the Applicant </w:t>
      </w:r>
      <w:r>
        <w:rPr>
          <w:rFonts w:ascii="Arial"/>
          <w:color w:val="000000"/>
          <w:sz w:val="24"/>
        </w:rPr>
        <w:t xml:space="preserve">are </w:t>
      </w:r>
      <w:r>
        <w:rPr>
          <w:rFonts w:ascii="Arial"/>
          <w:color w:val="000000"/>
          <w:sz w:val="24"/>
        </w:rPr>
        <w:t xml:space="preserve">relevant to my review, </w:t>
      </w:r>
      <w:r>
        <w:rPr>
          <w:rFonts w:ascii="Arial"/>
          <w:color w:val="000000"/>
          <w:sz w:val="24"/>
        </w:rPr>
        <w:t>but subject to limits:</w:t>
      </w:r>
    </w:p>
    <w:p>
      <w:pPr>
        <w:pStyle w:val="CaselawNumbered1"/>
        <w:numPr>
          <w:ilvl w:val="0"/>
          <w:numId w:val="57"/>
        </w:numPr>
        <w:spacing w:before="150" w:after="0"/>
        <w:ind w:left="1350" w:hanging="750"/>
      </w:pPr>
      <w:r>
        <w:rPr>
          <w:rFonts w:ascii="Arial"/>
          <w:color w:val="000000"/>
          <w:sz w:val="24"/>
        </w:rPr>
        <w:t>Inadequate searches</w:t>
      </w:r>
      <w:r>
        <w:rPr>
          <w:rFonts w:ascii="Arial"/>
          <w:color w:val="000000"/>
          <w:sz w:val="24"/>
        </w:rPr>
        <w:t xml:space="preserve">: </w:t>
      </w:r>
      <w:r>
        <w:rPr>
          <w:rFonts w:ascii="Arial"/>
          <w:color w:val="000000"/>
          <w:sz w:val="24"/>
        </w:rPr>
        <w:t xml:space="preserve">The Applicant says the </w:t>
      </w:r>
      <w:r>
        <w:rPr>
          <w:rFonts w:ascii="Arial"/>
          <w:color w:val="000000"/>
          <w:sz w:val="24"/>
        </w:rPr>
        <w:t>“</w:t>
      </w:r>
      <w:r>
        <w:rPr>
          <w:rFonts w:ascii="Arial"/>
          <w:color w:val="000000"/>
          <w:sz w:val="24"/>
        </w:rPr>
        <w:t>decision maker</w:t>
      </w:r>
      <w:r>
        <w:rPr>
          <w:rFonts w:ascii="Arial"/>
          <w:color w:val="000000"/>
          <w:sz w:val="24"/>
        </w:rPr>
        <w:t>”</w:t>
      </w:r>
      <w:r>
        <w:rPr>
          <w:rFonts w:ascii="Arial"/>
          <w:color w:val="000000"/>
          <w:sz w:val="24"/>
        </w:rPr>
        <w:t xml:space="preserve"> </w:t>
      </w:r>
      <w:r>
        <w:rPr>
          <w:rFonts w:ascii="Arial"/>
          <w:color w:val="000000"/>
          <w:sz w:val="24"/>
        </w:rPr>
        <w:t xml:space="preserve">(of the Original Decision) claims to have consulted with relevant staff, but provides no evidence of thorough searches being conducted for the specific documents and information </w:t>
      </w:r>
      <w:r>
        <w:rPr>
          <w:rFonts w:ascii="Arial"/>
          <w:color w:val="000000"/>
          <w:sz w:val="24"/>
        </w:rPr>
        <w:t>he</w:t>
      </w:r>
      <w:r>
        <w:rPr>
          <w:rFonts w:ascii="Arial"/>
          <w:color w:val="000000"/>
          <w:sz w:val="24"/>
        </w:rPr>
        <w:t xml:space="preserve"> </w:t>
      </w:r>
      <w:r>
        <w:rPr>
          <w:rFonts w:ascii="Arial"/>
          <w:color w:val="000000"/>
          <w:sz w:val="24"/>
        </w:rPr>
        <w:t>requested particularly regarding the investigation of Option B as directed by Council resolution 07.22.290.</w:t>
      </w:r>
    </w:p>
    <w:p>
      <w:pPr>
        <w:pStyle w:val="CaselawNormal"/>
        <w:spacing w:before="150" w:after="150"/>
        <w:ind w:left="1350"/>
        <w:jc w:val="left"/>
      </w:pPr>
      <w:r>
        <w:rPr>
          <w:rFonts w:ascii="Arial"/>
          <w:color w:val="000000"/>
          <w:sz w:val="24"/>
        </w:rPr>
        <w:t xml:space="preserve">Although an </w:t>
      </w:r>
      <w:r>
        <w:rPr>
          <w:rFonts w:ascii="Arial"/>
          <w:color w:val="000000"/>
          <w:sz w:val="24"/>
        </w:rPr>
        <w:t>“inadequate search”</w:t>
      </w:r>
      <w:r>
        <w:rPr>
          <w:rFonts w:ascii="Arial"/>
          <w:color w:val="000000"/>
          <w:sz w:val="24"/>
        </w:rPr>
        <w:t xml:space="preserve"> is not a relevant </w:t>
      </w:r>
      <w:r>
        <w:rPr>
          <w:rFonts w:ascii="Arial"/>
          <w:color w:val="000000"/>
          <w:sz w:val="24"/>
        </w:rPr>
        <w:t>“decision”</w:t>
      </w:r>
      <w:r>
        <w:rPr>
          <w:rFonts w:ascii="Arial"/>
          <w:color w:val="000000"/>
          <w:sz w:val="24"/>
        </w:rPr>
        <w:t xml:space="preserve">, there is an implied decision under s 80(e) of the GIPA Act that information is </w:t>
      </w:r>
      <w:r>
        <w:rPr>
          <w:rFonts w:ascii="Arial"/>
          <w:color w:val="000000"/>
          <w:sz w:val="24"/>
        </w:rPr>
        <w:t>“not held”</w:t>
      </w:r>
      <w:r>
        <w:rPr>
          <w:rFonts w:ascii="Arial"/>
          <w:color w:val="000000"/>
          <w:sz w:val="24"/>
        </w:rPr>
        <w:t xml:space="preserve"> to the extent it is not produced. </w:t>
      </w:r>
    </w:p>
    <w:p>
      <w:pPr>
        <w:pStyle w:val="CaselawNumbered1"/>
        <w:numPr>
          <w:ilvl w:val="0"/>
          <w:numId w:val="58"/>
        </w:numPr>
        <w:spacing w:before="150" w:after="0"/>
        <w:ind w:left="1350" w:hanging="750"/>
      </w:pPr>
      <w:r>
        <w:rPr>
          <w:rFonts w:ascii="Arial"/>
          <w:color w:val="000000"/>
          <w:sz w:val="24"/>
        </w:rPr>
        <w:t>“</w:t>
      </w:r>
      <w:r>
        <w:rPr>
          <w:rFonts w:ascii="Arial"/>
          <w:color w:val="000000"/>
          <w:sz w:val="24"/>
        </w:rPr>
        <w:t>Failure to address key aspects of the request</w:t>
      </w:r>
      <w:r>
        <w:rPr>
          <w:rFonts w:ascii="Arial"/>
          <w:color w:val="000000"/>
          <w:sz w:val="24"/>
        </w:rPr>
        <w:t>”</w:t>
      </w:r>
      <w:r>
        <w:rPr>
          <w:rFonts w:ascii="Arial"/>
          <w:color w:val="000000"/>
          <w:sz w:val="24"/>
        </w:rPr>
        <w:t xml:space="preserve">: </w:t>
      </w:r>
      <w:r>
        <w:rPr>
          <w:rFonts w:ascii="Arial"/>
          <w:color w:val="000000"/>
          <w:sz w:val="24"/>
        </w:rPr>
        <w:t>The Applicant says the decision did not explicitly address several key elements of his request, including:</w:t>
      </w:r>
      <w:r>
        <w:rPr>
          <w:rFonts w:ascii="Arial"/>
          <w:color w:val="000000"/>
          <w:sz w:val="24"/>
        </w:rPr>
        <w:t xml:space="preserve"> </w:t>
      </w:r>
      <w:r>
        <w:rPr>
          <w:rFonts w:ascii="Arial"/>
          <w:color w:val="000000"/>
          <w:sz w:val="24"/>
        </w:rPr>
        <w:t>c</w:t>
      </w:r>
      <w:r>
        <w:rPr>
          <w:rFonts w:ascii="Arial"/>
          <w:color w:val="000000"/>
          <w:sz w:val="24"/>
        </w:rPr>
        <w:t>onfirmation of whether records exist showing the General Manager investigated Option B as directed;</w:t>
      </w:r>
      <w:r>
        <w:rPr>
          <w:rFonts w:ascii="Arial"/>
          <w:color w:val="000000"/>
          <w:sz w:val="24"/>
        </w:rPr>
        <w:t xml:space="preserve"> </w:t>
      </w:r>
      <w:r>
        <w:rPr>
          <w:rFonts w:ascii="Arial"/>
          <w:color w:val="000000"/>
          <w:sz w:val="24"/>
        </w:rPr>
        <w:t>i</w:t>
      </w:r>
      <w:r>
        <w:rPr>
          <w:rFonts w:ascii="Arial"/>
          <w:color w:val="000000"/>
          <w:sz w:val="24"/>
        </w:rPr>
        <w:t>nformation about Option B</w:t>
      </w:r>
      <w:r>
        <w:rPr>
          <w:rFonts w:ascii="Arial"/>
          <w:color w:val="000000"/>
          <w:sz w:val="24"/>
        </w:rPr>
        <w:t>’</w:t>
      </w:r>
      <w:r>
        <w:rPr>
          <w:rFonts w:ascii="Arial"/>
          <w:color w:val="000000"/>
          <w:sz w:val="24"/>
        </w:rPr>
        <w:t>s viability and completion timeline</w:t>
      </w:r>
      <w:r>
        <w:rPr>
          <w:rFonts w:ascii="Arial"/>
          <w:color w:val="000000"/>
          <w:sz w:val="24"/>
        </w:rPr>
        <w:t>; and</w:t>
      </w:r>
      <w:r>
        <w:rPr>
          <w:rFonts w:ascii="Arial"/>
          <w:color w:val="000000"/>
          <w:sz w:val="24"/>
        </w:rPr>
        <w:t xml:space="preserve"> </w:t>
      </w:r>
      <w:r>
        <w:rPr>
          <w:rFonts w:ascii="Arial"/>
          <w:color w:val="000000"/>
          <w:sz w:val="24"/>
        </w:rPr>
        <w:t>e</w:t>
      </w:r>
      <w:r>
        <w:rPr>
          <w:rFonts w:ascii="Arial"/>
          <w:color w:val="000000"/>
          <w:sz w:val="24"/>
        </w:rPr>
        <w:t>vidence of councillors being briefed on prior Option B discussions with DRNSW.</w:t>
      </w:r>
    </w:p>
    <w:p>
      <w:pPr>
        <w:pStyle w:val="CaselawNormal"/>
        <w:spacing w:before="150" w:after="150"/>
        <w:ind w:left="1350"/>
        <w:jc w:val="left"/>
      </w:pPr>
      <w:r>
        <w:rPr>
          <w:rFonts w:ascii="Arial"/>
          <w:color w:val="000000"/>
          <w:sz w:val="24"/>
        </w:rPr>
        <w:t xml:space="preserve">To the extent that the Council held </w:t>
      </w:r>
      <w:r>
        <w:rPr>
          <w:rFonts w:ascii="Arial"/>
          <w:color w:val="000000"/>
          <w:sz w:val="24"/>
        </w:rPr>
        <w:t>“government information”</w:t>
      </w:r>
      <w:r>
        <w:rPr>
          <w:rFonts w:ascii="Arial"/>
          <w:color w:val="000000"/>
          <w:sz w:val="24"/>
        </w:rPr>
        <w:t xml:space="preserve"> (as defined) as at the date of the request that was not produced in response to the terms of his GIPA Application, this forms part of the decision that information is </w:t>
      </w:r>
      <w:r>
        <w:rPr>
          <w:rFonts w:ascii="Arial"/>
          <w:color w:val="000000"/>
          <w:sz w:val="24"/>
        </w:rPr>
        <w:t>“not held”</w:t>
      </w:r>
      <w:r>
        <w:rPr>
          <w:rFonts w:ascii="Arial"/>
          <w:color w:val="000000"/>
          <w:sz w:val="24"/>
        </w:rPr>
        <w:t xml:space="preserve"> under s 80(e)</w:t>
      </w:r>
      <w:r>
        <w:rPr>
          <w:rFonts w:ascii="Arial"/>
          <w:color w:val="000000"/>
          <w:sz w:val="24"/>
        </w:rPr>
        <w:t>.</w:t>
      </w:r>
      <w:r>
        <w:rPr>
          <w:rFonts w:ascii="Arial"/>
          <w:color w:val="000000"/>
          <w:sz w:val="24"/>
        </w:rPr>
        <w:t xml:space="preserve"> </w:t>
      </w:r>
    </w:p>
    <w:p>
      <w:pPr>
        <w:pStyle w:val="CaselawNumbered1"/>
        <w:numPr>
          <w:ilvl w:val="0"/>
          <w:numId w:val="59"/>
        </w:numPr>
        <w:spacing w:before="150" w:after="0"/>
        <w:ind w:left="1350" w:hanging="750"/>
      </w:pPr>
      <w:r>
        <w:rPr>
          <w:rFonts w:ascii="Arial"/>
          <w:color w:val="000000"/>
          <w:sz w:val="24"/>
        </w:rPr>
        <w:t>“</w:t>
      </w:r>
      <w:r>
        <w:rPr>
          <w:rFonts w:ascii="Arial"/>
          <w:color w:val="000000"/>
          <w:sz w:val="24"/>
        </w:rPr>
        <w:t>Over</w:t>
      </w:r>
      <w:r>
        <w:rPr>
          <w:rFonts w:ascii="Arial"/>
          <w:color w:val="000000"/>
          <w:sz w:val="24"/>
        </w:rPr>
        <w:t>-</w:t>
      </w:r>
      <w:r>
        <w:rPr>
          <w:rFonts w:ascii="Arial"/>
          <w:color w:val="000000"/>
          <w:sz w:val="24"/>
        </w:rPr>
        <w:t>reliance on copyright claims</w:t>
      </w:r>
      <w:r>
        <w:rPr>
          <w:rFonts w:ascii="Arial"/>
          <w:color w:val="000000"/>
          <w:sz w:val="24"/>
        </w:rPr>
        <w:t>”</w:t>
      </w:r>
      <w:r>
        <w:rPr>
          <w:rFonts w:ascii="Arial"/>
          <w:color w:val="000000"/>
          <w:sz w:val="24"/>
        </w:rPr>
        <w:t xml:space="preserve">: </w:t>
      </w:r>
      <w:r>
        <w:rPr>
          <w:rFonts w:ascii="Arial"/>
          <w:color w:val="000000"/>
          <w:sz w:val="24"/>
        </w:rPr>
        <w:t>The Applicant says the decision maker has overly restricted access to key documents citing copyright concerns, when the GIPA Act allows for provision of copies in certain circumstances, especially given the strong public interest in this matter.</w:t>
      </w:r>
      <w:r>
        <w:rPr>
          <w:rFonts w:ascii="Arial"/>
          <w:color w:val="000000"/>
          <w:sz w:val="24"/>
        </w:rPr>
        <w:t xml:space="preserve"> </w:t>
      </w:r>
      <w:r>
        <w:rPr>
          <w:rFonts w:ascii="Arial"/>
          <w:color w:val="000000"/>
          <w:sz w:val="24"/>
        </w:rPr>
        <w:t xml:space="preserve">This raises questions relating to </w:t>
      </w:r>
      <w:r>
        <w:rPr>
          <w:rFonts w:ascii="Arial"/>
          <w:color w:val="000000"/>
          <w:sz w:val="24"/>
        </w:rPr>
        <w:t xml:space="preserve">claims for copyright and </w:t>
      </w:r>
      <w:r>
        <w:rPr>
          <w:rFonts w:ascii="Arial"/>
          <w:color w:val="000000"/>
          <w:sz w:val="24"/>
        </w:rPr>
        <w:t xml:space="preserve">the operation of </w:t>
      </w:r>
      <w:r>
        <w:rPr>
          <w:rFonts w:ascii="Arial"/>
          <w:color w:val="000000"/>
          <w:sz w:val="24"/>
        </w:rPr>
        <w:t>s</w:t>
      </w:r>
      <w:r>
        <w:rPr>
          <w:rFonts w:ascii="Arial"/>
          <w:color w:val="000000"/>
          <w:sz w:val="24"/>
        </w:rPr>
        <w:t> 74 of the GIPA Act</w:t>
      </w:r>
      <w:r>
        <w:rPr>
          <w:rFonts w:ascii="Arial"/>
          <w:color w:val="000000"/>
          <w:sz w:val="24"/>
        </w:rPr>
        <w:t>.</w:t>
      </w:r>
      <w:r>
        <w:rPr>
          <w:rFonts w:ascii="Arial"/>
          <w:color w:val="000000"/>
          <w:sz w:val="24"/>
        </w:rPr>
        <w:t xml:space="preserve"> </w:t>
      </w:r>
    </w:p>
    <w:p>
      <w:pPr>
        <w:pStyle w:val="CaselawNumbered1"/>
        <w:numPr>
          <w:ilvl w:val="0"/>
          <w:numId w:val="59"/>
        </w:numPr>
        <w:spacing w:before="150" w:after="0"/>
        <w:ind w:left="1350" w:hanging="750"/>
      </w:pPr>
      <w:r>
        <w:rPr>
          <w:rFonts w:ascii="Arial"/>
          <w:color w:val="000000"/>
          <w:sz w:val="24"/>
        </w:rPr>
        <w:t>“</w:t>
      </w:r>
      <w:r>
        <w:rPr>
          <w:rFonts w:ascii="Arial"/>
          <w:color w:val="000000"/>
          <w:sz w:val="24"/>
        </w:rPr>
        <w:t>Inadequate justification for redactions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Applicant says that the decision provides minimal explanation for redactions made - citing only broad legislative clauses without specific reasoning. </w:t>
      </w:r>
      <w:r>
        <w:rPr>
          <w:rFonts w:ascii="Arial"/>
          <w:color w:val="000000"/>
          <w:sz w:val="24"/>
        </w:rPr>
        <w:t xml:space="preserve"> </w:t>
      </w:r>
      <w:r>
        <w:rPr>
          <w:rFonts w:ascii="Arial"/>
          <w:color w:val="000000"/>
          <w:sz w:val="24"/>
        </w:rPr>
        <w:t>This raises questions relating to public interest considerations</w:t>
      </w:r>
      <w:r>
        <w:rPr>
          <w:rFonts w:ascii="Arial"/>
          <w:color w:val="000000"/>
          <w:sz w:val="24"/>
        </w:rPr>
        <w:t xml:space="preserve"> </w:t>
      </w:r>
      <w:r>
        <w:rPr>
          <w:rFonts w:ascii="Arial"/>
          <w:color w:val="000000"/>
          <w:sz w:val="24"/>
        </w:rPr>
        <w:t>in respect of redactions made for personal information</w:t>
      </w:r>
      <w:r>
        <w:rPr>
          <w:rFonts w:ascii="Arial"/>
          <w:color w:val="000000"/>
          <w:sz w:val="24"/>
        </w:rPr>
        <w:t>.</w:t>
      </w:r>
    </w:p>
    <w:p>
      <w:pPr>
        <w:pStyle w:val="CaselawHeading3"/>
        <w:keepNext/>
        <w:spacing w:before="150" w:after="150" w:line="264"/>
        <w:ind w:left="0"/>
        <w:jc w:val="left"/>
      </w:pPr>
      <w:r>
        <w:rPr>
          <w:rFonts w:ascii="Arial"/>
        </w:rPr>
        <w:t>Matters outside the scope of this Review</w:t>
      </w:r>
    </w:p>
    <w:p>
      <w:pPr>
        <w:pStyle w:val="CaselawNumbered10"/>
        <w:numPr>
          <w:ilvl w:val="0"/>
          <w:numId w:val="60"/>
        </w:numPr>
        <w:spacing w:before="150" w:after="0"/>
        <w:ind w:left="600" w:hanging="600"/>
      </w:pPr>
      <w:r>
        <w:rPr>
          <w:rFonts w:ascii="Arial"/>
          <w:color w:val="000000"/>
          <w:sz w:val="24"/>
        </w:rPr>
        <w:t>The Respondent submitted that much of the Applicant</w:t>
      </w:r>
      <w:r>
        <w:rPr>
          <w:rFonts w:ascii="Arial"/>
          <w:color w:val="000000"/>
          <w:sz w:val="24"/>
        </w:rPr>
        <w:t>’</w:t>
      </w:r>
      <w:r>
        <w:rPr>
          <w:rFonts w:ascii="Arial"/>
          <w:color w:val="000000"/>
          <w:sz w:val="24"/>
        </w:rPr>
        <w:t>s submissions are concerned with the merits of Council</w:t>
      </w:r>
      <w:r>
        <w:rPr>
          <w:rFonts w:ascii="Arial"/>
          <w:color w:val="000000"/>
          <w:sz w:val="24"/>
        </w:rPr>
        <w:t>’</w:t>
      </w:r>
      <w:r>
        <w:rPr>
          <w:rFonts w:ascii="Arial"/>
          <w:color w:val="000000"/>
          <w:sz w:val="24"/>
        </w:rPr>
        <w:t>s General Manager</w:t>
      </w:r>
      <w:r>
        <w:rPr>
          <w:rFonts w:ascii="Arial"/>
          <w:color w:val="000000"/>
          <w:sz w:val="24"/>
        </w:rPr>
        <w:t>’</w:t>
      </w:r>
      <w:r>
        <w:rPr>
          <w:rFonts w:ascii="Arial"/>
          <w:color w:val="000000"/>
          <w:sz w:val="24"/>
        </w:rPr>
        <w:t xml:space="preserve">s actions in relation to considering and information Councillors of </w:t>
      </w:r>
      <w:r>
        <w:rPr>
          <w:rFonts w:ascii="Arial"/>
          <w:color w:val="000000"/>
          <w:sz w:val="24"/>
        </w:rPr>
        <w:t>“</w:t>
      </w:r>
      <w:r>
        <w:rPr>
          <w:rFonts w:ascii="Arial"/>
          <w:color w:val="000000"/>
          <w:sz w:val="24"/>
        </w:rPr>
        <w:t>Option B</w:t>
      </w:r>
      <w:r>
        <w:rPr>
          <w:rFonts w:ascii="Arial"/>
          <w:color w:val="000000"/>
          <w:sz w:val="24"/>
        </w:rPr>
        <w:t>”</w:t>
      </w:r>
      <w:r>
        <w:rPr>
          <w:rFonts w:ascii="Arial"/>
          <w:color w:val="000000"/>
          <w:sz w:val="24"/>
        </w:rPr>
        <w:t xml:space="preserve"> </w:t>
      </w:r>
      <w:r>
        <w:rPr>
          <w:rFonts w:ascii="Arial"/>
          <w:color w:val="000000"/>
          <w:sz w:val="24"/>
        </w:rPr>
        <w:t>and that his submissions relating to the following issues are not relevant to the reviewable decision</w:t>
      </w:r>
      <w:r>
        <w:rPr>
          <w:rFonts w:ascii="Arial"/>
          <w:color w:val="000000"/>
          <w:sz w:val="24"/>
        </w:rPr>
        <w:t>:</w:t>
      </w:r>
      <w:r>
        <w:rPr>
          <w:rFonts w:ascii="Arial"/>
          <w:color w:val="000000"/>
          <w:sz w:val="24"/>
        </w:rPr>
        <w:t xml:space="preserve"> </w:t>
      </w:r>
    </w:p>
    <w:p>
      <w:pPr>
        <w:pStyle w:val="CaselawNumbered1"/>
        <w:numPr>
          <w:ilvl w:val="0"/>
          <w:numId w:val="61"/>
        </w:numPr>
        <w:spacing w:before="150" w:after="0"/>
        <w:ind w:left="1350" w:hanging="750"/>
      </w:pPr>
      <w:r>
        <w:rPr>
          <w:rFonts w:ascii="Arial"/>
          <w:color w:val="000000"/>
          <w:sz w:val="24"/>
        </w:rPr>
        <w:t>Council</w:t>
      </w:r>
      <w:r>
        <w:rPr>
          <w:rFonts w:ascii="Arial"/>
          <w:color w:val="000000"/>
          <w:sz w:val="24"/>
        </w:rPr>
        <w:t>’</w:t>
      </w:r>
      <w:r>
        <w:rPr>
          <w:rFonts w:ascii="Arial"/>
          <w:color w:val="000000"/>
          <w:sz w:val="24"/>
        </w:rPr>
        <w:t>s record-keeping;</w:t>
      </w:r>
    </w:p>
    <w:p>
      <w:pPr>
        <w:pStyle w:val="CaselawNumbered1"/>
        <w:numPr>
          <w:ilvl w:val="0"/>
          <w:numId w:val="61"/>
        </w:numPr>
        <w:spacing w:before="150" w:after="0"/>
        <w:ind w:left="1350" w:hanging="750"/>
      </w:pPr>
      <w:r>
        <w:rPr>
          <w:rFonts w:ascii="Arial"/>
          <w:color w:val="000000"/>
          <w:sz w:val="24"/>
        </w:rPr>
        <w:t>Council</w:t>
      </w:r>
      <w:r>
        <w:rPr>
          <w:rFonts w:ascii="Arial"/>
          <w:color w:val="000000"/>
          <w:sz w:val="24"/>
        </w:rPr>
        <w:t>’</w:t>
      </w:r>
      <w:r>
        <w:rPr>
          <w:rFonts w:ascii="Arial"/>
          <w:color w:val="000000"/>
          <w:sz w:val="24"/>
        </w:rPr>
        <w:t>s project management;</w:t>
      </w:r>
    </w:p>
    <w:p>
      <w:pPr>
        <w:pStyle w:val="CaselawNumbered1"/>
        <w:numPr>
          <w:ilvl w:val="0"/>
          <w:numId w:val="61"/>
        </w:numPr>
        <w:spacing w:before="150" w:after="0"/>
        <w:ind w:left="1350" w:hanging="750"/>
      </w:pPr>
      <w:r>
        <w:rPr>
          <w:rFonts w:ascii="Arial"/>
          <w:color w:val="000000"/>
          <w:sz w:val="24"/>
        </w:rPr>
        <w:t>Council</w:t>
      </w:r>
      <w:r>
        <w:rPr>
          <w:rFonts w:ascii="Arial"/>
          <w:color w:val="000000"/>
          <w:sz w:val="24"/>
        </w:rPr>
        <w:t>’</w:t>
      </w:r>
      <w:r>
        <w:rPr>
          <w:rFonts w:ascii="Arial"/>
          <w:color w:val="000000"/>
          <w:sz w:val="24"/>
        </w:rPr>
        <w:t>s implementation of Council resolution 07.220.290;</w:t>
      </w:r>
    </w:p>
    <w:p>
      <w:pPr>
        <w:pStyle w:val="CaselawNumbered1"/>
        <w:numPr>
          <w:ilvl w:val="0"/>
          <w:numId w:val="61"/>
        </w:numPr>
        <w:spacing w:before="150" w:after="0"/>
        <w:ind w:left="1350" w:hanging="750"/>
      </w:pPr>
      <w:r>
        <w:rPr>
          <w:rFonts w:ascii="Arial"/>
          <w:color w:val="000000"/>
          <w:sz w:val="24"/>
        </w:rPr>
        <w:t>Adequacy of Council</w:t>
      </w:r>
      <w:r>
        <w:rPr>
          <w:rFonts w:ascii="Arial"/>
          <w:color w:val="000000"/>
          <w:sz w:val="24"/>
        </w:rPr>
        <w:t>’</w:t>
      </w:r>
      <w:r>
        <w:rPr>
          <w:rFonts w:ascii="Arial"/>
          <w:color w:val="000000"/>
          <w:sz w:val="24"/>
        </w:rPr>
        <w:t>s decision-making processes;</w:t>
      </w:r>
    </w:p>
    <w:p>
      <w:pPr>
        <w:pStyle w:val="CaselawNumbered1"/>
        <w:numPr>
          <w:ilvl w:val="0"/>
          <w:numId w:val="61"/>
        </w:numPr>
        <w:spacing w:before="150" w:after="0"/>
        <w:ind w:left="1350" w:hanging="750"/>
      </w:pPr>
      <w:r>
        <w:rPr>
          <w:rFonts w:ascii="Arial"/>
          <w:color w:val="000000"/>
          <w:sz w:val="24"/>
        </w:rPr>
        <w:t xml:space="preserve">Possible breaches of the </w:t>
      </w:r>
      <w:r>
        <w:rPr>
          <w:rFonts w:ascii="Arial"/>
          <w:i/>
          <w:color w:val="000000"/>
          <w:sz w:val="24"/>
        </w:rPr>
        <w:t xml:space="preserve">State Records Act 1998 </w:t>
      </w:r>
      <w:r>
        <w:rPr>
          <w:rFonts w:ascii="Arial"/>
          <w:color w:val="000000"/>
          <w:sz w:val="24"/>
        </w:rPr>
        <w:t xml:space="preserve">(NSW) </w:t>
      </w:r>
      <w:r>
        <w:rPr>
          <w:rFonts w:ascii="Arial"/>
          <w:color w:val="000000"/>
          <w:sz w:val="24"/>
        </w:rPr>
        <w:t>(</w:t>
      </w:r>
      <w:r>
        <w:rPr>
          <w:rFonts w:ascii="Arial"/>
          <w:b/>
          <w:color w:val="000000"/>
          <w:sz w:val="24"/>
        </w:rPr>
        <w:t>State Records Act</w:t>
      </w:r>
      <w:r>
        <w:rPr>
          <w:rFonts w:ascii="Arial"/>
          <w:color w:val="000000"/>
          <w:sz w:val="24"/>
        </w:rPr>
        <w:t>)</w:t>
      </w:r>
      <w:r>
        <w:rPr>
          <w:rFonts w:ascii="Arial"/>
          <w:i/>
          <w:color w:val="000000"/>
          <w:sz w:val="24"/>
        </w:rPr>
        <w:t xml:space="preserve"> </w:t>
      </w:r>
      <w:r>
        <w:rPr>
          <w:rFonts w:ascii="Arial"/>
          <w:color w:val="000000"/>
          <w:sz w:val="24"/>
        </w:rPr>
        <w:t xml:space="preserve">and the </w:t>
      </w:r>
      <w:r>
        <w:rPr>
          <w:rFonts w:ascii="Arial"/>
          <w:i/>
          <w:color w:val="000000"/>
          <w:sz w:val="24"/>
        </w:rPr>
        <w:t xml:space="preserve">Local Government Act 1993 </w:t>
      </w:r>
      <w:r>
        <w:rPr>
          <w:rFonts w:ascii="Arial"/>
          <w:color w:val="000000"/>
          <w:sz w:val="24"/>
        </w:rPr>
        <w:t>(NSW) (</w:t>
      </w:r>
      <w:r>
        <w:rPr>
          <w:rFonts w:ascii="Arial"/>
          <w:b/>
          <w:color w:val="000000"/>
          <w:sz w:val="24"/>
        </w:rPr>
        <w:t>Local Government Act</w:t>
      </w:r>
      <w:r>
        <w:rPr>
          <w:rFonts w:ascii="Arial"/>
          <w:color w:val="000000"/>
          <w:sz w:val="24"/>
        </w:rPr>
        <w:t>);</w:t>
      </w:r>
    </w:p>
    <w:p>
      <w:pPr>
        <w:pStyle w:val="CaselawNumbered1"/>
        <w:numPr>
          <w:ilvl w:val="0"/>
          <w:numId w:val="61"/>
        </w:numPr>
        <w:spacing w:before="150" w:after="0"/>
        <w:ind w:left="1350" w:hanging="750"/>
      </w:pPr>
      <w:r>
        <w:rPr>
          <w:rFonts w:ascii="Arial"/>
          <w:color w:val="000000"/>
          <w:sz w:val="24"/>
        </w:rPr>
        <w:t>The General Manager</w:t>
      </w:r>
      <w:r>
        <w:rPr>
          <w:rFonts w:ascii="Arial"/>
          <w:color w:val="000000"/>
          <w:sz w:val="24"/>
        </w:rPr>
        <w:t>’</w:t>
      </w:r>
      <w:r>
        <w:rPr>
          <w:rFonts w:ascii="Arial"/>
          <w:color w:val="000000"/>
          <w:sz w:val="24"/>
        </w:rPr>
        <w:t>s actions and influence on Council</w:t>
      </w:r>
      <w:r>
        <w:rPr>
          <w:rFonts w:ascii="Arial"/>
          <w:color w:val="000000"/>
          <w:sz w:val="24"/>
        </w:rPr>
        <w:t>’</w:t>
      </w:r>
      <w:r>
        <w:rPr>
          <w:rFonts w:ascii="Arial"/>
          <w:color w:val="000000"/>
          <w:sz w:val="24"/>
        </w:rPr>
        <w:t>s decision-making process;</w:t>
      </w:r>
    </w:p>
    <w:p>
      <w:pPr>
        <w:pStyle w:val="CaselawNumbered1"/>
        <w:numPr>
          <w:ilvl w:val="0"/>
          <w:numId w:val="61"/>
        </w:numPr>
        <w:spacing w:before="150" w:after="0"/>
        <w:ind w:left="1350" w:hanging="750"/>
      </w:pPr>
      <w:r>
        <w:rPr>
          <w:rFonts w:ascii="Arial"/>
          <w:color w:val="000000"/>
          <w:sz w:val="24"/>
        </w:rPr>
        <w:t>Reasons for Council</w:t>
      </w:r>
      <w:r>
        <w:rPr>
          <w:rFonts w:ascii="Arial"/>
          <w:color w:val="000000"/>
          <w:sz w:val="24"/>
        </w:rPr>
        <w:t>’</w:t>
      </w:r>
      <w:r>
        <w:rPr>
          <w:rFonts w:ascii="Arial"/>
          <w:color w:val="000000"/>
          <w:sz w:val="24"/>
        </w:rPr>
        <w:t xml:space="preserve">s decisions and actions; and </w:t>
      </w:r>
    </w:p>
    <w:p>
      <w:pPr>
        <w:pStyle w:val="CaselawNumbered1"/>
        <w:numPr>
          <w:ilvl w:val="0"/>
          <w:numId w:val="61"/>
        </w:numPr>
        <w:spacing w:before="150" w:after="0"/>
        <w:ind w:left="1350" w:hanging="750"/>
      </w:pPr>
      <w:r>
        <w:rPr>
          <w:rFonts w:ascii="Arial"/>
          <w:color w:val="000000"/>
          <w:sz w:val="24"/>
        </w:rPr>
        <w:t>Council</w:t>
      </w:r>
      <w:r>
        <w:rPr>
          <w:rFonts w:ascii="Arial"/>
          <w:color w:val="000000"/>
          <w:sz w:val="24"/>
        </w:rPr>
        <w:t>’</w:t>
      </w:r>
      <w:r>
        <w:rPr>
          <w:rFonts w:ascii="Arial"/>
          <w:color w:val="000000"/>
          <w:sz w:val="24"/>
        </w:rPr>
        <w:t>s funding procedures.</w:t>
      </w:r>
    </w:p>
    <w:p>
      <w:pPr>
        <w:pStyle w:val="CaselawNumbered10"/>
        <w:numPr>
          <w:ilvl w:val="0"/>
          <w:numId w:val="62"/>
        </w:numPr>
        <w:spacing w:before="150" w:after="0"/>
        <w:ind w:left="600" w:hanging="600"/>
      </w:pPr>
      <w:r>
        <w:rPr>
          <w:rFonts w:ascii="Arial"/>
          <w:color w:val="000000"/>
          <w:sz w:val="24"/>
        </w:rPr>
        <w:t>By way of example, the Applicant submitted as follows:</w:t>
      </w:r>
    </w:p>
    <w:p>
      <w:pPr>
        <w:pStyle w:val="CaselawNumbered1"/>
        <w:numPr>
          <w:ilvl w:val="0"/>
          <w:numId w:val="63"/>
        </w:numPr>
        <w:spacing w:before="150" w:after="0"/>
        <w:ind w:left="1350" w:hanging="750"/>
      </w:pPr>
      <w:r>
        <w:rPr>
          <w:rFonts w:ascii="Arial"/>
          <w:color w:val="000000"/>
          <w:sz w:val="24"/>
        </w:rPr>
        <w:t>The Applicant says that s</w:t>
      </w:r>
      <w:r>
        <w:rPr>
          <w:rFonts w:ascii="Arial"/>
          <w:color w:val="000000"/>
          <w:sz w:val="24"/>
        </w:rPr>
        <w:t> </w:t>
      </w:r>
      <w:r>
        <w:rPr>
          <w:rFonts w:ascii="Arial"/>
          <w:color w:val="000000"/>
          <w:sz w:val="24"/>
        </w:rPr>
        <w:t xml:space="preserve">105(1) of the GIPA Act, together with the objects provision in </w:t>
      </w:r>
      <w:r>
        <w:rPr>
          <w:rFonts w:ascii="Arial"/>
          <w:color w:val="000000"/>
          <w:sz w:val="24"/>
        </w:rPr>
        <w:t>s</w:t>
      </w:r>
      <w:r>
        <w:rPr>
          <w:rFonts w:ascii="Arial"/>
          <w:color w:val="000000"/>
          <w:sz w:val="24"/>
        </w:rPr>
        <w:t xml:space="preserve"> 3 of the </w:t>
      </w:r>
      <w:r>
        <w:rPr>
          <w:rFonts w:ascii="Arial"/>
          <w:color w:val="000000"/>
          <w:sz w:val="24"/>
        </w:rPr>
        <w:t xml:space="preserve">GIPA Act, requires the Council to justify </w:t>
      </w:r>
      <w:r>
        <w:rPr>
          <w:rFonts w:ascii="Arial"/>
          <w:i/>
          <w:color w:val="000000"/>
          <w:sz w:val="24"/>
        </w:rPr>
        <w:t>why</w:t>
      </w:r>
      <w:r>
        <w:rPr>
          <w:rFonts w:ascii="Arial"/>
          <w:color w:val="000000"/>
          <w:sz w:val="24"/>
        </w:rPr>
        <w:t xml:space="preserve"> </w:t>
      </w:r>
      <w:r>
        <w:rPr>
          <w:rFonts w:ascii="Arial"/>
          <w:color w:val="000000"/>
          <w:sz w:val="24"/>
        </w:rPr>
        <w:t xml:space="preserve">no records have been created. </w:t>
      </w:r>
      <w:r>
        <w:rPr>
          <w:rFonts w:ascii="Arial"/>
          <w:color w:val="000000"/>
          <w:sz w:val="24"/>
        </w:rPr>
        <w:t xml:space="preserve">He says that the </w:t>
      </w:r>
      <w:r>
        <w:rPr>
          <w:rFonts w:ascii="Arial"/>
          <w:color w:val="000000"/>
          <w:sz w:val="24"/>
        </w:rPr>
        <w:t>Council has not met its obligations either because they did not create documents that they should have created, and have therefore become (in Council</w:t>
      </w:r>
      <w:r>
        <w:rPr>
          <w:rFonts w:ascii="Arial"/>
          <w:color w:val="000000"/>
          <w:sz w:val="24"/>
        </w:rPr>
        <w:t>’</w:t>
      </w:r>
      <w:r>
        <w:rPr>
          <w:rFonts w:ascii="Arial"/>
          <w:color w:val="000000"/>
          <w:sz w:val="24"/>
        </w:rPr>
        <w:t xml:space="preserve">s view) </w:t>
      </w:r>
      <w:r>
        <w:rPr>
          <w:rFonts w:ascii="Arial"/>
          <w:color w:val="000000"/>
          <w:sz w:val="24"/>
        </w:rPr>
        <w:t>“</w:t>
      </w:r>
      <w:r>
        <w:rPr>
          <w:rFonts w:ascii="Arial"/>
          <w:color w:val="000000"/>
          <w:sz w:val="24"/>
        </w:rPr>
        <w:t>unaccountable</w:t>
      </w:r>
      <w:r>
        <w:rPr>
          <w:rFonts w:ascii="Arial"/>
          <w:color w:val="000000"/>
          <w:sz w:val="24"/>
        </w:rPr>
        <w:t>”</w:t>
      </w:r>
      <w:r>
        <w:rPr>
          <w:rFonts w:ascii="Arial"/>
          <w:color w:val="000000"/>
          <w:sz w:val="24"/>
        </w:rPr>
        <w:t xml:space="preserve"> </w:t>
      </w:r>
      <w:r>
        <w:rPr>
          <w:rFonts w:ascii="Arial"/>
          <w:color w:val="000000"/>
          <w:sz w:val="24"/>
        </w:rPr>
        <w:t>for their actions which were incorrect and based on misinformation.</w:t>
      </w:r>
    </w:p>
    <w:p>
      <w:pPr>
        <w:pStyle w:val="CaselawNumbered1"/>
        <w:numPr>
          <w:ilvl w:val="0"/>
          <w:numId w:val="63"/>
        </w:numPr>
        <w:spacing w:before="150" w:after="0"/>
        <w:ind w:left="1350" w:hanging="750"/>
      </w:pPr>
      <w:r>
        <w:rPr>
          <w:rFonts w:ascii="Arial"/>
          <w:color w:val="000000"/>
          <w:sz w:val="24"/>
        </w:rPr>
        <w:t>The</w:t>
      </w:r>
      <w:r>
        <w:rPr>
          <w:rFonts w:ascii="Arial"/>
          <w:color w:val="000000"/>
          <w:sz w:val="24"/>
        </w:rPr>
        <w:t xml:space="preserve"> </w:t>
      </w:r>
      <w:r>
        <w:rPr>
          <w:rFonts w:ascii="Arial"/>
          <w:color w:val="000000"/>
          <w:sz w:val="24"/>
        </w:rPr>
        <w:t xml:space="preserve">Applicant says there </w:t>
      </w:r>
      <w:r>
        <w:rPr>
          <w:rFonts w:ascii="Arial"/>
          <w:color w:val="000000"/>
          <w:sz w:val="24"/>
        </w:rPr>
        <w:t xml:space="preserve">were </w:t>
      </w:r>
      <w:r>
        <w:rPr>
          <w:rFonts w:ascii="Arial"/>
          <w:color w:val="000000"/>
          <w:sz w:val="24"/>
        </w:rPr>
        <w:t>“</w:t>
      </w:r>
      <w:r>
        <w:rPr>
          <w:rFonts w:ascii="Arial"/>
          <w:color w:val="000000"/>
          <w:sz w:val="24"/>
        </w:rPr>
        <w:t>systemic issues</w:t>
      </w:r>
      <w:r>
        <w:rPr>
          <w:rFonts w:ascii="Arial"/>
          <w:color w:val="000000"/>
          <w:sz w:val="24"/>
        </w:rPr>
        <w:t>”</w:t>
      </w:r>
      <w:r>
        <w:rPr>
          <w:rFonts w:ascii="Arial"/>
          <w:color w:val="000000"/>
          <w:sz w:val="24"/>
        </w:rPr>
        <w:t xml:space="preserve"> </w:t>
      </w:r>
      <w:r>
        <w:rPr>
          <w:rFonts w:ascii="Arial"/>
          <w:color w:val="000000"/>
          <w:sz w:val="24"/>
        </w:rPr>
        <w:t>within Council</w:t>
      </w:r>
      <w:r>
        <w:rPr>
          <w:rFonts w:ascii="Arial"/>
          <w:color w:val="000000"/>
          <w:sz w:val="24"/>
        </w:rPr>
        <w:t>’</w:t>
      </w:r>
      <w:r>
        <w:rPr>
          <w:rFonts w:ascii="Arial"/>
          <w:color w:val="000000"/>
          <w:sz w:val="24"/>
        </w:rPr>
        <w:t>s systems of record-keeping which the Tribunal should require Council to address, using the powers under s 111 and s 112 of the GIPA Act.</w:t>
      </w:r>
      <w:r>
        <w:rPr>
          <w:rFonts w:ascii="Arial"/>
          <w:color w:val="000000"/>
          <w:sz w:val="24"/>
        </w:rPr>
        <w:t xml:space="preserve"> </w:t>
      </w:r>
      <w:r>
        <w:rPr>
          <w:rFonts w:ascii="Arial"/>
          <w:color w:val="000000"/>
          <w:sz w:val="24"/>
        </w:rPr>
        <w:t xml:space="preserve">He asked the Tribunal to recommend a review by the Information Commissioner. </w:t>
      </w:r>
    </w:p>
    <w:p>
      <w:pPr>
        <w:pStyle w:val="CaselawNumbered1"/>
        <w:numPr>
          <w:ilvl w:val="0"/>
          <w:numId w:val="63"/>
        </w:numPr>
        <w:spacing w:before="150" w:after="0"/>
        <w:ind w:left="1350" w:hanging="750"/>
      </w:pPr>
      <w:r>
        <w:rPr>
          <w:rFonts w:ascii="Arial"/>
          <w:color w:val="000000"/>
          <w:sz w:val="24"/>
        </w:rPr>
        <w:t xml:space="preserve">He says that the </w:t>
      </w:r>
      <w:r>
        <w:rPr>
          <w:rFonts w:ascii="Arial"/>
          <w:color w:val="000000"/>
          <w:sz w:val="24"/>
        </w:rPr>
        <w:t>lack of records produced in respect of Council</w:t>
      </w:r>
      <w:r>
        <w:rPr>
          <w:rFonts w:ascii="Arial"/>
          <w:color w:val="000000"/>
          <w:sz w:val="24"/>
        </w:rPr>
        <w:t>’</w:t>
      </w:r>
      <w:r>
        <w:rPr>
          <w:rFonts w:ascii="Arial"/>
          <w:color w:val="000000"/>
          <w:sz w:val="24"/>
        </w:rPr>
        <w:t xml:space="preserve">s consideration of Option B, including any interactions with </w:t>
      </w:r>
      <w:r>
        <w:rPr>
          <w:rFonts w:ascii="Arial"/>
          <w:color w:val="000000"/>
          <w:sz w:val="24"/>
        </w:rPr>
        <w:t xml:space="preserve">the NSW and Federal Government, enabled (indeed, required) the </w:t>
      </w:r>
      <w:r>
        <w:rPr>
          <w:rFonts w:ascii="Arial"/>
          <w:color w:val="000000"/>
          <w:sz w:val="24"/>
        </w:rPr>
        <w:t>Tribunal</w:t>
      </w:r>
      <w:r>
        <w:rPr>
          <w:rFonts w:ascii="Arial"/>
          <w:color w:val="000000"/>
          <w:sz w:val="24"/>
        </w:rPr>
        <w:t xml:space="preserve"> </w:t>
      </w:r>
      <w:r>
        <w:rPr>
          <w:rFonts w:ascii="Arial"/>
          <w:color w:val="000000"/>
          <w:sz w:val="24"/>
        </w:rPr>
        <w:t xml:space="preserve">to </w:t>
      </w:r>
      <w:r>
        <w:rPr>
          <w:rFonts w:ascii="Arial"/>
          <w:color w:val="000000"/>
          <w:sz w:val="24"/>
        </w:rPr>
        <w:t>review Council</w:t>
      </w:r>
      <w:r>
        <w:rPr>
          <w:rFonts w:ascii="Arial"/>
          <w:color w:val="000000"/>
          <w:sz w:val="24"/>
        </w:rPr>
        <w:t>’</w:t>
      </w:r>
      <w:r>
        <w:rPr>
          <w:rFonts w:ascii="Arial"/>
          <w:color w:val="000000"/>
          <w:sz w:val="24"/>
        </w:rPr>
        <w:t>s compliance with the requirements of the</w:t>
      </w:r>
      <w:r>
        <w:rPr>
          <w:rFonts w:ascii="Arial"/>
          <w:color w:val="000000"/>
          <w:sz w:val="24"/>
        </w:rPr>
        <w:t xml:space="preserve"> </w:t>
      </w:r>
      <w:r>
        <w:rPr>
          <w:rFonts w:ascii="Arial"/>
          <w:color w:val="000000"/>
          <w:sz w:val="24"/>
        </w:rPr>
        <w:t>State Records Act</w:t>
      </w:r>
      <w:r>
        <w:rPr>
          <w:rFonts w:ascii="Arial"/>
          <w:i/>
          <w:color w:val="000000"/>
          <w:sz w:val="24"/>
        </w:rPr>
        <w:t xml:space="preserve">, </w:t>
      </w:r>
      <w:r>
        <w:rPr>
          <w:rFonts w:ascii="Arial"/>
          <w:color w:val="000000"/>
          <w:sz w:val="24"/>
        </w:rPr>
        <w:t xml:space="preserve">the </w:t>
      </w:r>
      <w:r>
        <w:rPr>
          <w:rFonts w:ascii="Arial"/>
          <w:color w:val="000000"/>
          <w:sz w:val="24"/>
        </w:rPr>
        <w:t>Local Government Act</w:t>
      </w:r>
      <w:r>
        <w:rPr>
          <w:rFonts w:ascii="Arial"/>
          <w:i/>
          <w:color w:val="000000"/>
          <w:sz w:val="24"/>
        </w:rPr>
        <w:t xml:space="preserve">, </w:t>
      </w:r>
      <w:r>
        <w:rPr>
          <w:rFonts w:ascii="Arial"/>
          <w:color w:val="000000"/>
          <w:sz w:val="24"/>
        </w:rPr>
        <w:t xml:space="preserve">the Commonwealth Grant Rules and Guidelines, the Bushfire Local Economic Recovery Fund Program Guidelines, and the NSW Grant Administration Guidelines. </w:t>
      </w:r>
      <w:r>
        <w:rPr>
          <w:rFonts w:ascii="Arial"/>
          <w:color w:val="000000"/>
          <w:sz w:val="24"/>
        </w:rPr>
        <w:t>He said that s</w:t>
      </w:r>
      <w:r>
        <w:rPr>
          <w:rFonts w:ascii="Arial"/>
          <w:color w:val="000000"/>
          <w:sz w:val="24"/>
        </w:rPr>
        <w:t xml:space="preserve">ection 12.1 of the </w:t>
      </w:r>
      <w:r>
        <w:rPr>
          <w:rFonts w:ascii="Arial"/>
          <w:color w:val="000000"/>
          <w:sz w:val="24"/>
        </w:rPr>
        <w:t>State Records Act</w:t>
      </w:r>
      <w:r>
        <w:rPr>
          <w:rFonts w:ascii="Arial"/>
          <w:color w:val="000000"/>
          <w:sz w:val="24"/>
        </w:rPr>
        <w:t xml:space="preserve"> </w:t>
      </w:r>
      <w:r>
        <w:rPr>
          <w:rFonts w:ascii="Arial"/>
          <w:color w:val="000000"/>
          <w:sz w:val="24"/>
        </w:rPr>
        <w:t>required the</w:t>
      </w:r>
      <w:r>
        <w:rPr>
          <w:rFonts w:ascii="Arial"/>
          <w:color w:val="000000"/>
          <w:sz w:val="24"/>
        </w:rPr>
        <w:t xml:space="preserve"> </w:t>
      </w:r>
      <w:r>
        <w:rPr>
          <w:rFonts w:ascii="Arial"/>
          <w:color w:val="000000"/>
          <w:sz w:val="24"/>
        </w:rPr>
        <w:t xml:space="preserve">Council </w:t>
      </w:r>
      <w:r>
        <w:rPr>
          <w:rFonts w:ascii="Arial"/>
          <w:color w:val="000000"/>
          <w:sz w:val="24"/>
        </w:rPr>
        <w:t>to keep full and complete records of their investigation of Option B.</w:t>
      </w:r>
    </w:p>
    <w:p>
      <w:pPr>
        <w:pStyle w:val="CaselawNumbered1"/>
        <w:numPr>
          <w:ilvl w:val="0"/>
          <w:numId w:val="63"/>
        </w:numPr>
        <w:spacing w:before="150" w:after="0"/>
        <w:ind w:left="1350" w:hanging="750"/>
      </w:pPr>
      <w:r>
        <w:rPr>
          <w:rFonts w:ascii="Arial"/>
          <w:color w:val="000000"/>
          <w:sz w:val="24"/>
        </w:rPr>
        <w:t xml:space="preserve">He said there was </w:t>
      </w:r>
      <w:r>
        <w:rPr>
          <w:rFonts w:ascii="Arial"/>
          <w:color w:val="000000"/>
          <w:sz w:val="24"/>
        </w:rPr>
        <w:t>“</w:t>
      </w:r>
      <w:r>
        <w:rPr>
          <w:rFonts w:ascii="Arial"/>
          <w:color w:val="000000"/>
          <w:sz w:val="24"/>
        </w:rPr>
        <w:t>misinformation</w:t>
      </w:r>
      <w:r>
        <w:rPr>
          <w:rFonts w:ascii="Arial"/>
          <w:color w:val="000000"/>
          <w:sz w:val="24"/>
        </w:rPr>
        <w:t>”</w:t>
      </w:r>
      <w:r>
        <w:rPr>
          <w:rFonts w:ascii="Arial"/>
          <w:color w:val="000000"/>
          <w:sz w:val="24"/>
        </w:rPr>
        <w:t xml:space="preserve"> </w:t>
      </w:r>
      <w:r>
        <w:rPr>
          <w:rFonts w:ascii="Arial"/>
          <w:color w:val="000000"/>
          <w:sz w:val="24"/>
        </w:rPr>
        <w:t xml:space="preserve">which </w:t>
      </w:r>
      <w:r>
        <w:rPr>
          <w:rFonts w:ascii="Arial"/>
          <w:color w:val="000000"/>
          <w:sz w:val="24"/>
        </w:rPr>
        <w:t xml:space="preserve">influenced the decision-making process. In this regard, the </w:t>
      </w:r>
      <w:r>
        <w:rPr>
          <w:rFonts w:ascii="Arial"/>
          <w:color w:val="000000"/>
          <w:sz w:val="24"/>
        </w:rPr>
        <w:t>A</w:t>
      </w:r>
      <w:r>
        <w:rPr>
          <w:rFonts w:ascii="Arial"/>
          <w:color w:val="000000"/>
          <w:sz w:val="24"/>
        </w:rPr>
        <w:t xml:space="preserve">pplicant sought to explain to me why he did not agree with the actions taken (or not taken) by the Council in respect of the non-progression of Option B. For example, he said that </w:t>
      </w:r>
      <w:r>
        <w:rPr>
          <w:rFonts w:ascii="Arial"/>
          <w:color w:val="000000"/>
          <w:sz w:val="24"/>
        </w:rPr>
        <w:t>there was an admission by the General Manager that Option B did not meet the Commonwealth and State grant guidelines.</w:t>
      </w:r>
    </w:p>
    <w:p>
      <w:pPr>
        <w:pStyle w:val="CaselawNumbered10"/>
        <w:numPr>
          <w:ilvl w:val="0"/>
          <w:numId w:val="64"/>
        </w:numPr>
        <w:spacing w:before="150" w:after="0"/>
        <w:ind w:left="600" w:hanging="600"/>
      </w:pPr>
      <w:r>
        <w:rPr>
          <w:rFonts w:ascii="Arial"/>
          <w:color w:val="000000"/>
          <w:sz w:val="24"/>
        </w:rPr>
        <w:t>The Applicant orally submitted at the hearing, inter alia, that:</w:t>
      </w:r>
    </w:p>
    <w:p>
      <w:pPr>
        <w:pStyle w:val="CaselawQuote"/>
        <w:spacing w:before="150" w:after="150"/>
        <w:ind w:left="1350"/>
        <w:jc w:val="left"/>
      </w:pPr>
      <w:r>
        <w:rPr>
          <w:rFonts w:ascii="Arial"/>
          <w:color w:val="000000"/>
          <w:sz w:val="22"/>
        </w:rPr>
        <w:t xml:space="preserve">Council has failed to follow procedures under legislation and guideline to progress Option B and the grant funding from the NSW and Federal Government. </w:t>
      </w:r>
      <w:r>
        <w:rPr>
          <w:rFonts w:ascii="Arial"/>
          <w:i/>
          <w:color w:val="000000"/>
          <w:sz w:val="22"/>
        </w:rPr>
        <w:t>I accept that no records exist at the moment</w:t>
      </w:r>
      <w:r>
        <w:rPr>
          <w:rFonts w:ascii="Arial"/>
          <w:color w:val="000000"/>
          <w:sz w:val="22"/>
        </w:rPr>
        <w:t xml:space="preserve">. Those records </w:t>
      </w:r>
      <w:r>
        <w:rPr>
          <w:rFonts w:ascii="Arial"/>
          <w:i/>
          <w:color w:val="000000"/>
          <w:sz w:val="22"/>
        </w:rPr>
        <w:t>should have been</w:t>
      </w:r>
      <w:r>
        <w:rPr>
          <w:rFonts w:ascii="Arial"/>
          <w:color w:val="000000"/>
          <w:sz w:val="22"/>
        </w:rPr>
        <w:t xml:space="preserve"> created, </w:t>
      </w:r>
      <w:r>
        <w:rPr>
          <w:rFonts w:ascii="Arial"/>
          <w:i/>
          <w:color w:val="000000"/>
          <w:sz w:val="22"/>
        </w:rPr>
        <w:t xml:space="preserve">should </w:t>
      </w:r>
      <w:r>
        <w:rPr>
          <w:rFonts w:ascii="Arial"/>
          <w:color w:val="000000"/>
          <w:sz w:val="22"/>
        </w:rPr>
        <w:t xml:space="preserve">exist and therefore </w:t>
      </w:r>
      <w:r>
        <w:rPr>
          <w:rFonts w:ascii="Arial"/>
          <w:i/>
          <w:color w:val="000000"/>
          <w:sz w:val="22"/>
        </w:rPr>
        <w:t>should have been produced</w:t>
      </w:r>
      <w:r>
        <w:rPr>
          <w:rFonts w:ascii="Arial"/>
          <w:color w:val="000000"/>
          <w:sz w:val="22"/>
        </w:rPr>
        <w:t>, in reliance on ss 53, 111 and 112 of the GIPA Act.</w:t>
      </w:r>
    </w:p>
    <w:p>
      <w:pPr>
        <w:pStyle w:val="CaselawNumbered10"/>
        <w:numPr>
          <w:ilvl w:val="0"/>
          <w:numId w:val="65"/>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 xml:space="preserve">s submissions and accompanying documents also strayed into matters relating to and referencing a </w:t>
      </w:r>
      <w:r>
        <w:rPr>
          <w:rFonts w:ascii="Arial"/>
          <w:color w:val="000000"/>
          <w:sz w:val="24"/>
        </w:rPr>
        <w:t>“</w:t>
      </w:r>
      <w:r>
        <w:rPr>
          <w:rFonts w:ascii="Arial"/>
          <w:color w:val="000000"/>
          <w:sz w:val="24"/>
        </w:rPr>
        <w:t>Concerns Notice</w:t>
      </w:r>
      <w:r>
        <w:rPr>
          <w:rFonts w:ascii="Arial"/>
          <w:color w:val="000000"/>
          <w:sz w:val="24"/>
        </w:rPr>
        <w:t>”</w:t>
      </w:r>
      <w:r>
        <w:rPr>
          <w:rFonts w:ascii="Arial"/>
          <w:color w:val="000000"/>
          <w:sz w:val="24"/>
        </w:rPr>
        <w:t xml:space="preserve"> </w:t>
      </w:r>
      <w:r>
        <w:rPr>
          <w:rFonts w:ascii="Arial"/>
          <w:color w:val="000000"/>
          <w:sz w:val="24"/>
        </w:rPr>
        <w:t>which was the matter of a separate GIPA review and GIPA decision.</w:t>
      </w:r>
    </w:p>
    <w:p>
      <w:pPr>
        <w:pStyle w:val="CaselawNumbered10"/>
        <w:numPr>
          <w:ilvl w:val="0"/>
          <w:numId w:val="65"/>
        </w:numPr>
        <w:spacing w:before="150" w:after="0"/>
        <w:ind w:left="600" w:hanging="600"/>
      </w:pPr>
      <w:r>
        <w:rPr>
          <w:rFonts w:ascii="Arial"/>
          <w:color w:val="000000"/>
          <w:sz w:val="24"/>
        </w:rPr>
        <w:t>As explained to the Applicant at the hearing</w:t>
      </w:r>
      <w:r>
        <w:rPr>
          <w:rFonts w:ascii="Arial"/>
          <w:color w:val="000000"/>
          <w:sz w:val="24"/>
        </w:rPr>
        <w:t>:</w:t>
      </w:r>
    </w:p>
    <w:p>
      <w:pPr>
        <w:pStyle w:val="CaselawNumbered1"/>
        <w:numPr>
          <w:ilvl w:val="0"/>
          <w:numId w:val="66"/>
        </w:numPr>
        <w:spacing w:before="150" w:after="0"/>
        <w:ind w:left="1350" w:hanging="750"/>
      </w:pPr>
      <w:r>
        <w:rPr>
          <w:rFonts w:ascii="Arial"/>
          <w:color w:val="000000"/>
          <w:sz w:val="24"/>
        </w:rPr>
        <w:t xml:space="preserve">The administrative review jurisdiction is specifically conferred (and limited) by the </w:t>
      </w:r>
      <w:r>
        <w:rPr>
          <w:rFonts w:ascii="Arial"/>
          <w:color w:val="000000"/>
          <w:sz w:val="24"/>
        </w:rPr>
        <w:t xml:space="preserve">provisions of the </w:t>
      </w:r>
      <w:r>
        <w:rPr>
          <w:rFonts w:ascii="Arial"/>
          <w:color w:val="000000"/>
          <w:sz w:val="24"/>
        </w:rPr>
        <w:t>relevant legislation;</w:t>
      </w:r>
    </w:p>
    <w:p>
      <w:pPr>
        <w:pStyle w:val="CaselawNumbered1"/>
        <w:numPr>
          <w:ilvl w:val="0"/>
          <w:numId w:val="66"/>
        </w:numPr>
        <w:spacing w:before="150" w:after="0"/>
        <w:ind w:left="1350" w:hanging="750"/>
      </w:pPr>
      <w:r>
        <w:rPr>
          <w:rFonts w:ascii="Arial"/>
          <w:color w:val="000000"/>
          <w:sz w:val="24"/>
        </w:rPr>
        <w:t>The Tribunal</w:t>
      </w:r>
      <w:r>
        <w:rPr>
          <w:rFonts w:ascii="Arial"/>
          <w:color w:val="000000"/>
          <w:sz w:val="24"/>
        </w:rPr>
        <w:t>’</w:t>
      </w:r>
      <w:r>
        <w:rPr>
          <w:rFonts w:ascii="Arial"/>
          <w:color w:val="000000"/>
          <w:sz w:val="24"/>
        </w:rPr>
        <w:t xml:space="preserve">s jurisdiction is limited to a review of the </w:t>
      </w:r>
      <w:r>
        <w:rPr>
          <w:rFonts w:ascii="Arial"/>
          <w:color w:val="000000"/>
          <w:sz w:val="24"/>
        </w:rPr>
        <w:t>R</w:t>
      </w:r>
      <w:r>
        <w:rPr>
          <w:rFonts w:ascii="Arial"/>
          <w:color w:val="000000"/>
          <w:sz w:val="24"/>
        </w:rPr>
        <w:t>espondent</w:t>
      </w:r>
      <w:r>
        <w:rPr>
          <w:rFonts w:ascii="Arial"/>
          <w:color w:val="000000"/>
          <w:sz w:val="24"/>
        </w:rPr>
        <w:t>’</w:t>
      </w:r>
      <w:r>
        <w:rPr>
          <w:rFonts w:ascii="Arial"/>
          <w:color w:val="000000"/>
          <w:sz w:val="24"/>
        </w:rPr>
        <w:t xml:space="preserve">s Decision in respect of the application made to it, and only then in respect of identified </w:t>
      </w:r>
      <w:r>
        <w:rPr>
          <w:rFonts w:ascii="Arial"/>
          <w:color w:val="000000"/>
          <w:sz w:val="24"/>
        </w:rPr>
        <w:t>“</w:t>
      </w:r>
      <w:r>
        <w:rPr>
          <w:rFonts w:ascii="Arial"/>
          <w:color w:val="000000"/>
          <w:sz w:val="24"/>
        </w:rPr>
        <w:t>reviewable decisions</w:t>
      </w:r>
      <w:r>
        <w:rPr>
          <w:rFonts w:ascii="Arial"/>
          <w:color w:val="000000"/>
          <w:sz w:val="24"/>
        </w:rPr>
        <w:t>”</w:t>
      </w:r>
      <w:r>
        <w:rPr>
          <w:rFonts w:ascii="Arial"/>
          <w:color w:val="000000"/>
          <w:sz w:val="24"/>
        </w:rPr>
        <w:t xml:space="preserve">. </w:t>
      </w:r>
    </w:p>
    <w:p>
      <w:pPr>
        <w:pStyle w:val="CaselawNumbered1"/>
        <w:numPr>
          <w:ilvl w:val="0"/>
          <w:numId w:val="66"/>
        </w:numPr>
        <w:spacing w:before="150" w:after="0"/>
        <w:ind w:left="1350" w:hanging="750"/>
      </w:pPr>
      <w:r>
        <w:rPr>
          <w:rFonts w:ascii="Arial"/>
          <w:color w:val="000000"/>
          <w:sz w:val="24"/>
        </w:rPr>
        <w:t>An</w:t>
      </w:r>
      <w:r>
        <w:rPr>
          <w:rFonts w:ascii="Arial"/>
          <w:color w:val="000000"/>
          <w:sz w:val="24"/>
        </w:rPr>
        <w:t xml:space="preserve"> </w:t>
      </w:r>
      <w:r>
        <w:rPr>
          <w:rFonts w:ascii="Arial"/>
          <w:color w:val="000000"/>
          <w:sz w:val="24"/>
        </w:rPr>
        <w:t xml:space="preserve">applicant cannot, after the application has been dealt with by the agency, widen the scope of the process: see </w:t>
      </w:r>
      <w:r>
        <w:rPr>
          <w:rFonts w:ascii="Arial"/>
          <w:i/>
          <w:color w:val="000000"/>
          <w:sz w:val="24"/>
        </w:rPr>
        <w:t xml:space="preserve">OD v Department of Education and Training (GD) </w:t>
      </w:r>
      <w:r>
        <w:rPr>
          <w:rFonts w:ascii="Arial"/>
          <w:color w:val="000000"/>
          <w:sz w:val="24"/>
        </w:rPr>
        <w:t xml:space="preserve">[2005] NSWADTAP 74 at [13] to [14]. </w:t>
      </w:r>
    </w:p>
    <w:p>
      <w:pPr>
        <w:pStyle w:val="CaselawNumbered1"/>
        <w:numPr>
          <w:ilvl w:val="0"/>
          <w:numId w:val="66"/>
        </w:numPr>
        <w:spacing w:before="150" w:after="0"/>
        <w:ind w:left="1350" w:hanging="750"/>
      </w:pPr>
      <w:r>
        <w:rPr>
          <w:rFonts w:ascii="Arial"/>
          <w:color w:val="000000"/>
          <w:sz w:val="24"/>
        </w:rPr>
        <w:t xml:space="preserve">Proceedings under the GIPA Act should not be used </w:t>
      </w:r>
      <w:r>
        <w:rPr>
          <w:rFonts w:ascii="Arial"/>
          <w:color w:val="000000"/>
          <w:sz w:val="24"/>
        </w:rPr>
        <w:t>“</w:t>
      </w:r>
      <w:r>
        <w:rPr>
          <w:rFonts w:ascii="Arial"/>
          <w:color w:val="000000"/>
          <w:sz w:val="24"/>
        </w:rPr>
        <w:t>as a vehicle for the collateral review of the merits or validity of official action</w:t>
      </w:r>
      <w:r>
        <w:rPr>
          <w:rFonts w:ascii="Arial"/>
          <w:color w:val="000000"/>
          <w:sz w:val="24"/>
        </w:rPr>
        <w:t>”</w:t>
      </w:r>
      <w:r>
        <w:rPr>
          <w:rFonts w:ascii="Arial"/>
          <w:color w:val="000000"/>
          <w:sz w:val="24"/>
        </w:rPr>
        <w:t xml:space="preserve">. </w:t>
      </w:r>
      <w:r>
        <w:rPr>
          <w:rFonts w:ascii="Arial"/>
          <w:i/>
          <w:color w:val="000000"/>
          <w:sz w:val="24"/>
        </w:rPr>
        <w:t>Crewdson</w:t>
      </w:r>
      <w:r>
        <w:rPr>
          <w:rFonts w:ascii="Arial"/>
          <w:i/>
          <w:color w:val="000000"/>
          <w:sz w:val="24"/>
        </w:rPr>
        <w:t xml:space="preserve"> v Central Sydney AHS </w:t>
      </w:r>
      <w:r>
        <w:rPr>
          <w:rFonts w:ascii="Arial"/>
          <w:color w:val="000000"/>
          <w:sz w:val="24"/>
        </w:rPr>
        <w:t>[2002] NSWCA 345</w:t>
      </w:r>
      <w:r>
        <w:rPr>
          <w:rFonts w:ascii="Arial"/>
          <w:i/>
          <w:color w:val="000000"/>
          <w:sz w:val="24"/>
        </w:rPr>
        <w:t xml:space="preserve"> </w:t>
      </w:r>
      <w:r>
        <w:rPr>
          <w:rFonts w:ascii="Arial"/>
          <w:color w:val="000000"/>
          <w:sz w:val="24"/>
        </w:rPr>
        <w:t xml:space="preserve">at [24]; </w:t>
      </w:r>
      <w:r>
        <w:rPr>
          <w:rFonts w:ascii="Arial"/>
          <w:i/>
          <w:color w:val="000000"/>
          <w:sz w:val="24"/>
        </w:rPr>
        <w:t>Raven v University of Sydney</w:t>
      </w:r>
      <w:r>
        <w:rPr>
          <w:rFonts w:ascii="Arial"/>
          <w:color w:val="000000"/>
          <w:sz w:val="24"/>
        </w:rPr>
        <w:t xml:space="preserve"> </w:t>
      </w:r>
      <w:r>
        <w:rPr>
          <w:rFonts w:ascii="Arial"/>
          <w:color w:val="000000"/>
          <w:sz w:val="24"/>
        </w:rPr>
        <w:t xml:space="preserve">[2015] NSWCATAD 104 at [45]. </w:t>
      </w:r>
    </w:p>
    <w:p>
      <w:pPr>
        <w:pStyle w:val="CaselawNumbered10"/>
        <w:numPr>
          <w:ilvl w:val="0"/>
          <w:numId w:val="67"/>
        </w:numPr>
        <w:spacing w:before="150" w:after="0"/>
        <w:ind w:left="600" w:hanging="600"/>
      </w:pPr>
      <w:r>
        <w:rPr>
          <w:rFonts w:ascii="Arial"/>
          <w:color w:val="000000"/>
          <w:sz w:val="24"/>
        </w:rPr>
        <w:t>Th</w:t>
      </w:r>
      <w:r>
        <w:rPr>
          <w:rFonts w:ascii="Arial"/>
          <w:color w:val="000000"/>
          <w:sz w:val="24"/>
        </w:rPr>
        <w:t xml:space="preserve">is </w:t>
      </w:r>
      <w:r>
        <w:rPr>
          <w:rFonts w:ascii="Arial"/>
          <w:color w:val="000000"/>
          <w:sz w:val="24"/>
        </w:rPr>
        <w:t xml:space="preserve">Tribunal does not have jurisdiction to address </w:t>
      </w:r>
      <w:r>
        <w:rPr>
          <w:rFonts w:ascii="Arial"/>
          <w:color w:val="000000"/>
          <w:sz w:val="24"/>
        </w:rPr>
        <w:t>m</w:t>
      </w:r>
      <w:r>
        <w:rPr>
          <w:rFonts w:ascii="Arial"/>
          <w:color w:val="000000"/>
          <w:sz w:val="24"/>
        </w:rPr>
        <w:t xml:space="preserve">atters regarding the </w:t>
      </w:r>
      <w:r>
        <w:rPr>
          <w:rFonts w:ascii="Arial"/>
          <w:color w:val="000000"/>
          <w:sz w:val="24"/>
        </w:rPr>
        <w:t>State Records Act and the Local Government Act</w:t>
      </w:r>
      <w:r>
        <w:rPr>
          <w:rFonts w:ascii="Arial"/>
          <w:color w:val="000000"/>
          <w:sz w:val="24"/>
        </w:rPr>
        <w:t xml:space="preserve">, including </w:t>
      </w:r>
      <w:r>
        <w:rPr>
          <w:rFonts w:ascii="Arial"/>
          <w:color w:val="000000"/>
          <w:sz w:val="24"/>
        </w:rPr>
        <w:t xml:space="preserve">the </w:t>
      </w:r>
      <w:r>
        <w:rPr>
          <w:rFonts w:ascii="Arial"/>
          <w:color w:val="000000"/>
          <w:sz w:val="24"/>
        </w:rPr>
        <w:t>docume</w:t>
      </w:r>
      <w:r>
        <w:rPr>
          <w:rFonts w:ascii="Arial"/>
          <w:color w:val="000000"/>
          <w:sz w:val="24"/>
        </w:rPr>
        <w:t xml:space="preserve">ntation of decisions, the </w:t>
      </w:r>
      <w:r>
        <w:rPr>
          <w:rFonts w:ascii="Arial"/>
          <w:color w:val="000000"/>
          <w:sz w:val="24"/>
        </w:rPr>
        <w:t xml:space="preserve">maintenance of records, what is created, </w:t>
      </w:r>
      <w:r>
        <w:rPr>
          <w:rFonts w:ascii="Arial"/>
          <w:color w:val="000000"/>
          <w:sz w:val="24"/>
        </w:rPr>
        <w:t xml:space="preserve">what was not created, </w:t>
      </w:r>
      <w:r>
        <w:rPr>
          <w:rFonts w:ascii="Arial"/>
          <w:color w:val="000000"/>
          <w:sz w:val="24"/>
        </w:rPr>
        <w:t>what should have been created, or why things were done or were not done (in respect of grants, funding decisions, Council matters or otherwise).</w:t>
      </w:r>
      <w:r>
        <w:rPr>
          <w:rFonts w:ascii="Arial"/>
          <w:color w:val="000000"/>
          <w:sz w:val="24"/>
        </w:rPr>
        <w:t xml:space="preserve"> </w:t>
      </w:r>
      <w:r>
        <w:rPr>
          <w:rFonts w:ascii="Arial"/>
          <w:color w:val="000000"/>
          <w:sz w:val="24"/>
        </w:rPr>
        <w:t xml:space="preserve"> </w:t>
      </w:r>
    </w:p>
    <w:p>
      <w:pPr>
        <w:pStyle w:val="CaselawNumbered10"/>
        <w:numPr>
          <w:ilvl w:val="0"/>
          <w:numId w:val="67"/>
        </w:numPr>
        <w:spacing w:before="150" w:after="0"/>
        <w:ind w:left="600" w:hanging="600"/>
      </w:pPr>
      <w:r>
        <w:rPr>
          <w:rFonts w:ascii="Arial"/>
          <w:color w:val="000000"/>
          <w:sz w:val="24"/>
        </w:rPr>
        <w:t xml:space="preserve">Nor does s 105 or any other provision of the GIPA Act require the Council to </w:t>
      </w:r>
      <w:r>
        <w:rPr>
          <w:rFonts w:ascii="Arial"/>
          <w:color w:val="000000"/>
          <w:sz w:val="24"/>
        </w:rPr>
        <w:t>“</w:t>
      </w:r>
      <w:r>
        <w:rPr>
          <w:rFonts w:ascii="Arial"/>
          <w:color w:val="000000"/>
          <w:sz w:val="24"/>
        </w:rPr>
        <w:t>justify</w:t>
      </w:r>
      <w:r>
        <w:rPr>
          <w:rFonts w:ascii="Arial"/>
          <w:color w:val="000000"/>
          <w:sz w:val="24"/>
        </w:rPr>
        <w:t>”</w:t>
      </w:r>
      <w:r>
        <w:rPr>
          <w:rFonts w:ascii="Arial"/>
          <w:color w:val="000000"/>
          <w:sz w:val="24"/>
        </w:rPr>
        <w:t xml:space="preserve"> its decisions </w:t>
      </w:r>
      <w:r>
        <w:rPr>
          <w:rFonts w:ascii="Arial"/>
          <w:color w:val="000000"/>
          <w:sz w:val="24"/>
        </w:rPr>
        <w:t xml:space="preserve">in the sense </w:t>
      </w:r>
      <w:r>
        <w:rPr>
          <w:rFonts w:ascii="Arial"/>
          <w:color w:val="000000"/>
          <w:sz w:val="24"/>
        </w:rPr>
        <w:t>submitted by the Applicant.</w:t>
      </w:r>
      <w:r>
        <w:rPr>
          <w:rFonts w:ascii="Arial"/>
          <w:color w:val="000000"/>
          <w:sz w:val="24"/>
        </w:rPr>
        <w:t xml:space="preserve"> </w:t>
      </w:r>
      <w:r>
        <w:rPr>
          <w:rFonts w:ascii="Arial"/>
          <w:color w:val="000000"/>
          <w:sz w:val="24"/>
        </w:rPr>
        <w:t>Section</w:t>
      </w:r>
      <w:r>
        <w:rPr>
          <w:rFonts w:ascii="Arial"/>
          <w:color w:val="000000"/>
          <w:sz w:val="24"/>
        </w:rPr>
        <w:t xml:space="preserve"> </w:t>
      </w:r>
      <w:r>
        <w:rPr>
          <w:rFonts w:ascii="Arial"/>
          <w:color w:val="000000"/>
          <w:sz w:val="24"/>
        </w:rPr>
        <w:t xml:space="preserve">105(1) of the GIPA Act places the onus on the Council in these proceedings to justify its decisions </w:t>
      </w:r>
      <w:r>
        <w:rPr>
          <w:rFonts w:ascii="Arial"/>
          <w:i/>
          <w:color w:val="000000"/>
          <w:sz w:val="24"/>
        </w:rPr>
        <w:t>that are the subject of the review</w:t>
      </w:r>
      <w:r>
        <w:rPr>
          <w:rFonts w:ascii="Arial"/>
          <w:color w:val="000000"/>
          <w:sz w:val="24"/>
        </w:rPr>
        <w:t xml:space="preserve"> </w:t>
      </w:r>
      <w:r>
        <w:rPr>
          <w:rFonts w:ascii="Arial"/>
          <w:color w:val="000000"/>
          <w:sz w:val="24"/>
        </w:rPr>
        <w:t xml:space="preserve">before the Tribunal. </w:t>
      </w:r>
    </w:p>
    <w:p>
      <w:pPr>
        <w:pStyle w:val="CaselawNumbered10"/>
        <w:numPr>
          <w:ilvl w:val="0"/>
          <w:numId w:val="67"/>
        </w:numPr>
        <w:spacing w:before="150" w:after="0"/>
        <w:ind w:left="600" w:hanging="600"/>
      </w:pPr>
      <w:r>
        <w:rPr>
          <w:rFonts w:ascii="Arial"/>
          <w:color w:val="000000"/>
          <w:sz w:val="24"/>
        </w:rPr>
        <w:t xml:space="preserve">And, </w:t>
      </w:r>
      <w:r>
        <w:rPr>
          <w:rFonts w:ascii="Arial"/>
          <w:color w:val="000000"/>
          <w:sz w:val="24"/>
        </w:rPr>
        <w:t xml:space="preserve">following my consideration of the relevant matters below, </w:t>
      </w:r>
      <w:r>
        <w:rPr>
          <w:rFonts w:ascii="Arial"/>
          <w:color w:val="000000"/>
          <w:sz w:val="24"/>
        </w:rPr>
        <w:t xml:space="preserve">no </w:t>
      </w:r>
      <w:r>
        <w:rPr>
          <w:rFonts w:ascii="Arial"/>
          <w:color w:val="000000"/>
          <w:sz w:val="24"/>
        </w:rPr>
        <w:t xml:space="preserve">issue </w:t>
      </w:r>
      <w:r>
        <w:rPr>
          <w:rFonts w:ascii="Arial"/>
          <w:color w:val="000000"/>
          <w:sz w:val="24"/>
        </w:rPr>
        <w:t>arise</w:t>
      </w:r>
      <w:r>
        <w:rPr>
          <w:rFonts w:ascii="Arial"/>
          <w:color w:val="000000"/>
          <w:sz w:val="24"/>
        </w:rPr>
        <w:t>s</w:t>
      </w:r>
      <w:r>
        <w:rPr>
          <w:rFonts w:ascii="Arial"/>
          <w:color w:val="000000"/>
          <w:sz w:val="24"/>
        </w:rPr>
        <w:t xml:space="preserve"> in respect of the decision under review that </w:t>
      </w:r>
      <w:r>
        <w:rPr>
          <w:rFonts w:ascii="Arial"/>
          <w:color w:val="000000"/>
          <w:sz w:val="24"/>
        </w:rPr>
        <w:t xml:space="preserve">require </w:t>
      </w:r>
      <w:r>
        <w:rPr>
          <w:rFonts w:ascii="Arial"/>
          <w:color w:val="000000"/>
          <w:sz w:val="24"/>
        </w:rPr>
        <w:t xml:space="preserve">me to consider </w:t>
      </w:r>
      <w:r>
        <w:rPr>
          <w:rFonts w:ascii="Arial"/>
          <w:color w:val="000000"/>
          <w:sz w:val="24"/>
        </w:rPr>
        <w:t xml:space="preserve">matters of general </w:t>
      </w:r>
      <w:r>
        <w:rPr>
          <w:rFonts w:ascii="Arial"/>
          <w:color w:val="000000"/>
          <w:sz w:val="24"/>
        </w:rPr>
        <w:t>“</w:t>
      </w:r>
      <w:r>
        <w:rPr>
          <w:rFonts w:ascii="Arial"/>
          <w:color w:val="000000"/>
          <w:sz w:val="24"/>
        </w:rPr>
        <w:t>procedural fairness</w:t>
      </w:r>
      <w:r>
        <w:rPr>
          <w:rFonts w:ascii="Arial"/>
          <w:color w:val="000000"/>
          <w:sz w:val="24"/>
        </w:rPr>
        <w:t>”</w:t>
      </w:r>
      <w:r>
        <w:rPr>
          <w:rFonts w:ascii="Arial"/>
          <w:color w:val="000000"/>
          <w:sz w:val="24"/>
        </w:rPr>
        <w:t xml:space="preserve">, or </w:t>
      </w:r>
      <w:r>
        <w:rPr>
          <w:rFonts w:ascii="Arial"/>
          <w:color w:val="000000"/>
          <w:sz w:val="24"/>
        </w:rPr>
        <w:t xml:space="preserve">orders relating to </w:t>
      </w:r>
      <w:r>
        <w:rPr>
          <w:rFonts w:ascii="Arial"/>
          <w:color w:val="000000"/>
          <w:sz w:val="24"/>
        </w:rPr>
        <w:t>s  111 (Referral of Systemic Issues to the Information Commissioner) or s 112 (Report of Improper Conduct) of the GIPA Act.</w:t>
      </w:r>
      <w:r>
        <w:rPr>
          <w:rFonts w:ascii="Arial"/>
          <w:color w:val="000000"/>
          <w:sz w:val="24"/>
        </w:rPr>
        <w:t xml:space="preserve"> </w:t>
      </w:r>
      <w:r>
        <w:rPr>
          <w:rFonts w:ascii="Arial"/>
          <w:color w:val="000000"/>
          <w:sz w:val="24"/>
        </w:rPr>
        <w:t xml:space="preserve">Nor – as submitted by the Respondent - has the Applicant provided any evidence warranting referrals under s 11 or s 112 of the GIPA Act. </w:t>
      </w:r>
    </w:p>
    <w:p>
      <w:pPr>
        <w:pStyle w:val="CaselawNumbered10"/>
        <w:numPr>
          <w:ilvl w:val="0"/>
          <w:numId w:val="67"/>
        </w:numPr>
        <w:spacing w:before="150" w:after="0"/>
        <w:ind w:left="600" w:hanging="600"/>
      </w:pPr>
      <w:r>
        <w:rPr>
          <w:rFonts w:ascii="Arial"/>
          <w:color w:val="000000"/>
          <w:sz w:val="24"/>
        </w:rPr>
        <w:t>C</w:t>
      </w:r>
      <w:r>
        <w:rPr>
          <w:rFonts w:ascii="Arial"/>
          <w:color w:val="000000"/>
          <w:sz w:val="24"/>
        </w:rPr>
        <w:t>ase</w:t>
      </w:r>
      <w:r>
        <w:rPr>
          <w:rFonts w:ascii="Arial"/>
          <w:color w:val="000000"/>
          <w:sz w:val="24"/>
        </w:rPr>
        <w:t xml:space="preserve">s raised by the Applicant do not advance the matter any further. Indeed, the High Court decision of </w:t>
      </w:r>
      <w:r>
        <w:rPr>
          <w:rFonts w:ascii="Arial"/>
          <w:i/>
          <w:color w:val="000000"/>
          <w:sz w:val="24"/>
        </w:rPr>
        <w:t>Kirk v Industrial Relations Commission</w:t>
      </w:r>
      <w:r>
        <w:rPr>
          <w:rFonts w:ascii="Arial"/>
          <w:color w:val="000000"/>
          <w:sz w:val="24"/>
        </w:rPr>
        <w:t xml:space="preserve"> </w:t>
      </w:r>
      <w:r>
        <w:rPr>
          <w:rFonts w:ascii="Arial"/>
          <w:color w:val="000000"/>
          <w:sz w:val="24"/>
        </w:rPr>
        <w:t>[2010] HCA</w:t>
      </w:r>
      <w:r>
        <w:rPr>
          <w:rFonts w:ascii="Arial"/>
          <w:color w:val="000000"/>
          <w:sz w:val="24"/>
        </w:rPr>
        <w:t> </w:t>
      </w:r>
      <w:r>
        <w:rPr>
          <w:rFonts w:ascii="Arial"/>
          <w:color w:val="000000"/>
          <w:sz w:val="24"/>
        </w:rPr>
        <w:t>1 cited by the Applicant re-asserts (at [66]) the proposition that a tribunal cannot stray outside the boundaries of its jurisdiction conferred by the enabling legislation, i.e</w:t>
      </w:r>
      <w:r>
        <w:rPr>
          <w:rFonts w:ascii="Arial"/>
          <w:color w:val="000000"/>
          <w:sz w:val="24"/>
        </w:rPr>
        <w:t>:</w:t>
      </w:r>
    </w:p>
    <w:p>
      <w:pPr>
        <w:pStyle w:val="CaselawQuote"/>
        <w:spacing w:before="150" w:after="150"/>
        <w:ind w:left="1350"/>
        <w:jc w:val="left"/>
      </w:pPr>
      <w:r>
        <w:rPr>
          <w:rFonts w:ascii="Arial"/>
          <w:color w:val="000000"/>
          <w:sz w:val="22"/>
        </w:rPr>
        <w:t>There is a jurisdictional error if the decision maker makes a decision outside the limits of the functions and powers conferred on him or her, or does something which he or she lacks power to do. </w:t>
      </w:r>
    </w:p>
    <w:p>
      <w:pPr>
        <w:pStyle w:val="CaselawNumbered10"/>
        <w:numPr>
          <w:ilvl w:val="0"/>
          <w:numId w:val="68"/>
        </w:numPr>
        <w:spacing w:before="150" w:after="0"/>
        <w:ind w:left="600" w:hanging="600"/>
      </w:pPr>
      <w:r>
        <w:rPr>
          <w:rFonts w:ascii="Arial"/>
          <w:color w:val="000000"/>
          <w:sz w:val="24"/>
        </w:rPr>
        <w:t>I have therefore determined that the above matters sought to be agitated by the Applicant are beyond the permissible scope of the administrative review function of this Tribunal on the application before it.</w:t>
      </w:r>
    </w:p>
    <w:p>
      <w:pPr>
        <w:pStyle w:val="CaselawHeading2"/>
        <w:keepNext/>
        <w:spacing w:before="150" w:after="150" w:line="264"/>
        <w:ind w:left="0"/>
        <w:jc w:val="left"/>
      </w:pPr>
      <w:r>
        <w:rPr>
          <w:rFonts w:ascii="Arial"/>
        </w:rPr>
        <w:t xml:space="preserve">Issue 1: Was information </w:t>
      </w:r>
      <w:r>
        <w:rPr>
          <w:rFonts w:ascii="Arial"/>
        </w:rPr>
        <w:t>“not held”</w:t>
      </w:r>
      <w:r>
        <w:rPr>
          <w:rFonts w:ascii="Arial"/>
        </w:rPr>
        <w:t xml:space="preserve"> by the </w:t>
      </w:r>
      <w:r>
        <w:rPr>
          <w:rFonts w:ascii="Arial"/>
        </w:rPr>
        <w:t>Council?</w:t>
      </w:r>
    </w:p>
    <w:p>
      <w:pPr>
        <w:pStyle w:val="CaselawHeading3"/>
        <w:keepNext/>
        <w:spacing w:before="150" w:after="150" w:line="264"/>
        <w:ind w:left="0"/>
        <w:jc w:val="left"/>
      </w:pPr>
      <w:r>
        <w:rPr>
          <w:rFonts w:ascii="Arial"/>
        </w:rPr>
        <w:t>Applicable principles</w:t>
      </w:r>
    </w:p>
    <w:p>
      <w:pPr>
        <w:pStyle w:val="CaselawNumbered10"/>
        <w:numPr>
          <w:ilvl w:val="0"/>
          <w:numId w:val="69"/>
        </w:numPr>
        <w:spacing w:before="150" w:after="0"/>
        <w:ind w:left="600" w:hanging="600"/>
      </w:pPr>
      <w:r>
        <w:rPr>
          <w:rFonts w:ascii="Arial"/>
          <w:color w:val="000000"/>
          <w:sz w:val="24"/>
        </w:rPr>
        <w:t xml:space="preserve">Under s 80(e) of the GIPA Act, the Tribunal has jurisdiction to review a decision by an agency that it </w:t>
      </w:r>
      <w:r>
        <w:rPr>
          <w:rFonts w:ascii="Arial"/>
          <w:i/>
          <w:color w:val="000000"/>
          <w:sz w:val="24"/>
        </w:rPr>
        <w:t>does not hold</w:t>
      </w:r>
      <w:r>
        <w:rPr>
          <w:rFonts w:ascii="Arial"/>
          <w:color w:val="000000"/>
          <w:sz w:val="24"/>
        </w:rPr>
        <w:t xml:space="preserve"> </w:t>
      </w:r>
      <w:r>
        <w:rPr>
          <w:rFonts w:ascii="Arial"/>
          <w:color w:val="000000"/>
          <w:sz w:val="24"/>
        </w:rPr>
        <w:t xml:space="preserve">the information requested. That section also confers jurisdiction on the Tribunal to review an </w:t>
      </w:r>
      <w:r>
        <w:rPr>
          <w:rFonts w:ascii="Arial"/>
          <w:color w:val="000000"/>
          <w:sz w:val="24"/>
        </w:rPr>
        <w:t>“</w:t>
      </w:r>
      <w:r>
        <w:rPr>
          <w:rFonts w:ascii="Arial"/>
          <w:color w:val="000000"/>
          <w:sz w:val="24"/>
        </w:rPr>
        <w:t>implicit decision</w:t>
      </w:r>
      <w:r>
        <w:rPr>
          <w:rFonts w:ascii="Arial"/>
          <w:color w:val="000000"/>
          <w:sz w:val="24"/>
        </w:rPr>
        <w:t>”</w:t>
      </w:r>
      <w:r>
        <w:rPr>
          <w:rFonts w:ascii="Arial"/>
          <w:color w:val="000000"/>
          <w:sz w:val="24"/>
        </w:rPr>
        <w:t xml:space="preserve"> </w:t>
      </w:r>
      <w:r>
        <w:rPr>
          <w:rFonts w:ascii="Arial"/>
          <w:color w:val="000000"/>
          <w:sz w:val="24"/>
        </w:rPr>
        <w:t xml:space="preserve">that no further </w:t>
      </w:r>
      <w:r>
        <w:rPr>
          <w:rFonts w:ascii="Arial"/>
          <w:color w:val="000000"/>
          <w:sz w:val="24"/>
        </w:rPr>
        <w:t xml:space="preserve">information is held, beyond that which is dealt with in a decision: </w:t>
      </w:r>
      <w:r>
        <w:rPr>
          <w:rFonts w:ascii="Arial"/>
          <w:i/>
          <w:color w:val="000000"/>
          <w:sz w:val="24"/>
        </w:rPr>
        <w:t>Amos v Central Coast Council</w:t>
      </w:r>
      <w:r>
        <w:rPr>
          <w:rFonts w:ascii="Arial"/>
          <w:color w:val="000000"/>
          <w:sz w:val="24"/>
        </w:rPr>
        <w:t xml:space="preserve"> </w:t>
      </w:r>
      <w:r>
        <w:rPr>
          <w:rFonts w:ascii="Arial"/>
          <w:color w:val="000000"/>
          <w:sz w:val="24"/>
        </w:rPr>
        <w:t>[2018] NSWCATAD 101.</w:t>
      </w:r>
    </w:p>
    <w:p>
      <w:pPr>
        <w:pStyle w:val="CaselawNumbered10"/>
        <w:numPr>
          <w:ilvl w:val="0"/>
          <w:numId w:val="69"/>
        </w:numPr>
        <w:spacing w:before="150" w:after="0"/>
        <w:ind w:left="600" w:hanging="600"/>
      </w:pPr>
      <w:r>
        <w:rPr>
          <w:rFonts w:ascii="Arial"/>
          <w:color w:val="000000"/>
          <w:sz w:val="24"/>
        </w:rPr>
        <w:t xml:space="preserve">As noted above, </w:t>
      </w:r>
      <w:r>
        <w:rPr>
          <w:rFonts w:ascii="Arial"/>
          <w:color w:val="000000"/>
          <w:sz w:val="24"/>
        </w:rPr>
        <w:t>“</w:t>
      </w:r>
      <w:r>
        <w:rPr>
          <w:rFonts w:ascii="Arial"/>
          <w:color w:val="000000"/>
          <w:sz w:val="24"/>
        </w:rPr>
        <w:t>g</w:t>
      </w:r>
      <w:r>
        <w:rPr>
          <w:rFonts w:ascii="Arial"/>
          <w:color w:val="000000"/>
          <w:sz w:val="24"/>
        </w:rPr>
        <w:t>overnment information</w:t>
      </w:r>
      <w:r>
        <w:rPr>
          <w:rFonts w:ascii="Arial"/>
          <w:color w:val="000000"/>
          <w:sz w:val="24"/>
        </w:rPr>
        <w:t>”</w:t>
      </w:r>
      <w:r>
        <w:rPr>
          <w:rFonts w:ascii="Arial"/>
          <w:color w:val="000000"/>
          <w:sz w:val="24"/>
        </w:rPr>
        <w:t xml:space="preserve"> </w:t>
      </w:r>
      <w:r>
        <w:rPr>
          <w:rFonts w:ascii="Arial"/>
          <w:color w:val="000000"/>
          <w:sz w:val="24"/>
        </w:rPr>
        <w:t xml:space="preserve">is defined in s 4 of the GIPA Act as </w:t>
      </w:r>
      <w:r>
        <w:rPr>
          <w:rFonts w:ascii="Arial"/>
          <w:color w:val="000000"/>
          <w:sz w:val="24"/>
        </w:rPr>
        <w:t>“</w:t>
      </w:r>
      <w:r>
        <w:rPr>
          <w:rFonts w:ascii="Arial"/>
          <w:color w:val="000000"/>
          <w:sz w:val="24"/>
        </w:rPr>
        <w:t>information contained in a record held by an agency</w:t>
      </w:r>
      <w:r>
        <w:rPr>
          <w:rFonts w:ascii="Arial"/>
          <w:color w:val="000000"/>
          <w:sz w:val="24"/>
        </w:rPr>
        <w:t>”</w:t>
      </w:r>
      <w:r>
        <w:rPr>
          <w:rFonts w:ascii="Arial"/>
          <w:color w:val="000000"/>
          <w:sz w:val="24"/>
        </w:rPr>
        <w:t xml:space="preserve">. In </w:t>
      </w:r>
      <w:r>
        <w:rPr>
          <w:rFonts w:ascii="Arial"/>
          <w:i/>
          <w:color w:val="000000"/>
          <w:sz w:val="24"/>
        </w:rPr>
        <w:t xml:space="preserve">Redfern Legal Centre v Commissioner of Police </w:t>
      </w:r>
      <w:r>
        <w:rPr>
          <w:rFonts w:ascii="Arial"/>
          <w:color w:val="000000"/>
          <w:sz w:val="24"/>
        </w:rPr>
        <w:t xml:space="preserve">[2021] NSWCATAD 288, the Tribunal found that </w:t>
      </w:r>
      <w:r>
        <w:rPr>
          <w:rFonts w:ascii="Arial"/>
          <w:color w:val="000000"/>
          <w:sz w:val="24"/>
        </w:rPr>
        <w:t>“</w:t>
      </w:r>
      <w:r>
        <w:rPr>
          <w:rFonts w:ascii="Arial"/>
          <w:color w:val="000000"/>
          <w:sz w:val="24"/>
        </w:rPr>
        <w:t>government information</w:t>
      </w:r>
      <w:r>
        <w:rPr>
          <w:rFonts w:ascii="Arial"/>
          <w:color w:val="000000"/>
          <w:sz w:val="24"/>
        </w:rPr>
        <w:t>”</w:t>
      </w:r>
      <w:r>
        <w:rPr>
          <w:rFonts w:ascii="Arial"/>
          <w:color w:val="000000"/>
          <w:sz w:val="24"/>
        </w:rPr>
        <w:t xml:space="preserve"> </w:t>
      </w:r>
      <w:r>
        <w:rPr>
          <w:rFonts w:ascii="Arial"/>
          <w:color w:val="000000"/>
          <w:sz w:val="24"/>
        </w:rPr>
        <w:t xml:space="preserve">was a reference to an </w:t>
      </w:r>
      <w:r>
        <w:rPr>
          <w:rFonts w:ascii="Arial"/>
          <w:i/>
          <w:color w:val="000000"/>
          <w:sz w:val="24"/>
        </w:rPr>
        <w:t>existing</w:t>
      </w:r>
      <w:r>
        <w:rPr>
          <w:rFonts w:ascii="Arial"/>
          <w:color w:val="000000"/>
          <w:sz w:val="24"/>
        </w:rPr>
        <w:t xml:space="preserve"> </w:t>
      </w:r>
      <w:r>
        <w:rPr>
          <w:rFonts w:ascii="Arial"/>
          <w:color w:val="000000"/>
          <w:sz w:val="24"/>
        </w:rPr>
        <w:t xml:space="preserve">record of information held by an agency, not a record that is not in existence but is capable of being produced. Accordingly, if no record containing the requested information exists at the time when the application is made, a decision that the information is </w:t>
      </w:r>
      <w:r>
        <w:rPr>
          <w:rFonts w:ascii="Arial"/>
          <w:color w:val="000000"/>
          <w:sz w:val="24"/>
        </w:rPr>
        <w:t>“</w:t>
      </w:r>
      <w:r>
        <w:rPr>
          <w:rFonts w:ascii="Arial"/>
          <w:color w:val="000000"/>
          <w:sz w:val="24"/>
        </w:rPr>
        <w:t>not held</w:t>
      </w:r>
      <w:r>
        <w:rPr>
          <w:rFonts w:ascii="Arial"/>
          <w:color w:val="000000"/>
          <w:sz w:val="24"/>
        </w:rPr>
        <w:t>”</w:t>
      </w:r>
      <w:r>
        <w:rPr>
          <w:rFonts w:ascii="Arial"/>
          <w:color w:val="000000"/>
          <w:sz w:val="24"/>
        </w:rPr>
        <w:t xml:space="preserve"> </w:t>
      </w:r>
      <w:r>
        <w:rPr>
          <w:rFonts w:ascii="Arial"/>
          <w:color w:val="000000"/>
          <w:sz w:val="24"/>
        </w:rPr>
        <w:t>is appropriate.</w:t>
      </w:r>
      <w:r>
        <w:rPr>
          <w:rFonts w:ascii="Arial"/>
          <w:color w:val="000000"/>
          <w:sz w:val="24"/>
        </w:rPr>
        <w:t xml:space="preserve"> </w:t>
      </w:r>
    </w:p>
    <w:p>
      <w:pPr>
        <w:pStyle w:val="CaselawNumbered10"/>
        <w:numPr>
          <w:ilvl w:val="0"/>
          <w:numId w:val="69"/>
        </w:numPr>
        <w:spacing w:before="150" w:after="0"/>
        <w:ind w:left="600" w:hanging="600"/>
      </w:pPr>
      <w:r>
        <w:rPr>
          <w:rFonts w:ascii="Arial"/>
          <w:color w:val="000000"/>
          <w:sz w:val="24"/>
        </w:rPr>
        <w:t xml:space="preserve">In discharging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burden of proof requiring that the Tribunal be satisfied that the information is </w:t>
      </w:r>
      <w:r>
        <w:rPr>
          <w:rFonts w:ascii="Arial"/>
          <w:color w:val="000000"/>
          <w:sz w:val="24"/>
        </w:rPr>
        <w:t>“</w:t>
      </w:r>
      <w:r>
        <w:rPr>
          <w:rFonts w:ascii="Arial"/>
          <w:color w:val="000000"/>
          <w:sz w:val="24"/>
        </w:rPr>
        <w:t>not held</w:t>
      </w:r>
      <w:r>
        <w:rPr>
          <w:rFonts w:ascii="Arial"/>
          <w:color w:val="000000"/>
          <w:sz w:val="24"/>
        </w:rPr>
        <w:t>”</w:t>
      </w:r>
      <w:r>
        <w:rPr>
          <w:rFonts w:ascii="Arial"/>
          <w:color w:val="000000"/>
          <w:sz w:val="24"/>
        </w:rPr>
        <w:t xml:space="preserve">, the reasonableness of the search undertaken (s 53) operates as a </w:t>
      </w:r>
      <w:r>
        <w:rPr>
          <w:rFonts w:ascii="Arial"/>
          <w:color w:val="000000"/>
          <w:sz w:val="24"/>
        </w:rPr>
        <w:t>‘</w:t>
      </w:r>
      <w:r>
        <w:rPr>
          <w:rFonts w:ascii="Arial"/>
          <w:color w:val="000000"/>
          <w:sz w:val="24"/>
        </w:rPr>
        <w:t>plainly relevant factor</w:t>
      </w:r>
      <w:r>
        <w:rPr>
          <w:rFonts w:ascii="Arial"/>
          <w:color w:val="000000"/>
          <w:sz w:val="24"/>
        </w:rPr>
        <w:t>’</w:t>
      </w:r>
      <w:r>
        <w:rPr>
          <w:rFonts w:ascii="Arial"/>
          <w:color w:val="000000"/>
          <w:sz w:val="24"/>
        </w:rPr>
        <w:t xml:space="preserve">: </w:t>
      </w:r>
      <w:r>
        <w:rPr>
          <w:rFonts w:ascii="Arial"/>
          <w:i/>
          <w:color w:val="000000"/>
          <w:sz w:val="24"/>
        </w:rPr>
        <w:t>Wojciechowska v Commissioner of Police</w:t>
      </w:r>
      <w:r>
        <w:rPr>
          <w:rFonts w:ascii="Arial"/>
          <w:color w:val="000000"/>
          <w:sz w:val="24"/>
        </w:rPr>
        <w:t xml:space="preserve"> </w:t>
      </w:r>
      <w:r>
        <w:rPr>
          <w:rFonts w:ascii="Arial"/>
          <w:color w:val="000000"/>
          <w:sz w:val="24"/>
        </w:rPr>
        <w:t>[2020] NSWCATAP 173 (</w:t>
      </w:r>
      <w:r>
        <w:rPr>
          <w:rFonts w:ascii="Arial"/>
          <w:i/>
          <w:color w:val="000000"/>
          <w:sz w:val="24"/>
        </w:rPr>
        <w:t xml:space="preserve">Wojciechowska) </w:t>
      </w:r>
      <w:r>
        <w:rPr>
          <w:rFonts w:ascii="Arial"/>
          <w:color w:val="000000"/>
          <w:sz w:val="24"/>
        </w:rPr>
        <w:t>at [41].</w:t>
      </w:r>
    </w:p>
    <w:p>
      <w:pPr>
        <w:pStyle w:val="CaselawNumbered10"/>
        <w:numPr>
          <w:ilvl w:val="0"/>
          <w:numId w:val="69"/>
        </w:numPr>
        <w:spacing w:before="150" w:after="0"/>
        <w:ind w:left="600" w:hanging="600"/>
      </w:pPr>
      <w:r>
        <w:rPr>
          <w:rFonts w:ascii="Arial"/>
          <w:i/>
          <w:color w:val="000000"/>
          <w:sz w:val="24"/>
        </w:rPr>
        <w:t xml:space="preserve">Wojciechowska </w:t>
      </w:r>
      <w:r>
        <w:rPr>
          <w:rFonts w:ascii="Arial"/>
          <w:color w:val="000000"/>
          <w:sz w:val="24"/>
        </w:rPr>
        <w:t>(at [44]) also stated:</w:t>
      </w:r>
    </w:p>
    <w:p>
      <w:pPr>
        <w:pStyle w:val="CaselawQuote"/>
        <w:spacing w:before="150" w:after="150"/>
        <w:ind w:left="1350"/>
        <w:jc w:val="left"/>
      </w:pPr>
      <w:r>
        <w:rPr>
          <w:rFonts w:ascii="Arial"/>
          <w:color w:val="000000"/>
          <w:sz w:val="22"/>
        </w:rPr>
        <w:t>In summary, the task for the Tribunal when reviewing a decision that the requested information is not held by the agency, is to:</w:t>
      </w:r>
    </w:p>
    <w:p>
      <w:pPr>
        <w:pStyle w:val="CaselawQuote"/>
        <w:spacing w:before="150" w:after="150"/>
        <w:ind w:left="1350"/>
        <w:jc w:val="left"/>
      </w:pPr>
      <w:r>
        <w:rPr>
          <w:rFonts w:ascii="Arial"/>
          <w:color w:val="000000"/>
          <w:sz w:val="22"/>
        </w:rPr>
        <w:t>(1) identify on the basis of the agency’s reasons and the applicant’s submissions, any relevant factual issues including those derived from s 53(1)– (5);</w:t>
      </w:r>
    </w:p>
    <w:p>
      <w:pPr>
        <w:pStyle w:val="CaselawQuote"/>
        <w:spacing w:before="150" w:after="150"/>
        <w:ind w:left="1350"/>
        <w:jc w:val="left"/>
      </w:pPr>
      <w:r>
        <w:rPr>
          <w:rFonts w:ascii="Arial"/>
          <w:color w:val="000000"/>
          <w:sz w:val="22"/>
        </w:rPr>
        <w:t>(2) determine whether the agency has proved any relevant factual issues on the balance of probabilities;</w:t>
      </w:r>
    </w:p>
    <w:p>
      <w:pPr>
        <w:pStyle w:val="CaselawQuote"/>
        <w:spacing w:before="150" w:after="150"/>
        <w:ind w:left="1350"/>
        <w:jc w:val="left"/>
      </w:pPr>
      <w:r>
        <w:rPr>
          <w:rFonts w:ascii="Arial"/>
          <w:color w:val="000000"/>
          <w:sz w:val="22"/>
        </w:rPr>
        <w:t>(3) consider any evidence which may have emerged since the agency made its decision, which might tend to prove that the requested information is held by the agency;</w:t>
      </w:r>
    </w:p>
    <w:p>
      <w:pPr>
        <w:pStyle w:val="CaselawQuote"/>
        <w:spacing w:before="150" w:after="150"/>
        <w:ind w:left="1350"/>
        <w:jc w:val="left"/>
      </w:pPr>
      <w:r>
        <w:rPr>
          <w:rFonts w:ascii="Arial"/>
          <w:color w:val="000000"/>
          <w:sz w:val="22"/>
        </w:rPr>
        <w:t>(4) applying those findings, decide what the correct or preferable decision is;</w:t>
      </w:r>
    </w:p>
    <w:p>
      <w:pPr>
        <w:pStyle w:val="CaselawQuote"/>
        <w:spacing w:before="150" w:after="150"/>
        <w:ind w:left="1350"/>
        <w:jc w:val="left"/>
      </w:pPr>
      <w:r>
        <w:rPr>
          <w:rFonts w:ascii="Arial"/>
          <w:color w:val="000000"/>
          <w:sz w:val="22"/>
        </w:rPr>
        <w:t>(5) affirm, set aside or vary the agency’s decision: s 63(3) of the Administrative Decisions Review Act.</w:t>
      </w:r>
    </w:p>
    <w:p>
      <w:pPr>
        <w:pStyle w:val="CaselawNumbered10"/>
        <w:numPr>
          <w:ilvl w:val="0"/>
          <w:numId w:val="70"/>
        </w:numPr>
        <w:spacing w:before="150" w:after="0"/>
        <w:ind w:left="600" w:hanging="600"/>
      </w:pPr>
      <w:r>
        <w:rPr>
          <w:rFonts w:ascii="Arial"/>
          <w:color w:val="000000"/>
          <w:sz w:val="24"/>
        </w:rPr>
        <w:t>What constitutes a reasonable search will vary with the circumstances of each matter and depends upon the agency to whom the access application is made and on what terms it is made.</w:t>
      </w:r>
    </w:p>
    <w:p>
      <w:pPr>
        <w:pStyle w:val="CaselawHeading3"/>
        <w:keepNext/>
        <w:spacing w:before="150" w:after="150" w:line="264"/>
        <w:ind w:left="0"/>
        <w:jc w:val="left"/>
      </w:pPr>
      <w:r>
        <w:rPr>
          <w:rFonts w:ascii="Arial"/>
        </w:rPr>
        <w:t>Evidence before the Tribunal</w:t>
      </w:r>
    </w:p>
    <w:p>
      <w:pPr>
        <w:pStyle w:val="CaselawNumbered10"/>
        <w:numPr>
          <w:ilvl w:val="0"/>
          <w:numId w:val="71"/>
        </w:numPr>
        <w:spacing w:before="150" w:after="0"/>
        <w:ind w:left="600" w:hanging="600"/>
      </w:pPr>
      <w:r>
        <w:rPr>
          <w:rFonts w:ascii="Arial"/>
          <w:color w:val="000000"/>
          <w:sz w:val="24"/>
        </w:rPr>
        <w:t xml:space="preserve">The Council relied on the affidavits of Ms Alexandra Moar </w:t>
      </w:r>
      <w:r>
        <w:rPr>
          <w:rFonts w:ascii="Arial"/>
          <w:color w:val="000000"/>
          <w:sz w:val="24"/>
        </w:rPr>
        <w:t>(R2 and R4)</w:t>
      </w:r>
      <w:r>
        <w:rPr>
          <w:rFonts w:ascii="Arial"/>
          <w:color w:val="000000"/>
          <w:sz w:val="24"/>
        </w:rPr>
        <w:t>.</w:t>
      </w:r>
    </w:p>
    <w:p>
      <w:pPr>
        <w:pStyle w:val="CaselawNumbered10"/>
        <w:numPr>
          <w:ilvl w:val="0"/>
          <w:numId w:val="71"/>
        </w:numPr>
        <w:spacing w:before="150" w:after="0"/>
        <w:ind w:left="600" w:hanging="600"/>
      </w:pPr>
      <w:r>
        <w:rPr>
          <w:rFonts w:ascii="Arial"/>
          <w:color w:val="000000"/>
          <w:sz w:val="24"/>
        </w:rPr>
        <w:t>Ms Moar appeared via AVL before the Tribunal. She confirmed that her affidavits were true and correct. Relevant facts from her affidavit, as supplemented by her oral evidence, are set out below.</w:t>
      </w:r>
      <w:r>
        <w:rPr>
          <w:rFonts w:ascii="Arial"/>
          <w:color w:val="000000"/>
          <w:sz w:val="24"/>
        </w:rPr>
        <w:t xml:space="preserve"> </w:t>
      </w:r>
      <w:r>
        <w:rPr>
          <w:rFonts w:ascii="Arial"/>
          <w:color w:val="000000"/>
          <w:sz w:val="24"/>
        </w:rPr>
        <w:t xml:space="preserve"> </w:t>
      </w:r>
      <w:r>
        <w:rPr>
          <w:rFonts w:ascii="Arial"/>
          <w:color w:val="000000"/>
          <w:sz w:val="24"/>
        </w:rPr>
        <w:t xml:space="preserve">Ms Moar was cross-examined by Mr McNeill. It became apparent that Mr McNeill sought to pursue his own agenda, and the majority of his questions were of no relevance in establishing additional facts relevant to my review. </w:t>
      </w:r>
    </w:p>
    <w:p>
      <w:pPr>
        <w:pStyle w:val="CaselawHeading4"/>
        <w:keepNext/>
        <w:spacing w:before="150" w:after="150" w:line="264"/>
        <w:ind w:left="600"/>
        <w:jc w:val="left"/>
      </w:pPr>
      <w:r>
        <w:rPr>
          <w:rFonts w:ascii="Arial"/>
        </w:rPr>
        <w:t xml:space="preserve">Role of Ms Moar </w:t>
      </w:r>
      <w:r>
        <w:rPr>
          <w:rFonts w:ascii="Arial"/>
        </w:rPr>
        <w:t>   </w:t>
      </w:r>
    </w:p>
    <w:p>
      <w:pPr>
        <w:pStyle w:val="CaselawNumbered10"/>
        <w:numPr>
          <w:ilvl w:val="0"/>
          <w:numId w:val="72"/>
        </w:numPr>
        <w:spacing w:before="150" w:after="0"/>
        <w:ind w:left="600" w:hanging="600"/>
      </w:pPr>
      <w:r>
        <w:rPr>
          <w:rFonts w:ascii="Arial"/>
          <w:color w:val="000000"/>
          <w:sz w:val="24"/>
        </w:rPr>
        <w:t xml:space="preserve">Ms Moar is the Director, Corporate and Community at </w:t>
      </w:r>
      <w:r>
        <w:rPr>
          <w:rFonts w:ascii="Arial"/>
          <w:color w:val="000000"/>
          <w:sz w:val="24"/>
        </w:rPr>
        <w:t xml:space="preserve">the </w:t>
      </w:r>
      <w:r>
        <w:rPr>
          <w:rFonts w:ascii="Arial"/>
          <w:color w:val="000000"/>
          <w:sz w:val="24"/>
        </w:rPr>
        <w:t xml:space="preserve">Council. </w:t>
      </w:r>
    </w:p>
    <w:p>
      <w:pPr>
        <w:pStyle w:val="CaselawNumbered10"/>
        <w:numPr>
          <w:ilvl w:val="0"/>
          <w:numId w:val="72"/>
        </w:numPr>
        <w:spacing w:before="150" w:after="0"/>
        <w:ind w:left="600" w:hanging="600"/>
      </w:pPr>
      <w:r>
        <w:rPr>
          <w:rFonts w:ascii="Arial"/>
          <w:color w:val="000000"/>
          <w:sz w:val="24"/>
        </w:rPr>
        <w:t xml:space="preserve">She reports directly to the General Manager at the Council, and oversees four sections of the Council. Relevantly, that includes </w:t>
      </w:r>
      <w:r>
        <w:rPr>
          <w:rFonts w:ascii="Arial"/>
          <w:color w:val="000000"/>
          <w:sz w:val="24"/>
        </w:rPr>
        <w:t>“</w:t>
      </w:r>
      <w:r>
        <w:rPr>
          <w:rFonts w:ascii="Arial"/>
          <w:color w:val="000000"/>
          <w:sz w:val="24"/>
        </w:rPr>
        <w:t>Organisational Development</w:t>
      </w:r>
      <w:r>
        <w:rPr>
          <w:rFonts w:ascii="Arial"/>
          <w:color w:val="000000"/>
          <w:sz w:val="24"/>
        </w:rPr>
        <w:t>”</w:t>
      </w:r>
      <w:r>
        <w:rPr>
          <w:rFonts w:ascii="Arial"/>
          <w:color w:val="000000"/>
          <w:sz w:val="24"/>
        </w:rPr>
        <w:t>, which includes governance; as well as a Customer Service Officer who deals with requests for information.</w:t>
      </w:r>
    </w:p>
    <w:p>
      <w:pPr>
        <w:pStyle w:val="CaselawNumbered10"/>
        <w:numPr>
          <w:ilvl w:val="0"/>
          <w:numId w:val="72"/>
        </w:numPr>
        <w:spacing w:before="150" w:after="0"/>
        <w:ind w:left="600" w:hanging="600"/>
      </w:pPr>
      <w:r>
        <w:rPr>
          <w:rFonts w:ascii="Arial"/>
          <w:color w:val="000000"/>
          <w:sz w:val="24"/>
        </w:rPr>
        <w:t xml:space="preserve">Any GIPA requests are received by the Governance Officer who processes the application and has authority to prepare a notice of decision. </w:t>
      </w:r>
      <w:r>
        <w:rPr>
          <w:rFonts w:ascii="Arial"/>
          <w:color w:val="000000"/>
          <w:sz w:val="24"/>
        </w:rPr>
        <w:t xml:space="preserve">This officer previously </w:t>
      </w:r>
      <w:r>
        <w:rPr>
          <w:rFonts w:ascii="Arial"/>
          <w:color w:val="000000"/>
          <w:sz w:val="24"/>
        </w:rPr>
        <w:t>report</w:t>
      </w:r>
      <w:r>
        <w:rPr>
          <w:rFonts w:ascii="Arial"/>
          <w:color w:val="000000"/>
          <w:sz w:val="24"/>
        </w:rPr>
        <w:t>ed</w:t>
      </w:r>
      <w:r>
        <w:rPr>
          <w:rFonts w:ascii="Arial"/>
          <w:color w:val="000000"/>
          <w:sz w:val="24"/>
        </w:rPr>
        <w:t xml:space="preserve"> </w:t>
      </w:r>
      <w:r>
        <w:rPr>
          <w:rFonts w:ascii="Arial"/>
          <w:color w:val="000000"/>
          <w:sz w:val="24"/>
        </w:rPr>
        <w:t>directly to Ms Moar; she now reports to the Manager, Organisational Development, who in return reports to Ms Moar.</w:t>
      </w:r>
    </w:p>
    <w:p>
      <w:pPr>
        <w:pStyle w:val="CaselawNumbered10"/>
        <w:numPr>
          <w:ilvl w:val="0"/>
          <w:numId w:val="72"/>
        </w:numPr>
        <w:spacing w:before="150" w:after="0"/>
        <w:ind w:left="600" w:hanging="600"/>
      </w:pPr>
      <w:r>
        <w:rPr>
          <w:rFonts w:ascii="Arial"/>
          <w:color w:val="000000"/>
          <w:sz w:val="24"/>
        </w:rPr>
        <w:t>Ms Moar explained the relevant systems and processes relating to the recording and production of documents</w:t>
      </w:r>
      <w:r>
        <w:rPr>
          <w:rFonts w:ascii="Arial"/>
          <w:color w:val="000000"/>
          <w:sz w:val="24"/>
        </w:rPr>
        <w:t xml:space="preserve"> </w:t>
      </w:r>
      <w:r>
        <w:rPr>
          <w:rFonts w:ascii="Arial"/>
          <w:color w:val="000000"/>
          <w:sz w:val="24"/>
        </w:rPr>
        <w:t>in response to GIPA applications</w:t>
      </w:r>
      <w:r>
        <w:rPr>
          <w:rFonts w:ascii="Arial"/>
          <w:color w:val="000000"/>
          <w:sz w:val="24"/>
        </w:rPr>
        <w:t xml:space="preserve">. She spoke of the importance of ensuring that everyone was aware of their duty to comply with the information policies applicable to the Council. The </w:t>
      </w:r>
      <w:r>
        <w:rPr>
          <w:rFonts w:ascii="Arial"/>
          <w:color w:val="000000"/>
          <w:sz w:val="24"/>
        </w:rPr>
        <w:t>“</w:t>
      </w:r>
      <w:r>
        <w:rPr>
          <w:rFonts w:ascii="Arial"/>
          <w:color w:val="000000"/>
          <w:sz w:val="24"/>
        </w:rPr>
        <w:t>Information Management</w:t>
      </w:r>
      <w:r>
        <w:rPr>
          <w:rFonts w:ascii="Arial"/>
          <w:color w:val="000000"/>
          <w:sz w:val="24"/>
        </w:rPr>
        <w:t>”</w:t>
      </w:r>
      <w:r>
        <w:rPr>
          <w:rFonts w:ascii="Arial"/>
          <w:color w:val="000000"/>
          <w:sz w:val="24"/>
        </w:rPr>
        <w:t xml:space="preserve"> </w:t>
      </w:r>
      <w:r>
        <w:rPr>
          <w:rFonts w:ascii="Arial"/>
          <w:color w:val="000000"/>
          <w:sz w:val="24"/>
        </w:rPr>
        <w:t>Policy</w:t>
      </w:r>
      <w:r>
        <w:rPr>
          <w:rFonts w:ascii="Arial"/>
          <w:color w:val="000000"/>
          <w:sz w:val="24"/>
        </w:rPr>
        <w:t xml:space="preserve"> </w:t>
      </w:r>
      <w:r>
        <w:rPr>
          <w:rFonts w:ascii="Arial"/>
          <w:color w:val="000000"/>
          <w:sz w:val="24"/>
        </w:rPr>
        <w:t>adopted by the Council on 20 October 2015</w:t>
      </w:r>
      <w:r>
        <w:rPr>
          <w:rFonts w:ascii="Arial"/>
          <w:color w:val="000000"/>
          <w:sz w:val="24"/>
        </w:rPr>
        <w:t xml:space="preserve">, which </w:t>
      </w:r>
      <w:r>
        <w:rPr>
          <w:rFonts w:ascii="Arial"/>
          <w:color w:val="000000"/>
          <w:sz w:val="24"/>
        </w:rPr>
        <w:t xml:space="preserve">sets out the relevant processes and policies </w:t>
      </w:r>
      <w:r>
        <w:rPr>
          <w:rFonts w:ascii="Arial"/>
          <w:color w:val="000000"/>
          <w:sz w:val="24"/>
        </w:rPr>
        <w:t xml:space="preserve">required to be </w:t>
      </w:r>
      <w:r>
        <w:rPr>
          <w:rFonts w:ascii="Arial"/>
          <w:color w:val="000000"/>
          <w:sz w:val="24"/>
        </w:rPr>
        <w:t xml:space="preserve">complied with </w:t>
      </w:r>
      <w:r>
        <w:rPr>
          <w:rFonts w:ascii="Arial"/>
          <w:color w:val="000000"/>
          <w:sz w:val="24"/>
        </w:rPr>
        <w:t>by all Council staff/officers, was provided at the hearing (and is also publicly available on the Council</w:t>
      </w:r>
      <w:r>
        <w:rPr>
          <w:rFonts w:ascii="Arial"/>
          <w:color w:val="000000"/>
          <w:sz w:val="24"/>
        </w:rPr>
        <w:t>’</w:t>
      </w:r>
      <w:r>
        <w:rPr>
          <w:rFonts w:ascii="Arial"/>
          <w:color w:val="000000"/>
          <w:sz w:val="24"/>
        </w:rPr>
        <w:t xml:space="preserve">s website). </w:t>
      </w:r>
      <w:r>
        <w:rPr>
          <w:rFonts w:ascii="Arial"/>
          <w:color w:val="000000"/>
          <w:sz w:val="24"/>
        </w:rPr>
        <w:t xml:space="preserve"> </w:t>
      </w:r>
    </w:p>
    <w:p>
      <w:pPr>
        <w:pStyle w:val="CaselawNumbered10"/>
        <w:numPr>
          <w:ilvl w:val="0"/>
          <w:numId w:val="72"/>
        </w:numPr>
        <w:spacing w:before="150" w:after="0"/>
        <w:ind w:left="600" w:hanging="600"/>
      </w:pPr>
      <w:r>
        <w:rPr>
          <w:rFonts w:ascii="Arial"/>
          <w:color w:val="000000"/>
          <w:sz w:val="24"/>
        </w:rPr>
        <w:t>The Tribunal asked Ms Moar to provide further detail regarding the electronic record keeping system, the searches undertaken in response to the Applicant</w:t>
      </w:r>
      <w:r>
        <w:rPr>
          <w:rFonts w:ascii="Arial"/>
          <w:color w:val="000000"/>
          <w:sz w:val="24"/>
        </w:rPr>
        <w:t>’</w:t>
      </w:r>
      <w:r>
        <w:rPr>
          <w:rFonts w:ascii="Arial"/>
          <w:color w:val="000000"/>
          <w:sz w:val="24"/>
        </w:rPr>
        <w:t>s application, and how the Tribunal could be satisfied that all relevant responsive documents had been produced.</w:t>
      </w:r>
    </w:p>
    <w:p>
      <w:pPr>
        <w:pStyle w:val="CaselawNumbered10"/>
        <w:numPr>
          <w:ilvl w:val="0"/>
          <w:numId w:val="72"/>
        </w:numPr>
        <w:spacing w:before="150" w:after="0"/>
        <w:ind w:left="600" w:hanging="600"/>
      </w:pPr>
      <w:r>
        <w:rPr>
          <w:rFonts w:ascii="Arial"/>
          <w:color w:val="000000"/>
          <w:sz w:val="24"/>
        </w:rPr>
        <w:t>Ms Moar explained the Council</w:t>
      </w:r>
      <w:r>
        <w:rPr>
          <w:rFonts w:ascii="Arial"/>
          <w:color w:val="000000"/>
          <w:sz w:val="24"/>
        </w:rPr>
        <w:t>’</w:t>
      </w:r>
      <w:r>
        <w:rPr>
          <w:rFonts w:ascii="Arial"/>
          <w:color w:val="000000"/>
          <w:sz w:val="24"/>
        </w:rPr>
        <w:t>s recordkeeping system as follows:</w:t>
      </w:r>
    </w:p>
    <w:p>
      <w:pPr>
        <w:pStyle w:val="CaselawNumbered1"/>
        <w:numPr>
          <w:ilvl w:val="0"/>
          <w:numId w:val="73"/>
        </w:numPr>
        <w:spacing w:before="150" w:after="0"/>
        <w:ind w:left="1350" w:hanging="750"/>
      </w:pPr>
      <w:r>
        <w:rPr>
          <w:rFonts w:ascii="Arial"/>
          <w:color w:val="000000"/>
          <w:sz w:val="24"/>
        </w:rPr>
        <w:t xml:space="preserve">The Council uses </w:t>
      </w:r>
      <w:r>
        <w:rPr>
          <w:rFonts w:ascii="Arial"/>
          <w:color w:val="000000"/>
          <w:sz w:val="24"/>
        </w:rPr>
        <w:t>“</w:t>
      </w:r>
      <w:r>
        <w:rPr>
          <w:rFonts w:ascii="Arial"/>
          <w:color w:val="000000"/>
          <w:sz w:val="24"/>
        </w:rPr>
        <w:t>ECM</w:t>
      </w:r>
      <w:r>
        <w:rPr>
          <w:rFonts w:ascii="Arial"/>
          <w:color w:val="000000"/>
          <w:sz w:val="24"/>
        </w:rPr>
        <w:t>”</w:t>
      </w:r>
      <w:r>
        <w:rPr>
          <w:rFonts w:ascii="Arial"/>
          <w:color w:val="000000"/>
          <w:sz w:val="24"/>
        </w:rPr>
        <w:t xml:space="preserve"> </w:t>
      </w:r>
      <w:r>
        <w:rPr>
          <w:rFonts w:ascii="Arial"/>
          <w:color w:val="000000"/>
          <w:sz w:val="24"/>
        </w:rPr>
        <w:t>as its document management system.</w:t>
      </w:r>
    </w:p>
    <w:p>
      <w:pPr>
        <w:pStyle w:val="CaselawNumbered1"/>
        <w:numPr>
          <w:ilvl w:val="0"/>
          <w:numId w:val="73"/>
        </w:numPr>
        <w:spacing w:before="150" w:after="0"/>
        <w:ind w:left="1350" w:hanging="750"/>
      </w:pPr>
      <w:r>
        <w:rPr>
          <w:rFonts w:ascii="Arial"/>
          <w:color w:val="000000"/>
          <w:sz w:val="24"/>
        </w:rPr>
        <w:t xml:space="preserve">It is located in their </w:t>
      </w:r>
      <w:r>
        <w:rPr>
          <w:rFonts w:ascii="Arial"/>
          <w:color w:val="000000"/>
          <w:sz w:val="24"/>
        </w:rPr>
        <w:t>“</w:t>
      </w:r>
      <w:r>
        <w:rPr>
          <w:rFonts w:ascii="Arial"/>
          <w:color w:val="000000"/>
          <w:sz w:val="24"/>
        </w:rPr>
        <w:t>Technology One</w:t>
      </w:r>
      <w:r>
        <w:rPr>
          <w:rFonts w:ascii="Arial"/>
          <w:color w:val="000000"/>
          <w:sz w:val="24"/>
        </w:rPr>
        <w:t>”</w:t>
      </w:r>
      <w:r>
        <w:rPr>
          <w:rFonts w:ascii="Arial"/>
          <w:color w:val="000000"/>
          <w:sz w:val="24"/>
        </w:rPr>
        <w:t xml:space="preserve"> </w:t>
      </w:r>
      <w:r>
        <w:rPr>
          <w:rFonts w:ascii="Arial"/>
          <w:color w:val="000000"/>
          <w:sz w:val="24"/>
        </w:rPr>
        <w:t>database and has been in place for many years.</w:t>
      </w:r>
    </w:p>
    <w:p>
      <w:pPr>
        <w:pStyle w:val="CaselawNumbered1"/>
        <w:numPr>
          <w:ilvl w:val="0"/>
          <w:numId w:val="73"/>
        </w:numPr>
        <w:spacing w:before="150" w:after="0"/>
        <w:ind w:left="1350" w:hanging="750"/>
      </w:pPr>
      <w:r>
        <w:rPr>
          <w:rFonts w:ascii="Arial"/>
          <w:color w:val="000000"/>
          <w:sz w:val="24"/>
        </w:rPr>
        <w:t>The ECM system is the repository for the recording of emails, correspondence and related items</w:t>
      </w:r>
      <w:r>
        <w:rPr>
          <w:rFonts w:ascii="Arial"/>
          <w:color w:val="000000"/>
          <w:sz w:val="24"/>
        </w:rPr>
        <w:t xml:space="preserve"> </w:t>
      </w:r>
      <w:r>
        <w:rPr>
          <w:rFonts w:ascii="Arial"/>
          <w:color w:val="000000"/>
          <w:sz w:val="24"/>
        </w:rPr>
        <w:t>in accordance with the Information Management Policy</w:t>
      </w:r>
      <w:r>
        <w:rPr>
          <w:rFonts w:ascii="Arial"/>
          <w:color w:val="000000"/>
          <w:sz w:val="24"/>
        </w:rPr>
        <w:t xml:space="preserve">. </w:t>
      </w:r>
      <w:r>
        <w:rPr>
          <w:rFonts w:ascii="Arial"/>
          <w:color w:val="000000"/>
          <w:sz w:val="24"/>
        </w:rPr>
        <w:t xml:space="preserve">Documents are registered in ECM and given a unique number. All official outgoing communications, including letters, faxes, e-mails etc need to contain </w:t>
      </w:r>
      <w:r>
        <w:rPr>
          <w:rFonts w:ascii="Arial"/>
          <w:color w:val="000000"/>
          <w:sz w:val="24"/>
        </w:rPr>
        <w:t xml:space="preserve">a </w:t>
      </w:r>
      <w:r>
        <w:rPr>
          <w:rFonts w:ascii="Arial"/>
          <w:color w:val="000000"/>
          <w:sz w:val="24"/>
        </w:rPr>
        <w:t>reference to the document number.</w:t>
      </w:r>
    </w:p>
    <w:p>
      <w:pPr>
        <w:pStyle w:val="CaselawNumbered1"/>
        <w:numPr>
          <w:ilvl w:val="0"/>
          <w:numId w:val="73"/>
        </w:numPr>
        <w:spacing w:before="150" w:after="0"/>
        <w:ind w:left="1350" w:hanging="750"/>
      </w:pPr>
      <w:r>
        <w:rPr>
          <w:rFonts w:ascii="Arial"/>
          <w:color w:val="000000"/>
          <w:sz w:val="24"/>
        </w:rPr>
        <w:t>The procedure for phonecalls regarding Council business was that these were generally recorded by way of an email confirming the discussion or following up on matters discussed; that email was loaded into ECM. It was also possible to put a note of a call directly on to the ECM system.</w:t>
      </w:r>
    </w:p>
    <w:p>
      <w:pPr>
        <w:pStyle w:val="CaselawHeading4"/>
        <w:keepNext/>
        <w:spacing w:before="150" w:after="150" w:line="264"/>
        <w:ind w:left="600"/>
        <w:jc w:val="left"/>
      </w:pPr>
      <w:r>
        <w:rPr>
          <w:rFonts w:ascii="Arial"/>
        </w:rPr>
        <w:t>The searches undertaken</w:t>
      </w:r>
    </w:p>
    <w:p>
      <w:pPr>
        <w:pStyle w:val="CaselawNumbered10"/>
        <w:numPr>
          <w:ilvl w:val="0"/>
          <w:numId w:val="74"/>
        </w:numPr>
        <w:spacing w:before="150" w:after="0"/>
        <w:ind w:left="600" w:hanging="600"/>
      </w:pPr>
      <w:r>
        <w:rPr>
          <w:rFonts w:ascii="Arial"/>
          <w:color w:val="000000"/>
          <w:sz w:val="24"/>
        </w:rPr>
        <w:t>The original searches conducted by Council</w:t>
      </w:r>
      <w:r>
        <w:rPr>
          <w:rFonts w:ascii="Arial"/>
          <w:color w:val="000000"/>
          <w:sz w:val="24"/>
        </w:rPr>
        <w:t>’</w:t>
      </w:r>
      <w:r>
        <w:rPr>
          <w:rFonts w:ascii="Arial"/>
          <w:color w:val="000000"/>
          <w:sz w:val="24"/>
        </w:rPr>
        <w:t xml:space="preserve">s Governance Officer were set out in the Notice of Decision dated 8 July 2024, including her consultations with the staff members to identify all relevant records in relation to the requested information. </w:t>
      </w:r>
    </w:p>
    <w:p>
      <w:pPr>
        <w:pStyle w:val="CaselawNumbered10"/>
        <w:numPr>
          <w:ilvl w:val="0"/>
          <w:numId w:val="74"/>
        </w:numPr>
        <w:spacing w:before="150" w:after="0"/>
        <w:ind w:left="600" w:hanging="600"/>
      </w:pPr>
      <w:r>
        <w:rPr>
          <w:rFonts w:ascii="Arial"/>
          <w:color w:val="000000"/>
          <w:sz w:val="24"/>
        </w:rPr>
        <w:t xml:space="preserve">Ms Moar had conducted a </w:t>
      </w:r>
      <w:r>
        <w:rPr>
          <w:rFonts w:ascii="Arial"/>
          <w:color w:val="000000"/>
          <w:sz w:val="24"/>
        </w:rPr>
        <w:t>recent search of Council</w:t>
      </w:r>
      <w:r>
        <w:rPr>
          <w:rFonts w:ascii="Arial"/>
          <w:color w:val="000000"/>
          <w:sz w:val="24"/>
        </w:rPr>
        <w:t>’</w:t>
      </w:r>
      <w:r>
        <w:rPr>
          <w:rFonts w:ascii="Arial"/>
          <w:color w:val="000000"/>
          <w:sz w:val="24"/>
        </w:rPr>
        <w:t>s ECM platform for the same subject matter for two GIPA applications, and these results were provided to the Applicant on 28 August 2024 (Annexure A of Ms Moar</w:t>
      </w:r>
      <w:r>
        <w:rPr>
          <w:rFonts w:ascii="Arial"/>
          <w:color w:val="000000"/>
          <w:sz w:val="24"/>
        </w:rPr>
        <w:t>’</w:t>
      </w:r>
      <w:r>
        <w:rPr>
          <w:rFonts w:ascii="Arial"/>
          <w:color w:val="000000"/>
          <w:sz w:val="24"/>
        </w:rPr>
        <w:t>s Affidavit dated 1 October 2024).</w:t>
      </w:r>
      <w:r>
        <w:rPr>
          <w:rFonts w:ascii="Arial"/>
          <w:color w:val="000000"/>
          <w:sz w:val="24"/>
        </w:rPr>
        <w:t xml:space="preserve"> </w:t>
      </w:r>
      <w:r>
        <w:rPr>
          <w:rFonts w:ascii="Arial"/>
          <w:color w:val="000000"/>
          <w:sz w:val="24"/>
        </w:rPr>
        <w:t xml:space="preserve">She explained that </w:t>
      </w:r>
      <w:r>
        <w:rPr>
          <w:rFonts w:ascii="Arial"/>
          <w:color w:val="000000"/>
          <w:sz w:val="24"/>
        </w:rPr>
        <w:t xml:space="preserve">these were two emails listed at items 13 and 14 of Annexure A of her 1 October 2024 Affidavit (R4 at items 13 and 14), </w:t>
      </w:r>
      <w:r>
        <w:rPr>
          <w:rFonts w:ascii="Arial"/>
          <w:color w:val="000000"/>
          <w:sz w:val="24"/>
        </w:rPr>
        <w:t xml:space="preserve">and although some content had been issued by way of </w:t>
      </w:r>
      <w:r>
        <w:rPr>
          <w:rFonts w:ascii="Arial"/>
          <w:color w:val="000000"/>
          <w:sz w:val="24"/>
        </w:rPr>
        <w:t>“</w:t>
      </w:r>
      <w:r>
        <w:rPr>
          <w:rFonts w:ascii="Arial"/>
          <w:color w:val="000000"/>
          <w:sz w:val="24"/>
        </w:rPr>
        <w:t>cut and pasting</w:t>
      </w:r>
      <w:r>
        <w:rPr>
          <w:rFonts w:ascii="Arial"/>
          <w:color w:val="000000"/>
          <w:sz w:val="24"/>
        </w:rPr>
        <w:t>”</w:t>
      </w:r>
      <w:r>
        <w:rPr>
          <w:rFonts w:ascii="Arial"/>
          <w:color w:val="000000"/>
          <w:sz w:val="24"/>
        </w:rPr>
        <w:t xml:space="preserve"> </w:t>
      </w:r>
      <w:r>
        <w:rPr>
          <w:rFonts w:ascii="Arial"/>
          <w:color w:val="000000"/>
          <w:sz w:val="24"/>
        </w:rPr>
        <w:t>into a timeline document previously issued to the Applicant, these two emails were separately released to the Applicant for transparency.</w:t>
      </w:r>
      <w:r>
        <w:rPr>
          <w:rFonts w:ascii="Arial"/>
          <w:color w:val="000000"/>
          <w:sz w:val="24"/>
        </w:rPr>
        <w:t xml:space="preserve"> </w:t>
      </w:r>
    </w:p>
    <w:p>
      <w:pPr>
        <w:pStyle w:val="CaselawNumbered10"/>
        <w:numPr>
          <w:ilvl w:val="0"/>
          <w:numId w:val="74"/>
        </w:numPr>
        <w:spacing w:before="150" w:after="0"/>
        <w:ind w:left="600" w:hanging="600"/>
      </w:pPr>
      <w:r>
        <w:rPr>
          <w:rFonts w:ascii="Arial"/>
          <w:color w:val="000000"/>
          <w:sz w:val="24"/>
        </w:rPr>
        <w:t xml:space="preserve">A further search of the ECM conducted by Ms Moar on 10 September 2024 revealed no additional </w:t>
      </w:r>
      <w:r>
        <w:rPr>
          <w:rFonts w:ascii="Arial"/>
          <w:color w:val="000000"/>
          <w:sz w:val="24"/>
        </w:rPr>
        <w:t xml:space="preserve">responsive </w:t>
      </w:r>
      <w:r>
        <w:rPr>
          <w:rFonts w:ascii="Arial"/>
          <w:color w:val="000000"/>
          <w:sz w:val="24"/>
        </w:rPr>
        <w:t>documents.</w:t>
      </w:r>
    </w:p>
    <w:p>
      <w:pPr>
        <w:pStyle w:val="CaselawNumbered10"/>
        <w:numPr>
          <w:ilvl w:val="0"/>
          <w:numId w:val="74"/>
        </w:numPr>
        <w:spacing w:before="150" w:after="0"/>
        <w:ind w:left="600" w:hanging="600"/>
      </w:pPr>
      <w:r>
        <w:rPr>
          <w:rFonts w:ascii="Arial"/>
          <w:color w:val="000000"/>
          <w:sz w:val="24"/>
        </w:rPr>
        <w:t>Ms Moar sa</w:t>
      </w:r>
      <w:r>
        <w:rPr>
          <w:rFonts w:ascii="Arial"/>
          <w:color w:val="000000"/>
          <w:sz w:val="24"/>
        </w:rPr>
        <w:t xml:space="preserve">id </w:t>
      </w:r>
      <w:r>
        <w:rPr>
          <w:rFonts w:ascii="Arial"/>
          <w:color w:val="000000"/>
          <w:sz w:val="24"/>
        </w:rPr>
        <w:t>that, following her enquiries, she was satisfied that all information responsive to the Applicant</w:t>
      </w:r>
      <w:r>
        <w:rPr>
          <w:rFonts w:ascii="Arial"/>
          <w:color w:val="000000"/>
          <w:sz w:val="24"/>
        </w:rPr>
        <w:t>’</w:t>
      </w:r>
      <w:r>
        <w:rPr>
          <w:rFonts w:ascii="Arial"/>
          <w:color w:val="000000"/>
          <w:sz w:val="24"/>
        </w:rPr>
        <w:t xml:space="preserve">s request was provided, and no other information is held: </w:t>
      </w:r>
    </w:p>
    <w:p>
      <w:pPr>
        <w:pStyle w:val="CaselawNumbered1"/>
        <w:numPr>
          <w:ilvl w:val="0"/>
          <w:numId w:val="75"/>
        </w:numPr>
        <w:spacing w:before="150" w:after="0"/>
        <w:ind w:left="1350" w:hanging="750"/>
      </w:pPr>
      <w:r>
        <w:rPr>
          <w:rFonts w:ascii="Arial"/>
          <w:color w:val="000000"/>
          <w:sz w:val="24"/>
        </w:rPr>
        <w:t>Searches were conducted across the ECM system;</w:t>
      </w:r>
    </w:p>
    <w:p>
      <w:pPr>
        <w:pStyle w:val="CaselawNumbered1"/>
        <w:numPr>
          <w:ilvl w:val="0"/>
          <w:numId w:val="75"/>
        </w:numPr>
        <w:spacing w:before="150" w:after="0"/>
        <w:ind w:left="1350" w:hanging="750"/>
      </w:pPr>
      <w:r>
        <w:rPr>
          <w:rFonts w:ascii="Arial"/>
          <w:color w:val="000000"/>
          <w:sz w:val="24"/>
        </w:rPr>
        <w:t xml:space="preserve">There was no relevant issue in locating any responsive information, as the Applicant had lodged previous GIPA requests which had been actioned by Council in respect of the same or related matters, although this request sought slightly different information. </w:t>
      </w:r>
    </w:p>
    <w:p>
      <w:pPr>
        <w:pStyle w:val="CaselawNumbered1"/>
        <w:numPr>
          <w:ilvl w:val="0"/>
          <w:numId w:val="75"/>
        </w:numPr>
        <w:spacing w:before="150" w:after="0"/>
        <w:ind w:left="1350" w:hanging="750"/>
      </w:pPr>
      <w:r>
        <w:rPr>
          <w:rFonts w:ascii="Arial"/>
          <w:color w:val="000000"/>
          <w:sz w:val="24"/>
        </w:rPr>
        <w:t>Before responding to the GIPA Application, their processes required that all relevant Council officers/staff be identified, and that they be asked to confirm that their records had been loaded on to the ECM system</w:t>
      </w:r>
      <w:r>
        <w:rPr>
          <w:rFonts w:ascii="Arial"/>
          <w:color w:val="000000"/>
          <w:sz w:val="24"/>
        </w:rPr>
        <w:t xml:space="preserve">; that process was followed. Such a request created a </w:t>
      </w:r>
      <w:r>
        <w:rPr>
          <w:rFonts w:ascii="Arial"/>
          <w:color w:val="000000"/>
          <w:sz w:val="24"/>
        </w:rPr>
        <w:t>“</w:t>
      </w:r>
      <w:r>
        <w:rPr>
          <w:rFonts w:ascii="Arial"/>
          <w:color w:val="000000"/>
          <w:sz w:val="24"/>
        </w:rPr>
        <w:t>task</w:t>
      </w:r>
      <w:r>
        <w:rPr>
          <w:rFonts w:ascii="Arial"/>
          <w:color w:val="000000"/>
          <w:sz w:val="24"/>
        </w:rPr>
        <w:t>”</w:t>
      </w:r>
      <w:r>
        <w:rPr>
          <w:rFonts w:ascii="Arial"/>
          <w:color w:val="000000"/>
          <w:sz w:val="24"/>
        </w:rPr>
        <w:t xml:space="preserve"> </w:t>
      </w:r>
      <w:r>
        <w:rPr>
          <w:rFonts w:ascii="Arial"/>
          <w:color w:val="000000"/>
          <w:sz w:val="24"/>
        </w:rPr>
        <w:t>that was then required to be actioned to ensure that was completed</w:t>
      </w:r>
      <w:r>
        <w:rPr>
          <w:rFonts w:ascii="Arial"/>
          <w:color w:val="000000"/>
          <w:sz w:val="24"/>
        </w:rPr>
        <w:t xml:space="preserve">; she confirmed that they </w:t>
      </w:r>
      <w:r>
        <w:rPr>
          <w:rFonts w:ascii="Arial"/>
          <w:color w:val="000000"/>
          <w:sz w:val="24"/>
        </w:rPr>
        <w:t>“</w:t>
      </w:r>
      <w:r>
        <w:rPr>
          <w:rFonts w:ascii="Arial"/>
          <w:color w:val="000000"/>
          <w:sz w:val="24"/>
        </w:rPr>
        <w:t>must reply</w:t>
      </w:r>
      <w:r>
        <w:rPr>
          <w:rFonts w:ascii="Arial"/>
          <w:color w:val="000000"/>
          <w:sz w:val="24"/>
        </w:rPr>
        <w:t>”</w:t>
      </w:r>
      <w:r>
        <w:rPr>
          <w:rFonts w:ascii="Arial"/>
          <w:color w:val="000000"/>
          <w:sz w:val="24"/>
        </w:rPr>
        <w:t xml:space="preserve"> </w:t>
      </w:r>
      <w:r>
        <w:rPr>
          <w:rFonts w:ascii="Arial"/>
          <w:color w:val="000000"/>
          <w:sz w:val="24"/>
        </w:rPr>
        <w:t xml:space="preserve">to the task, and the reply was also recorded on the ECM to say it was </w:t>
      </w:r>
      <w:r>
        <w:rPr>
          <w:rFonts w:ascii="Arial"/>
          <w:color w:val="000000"/>
          <w:sz w:val="24"/>
        </w:rPr>
        <w:t>“</w:t>
      </w:r>
      <w:r>
        <w:rPr>
          <w:rFonts w:ascii="Arial"/>
          <w:color w:val="000000"/>
          <w:sz w:val="24"/>
        </w:rPr>
        <w:t>all done</w:t>
      </w:r>
      <w:r>
        <w:rPr>
          <w:rFonts w:ascii="Arial"/>
          <w:color w:val="000000"/>
          <w:sz w:val="24"/>
        </w:rPr>
        <w:t>”</w:t>
      </w:r>
      <w:r>
        <w:rPr>
          <w:rFonts w:ascii="Arial"/>
          <w:color w:val="000000"/>
          <w:sz w:val="24"/>
        </w:rPr>
        <w:t>.</w:t>
      </w:r>
    </w:p>
    <w:p>
      <w:pPr>
        <w:pStyle w:val="CaselawNumbered1"/>
        <w:numPr>
          <w:ilvl w:val="0"/>
          <w:numId w:val="75"/>
        </w:numPr>
        <w:spacing w:before="150" w:after="0"/>
        <w:ind w:left="1350" w:hanging="750"/>
      </w:pPr>
      <w:r>
        <w:rPr>
          <w:rFonts w:ascii="Arial"/>
          <w:color w:val="000000"/>
          <w:sz w:val="24"/>
        </w:rPr>
        <w:t>She confirmed that she was not aware of any other searches that could be undertaken to find the requested information.</w:t>
      </w:r>
    </w:p>
    <w:p>
      <w:pPr>
        <w:pStyle w:val="CaselawHeading4"/>
        <w:keepNext/>
        <w:spacing w:before="150" w:after="150" w:line="264"/>
        <w:ind w:left="600"/>
        <w:jc w:val="left"/>
      </w:pPr>
      <w:r>
        <w:rPr>
          <w:rFonts w:ascii="Arial"/>
        </w:rPr>
        <w:t>Why no further records were available</w:t>
      </w:r>
    </w:p>
    <w:p>
      <w:pPr>
        <w:pStyle w:val="CaselawNumbered10"/>
        <w:numPr>
          <w:ilvl w:val="0"/>
          <w:numId w:val="76"/>
        </w:numPr>
        <w:spacing w:before="150" w:after="0"/>
        <w:ind w:left="600" w:hanging="600"/>
      </w:pPr>
      <w:r>
        <w:rPr>
          <w:rFonts w:ascii="Arial"/>
          <w:color w:val="000000"/>
          <w:sz w:val="24"/>
        </w:rPr>
        <w:t xml:space="preserve">Ms Moar deposed in her Affidavit dated 13 September 2024, at some length, as to the chronology of events and her review of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documents which led to her conclusion that there were no further records of discussions regarding Option B available for disclosure (</w:t>
      </w:r>
      <w:r>
        <w:rPr>
          <w:rFonts w:ascii="Arial"/>
          <w:color w:val="000000"/>
          <w:sz w:val="24"/>
        </w:rPr>
        <w:t xml:space="preserve">R2 at </w:t>
      </w:r>
      <w:r>
        <w:rPr>
          <w:rFonts w:ascii="Arial"/>
          <w:color w:val="000000"/>
          <w:sz w:val="24"/>
        </w:rPr>
        <w:t>[10]</w:t>
      </w:r>
      <w:r>
        <w:rPr>
          <w:rFonts w:ascii="Arial"/>
          <w:color w:val="000000"/>
          <w:sz w:val="24"/>
        </w:rPr>
        <w:t xml:space="preserve"> </w:t>
      </w:r>
      <w:r>
        <w:rPr>
          <w:rFonts w:ascii="Arial"/>
          <w:color w:val="000000"/>
          <w:sz w:val="24"/>
        </w:rPr>
        <w:t>ff)</w:t>
      </w:r>
      <w:r>
        <w:rPr>
          <w:rFonts w:ascii="Arial"/>
          <w:color w:val="000000"/>
          <w:sz w:val="24"/>
        </w:rPr>
        <w:t xml:space="preserve">. In summary, she concluded </w:t>
      </w:r>
      <w:r>
        <w:rPr>
          <w:rFonts w:ascii="Arial"/>
          <w:color w:val="000000"/>
          <w:sz w:val="24"/>
        </w:rPr>
        <w:t>that on 28 February 2023, Motion 07.22.290 was rescinded at the Council meeting and no other work was undertaken in relation to Option B</w:t>
      </w:r>
      <w:r>
        <w:rPr>
          <w:rFonts w:ascii="Arial"/>
          <w:color w:val="000000"/>
          <w:sz w:val="24"/>
        </w:rPr>
        <w:t xml:space="preserve"> </w:t>
      </w:r>
      <w:r>
        <w:rPr>
          <w:rFonts w:ascii="Arial"/>
          <w:color w:val="000000"/>
          <w:sz w:val="24"/>
        </w:rPr>
        <w:t>(R2 at [10(n)])</w:t>
      </w:r>
      <w:r>
        <w:rPr>
          <w:rFonts w:ascii="Arial"/>
          <w:color w:val="000000"/>
          <w:sz w:val="24"/>
        </w:rPr>
        <w:t>.</w:t>
      </w:r>
    </w:p>
    <w:p>
      <w:pPr>
        <w:pStyle w:val="CaselawHeading3"/>
        <w:keepNext/>
        <w:spacing w:before="150" w:after="150" w:line="264"/>
        <w:ind w:left="0"/>
        <w:jc w:val="left"/>
      </w:pPr>
      <w:r>
        <w:rPr>
          <w:rFonts w:ascii="Arial"/>
        </w:rPr>
        <w:t>Consideration</w:t>
      </w:r>
    </w:p>
    <w:p>
      <w:pPr>
        <w:pStyle w:val="CaselawNumbered10"/>
        <w:numPr>
          <w:ilvl w:val="0"/>
          <w:numId w:val="77"/>
        </w:numPr>
        <w:spacing w:before="150" w:after="0"/>
        <w:ind w:left="600" w:hanging="600"/>
      </w:pPr>
      <w:r>
        <w:rPr>
          <w:rFonts w:ascii="Arial"/>
          <w:color w:val="000000"/>
          <w:sz w:val="24"/>
        </w:rPr>
        <w:t>The Applicant</w:t>
      </w:r>
      <w:r>
        <w:rPr>
          <w:rFonts w:ascii="Arial"/>
          <w:color w:val="000000"/>
          <w:sz w:val="24"/>
        </w:rPr>
        <w:t>’</w:t>
      </w:r>
      <w:r>
        <w:rPr>
          <w:rFonts w:ascii="Arial"/>
          <w:color w:val="000000"/>
          <w:sz w:val="24"/>
        </w:rPr>
        <w:t>s submissions were to the effect that the Council</w:t>
      </w:r>
      <w:r>
        <w:rPr>
          <w:rFonts w:ascii="Arial"/>
          <w:color w:val="000000"/>
          <w:sz w:val="24"/>
        </w:rPr>
        <w:t>’</w:t>
      </w:r>
      <w:r>
        <w:rPr>
          <w:rFonts w:ascii="Arial"/>
          <w:color w:val="000000"/>
          <w:sz w:val="24"/>
        </w:rPr>
        <w:t xml:space="preserve">s response to his GIPA application </w:t>
      </w:r>
      <w:r>
        <w:rPr>
          <w:rFonts w:ascii="Arial"/>
          <w:color w:val="000000"/>
          <w:sz w:val="24"/>
        </w:rPr>
        <w:t>“</w:t>
      </w:r>
      <w:r>
        <w:rPr>
          <w:rFonts w:ascii="Arial"/>
          <w:color w:val="000000"/>
          <w:sz w:val="24"/>
        </w:rPr>
        <w:t>has been unsatisfactory</w:t>
      </w:r>
      <w:r>
        <w:rPr>
          <w:rFonts w:ascii="Arial"/>
          <w:color w:val="000000"/>
          <w:sz w:val="24"/>
        </w:rPr>
        <w:t>”</w:t>
      </w:r>
      <w:r>
        <w:rPr>
          <w:rFonts w:ascii="Arial"/>
          <w:color w:val="000000"/>
          <w:sz w:val="24"/>
        </w:rPr>
        <w:t xml:space="preserve"> </w:t>
      </w:r>
      <w:r>
        <w:rPr>
          <w:rFonts w:ascii="Arial"/>
          <w:color w:val="000000"/>
          <w:sz w:val="24"/>
        </w:rPr>
        <w:t xml:space="preserve">and that </w:t>
      </w:r>
      <w:r>
        <w:rPr>
          <w:rFonts w:ascii="Arial"/>
          <w:color w:val="000000"/>
          <w:sz w:val="24"/>
        </w:rPr>
        <w:t>“</w:t>
      </w:r>
      <w:r>
        <w:rPr>
          <w:rFonts w:ascii="Arial"/>
          <w:color w:val="000000"/>
          <w:sz w:val="24"/>
        </w:rPr>
        <w:t>there appears to be a significant lack of documentation regarding the implementation of Council resolution 07.22.290</w:t>
      </w:r>
      <w:r>
        <w:rPr>
          <w:rFonts w:ascii="Arial"/>
          <w:color w:val="000000"/>
          <w:sz w:val="24"/>
        </w:rPr>
        <w:t>”</w:t>
      </w:r>
      <w:r>
        <w:rPr>
          <w:rFonts w:ascii="Arial"/>
          <w:color w:val="000000"/>
          <w:sz w:val="24"/>
        </w:rPr>
        <w:t xml:space="preserve">. His submissions tended to circle back to concerns about process and </w:t>
      </w:r>
      <w:r>
        <w:rPr>
          <w:rFonts w:ascii="Arial"/>
          <w:color w:val="000000"/>
          <w:sz w:val="24"/>
        </w:rPr>
        <w:t>“</w:t>
      </w:r>
      <w:r>
        <w:rPr>
          <w:rFonts w:ascii="Arial"/>
          <w:color w:val="000000"/>
          <w:sz w:val="24"/>
        </w:rPr>
        <w:t>Council</w:t>
      </w:r>
      <w:r>
        <w:rPr>
          <w:rFonts w:ascii="Arial"/>
          <w:color w:val="000000"/>
          <w:sz w:val="24"/>
        </w:rPr>
        <w:t>’</w:t>
      </w:r>
      <w:r>
        <w:rPr>
          <w:rFonts w:ascii="Arial"/>
          <w:color w:val="000000"/>
          <w:sz w:val="24"/>
        </w:rPr>
        <w:t>s handling of the Treelands Drive Community Hub project</w:t>
      </w:r>
      <w:r>
        <w:rPr>
          <w:rFonts w:ascii="Arial"/>
          <w:color w:val="000000"/>
          <w:sz w:val="24"/>
        </w:rPr>
        <w:t>”</w:t>
      </w:r>
      <w:r>
        <w:rPr>
          <w:rFonts w:ascii="Arial"/>
          <w:color w:val="000000"/>
          <w:sz w:val="24"/>
        </w:rPr>
        <w:t xml:space="preserve"> </w:t>
      </w:r>
      <w:r>
        <w:rPr>
          <w:rFonts w:ascii="Arial"/>
          <w:color w:val="000000"/>
          <w:sz w:val="24"/>
        </w:rPr>
        <w:t xml:space="preserve">and their </w:t>
      </w:r>
      <w:r>
        <w:rPr>
          <w:rFonts w:ascii="Arial"/>
          <w:color w:val="000000"/>
          <w:sz w:val="24"/>
        </w:rPr>
        <w:t>“</w:t>
      </w:r>
      <w:r>
        <w:rPr>
          <w:rFonts w:ascii="Arial"/>
          <w:color w:val="000000"/>
          <w:sz w:val="24"/>
        </w:rPr>
        <w:t>failure</w:t>
      </w:r>
      <w:r>
        <w:rPr>
          <w:rFonts w:ascii="Arial"/>
          <w:color w:val="000000"/>
          <w:sz w:val="24"/>
        </w:rPr>
        <w:t>”</w:t>
      </w:r>
      <w:r>
        <w:rPr>
          <w:rFonts w:ascii="Arial"/>
          <w:color w:val="000000"/>
          <w:sz w:val="24"/>
        </w:rPr>
        <w:t xml:space="preserve"> </w:t>
      </w:r>
      <w:r>
        <w:rPr>
          <w:rFonts w:ascii="Arial"/>
          <w:color w:val="000000"/>
          <w:sz w:val="24"/>
        </w:rPr>
        <w:t xml:space="preserve">to follow proper procedures. </w:t>
      </w:r>
      <w:r>
        <w:rPr>
          <w:rFonts w:ascii="Arial"/>
          <w:color w:val="000000"/>
          <w:sz w:val="24"/>
        </w:rPr>
        <w:t xml:space="preserve"> </w:t>
      </w:r>
      <w:r>
        <w:rPr>
          <w:rFonts w:ascii="Arial"/>
          <w:color w:val="000000"/>
          <w:sz w:val="24"/>
        </w:rPr>
        <w:t>However,</w:t>
      </w:r>
      <w:r>
        <w:rPr>
          <w:rFonts w:ascii="Arial"/>
          <w:color w:val="000000"/>
          <w:sz w:val="24"/>
        </w:rPr>
        <w:t xml:space="preserve"> </w:t>
      </w:r>
      <w:r>
        <w:rPr>
          <w:rFonts w:ascii="Arial"/>
          <w:color w:val="000000"/>
          <w:sz w:val="24"/>
        </w:rPr>
        <w:t>I could not ascertain anything of any specificity from the Applicant</w:t>
      </w:r>
      <w:r>
        <w:rPr>
          <w:rFonts w:ascii="Arial"/>
          <w:color w:val="000000"/>
          <w:sz w:val="24"/>
        </w:rPr>
        <w:t>’</w:t>
      </w:r>
      <w:r>
        <w:rPr>
          <w:rFonts w:ascii="Arial"/>
          <w:color w:val="000000"/>
          <w:sz w:val="24"/>
        </w:rPr>
        <w:t xml:space="preserve">s </w:t>
      </w:r>
      <w:r>
        <w:rPr>
          <w:rFonts w:ascii="Arial"/>
          <w:color w:val="000000"/>
          <w:sz w:val="24"/>
        </w:rPr>
        <w:t>evidence or submissions</w:t>
      </w:r>
      <w:r>
        <w:rPr>
          <w:rFonts w:ascii="Arial"/>
          <w:color w:val="000000"/>
          <w:sz w:val="24"/>
        </w:rPr>
        <w:t xml:space="preserve"> </w:t>
      </w:r>
      <w:r>
        <w:rPr>
          <w:rFonts w:ascii="Arial"/>
          <w:color w:val="000000"/>
          <w:sz w:val="24"/>
        </w:rPr>
        <w:t xml:space="preserve">that raised a concern that other responsive documents were </w:t>
      </w:r>
      <w:r>
        <w:rPr>
          <w:rFonts w:ascii="Arial"/>
          <w:color w:val="000000"/>
          <w:sz w:val="24"/>
        </w:rPr>
        <w:t xml:space="preserve">– </w:t>
      </w:r>
      <w:r>
        <w:rPr>
          <w:rFonts w:ascii="Arial"/>
          <w:color w:val="000000"/>
          <w:sz w:val="24"/>
        </w:rPr>
        <w:t>or were likely to be - in existence as at the date of his request.</w:t>
      </w:r>
      <w:r>
        <w:rPr>
          <w:rFonts w:ascii="Arial"/>
          <w:color w:val="000000"/>
          <w:sz w:val="24"/>
        </w:rPr>
        <w:t xml:space="preserve"> </w:t>
      </w:r>
    </w:p>
    <w:p>
      <w:pPr>
        <w:pStyle w:val="CaselawNumbered10"/>
        <w:numPr>
          <w:ilvl w:val="0"/>
          <w:numId w:val="77"/>
        </w:numPr>
        <w:spacing w:before="150" w:after="0"/>
        <w:ind w:left="600" w:hanging="600"/>
      </w:pPr>
      <w:r>
        <w:rPr>
          <w:rFonts w:ascii="Arial"/>
          <w:color w:val="000000"/>
          <w:sz w:val="24"/>
        </w:rPr>
        <w:t xml:space="preserve">I found Ms </w:t>
      </w:r>
      <w:r>
        <w:rPr>
          <w:rFonts w:ascii="Arial"/>
          <w:color w:val="000000"/>
          <w:sz w:val="24"/>
        </w:rPr>
        <w:t>Moar</w:t>
      </w:r>
      <w:r>
        <w:rPr>
          <w:rFonts w:ascii="Arial"/>
          <w:color w:val="000000"/>
          <w:sz w:val="24"/>
        </w:rPr>
        <w:t xml:space="preserve"> </w:t>
      </w:r>
      <w:r>
        <w:rPr>
          <w:rFonts w:ascii="Arial"/>
          <w:color w:val="000000"/>
          <w:sz w:val="24"/>
        </w:rPr>
        <w:t xml:space="preserve">to be a truthful and credible witness and accept her evidence regarding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systems</w:t>
      </w:r>
      <w:r>
        <w:rPr>
          <w:rFonts w:ascii="Arial"/>
          <w:color w:val="000000"/>
          <w:sz w:val="24"/>
        </w:rPr>
        <w:t>, their functionality,</w:t>
      </w:r>
      <w:r>
        <w:rPr>
          <w:rFonts w:ascii="Arial"/>
          <w:color w:val="000000"/>
          <w:sz w:val="24"/>
        </w:rPr>
        <w:t xml:space="preserve"> </w:t>
      </w:r>
      <w:r>
        <w:rPr>
          <w:rFonts w:ascii="Arial"/>
          <w:color w:val="000000"/>
          <w:sz w:val="24"/>
        </w:rPr>
        <w:t>and the search</w:t>
      </w:r>
      <w:r>
        <w:rPr>
          <w:rFonts w:ascii="Arial"/>
          <w:color w:val="000000"/>
          <w:sz w:val="24"/>
        </w:rPr>
        <w:t>es</w:t>
      </w:r>
      <w:r>
        <w:rPr>
          <w:rFonts w:ascii="Arial"/>
          <w:color w:val="000000"/>
          <w:sz w:val="24"/>
        </w:rPr>
        <w:t xml:space="preserve"> </w:t>
      </w:r>
      <w:r>
        <w:rPr>
          <w:rFonts w:ascii="Arial"/>
          <w:color w:val="000000"/>
          <w:sz w:val="24"/>
        </w:rPr>
        <w:t xml:space="preserve">undertaken. I am satisfied that the record keeping system was such that the relevant </w:t>
      </w:r>
      <w:r>
        <w:rPr>
          <w:rFonts w:ascii="Arial"/>
          <w:color w:val="000000"/>
          <w:sz w:val="24"/>
        </w:rPr>
        <w:t>“</w:t>
      </w:r>
      <w:r>
        <w:rPr>
          <w:rFonts w:ascii="Arial"/>
          <w:color w:val="000000"/>
          <w:sz w:val="24"/>
        </w:rPr>
        <w:t>government information</w:t>
      </w:r>
      <w:r>
        <w:rPr>
          <w:rFonts w:ascii="Arial"/>
          <w:color w:val="000000"/>
          <w:sz w:val="24"/>
        </w:rPr>
        <w:t>”</w:t>
      </w:r>
      <w:r>
        <w:rPr>
          <w:rFonts w:ascii="Arial"/>
          <w:color w:val="000000"/>
          <w:sz w:val="24"/>
        </w:rPr>
        <w:t xml:space="preserve">, if </w:t>
      </w:r>
      <w:r>
        <w:rPr>
          <w:rFonts w:ascii="Arial"/>
          <w:color w:val="000000"/>
          <w:sz w:val="24"/>
        </w:rPr>
        <w:t>in existence</w:t>
      </w:r>
      <w:r>
        <w:rPr>
          <w:rFonts w:ascii="Arial"/>
          <w:color w:val="000000"/>
          <w:sz w:val="24"/>
        </w:rPr>
        <w:t xml:space="preserve">, was located on the </w:t>
      </w:r>
      <w:r>
        <w:rPr>
          <w:rFonts w:ascii="Arial"/>
          <w:color w:val="000000"/>
          <w:sz w:val="24"/>
        </w:rPr>
        <w:t>E</w:t>
      </w:r>
      <w:r>
        <w:rPr>
          <w:rFonts w:ascii="Arial"/>
          <w:color w:val="000000"/>
          <w:sz w:val="24"/>
        </w:rPr>
        <w:t>CM</w:t>
      </w:r>
      <w:r>
        <w:rPr>
          <w:rFonts w:ascii="Arial"/>
          <w:color w:val="000000"/>
          <w:sz w:val="24"/>
        </w:rPr>
        <w:t xml:space="preserve"> </w:t>
      </w:r>
      <w:r>
        <w:rPr>
          <w:rFonts w:ascii="Arial"/>
          <w:color w:val="000000"/>
          <w:sz w:val="24"/>
        </w:rPr>
        <w:t>system</w:t>
      </w:r>
      <w:r>
        <w:rPr>
          <w:rFonts w:ascii="Arial"/>
          <w:color w:val="000000"/>
          <w:sz w:val="24"/>
        </w:rPr>
        <w:t xml:space="preserve"> </w:t>
      </w:r>
      <w:r>
        <w:rPr>
          <w:rFonts w:ascii="Arial"/>
          <w:color w:val="000000"/>
          <w:sz w:val="24"/>
        </w:rPr>
        <w:t xml:space="preserve">(the Database). </w:t>
      </w:r>
      <w:r>
        <w:rPr>
          <w:rFonts w:ascii="Arial"/>
          <w:color w:val="000000"/>
          <w:sz w:val="24"/>
        </w:rPr>
        <w:t xml:space="preserve">Both the Governance Officer and Ms </w:t>
      </w:r>
      <w:r>
        <w:rPr>
          <w:rFonts w:ascii="Arial"/>
          <w:color w:val="000000"/>
          <w:sz w:val="24"/>
        </w:rPr>
        <w:t xml:space="preserve">Moar </w:t>
      </w:r>
      <w:r>
        <w:rPr>
          <w:rFonts w:ascii="Arial"/>
          <w:color w:val="000000"/>
          <w:sz w:val="24"/>
        </w:rPr>
        <w:t>obtained appropriate assistance</w:t>
      </w:r>
      <w:r>
        <w:rPr>
          <w:rFonts w:ascii="Arial"/>
          <w:color w:val="000000"/>
          <w:sz w:val="24"/>
        </w:rPr>
        <w:t xml:space="preserve"> </w:t>
      </w:r>
      <w:r>
        <w:rPr>
          <w:rFonts w:ascii="Arial"/>
          <w:color w:val="000000"/>
          <w:sz w:val="24"/>
        </w:rPr>
        <w:t xml:space="preserve">and confirmations from the relevant Council staff / officers </w:t>
      </w:r>
      <w:r>
        <w:rPr>
          <w:rFonts w:ascii="Arial"/>
          <w:color w:val="000000"/>
          <w:sz w:val="24"/>
        </w:rPr>
        <w:t xml:space="preserve">and </w:t>
      </w:r>
      <w:r>
        <w:rPr>
          <w:rFonts w:ascii="Arial"/>
          <w:color w:val="000000"/>
          <w:sz w:val="24"/>
        </w:rPr>
        <w:t xml:space="preserve">Ms Moar </w:t>
      </w:r>
      <w:r>
        <w:rPr>
          <w:rFonts w:ascii="Arial"/>
          <w:color w:val="000000"/>
          <w:sz w:val="24"/>
        </w:rPr>
        <w:t xml:space="preserve">adequately explained </w:t>
      </w:r>
      <w:r>
        <w:rPr>
          <w:rFonts w:ascii="Arial"/>
          <w:color w:val="000000"/>
          <w:sz w:val="24"/>
        </w:rPr>
        <w:t>all relevant matters to the Tribunal.</w:t>
      </w:r>
    </w:p>
    <w:p>
      <w:pPr>
        <w:pStyle w:val="CaselawNumbered10"/>
        <w:numPr>
          <w:ilvl w:val="0"/>
          <w:numId w:val="77"/>
        </w:numPr>
        <w:spacing w:before="150" w:after="0"/>
        <w:ind w:left="600" w:hanging="600"/>
      </w:pPr>
      <w:r>
        <w:rPr>
          <w:rFonts w:ascii="Arial"/>
          <w:color w:val="000000"/>
          <w:sz w:val="24"/>
        </w:rPr>
        <w:t xml:space="preserve">She sought to explain </w:t>
      </w:r>
      <w:r>
        <w:rPr>
          <w:rFonts w:ascii="Arial"/>
          <w:color w:val="000000"/>
          <w:sz w:val="24"/>
        </w:rPr>
        <w:t xml:space="preserve">during her evidence, for the benefit of the </w:t>
      </w:r>
      <w:r>
        <w:rPr>
          <w:rFonts w:ascii="Arial"/>
          <w:color w:val="000000"/>
          <w:sz w:val="24"/>
        </w:rPr>
        <w:t>Applicant</w:t>
      </w:r>
      <w:r>
        <w:rPr>
          <w:rFonts w:ascii="Arial"/>
          <w:color w:val="000000"/>
          <w:sz w:val="24"/>
        </w:rPr>
        <w:t xml:space="preserve">, that </w:t>
      </w:r>
      <w:r>
        <w:rPr>
          <w:rFonts w:ascii="Arial"/>
          <w:color w:val="000000"/>
          <w:sz w:val="24"/>
        </w:rPr>
        <w:t>“</w:t>
      </w:r>
      <w:r>
        <w:rPr>
          <w:rFonts w:ascii="Arial"/>
          <w:color w:val="000000"/>
          <w:sz w:val="24"/>
        </w:rPr>
        <w:t>documents that he thinks are missing don</w:t>
      </w:r>
      <w:r>
        <w:rPr>
          <w:rFonts w:ascii="Arial"/>
          <w:color w:val="000000"/>
          <w:sz w:val="24"/>
        </w:rPr>
        <w:t>’</w:t>
      </w:r>
      <w:r>
        <w:rPr>
          <w:rFonts w:ascii="Arial"/>
          <w:color w:val="000000"/>
          <w:sz w:val="24"/>
        </w:rPr>
        <w:t>t exist</w:t>
      </w:r>
      <w:r>
        <w:rPr>
          <w:rFonts w:ascii="Arial"/>
          <w:color w:val="000000"/>
          <w:sz w:val="24"/>
        </w:rPr>
        <w:t>”</w:t>
      </w:r>
      <w:r>
        <w:rPr>
          <w:rFonts w:ascii="Arial"/>
          <w:color w:val="000000"/>
          <w:sz w:val="24"/>
        </w:rPr>
        <w:t xml:space="preserve">, and that there were a number of misunderstandings by him relating whether there was funding in place, whether there was a requirement to talk to the grant funding body, and what the resolution </w:t>
      </w:r>
      <w:r>
        <w:rPr>
          <w:rFonts w:ascii="Arial"/>
          <w:color w:val="000000"/>
          <w:sz w:val="24"/>
        </w:rPr>
        <w:t xml:space="preserve">referred to in his </w:t>
      </w:r>
      <w:r>
        <w:rPr>
          <w:rFonts w:ascii="Arial"/>
          <w:color w:val="000000"/>
          <w:sz w:val="24"/>
        </w:rPr>
        <w:t xml:space="preserve">GIPA Application actually required of the Council. Although not relevant to the matters before me, and therefore not requiring </w:t>
      </w:r>
      <w:r>
        <w:rPr>
          <w:rFonts w:ascii="Arial"/>
          <w:color w:val="000000"/>
          <w:sz w:val="24"/>
        </w:rPr>
        <w:t xml:space="preserve">a recording here of the exchanges, </w:t>
      </w:r>
      <w:r>
        <w:rPr>
          <w:rFonts w:ascii="Arial"/>
          <w:color w:val="000000"/>
          <w:sz w:val="24"/>
        </w:rPr>
        <w:t>I observed there was a fundamental disconnect regarding such matters that was borne out through the cross examination</w:t>
      </w:r>
      <w:r>
        <w:rPr>
          <w:rFonts w:ascii="Arial"/>
          <w:color w:val="000000"/>
          <w:sz w:val="24"/>
        </w:rPr>
        <w:t xml:space="preserve"> </w:t>
      </w:r>
      <w:r>
        <w:rPr>
          <w:rFonts w:ascii="Arial"/>
          <w:color w:val="000000"/>
          <w:sz w:val="24"/>
        </w:rPr>
        <w:t>of Ms Moar by the Applicant</w:t>
      </w:r>
      <w:r>
        <w:rPr>
          <w:rFonts w:ascii="Arial"/>
          <w:color w:val="000000"/>
          <w:sz w:val="24"/>
        </w:rPr>
        <w:t>.</w:t>
      </w:r>
      <w:r>
        <w:rPr>
          <w:rFonts w:ascii="Arial"/>
          <w:color w:val="000000"/>
          <w:sz w:val="24"/>
        </w:rPr>
        <w:t xml:space="preserve"> </w:t>
      </w:r>
      <w:r>
        <w:rPr>
          <w:rFonts w:ascii="Arial"/>
          <w:color w:val="000000"/>
          <w:sz w:val="24"/>
        </w:rPr>
        <w:t>In any event, Ms Moar</w:t>
      </w:r>
      <w:r>
        <w:rPr>
          <w:rFonts w:ascii="Arial"/>
          <w:color w:val="000000"/>
          <w:sz w:val="24"/>
        </w:rPr>
        <w:t>’</w:t>
      </w:r>
      <w:r>
        <w:rPr>
          <w:rFonts w:ascii="Arial"/>
          <w:color w:val="000000"/>
          <w:sz w:val="24"/>
        </w:rPr>
        <w:t>s evidence was not relevantly challenged.</w:t>
      </w:r>
      <w:r>
        <w:rPr>
          <w:rFonts w:ascii="Arial"/>
          <w:color w:val="000000"/>
          <w:sz w:val="24"/>
        </w:rPr>
        <w:t xml:space="preserve"> </w:t>
      </w:r>
    </w:p>
    <w:p>
      <w:pPr>
        <w:pStyle w:val="CaselawNumbered10"/>
        <w:numPr>
          <w:ilvl w:val="0"/>
          <w:numId w:val="77"/>
        </w:numPr>
        <w:spacing w:before="150" w:after="0"/>
        <w:ind w:left="600" w:hanging="600"/>
      </w:pPr>
      <w:r>
        <w:rPr>
          <w:rFonts w:ascii="Arial"/>
          <w:color w:val="000000"/>
          <w:sz w:val="24"/>
        </w:rPr>
        <w:t xml:space="preserve">In respect of the matters I am required to consider, </w:t>
      </w:r>
      <w:r>
        <w:rPr>
          <w:rFonts w:ascii="Arial"/>
          <w:color w:val="000000"/>
          <w:sz w:val="24"/>
        </w:rPr>
        <w:t xml:space="preserve">I am satisfied </w:t>
      </w:r>
      <w:r>
        <w:rPr>
          <w:rFonts w:ascii="Arial"/>
          <w:color w:val="000000"/>
          <w:sz w:val="24"/>
        </w:rPr>
        <w:t xml:space="preserve">the </w:t>
      </w:r>
      <w:r>
        <w:rPr>
          <w:rFonts w:ascii="Arial"/>
          <w:color w:val="000000"/>
          <w:sz w:val="24"/>
        </w:rPr>
        <w:t xml:space="preserve">Council </w:t>
      </w:r>
      <w:r>
        <w:rPr>
          <w:rFonts w:ascii="Arial"/>
          <w:color w:val="000000"/>
          <w:sz w:val="24"/>
        </w:rPr>
        <w:t xml:space="preserve">conducted </w:t>
      </w:r>
      <w:r>
        <w:rPr>
          <w:rFonts w:ascii="Arial"/>
          <w:color w:val="000000"/>
          <w:sz w:val="24"/>
        </w:rPr>
        <w:t>reasonable searches</w:t>
      </w:r>
      <w:r>
        <w:rPr>
          <w:rFonts w:ascii="Arial"/>
          <w:color w:val="000000"/>
          <w:sz w:val="24"/>
        </w:rPr>
        <w:t xml:space="preserve">, and that it is unlikely </w:t>
      </w:r>
      <w:r>
        <w:rPr>
          <w:rFonts w:ascii="Arial"/>
          <w:color w:val="000000"/>
          <w:sz w:val="24"/>
        </w:rPr>
        <w:t xml:space="preserve">that any further </w:t>
      </w:r>
      <w:r>
        <w:rPr>
          <w:rFonts w:ascii="Arial"/>
          <w:color w:val="000000"/>
          <w:sz w:val="24"/>
        </w:rPr>
        <w:t xml:space="preserve">responsive </w:t>
      </w:r>
      <w:r>
        <w:rPr>
          <w:rFonts w:ascii="Arial"/>
          <w:color w:val="000000"/>
          <w:sz w:val="24"/>
        </w:rPr>
        <w:t xml:space="preserve">information is held. </w:t>
      </w:r>
      <w:r>
        <w:rPr>
          <w:rFonts w:ascii="Arial"/>
          <w:color w:val="000000"/>
          <w:sz w:val="24"/>
        </w:rPr>
        <w:t xml:space="preserve"> </w:t>
      </w:r>
    </w:p>
    <w:p>
      <w:pPr>
        <w:pStyle w:val="CaselawNumbered10"/>
        <w:numPr>
          <w:ilvl w:val="0"/>
          <w:numId w:val="77"/>
        </w:numPr>
        <w:spacing w:before="150" w:after="0"/>
        <w:ind w:left="600" w:hanging="600"/>
      </w:pPr>
      <w:r>
        <w:rPr>
          <w:rFonts w:ascii="Arial"/>
          <w:color w:val="000000"/>
          <w:sz w:val="24"/>
        </w:rPr>
        <w:t xml:space="preserve">Accordingly, the </w:t>
      </w:r>
      <w:r>
        <w:rPr>
          <w:rFonts w:ascii="Arial"/>
          <w:color w:val="000000"/>
          <w:sz w:val="24"/>
        </w:rPr>
        <w:t xml:space="preserve">Council </w:t>
      </w:r>
      <w:r>
        <w:rPr>
          <w:rFonts w:ascii="Arial"/>
          <w:color w:val="000000"/>
          <w:sz w:val="24"/>
        </w:rPr>
        <w:t xml:space="preserve">has discharged its </w:t>
      </w:r>
      <w:r>
        <w:rPr>
          <w:rFonts w:ascii="Arial"/>
          <w:color w:val="000000"/>
          <w:sz w:val="24"/>
        </w:rPr>
        <w:t xml:space="preserve">onus </w:t>
      </w:r>
      <w:r>
        <w:rPr>
          <w:rFonts w:ascii="Arial"/>
          <w:color w:val="000000"/>
          <w:sz w:val="24"/>
        </w:rPr>
        <w:t>of establishing that its impli</w:t>
      </w:r>
      <w:r>
        <w:rPr>
          <w:rFonts w:ascii="Arial"/>
          <w:color w:val="000000"/>
          <w:sz w:val="24"/>
        </w:rPr>
        <w:t>ed</w:t>
      </w:r>
      <w:r>
        <w:rPr>
          <w:rFonts w:ascii="Arial"/>
          <w:color w:val="000000"/>
          <w:sz w:val="24"/>
        </w:rPr>
        <w:t xml:space="preserve"> </w:t>
      </w:r>
      <w:r>
        <w:rPr>
          <w:rFonts w:ascii="Arial"/>
          <w:color w:val="000000"/>
          <w:sz w:val="24"/>
        </w:rPr>
        <w:t xml:space="preserve">decision that it does not hold any </w:t>
      </w:r>
      <w:r>
        <w:rPr>
          <w:rFonts w:ascii="Arial"/>
          <w:color w:val="000000"/>
          <w:sz w:val="24"/>
        </w:rPr>
        <w:t xml:space="preserve">further </w:t>
      </w:r>
      <w:r>
        <w:rPr>
          <w:rFonts w:ascii="Arial"/>
          <w:color w:val="000000"/>
          <w:sz w:val="24"/>
        </w:rPr>
        <w:t xml:space="preserve">information </w:t>
      </w:r>
      <w:r>
        <w:rPr>
          <w:rFonts w:ascii="Arial"/>
          <w:color w:val="000000"/>
          <w:sz w:val="24"/>
        </w:rPr>
        <w:t>(refer s</w:t>
      </w:r>
      <w:r>
        <w:rPr>
          <w:rFonts w:ascii="Arial"/>
          <w:color w:val="000000"/>
          <w:sz w:val="24"/>
        </w:rPr>
        <w:t xml:space="preserve"> 80(e) of the GIPA Act) </w:t>
      </w:r>
      <w:r>
        <w:rPr>
          <w:rFonts w:ascii="Arial"/>
          <w:color w:val="000000"/>
          <w:sz w:val="24"/>
        </w:rPr>
        <w:t>is justified.</w:t>
      </w:r>
    </w:p>
    <w:p>
      <w:pPr>
        <w:pStyle w:val="CaselawHeading2"/>
        <w:keepNext/>
        <w:spacing w:before="150" w:after="150" w:line="264"/>
        <w:ind w:left="0"/>
        <w:jc w:val="left"/>
      </w:pPr>
      <w:r>
        <w:rPr>
          <w:rFonts w:ascii="Arial"/>
        </w:rPr>
        <w:t>Issue 2: Redactions made for personal information</w:t>
      </w:r>
    </w:p>
    <w:p>
      <w:pPr>
        <w:pStyle w:val="CaselawNumbered10"/>
        <w:numPr>
          <w:ilvl w:val="0"/>
          <w:numId w:val="78"/>
        </w:numPr>
        <w:spacing w:before="150" w:after="0"/>
        <w:ind w:left="600" w:hanging="600"/>
      </w:pPr>
      <w:r>
        <w:rPr>
          <w:rFonts w:ascii="Arial"/>
          <w:color w:val="000000"/>
          <w:sz w:val="24"/>
        </w:rPr>
        <w:t xml:space="preserve">The Council noted at the hearing that the claims relating to the personal information redactions were not relevantly in dispute. Nonetheless, </w:t>
      </w:r>
      <w:r>
        <w:rPr>
          <w:rFonts w:ascii="Arial"/>
          <w:color w:val="000000"/>
          <w:sz w:val="24"/>
        </w:rPr>
        <w:t xml:space="preserve">this was also </w:t>
      </w:r>
      <w:r>
        <w:rPr>
          <w:rFonts w:ascii="Arial"/>
          <w:color w:val="000000"/>
          <w:sz w:val="24"/>
        </w:rPr>
        <w:t>a ground in the Applicant</w:t>
      </w:r>
      <w:r>
        <w:rPr>
          <w:rFonts w:ascii="Arial"/>
          <w:color w:val="000000"/>
          <w:sz w:val="24"/>
        </w:rPr>
        <w:t>’</w:t>
      </w:r>
      <w:r>
        <w:rPr>
          <w:rFonts w:ascii="Arial"/>
          <w:color w:val="000000"/>
          <w:sz w:val="24"/>
        </w:rPr>
        <w:t>s application</w:t>
      </w:r>
      <w:r>
        <w:rPr>
          <w:rFonts w:ascii="Arial"/>
          <w:color w:val="000000"/>
          <w:sz w:val="24"/>
        </w:rPr>
        <w:t>.</w:t>
      </w:r>
    </w:p>
    <w:p>
      <w:pPr>
        <w:pStyle w:val="CaselawNumbered10"/>
        <w:numPr>
          <w:ilvl w:val="0"/>
          <w:numId w:val="78"/>
        </w:numPr>
        <w:spacing w:before="150" w:after="0"/>
        <w:ind w:left="600" w:hanging="600"/>
      </w:pPr>
      <w:r>
        <w:rPr>
          <w:rFonts w:ascii="Arial"/>
          <w:color w:val="000000"/>
          <w:sz w:val="24"/>
        </w:rPr>
        <w:t>In her Affidavit dated 13 September 2024</w:t>
      </w:r>
      <w:r>
        <w:rPr>
          <w:rFonts w:ascii="Arial"/>
          <w:color w:val="000000"/>
          <w:sz w:val="24"/>
        </w:rPr>
        <w:t xml:space="preserve"> </w:t>
      </w:r>
      <w:r>
        <w:rPr>
          <w:rFonts w:ascii="Arial"/>
          <w:color w:val="000000"/>
          <w:sz w:val="24"/>
        </w:rPr>
        <w:t>(R2)</w:t>
      </w:r>
      <w:r>
        <w:rPr>
          <w:rFonts w:ascii="Arial"/>
          <w:color w:val="000000"/>
          <w:sz w:val="24"/>
        </w:rPr>
        <w:t xml:space="preserve">, Ms Moar stated at [6] that the redactions related to certain contact information and signatures. That evidence was not disputed by the Applicant at the hearing. </w:t>
      </w:r>
    </w:p>
    <w:p>
      <w:pPr>
        <w:pStyle w:val="CaselawNumbered10"/>
        <w:numPr>
          <w:ilvl w:val="0"/>
          <w:numId w:val="78"/>
        </w:numPr>
        <w:spacing w:before="150" w:after="0"/>
        <w:ind w:left="600" w:hanging="600"/>
      </w:pPr>
      <w:r>
        <w:rPr>
          <w:rFonts w:ascii="Arial"/>
          <w:color w:val="000000"/>
          <w:sz w:val="24"/>
        </w:rPr>
        <w:t xml:space="preserve">I </w:t>
      </w:r>
      <w:r>
        <w:rPr>
          <w:rFonts w:ascii="Arial"/>
          <w:color w:val="000000"/>
          <w:sz w:val="24"/>
        </w:rPr>
        <w:t xml:space="preserve">therefore </w:t>
      </w:r>
      <w:r>
        <w:rPr>
          <w:rFonts w:ascii="Arial"/>
          <w:color w:val="000000"/>
          <w:sz w:val="24"/>
        </w:rPr>
        <w:t xml:space="preserve">find </w:t>
      </w:r>
      <w:r>
        <w:rPr>
          <w:rFonts w:ascii="Arial"/>
          <w:color w:val="000000"/>
          <w:sz w:val="24"/>
        </w:rPr>
        <w:t xml:space="preserve">on the balance of probabilities </w:t>
      </w:r>
      <w:r>
        <w:rPr>
          <w:rFonts w:ascii="Arial"/>
          <w:color w:val="000000"/>
          <w:sz w:val="24"/>
        </w:rPr>
        <w:t>that the reasons for the redactions made to the documents released to the Applicant were to protect the personal information of individuals</w:t>
      </w:r>
      <w:r>
        <w:rPr>
          <w:rFonts w:ascii="Arial"/>
          <w:color w:val="000000"/>
          <w:sz w:val="24"/>
        </w:rPr>
        <w:t xml:space="preserve"> </w:t>
      </w:r>
      <w:r>
        <w:rPr>
          <w:rFonts w:ascii="Arial"/>
          <w:color w:val="000000"/>
          <w:sz w:val="24"/>
        </w:rPr>
        <w:t>(in accordance with</w:t>
      </w:r>
      <w:r>
        <w:rPr>
          <w:rFonts w:ascii="Arial"/>
          <w:color w:val="000000"/>
          <w:sz w:val="24"/>
        </w:rPr>
        <w:t xml:space="preserve"> </w:t>
      </w:r>
      <w:r>
        <w:rPr>
          <w:rFonts w:ascii="Arial"/>
          <w:color w:val="000000"/>
          <w:sz w:val="24"/>
        </w:rPr>
        <w:t>the presumption in</w:t>
      </w:r>
      <w:r>
        <w:rPr>
          <w:rFonts w:ascii="Arial"/>
          <w:color w:val="000000"/>
          <w:sz w:val="24"/>
        </w:rPr>
        <w:t xml:space="preserve"> </w:t>
      </w:r>
      <w:r>
        <w:rPr>
          <w:rFonts w:ascii="Arial"/>
          <w:color w:val="000000"/>
          <w:sz w:val="24"/>
        </w:rPr>
        <w:t>Table 3(b) of section 14 of the GIPA Act</w:t>
      </w:r>
      <w:r>
        <w:rPr>
          <w:rFonts w:ascii="Arial"/>
          <w:color w:val="000000"/>
          <w:sz w:val="24"/>
        </w:rPr>
        <w:t>)</w:t>
      </w:r>
      <w:r>
        <w:rPr>
          <w:rFonts w:ascii="Arial"/>
          <w:color w:val="000000"/>
          <w:sz w:val="24"/>
        </w:rPr>
        <w:t xml:space="preserve">, </w:t>
      </w:r>
      <w:r>
        <w:rPr>
          <w:rFonts w:ascii="Arial"/>
          <w:color w:val="000000"/>
          <w:sz w:val="24"/>
        </w:rPr>
        <w:t xml:space="preserve">that there was an overriding public interest against disclosure, </w:t>
      </w:r>
      <w:r>
        <w:rPr>
          <w:rFonts w:ascii="Arial"/>
          <w:color w:val="000000"/>
          <w:sz w:val="24"/>
        </w:rPr>
        <w:t xml:space="preserve">and </w:t>
      </w:r>
      <w:r>
        <w:rPr>
          <w:rFonts w:ascii="Arial"/>
          <w:color w:val="000000"/>
          <w:sz w:val="24"/>
        </w:rPr>
        <w:t xml:space="preserve">as a result, the </w:t>
      </w:r>
      <w:r>
        <w:rPr>
          <w:rFonts w:ascii="Arial"/>
          <w:color w:val="000000"/>
          <w:sz w:val="24"/>
        </w:rPr>
        <w:t xml:space="preserve">redaction of such </w:t>
      </w:r>
      <w:r>
        <w:rPr>
          <w:rFonts w:ascii="Arial"/>
          <w:color w:val="000000"/>
          <w:sz w:val="24"/>
        </w:rPr>
        <w:t xml:space="preserve">information </w:t>
      </w:r>
      <w:r>
        <w:rPr>
          <w:rFonts w:ascii="Arial"/>
          <w:color w:val="000000"/>
          <w:sz w:val="24"/>
        </w:rPr>
        <w:t xml:space="preserve">on the </w:t>
      </w:r>
      <w:r>
        <w:rPr>
          <w:rFonts w:ascii="Arial"/>
          <w:color w:val="000000"/>
          <w:sz w:val="24"/>
        </w:rPr>
        <w:t>copy of a record to be accessed was permitted under s</w:t>
      </w:r>
      <w:r>
        <w:rPr>
          <w:rFonts w:ascii="Arial"/>
          <w:color w:val="000000"/>
          <w:sz w:val="24"/>
        </w:rPr>
        <w:t> 74 of the GIPA Act.</w:t>
      </w:r>
    </w:p>
    <w:p>
      <w:pPr>
        <w:pStyle w:val="CaselawNumbered10"/>
        <w:numPr>
          <w:ilvl w:val="0"/>
          <w:numId w:val="78"/>
        </w:numPr>
        <w:spacing w:before="150" w:after="0"/>
        <w:ind w:left="600" w:hanging="600"/>
      </w:pPr>
      <w:r>
        <w:rPr>
          <w:rFonts w:ascii="Arial"/>
          <w:color w:val="000000"/>
          <w:sz w:val="24"/>
        </w:rPr>
        <w:t xml:space="preserve">The Council has discharged its onus of proof </w:t>
      </w:r>
      <w:r>
        <w:rPr>
          <w:rFonts w:ascii="Arial"/>
          <w:color w:val="000000"/>
          <w:sz w:val="24"/>
        </w:rPr>
        <w:t>and I find that the correct and preferable decision was as made by the Council in respect of the redactions made.</w:t>
      </w:r>
    </w:p>
    <w:p>
      <w:pPr>
        <w:pStyle w:val="CaselawHeading2"/>
        <w:keepNext/>
        <w:spacing w:before="150" w:after="150" w:line="264"/>
        <w:ind w:left="0"/>
        <w:jc w:val="left"/>
      </w:pPr>
      <w:r>
        <w:rPr>
          <w:rFonts w:ascii="Arial"/>
        </w:rPr>
        <w:t xml:space="preserve">Issue 3: </w:t>
      </w:r>
      <w:r>
        <w:rPr>
          <w:rFonts w:ascii="Arial"/>
        </w:rPr>
        <w:t>Claims for copyright (architect)</w:t>
      </w:r>
    </w:p>
    <w:p>
      <w:pPr>
        <w:pStyle w:val="CaselawNumbered10"/>
        <w:numPr>
          <w:ilvl w:val="0"/>
          <w:numId w:val="79"/>
        </w:numPr>
        <w:spacing w:before="150" w:after="0"/>
        <w:ind w:left="600" w:hanging="600"/>
      </w:pPr>
      <w:r>
        <w:rPr>
          <w:rFonts w:ascii="Arial"/>
          <w:color w:val="000000"/>
          <w:sz w:val="24"/>
        </w:rPr>
        <w:t xml:space="preserve">The </w:t>
      </w:r>
      <w:r>
        <w:rPr>
          <w:rFonts w:ascii="Arial"/>
          <w:color w:val="000000"/>
          <w:sz w:val="24"/>
        </w:rPr>
        <w:t>Council noted at the hearing that the</w:t>
      </w:r>
      <w:r>
        <w:rPr>
          <w:rFonts w:ascii="Arial"/>
          <w:color w:val="000000"/>
          <w:sz w:val="24"/>
        </w:rPr>
        <w:t>se</w:t>
      </w:r>
      <w:r>
        <w:rPr>
          <w:rFonts w:ascii="Arial"/>
          <w:color w:val="000000"/>
          <w:sz w:val="24"/>
        </w:rPr>
        <w:t xml:space="preserve"> </w:t>
      </w:r>
      <w:r>
        <w:rPr>
          <w:rFonts w:ascii="Arial"/>
          <w:color w:val="000000"/>
          <w:sz w:val="24"/>
        </w:rPr>
        <w:t>claims relating to copyright in the architect</w:t>
      </w:r>
      <w:r>
        <w:rPr>
          <w:rFonts w:ascii="Arial"/>
          <w:color w:val="000000"/>
          <w:sz w:val="24"/>
        </w:rPr>
        <w:t>’</w:t>
      </w:r>
      <w:r>
        <w:rPr>
          <w:rFonts w:ascii="Arial"/>
          <w:color w:val="000000"/>
          <w:sz w:val="24"/>
        </w:rPr>
        <w:t>s plans w</w:t>
      </w:r>
      <w:r>
        <w:rPr>
          <w:rFonts w:ascii="Arial"/>
          <w:color w:val="000000"/>
          <w:sz w:val="24"/>
        </w:rPr>
        <w:t xml:space="preserve">ere also </w:t>
      </w:r>
      <w:r>
        <w:rPr>
          <w:rFonts w:ascii="Arial"/>
          <w:color w:val="000000"/>
          <w:sz w:val="24"/>
        </w:rPr>
        <w:t>not relevantly in dispute</w:t>
      </w:r>
      <w:r>
        <w:rPr>
          <w:rFonts w:ascii="Arial"/>
          <w:color w:val="000000"/>
          <w:sz w:val="24"/>
        </w:rPr>
        <w:t>.</w:t>
      </w:r>
      <w:r>
        <w:rPr>
          <w:rFonts w:ascii="Arial"/>
          <w:color w:val="000000"/>
          <w:sz w:val="24"/>
        </w:rPr>
        <w:t xml:space="preserve"> </w:t>
      </w:r>
      <w:r>
        <w:rPr>
          <w:rFonts w:ascii="Arial"/>
          <w:color w:val="000000"/>
          <w:sz w:val="24"/>
        </w:rPr>
        <w:t>Those claims were identified in the Schedule of Documents in the Notice of Decision.</w:t>
      </w:r>
    </w:p>
    <w:p>
      <w:pPr>
        <w:pStyle w:val="CaselawNumbered10"/>
        <w:numPr>
          <w:ilvl w:val="0"/>
          <w:numId w:val="79"/>
        </w:numPr>
        <w:spacing w:before="150" w:after="0"/>
        <w:ind w:left="600" w:hanging="600"/>
      </w:pPr>
      <w:r>
        <w:rPr>
          <w:rFonts w:ascii="Arial"/>
          <w:color w:val="000000"/>
          <w:sz w:val="24"/>
        </w:rPr>
        <w:t>Nonetheless, as it was</w:t>
      </w:r>
      <w:r>
        <w:rPr>
          <w:rFonts w:ascii="Arial"/>
          <w:color w:val="000000"/>
          <w:sz w:val="24"/>
        </w:rPr>
        <w:t xml:space="preserve"> </w:t>
      </w:r>
      <w:r>
        <w:rPr>
          <w:rFonts w:ascii="Arial"/>
          <w:color w:val="000000"/>
          <w:sz w:val="24"/>
        </w:rPr>
        <w:t>also</w:t>
      </w:r>
      <w:r>
        <w:rPr>
          <w:rFonts w:ascii="Arial"/>
          <w:color w:val="000000"/>
          <w:sz w:val="24"/>
        </w:rPr>
        <w:t xml:space="preserve"> </w:t>
      </w:r>
      <w:r>
        <w:rPr>
          <w:rFonts w:ascii="Arial"/>
          <w:color w:val="000000"/>
          <w:sz w:val="24"/>
        </w:rPr>
        <w:t>a ground in the Applicant</w:t>
      </w:r>
      <w:r>
        <w:rPr>
          <w:rFonts w:ascii="Arial"/>
          <w:color w:val="000000"/>
          <w:sz w:val="24"/>
        </w:rPr>
        <w:t>’</w:t>
      </w:r>
      <w:r>
        <w:rPr>
          <w:rFonts w:ascii="Arial"/>
          <w:color w:val="000000"/>
          <w:sz w:val="24"/>
        </w:rPr>
        <w:t>s application, I find that</w:t>
      </w:r>
      <w:r>
        <w:rPr>
          <w:rFonts w:ascii="Arial"/>
          <w:color w:val="000000"/>
          <w:sz w:val="24"/>
        </w:rPr>
        <w:t>:</w:t>
      </w:r>
    </w:p>
    <w:p>
      <w:pPr>
        <w:pStyle w:val="CaselawNumbered1"/>
        <w:numPr>
          <w:ilvl w:val="0"/>
          <w:numId w:val="80"/>
        </w:numPr>
        <w:spacing w:before="150" w:after="0"/>
        <w:ind w:left="1350" w:hanging="750"/>
      </w:pPr>
      <w:r>
        <w:rPr>
          <w:rFonts w:ascii="Arial"/>
          <w:color w:val="000000"/>
          <w:sz w:val="24"/>
        </w:rPr>
        <w:t xml:space="preserve">the Council was informed by the architect (a third party </w:t>
      </w:r>
      <w:r>
        <w:rPr>
          <w:rFonts w:ascii="Arial"/>
          <w:color w:val="000000"/>
          <w:sz w:val="24"/>
        </w:rPr>
        <w:t xml:space="preserve">who was </w:t>
      </w:r>
      <w:r>
        <w:rPr>
          <w:rFonts w:ascii="Arial"/>
          <w:color w:val="000000"/>
          <w:sz w:val="24"/>
        </w:rPr>
        <w:t xml:space="preserve">consulted </w:t>
      </w:r>
      <w:r>
        <w:rPr>
          <w:rFonts w:ascii="Arial"/>
          <w:color w:val="000000"/>
          <w:sz w:val="24"/>
        </w:rPr>
        <w:t>as required under the provisions of the GIPA Act)</w:t>
      </w:r>
      <w:r>
        <w:rPr>
          <w:rFonts w:ascii="Arial"/>
          <w:color w:val="000000"/>
          <w:sz w:val="24"/>
        </w:rPr>
        <w:t xml:space="preserve"> </w:t>
      </w:r>
      <w:r>
        <w:rPr>
          <w:rFonts w:ascii="Arial"/>
          <w:color w:val="000000"/>
          <w:sz w:val="24"/>
        </w:rPr>
        <w:t>that disclosure by way of the provision of a copy of the plans would involve an infringement of copyright; and</w:t>
      </w:r>
    </w:p>
    <w:p>
      <w:pPr>
        <w:pStyle w:val="CaselawNumbered1"/>
        <w:numPr>
          <w:ilvl w:val="0"/>
          <w:numId w:val="80"/>
        </w:numPr>
        <w:spacing w:before="150" w:after="0"/>
        <w:ind w:left="1350" w:hanging="750"/>
      </w:pPr>
      <w:r>
        <w:rPr>
          <w:rFonts w:ascii="Arial"/>
          <w:color w:val="000000"/>
          <w:sz w:val="24"/>
        </w:rPr>
        <w:t xml:space="preserve">as a result, the </w:t>
      </w:r>
      <w:r>
        <w:rPr>
          <w:rFonts w:ascii="Arial"/>
          <w:color w:val="000000"/>
          <w:sz w:val="24"/>
        </w:rPr>
        <w:t xml:space="preserve">process by which access was granted to the Applicant (relevantly, by way of </w:t>
      </w:r>
      <w:r>
        <w:rPr>
          <w:rFonts w:ascii="Arial"/>
          <w:color w:val="000000"/>
          <w:sz w:val="24"/>
        </w:rPr>
        <w:t xml:space="preserve">providing a reasonable opportunity to inspect a record containing the information </w:t>
      </w:r>
      <w:r>
        <w:rPr>
          <w:rFonts w:ascii="Arial"/>
          <w:color w:val="000000"/>
          <w:sz w:val="24"/>
        </w:rPr>
        <w:t>at the Council office</w:t>
      </w:r>
      <w:r>
        <w:rPr>
          <w:rFonts w:ascii="Arial"/>
          <w:color w:val="000000"/>
          <w:sz w:val="24"/>
        </w:rPr>
        <w:t xml:space="preserve"> </w:t>
      </w:r>
      <w:r>
        <w:rPr>
          <w:rFonts w:ascii="Arial"/>
          <w:color w:val="000000"/>
          <w:sz w:val="24"/>
        </w:rPr>
        <w:t>of their choice</w:t>
      </w:r>
      <w:r>
        <w:rPr>
          <w:rFonts w:ascii="Arial"/>
          <w:color w:val="000000"/>
          <w:sz w:val="24"/>
        </w:rPr>
        <w:t xml:space="preserve">), instead of providing a copy as requested by the Applicant, </w:t>
      </w:r>
      <w:r>
        <w:rPr>
          <w:rFonts w:ascii="Arial"/>
          <w:color w:val="000000"/>
          <w:sz w:val="24"/>
        </w:rPr>
        <w:t>was permitted</w:t>
      </w:r>
      <w:r>
        <w:rPr>
          <w:rFonts w:ascii="Arial"/>
          <w:color w:val="000000"/>
          <w:sz w:val="24"/>
        </w:rPr>
        <w:t xml:space="preserve"> </w:t>
      </w:r>
      <w:r>
        <w:rPr>
          <w:rFonts w:ascii="Arial"/>
          <w:color w:val="000000"/>
          <w:sz w:val="24"/>
        </w:rPr>
        <w:t>under s</w:t>
      </w:r>
      <w:r>
        <w:rPr>
          <w:rFonts w:ascii="Arial"/>
          <w:color w:val="000000"/>
          <w:sz w:val="24"/>
        </w:rPr>
        <w:t> 72(1)(a) and 72(2)(c) of the GIPA Act.</w:t>
      </w:r>
      <w:r>
        <w:rPr>
          <w:rFonts w:ascii="Arial"/>
          <w:color w:val="000000"/>
          <w:sz w:val="24"/>
        </w:rPr>
        <w:t xml:space="preserve"> </w:t>
      </w:r>
    </w:p>
    <w:p>
      <w:pPr>
        <w:pStyle w:val="CaselawNumbered10"/>
        <w:numPr>
          <w:ilvl w:val="0"/>
          <w:numId w:val="81"/>
        </w:numPr>
        <w:spacing w:before="150" w:after="0"/>
        <w:ind w:left="600" w:hanging="600"/>
      </w:pPr>
      <w:r>
        <w:rPr>
          <w:rFonts w:ascii="Arial"/>
          <w:color w:val="000000"/>
          <w:sz w:val="24"/>
        </w:rPr>
        <w:t xml:space="preserve">The Respondent noted in their submissions that despite reasonable opportunity being provided to the Applicant to inspect those documents at the offered location/s, the Application declined to inspect them. </w:t>
      </w:r>
    </w:p>
    <w:p>
      <w:pPr>
        <w:pStyle w:val="CaselawNumbered10"/>
        <w:numPr>
          <w:ilvl w:val="0"/>
          <w:numId w:val="81"/>
        </w:numPr>
        <w:spacing w:before="150" w:after="0"/>
        <w:ind w:left="600" w:hanging="600"/>
      </w:pPr>
      <w:r>
        <w:rPr>
          <w:rFonts w:ascii="Arial"/>
          <w:color w:val="000000"/>
          <w:sz w:val="24"/>
        </w:rPr>
        <w:t xml:space="preserve">Consistent with the decision in </w:t>
      </w:r>
      <w:r>
        <w:rPr>
          <w:rFonts w:ascii="Arial"/>
          <w:i/>
          <w:color w:val="000000"/>
          <w:sz w:val="24"/>
        </w:rPr>
        <w:t xml:space="preserve">Amos v Central Coast Council </w:t>
      </w:r>
      <w:r>
        <w:rPr>
          <w:rFonts w:ascii="Arial"/>
          <w:color w:val="000000"/>
          <w:sz w:val="24"/>
        </w:rPr>
        <w:t xml:space="preserve">[2018] NSWCATAD 101 at [76], </w:t>
      </w:r>
      <w:r>
        <w:rPr>
          <w:rFonts w:ascii="Arial"/>
          <w:color w:val="000000"/>
          <w:sz w:val="24"/>
        </w:rPr>
        <w:t>I find that the correct and preferable decision as to the form of access</w:t>
      </w:r>
      <w:r>
        <w:rPr>
          <w:rFonts w:ascii="Arial"/>
          <w:color w:val="000000"/>
          <w:sz w:val="24"/>
        </w:rPr>
        <w:t xml:space="preserve"> </w:t>
      </w:r>
      <w:r>
        <w:rPr>
          <w:rFonts w:ascii="Arial"/>
          <w:color w:val="000000"/>
          <w:sz w:val="24"/>
        </w:rPr>
        <w:t>to those documents</w:t>
      </w:r>
      <w:r>
        <w:rPr>
          <w:rFonts w:ascii="Arial"/>
          <w:color w:val="000000"/>
          <w:sz w:val="24"/>
        </w:rPr>
        <w:t xml:space="preserve"> </w:t>
      </w:r>
      <w:r>
        <w:rPr>
          <w:rFonts w:ascii="Arial"/>
          <w:color w:val="000000"/>
          <w:sz w:val="24"/>
        </w:rPr>
        <w:t>is that made by the Council</w:t>
      </w:r>
      <w:r>
        <w:rPr>
          <w:rFonts w:ascii="Arial"/>
          <w:color w:val="000000"/>
          <w:sz w:val="24"/>
        </w:rPr>
        <w:t>.</w:t>
      </w:r>
    </w:p>
    <w:p>
      <w:pPr>
        <w:pStyle w:val="CaselawHeading2"/>
        <w:keepNext/>
        <w:spacing w:before="150" w:after="150" w:line="264"/>
        <w:ind w:left="0"/>
        <w:jc w:val="left"/>
      </w:pPr>
      <w:r>
        <w:rPr>
          <w:rFonts w:ascii="Arial"/>
        </w:rPr>
        <w:t>Costs</w:t>
      </w:r>
    </w:p>
    <w:p>
      <w:pPr>
        <w:pStyle w:val="CaselawNumbered10"/>
        <w:numPr>
          <w:ilvl w:val="0"/>
          <w:numId w:val="82"/>
        </w:numPr>
        <w:spacing w:before="150" w:after="0"/>
        <w:ind w:left="600" w:hanging="600"/>
      </w:pPr>
      <w:r>
        <w:rPr>
          <w:rFonts w:ascii="Arial"/>
          <w:color w:val="000000"/>
          <w:sz w:val="24"/>
        </w:rPr>
        <w:t>The Council submitted that costs should be awarded to it (if it were to succeed) pursuant to s 60(2) of the CAT Act.</w:t>
      </w:r>
      <w:r>
        <w:rPr>
          <w:rFonts w:ascii="Arial"/>
          <w:color w:val="000000"/>
          <w:sz w:val="24"/>
        </w:rPr>
        <w:t xml:space="preserve"> </w:t>
      </w:r>
      <w:r>
        <w:rPr>
          <w:rFonts w:ascii="Arial"/>
          <w:color w:val="000000"/>
          <w:sz w:val="24"/>
        </w:rPr>
        <w:t xml:space="preserve">By way of evidence, the Council presented </w:t>
      </w:r>
      <w:r>
        <w:rPr>
          <w:rFonts w:ascii="Arial"/>
          <w:color w:val="000000"/>
          <w:sz w:val="24"/>
        </w:rPr>
        <w:t>the Affidavit of Ms Caban (R5) (the Council</w:t>
      </w:r>
      <w:r>
        <w:rPr>
          <w:rFonts w:ascii="Arial"/>
          <w:color w:val="000000"/>
          <w:sz w:val="24"/>
        </w:rPr>
        <w:t>’</w:t>
      </w:r>
      <w:r>
        <w:rPr>
          <w:rFonts w:ascii="Arial"/>
          <w:color w:val="000000"/>
          <w:sz w:val="24"/>
        </w:rPr>
        <w:t xml:space="preserve">s solicitor) which annexed the </w:t>
      </w:r>
      <w:r>
        <w:rPr>
          <w:rFonts w:ascii="Arial"/>
          <w:color w:val="000000"/>
          <w:sz w:val="24"/>
        </w:rPr>
        <w:t xml:space="preserve">correspondence </w:t>
      </w:r>
      <w:r>
        <w:rPr>
          <w:rFonts w:ascii="Arial"/>
          <w:color w:val="000000"/>
          <w:sz w:val="24"/>
        </w:rPr>
        <w:t>of 2</w:t>
      </w:r>
      <w:r>
        <w:rPr>
          <w:rFonts w:ascii="Arial"/>
          <w:color w:val="000000"/>
          <w:sz w:val="24"/>
        </w:rPr>
        <w:t>5</w:t>
      </w:r>
      <w:r>
        <w:rPr>
          <w:rFonts w:ascii="Arial"/>
          <w:color w:val="000000"/>
          <w:sz w:val="24"/>
        </w:rPr>
        <w:t xml:space="preserve"> </w:t>
      </w:r>
      <w:r>
        <w:rPr>
          <w:rFonts w:ascii="Arial"/>
          <w:color w:val="000000"/>
          <w:sz w:val="24"/>
        </w:rPr>
        <w:t xml:space="preserve">September 2024 </w:t>
      </w:r>
      <w:r>
        <w:rPr>
          <w:rFonts w:ascii="Arial"/>
          <w:color w:val="000000"/>
          <w:sz w:val="24"/>
        </w:rPr>
        <w:t>(</w:t>
      </w:r>
      <w:r>
        <w:rPr>
          <w:rFonts w:ascii="Arial"/>
          <w:color w:val="000000"/>
          <w:sz w:val="24"/>
        </w:rPr>
        <w:t>refer</w:t>
      </w:r>
      <w:r>
        <w:rPr>
          <w:rFonts w:ascii="Arial"/>
          <w:color w:val="000000"/>
          <w:sz w:val="24"/>
        </w:rPr>
        <w:t xml:space="preserve"> </w:t>
      </w:r>
      <w:r>
        <w:rPr>
          <w:rFonts w:ascii="Arial"/>
          <w:color w:val="000000"/>
          <w:sz w:val="24"/>
        </w:rPr>
        <w:t>[</w:t>
      </w:r>
      <w:hyperlink r:id="rId15">
        <w:r>
          <w:rPr>
            <w:rFonts w:ascii="Arial"/>
            <w:color w:val="000000"/>
            <w:sz w:val="24"/>
            <w:u w:val="single"/>
          </w:rPr>
          <w:t/>
        </w:r>
        <w:r>
          <w:rPr>
            <w:rFonts w:ascii="Arial"/>
            <w:color w:val="000000"/>
            <w:sz w:val="24"/>
          </w:rPr>
          <w:t>15</w:t>
        </w:r>
      </w:hyperlink>
      <w:hyperlink r:id="rId16">
        <w:r>
          <w:rPr>
            <w:rFonts w:ascii="Arial"/>
            <w:color w:val="000000"/>
            <w:sz w:val="24"/>
          </w:rPr>
          <w:t/>
        </w:r>
      </w:hyperlink>
      <w:r>
        <w:rPr>
          <w:rFonts w:ascii="Arial"/>
          <w:color w:val="000000"/>
          <w:sz w:val="24"/>
        </w:rPr>
        <w:t>]-[</w:t>
      </w:r>
      <w:hyperlink r:id="rId17">
        <w:r>
          <w:rPr>
            <w:rFonts w:ascii="Arial"/>
            <w:color w:val="000000"/>
            <w:sz w:val="24"/>
            <w:u w:val="single"/>
          </w:rPr>
          <w:t/>
        </w:r>
        <w:r>
          <w:rPr>
            <w:rFonts w:ascii="Arial"/>
            <w:color w:val="000000"/>
            <w:sz w:val="24"/>
          </w:rPr>
          <w:t>16</w:t>
        </w:r>
      </w:hyperlink>
      <w:hyperlink r:id="rId18">
        <w:r>
          <w:rPr>
            <w:rFonts w:ascii="Arial"/>
            <w:color w:val="000000"/>
            <w:sz w:val="24"/>
          </w:rPr>
          <w:t/>
        </w:r>
      </w:hyperlink>
      <w:r>
        <w:rPr>
          <w:rFonts w:ascii="Arial"/>
          <w:color w:val="000000"/>
          <w:sz w:val="24"/>
        </w:rPr>
        <w:t>]</w:t>
      </w:r>
      <w:r>
        <w:rPr>
          <w:rFonts w:ascii="Arial"/>
          <w:color w:val="000000"/>
          <w:sz w:val="24"/>
        </w:rPr>
        <w:t xml:space="preserve"> </w:t>
      </w:r>
      <w:r>
        <w:rPr>
          <w:rFonts w:ascii="Arial"/>
          <w:color w:val="000000"/>
          <w:sz w:val="24"/>
        </w:rPr>
        <w:t>above)</w:t>
      </w:r>
      <w:r>
        <w:rPr>
          <w:rFonts w:ascii="Arial"/>
          <w:color w:val="000000"/>
          <w:sz w:val="24"/>
        </w:rPr>
        <w:t>.</w:t>
      </w:r>
    </w:p>
    <w:p>
      <w:pPr>
        <w:pStyle w:val="CaselawNumbered10"/>
        <w:numPr>
          <w:ilvl w:val="0"/>
          <w:numId w:val="82"/>
        </w:numPr>
        <w:spacing w:before="150" w:after="0"/>
        <w:ind w:left="600" w:hanging="600"/>
      </w:pPr>
      <w:r>
        <w:rPr>
          <w:rFonts w:ascii="Arial"/>
          <w:color w:val="000000"/>
          <w:sz w:val="24"/>
        </w:rPr>
        <w:t xml:space="preserve">The general rule of the Tribunal is that each party bears its own costs, unless </w:t>
      </w:r>
      <w:r>
        <w:rPr>
          <w:rFonts w:ascii="Arial"/>
          <w:color w:val="000000"/>
          <w:sz w:val="24"/>
        </w:rPr>
        <w:t>“</w:t>
      </w:r>
      <w:r>
        <w:rPr>
          <w:rFonts w:ascii="Arial"/>
          <w:color w:val="000000"/>
          <w:sz w:val="24"/>
        </w:rPr>
        <w:t>special circumstances</w:t>
      </w:r>
      <w:r>
        <w:rPr>
          <w:rFonts w:ascii="Arial"/>
          <w:color w:val="000000"/>
          <w:sz w:val="24"/>
        </w:rPr>
        <w:t>”</w:t>
      </w:r>
      <w:r>
        <w:rPr>
          <w:rFonts w:ascii="Arial"/>
          <w:color w:val="000000"/>
          <w:sz w:val="24"/>
        </w:rPr>
        <w:t xml:space="preserve"> </w:t>
      </w:r>
      <w:r>
        <w:rPr>
          <w:rFonts w:ascii="Arial"/>
          <w:color w:val="000000"/>
          <w:sz w:val="24"/>
        </w:rPr>
        <w:t xml:space="preserve">exist, in which case the Tribunal has a discretion as to whether costs should be ordered in favour of the party claiming them. </w:t>
      </w:r>
    </w:p>
    <w:p>
      <w:pPr>
        <w:pStyle w:val="CaselawNumbered10"/>
        <w:numPr>
          <w:ilvl w:val="0"/>
          <w:numId w:val="82"/>
        </w:numPr>
        <w:spacing w:before="150" w:after="0"/>
        <w:ind w:left="600" w:hanging="600"/>
      </w:pPr>
      <w:r>
        <w:rPr>
          <w:rFonts w:ascii="Arial"/>
          <w:color w:val="000000"/>
          <w:sz w:val="24"/>
        </w:rPr>
        <w:t>Section 60 of the CAT Act provides as follows:</w:t>
      </w:r>
    </w:p>
    <w:p>
      <w:pPr>
        <w:pStyle w:val="CaselawQuote"/>
        <w:spacing w:before="150" w:after="150"/>
        <w:ind w:left="1350"/>
        <w:jc w:val="left"/>
      </w:pPr>
      <w:r>
        <w:rPr>
          <w:rFonts w:ascii="Arial"/>
          <w:b/>
          <w:color w:val="000000"/>
          <w:sz w:val="22"/>
        </w:rPr>
        <w:t>60</w:t>
      </w:r>
      <w:r>
        <w:rPr>
          <w:rFonts w:ascii="Arial"/>
          <w:color w:val="000000"/>
          <w:sz w:val="22"/>
        </w:rPr>
        <w:t>   </w:t>
      </w:r>
      <w:r>
        <w:rPr>
          <w:rFonts w:ascii="Arial"/>
          <w:b/>
          <w:color w:val="000000"/>
          <w:sz w:val="22"/>
        </w:rPr>
        <w:t>Costs</w:t>
      </w:r>
    </w:p>
    <w:p>
      <w:pPr>
        <w:pStyle w:val="CaselawQuote"/>
        <w:spacing w:before="150" w:after="150"/>
        <w:ind w:left="1350"/>
        <w:jc w:val="left"/>
      </w:pPr>
      <w:r>
        <w:rPr>
          <w:rFonts w:ascii="Arial"/>
          <w:color w:val="000000"/>
          <w:sz w:val="22"/>
        </w:rPr>
        <w:t>(1)  Each party to proceedings in the Tribunal is to pay the party’s own costs.</w:t>
      </w:r>
    </w:p>
    <w:p>
      <w:pPr>
        <w:pStyle w:val="CaselawQuote"/>
        <w:spacing w:before="150" w:after="150"/>
        <w:ind w:left="1350"/>
        <w:jc w:val="left"/>
      </w:pPr>
      <w:r>
        <w:rPr>
          <w:rFonts w:ascii="Arial"/>
          <w:color w:val="000000"/>
          <w:sz w:val="22"/>
        </w:rPr>
        <w:t>(2)  The Tribunal may award costs in relation to proceedings before it only if it is satisfied that there are special circumstances warranting an award of costs.</w:t>
      </w:r>
    </w:p>
    <w:p>
      <w:pPr>
        <w:pStyle w:val="CaselawQuote"/>
        <w:spacing w:before="150" w:after="150"/>
        <w:ind w:left="1350"/>
        <w:jc w:val="left"/>
      </w:pPr>
      <w:r>
        <w:rPr>
          <w:rFonts w:ascii="Arial"/>
          <w:color w:val="000000"/>
          <w:sz w:val="22"/>
        </w:rPr>
        <w:t>(3)  In determining whether there are special circumstances warranting an award of costs, the Tribunal may have regard to the following—</w:t>
      </w:r>
    </w:p>
    <w:p>
      <w:pPr>
        <w:pStyle w:val="CaselawQuote0"/>
        <w:spacing w:before="150" w:after="150"/>
        <w:ind w:left="2100"/>
        <w:jc w:val="left"/>
      </w:pPr>
      <w:r>
        <w:rPr>
          <w:rFonts w:ascii="Arial"/>
          <w:color w:val="000000"/>
          <w:sz w:val="22"/>
        </w:rPr>
        <w:t>(a)  whether a party has conducted the proceedings in a way that unnecessarily disadvantaged another party to the proceedings,</w:t>
      </w:r>
    </w:p>
    <w:p>
      <w:pPr>
        <w:pStyle w:val="CaselawQuote0"/>
        <w:spacing w:before="150" w:after="150"/>
        <w:ind w:left="2100"/>
        <w:jc w:val="left"/>
      </w:pPr>
      <w:r>
        <w:rPr>
          <w:rFonts w:ascii="Arial"/>
          <w:color w:val="000000"/>
          <w:sz w:val="22"/>
        </w:rPr>
        <w:t>(b)  whether a party has been responsible for prolonging unreasonably the time taken to complete the proceedings,</w:t>
      </w:r>
    </w:p>
    <w:p>
      <w:pPr>
        <w:pStyle w:val="CaselawQuote0"/>
        <w:spacing w:before="150" w:after="150"/>
        <w:ind w:left="2100"/>
        <w:jc w:val="left"/>
      </w:pPr>
      <w:r>
        <w:rPr>
          <w:rFonts w:ascii="Arial"/>
          <w:color w:val="000000"/>
          <w:sz w:val="22"/>
        </w:rPr>
        <w:t>(c)  the relative strengths of the claims made by each of the parties, including whether a party has made a claim that has no tenable basis in fact or law,</w:t>
      </w:r>
    </w:p>
    <w:p>
      <w:pPr>
        <w:pStyle w:val="CaselawQuote0"/>
        <w:spacing w:before="150" w:after="150"/>
        <w:ind w:left="2100"/>
        <w:jc w:val="left"/>
      </w:pPr>
      <w:r>
        <w:rPr>
          <w:rFonts w:ascii="Arial"/>
          <w:color w:val="000000"/>
          <w:sz w:val="22"/>
        </w:rPr>
        <w:t>(d)  the nature and complexity of the proceedings,</w:t>
      </w:r>
    </w:p>
    <w:p>
      <w:pPr>
        <w:pStyle w:val="CaselawQuote0"/>
        <w:spacing w:before="150" w:after="150"/>
        <w:ind w:left="2100"/>
        <w:jc w:val="left"/>
      </w:pPr>
      <w:r>
        <w:rPr>
          <w:rFonts w:ascii="Arial"/>
          <w:color w:val="000000"/>
          <w:sz w:val="22"/>
        </w:rPr>
        <w:t>(e)  whether the proceedings were frivolous or vexatious or otherwise misconceived or lacking in substance,</w:t>
      </w:r>
    </w:p>
    <w:p>
      <w:pPr>
        <w:pStyle w:val="CaselawQuote0"/>
        <w:spacing w:before="150" w:after="150"/>
        <w:ind w:left="2100"/>
        <w:jc w:val="left"/>
      </w:pPr>
      <w:r>
        <w:rPr>
          <w:rFonts w:ascii="Arial"/>
          <w:color w:val="000000"/>
          <w:sz w:val="22"/>
        </w:rPr>
        <w:t>(f)  whether a party has refused or failed to comply with the duty imposed by section 36(3),</w:t>
      </w:r>
    </w:p>
    <w:p>
      <w:pPr>
        <w:pStyle w:val="CaselawQuote0"/>
        <w:spacing w:before="150" w:after="150"/>
        <w:ind w:left="2100"/>
        <w:jc w:val="left"/>
      </w:pPr>
      <w:r>
        <w:rPr>
          <w:rFonts w:ascii="Arial"/>
          <w:color w:val="000000"/>
          <w:sz w:val="22"/>
        </w:rPr>
        <w:t>(g)  any other matter that the Tribunal considers relevant.</w:t>
      </w:r>
    </w:p>
    <w:p>
      <w:pPr>
        <w:pStyle w:val="CaselawQuote"/>
        <w:spacing w:before="150" w:after="150"/>
        <w:ind w:left="1350"/>
        <w:jc w:val="left"/>
      </w:pPr>
      <w:r>
        <w:rPr>
          <w:rFonts w:ascii="Arial"/>
          <w:color w:val="000000"/>
          <w:sz w:val="22"/>
        </w:rPr>
        <w:t>(4)  If costs are to be awarded by the Tribunal, the Tribunal may—</w:t>
      </w:r>
    </w:p>
    <w:p>
      <w:pPr>
        <w:pStyle w:val="CaselawQuote0"/>
        <w:spacing w:before="150" w:after="150"/>
        <w:ind w:left="2100"/>
        <w:jc w:val="left"/>
      </w:pPr>
      <w:r>
        <w:rPr>
          <w:rFonts w:ascii="Arial"/>
          <w:color w:val="000000"/>
          <w:sz w:val="22"/>
        </w:rPr>
        <w:t>(a)  determine by whom and to what extent costs are to be paid, and</w:t>
      </w:r>
    </w:p>
    <w:p>
      <w:pPr>
        <w:pStyle w:val="CaselawQuote0"/>
        <w:spacing w:before="150" w:after="150"/>
        <w:ind w:left="2100"/>
        <w:jc w:val="left"/>
      </w:pPr>
      <w:r>
        <w:rPr>
          <w:rFonts w:ascii="Arial"/>
          <w:color w:val="000000"/>
          <w:sz w:val="22"/>
        </w:rPr>
        <w:t>(b)  order costs to be assessed on the basis set out in the legal costs legislation (as defined in section 3A of the </w:t>
      </w:r>
      <w:r>
        <w:rPr>
          <w:rFonts w:ascii="Arial"/>
          <w:i/>
          <w:color w:val="000000"/>
          <w:sz w:val="22"/>
        </w:rPr>
        <w:t>Legal Profession Uniform Law Application Act 2014</w:t>
      </w:r>
      <w:r>
        <w:rPr>
          <w:rFonts w:ascii="Arial"/>
          <w:color w:val="000000"/>
          <w:sz w:val="22"/>
        </w:rPr>
        <w:t>) or on any other basis.</w:t>
      </w:r>
    </w:p>
    <w:p>
      <w:pPr>
        <w:pStyle w:val="CaselawQuote"/>
        <w:spacing w:before="150" w:after="150"/>
        <w:ind w:left="1350"/>
        <w:jc w:val="left"/>
      </w:pPr>
      <w:r>
        <w:rPr>
          <w:rFonts w:ascii="Arial"/>
          <w:color w:val="000000"/>
          <w:sz w:val="22"/>
        </w:rPr>
        <w:t>(5)  In this section—</w:t>
      </w:r>
    </w:p>
    <w:p>
      <w:pPr>
        <w:pStyle w:val="CaselawQuote"/>
        <w:spacing w:before="150" w:after="150"/>
        <w:ind w:left="1350"/>
        <w:jc w:val="left"/>
      </w:pPr>
      <w:r>
        <w:rPr>
          <w:rFonts w:ascii="Arial"/>
          <w:b/>
          <w:i/>
          <w:color w:val="000000"/>
          <w:sz w:val="22"/>
        </w:rPr>
        <w:t>costs</w:t>
      </w:r>
      <w:r>
        <w:rPr>
          <w:rFonts w:ascii="Arial"/>
          <w:color w:val="000000"/>
          <w:sz w:val="22"/>
        </w:rPr>
        <w:t> includes—</w:t>
      </w:r>
    </w:p>
    <w:p>
      <w:pPr>
        <w:pStyle w:val="CaselawQuote0"/>
        <w:spacing w:before="150" w:after="150"/>
        <w:ind w:left="2100"/>
        <w:jc w:val="left"/>
      </w:pPr>
      <w:r>
        <w:rPr>
          <w:rFonts w:ascii="Arial"/>
          <w:color w:val="000000"/>
          <w:sz w:val="22"/>
        </w:rPr>
        <w:t>(a)  the costs of, or incidental to, proceedings in the Tribunal, and</w:t>
      </w:r>
    </w:p>
    <w:p>
      <w:pPr>
        <w:pStyle w:val="CaselawQuote0"/>
        <w:spacing w:before="150" w:after="150"/>
        <w:ind w:left="2100"/>
        <w:jc w:val="left"/>
      </w:pPr>
      <w:r>
        <w:rPr>
          <w:rFonts w:ascii="Arial"/>
          <w:color w:val="000000"/>
          <w:sz w:val="22"/>
        </w:rPr>
        <w:t>(b)  the costs of, or incidental to, the proceedings giving rise to the application or appeal, as well as the costs of or incidental to the application or appeal.</w:t>
      </w:r>
    </w:p>
    <w:p>
      <w:pPr>
        <w:pStyle w:val="CaselawNumbered10"/>
        <w:numPr>
          <w:ilvl w:val="0"/>
          <w:numId w:val="83"/>
        </w:numPr>
        <w:spacing w:before="150" w:after="0"/>
        <w:ind w:left="600" w:hanging="600"/>
      </w:pPr>
      <w:r>
        <w:rPr>
          <w:rFonts w:ascii="Arial"/>
          <w:color w:val="000000"/>
          <w:sz w:val="24"/>
        </w:rPr>
        <w:t xml:space="preserve">I have had regard to the correspondence and the </w:t>
      </w:r>
      <w:r>
        <w:rPr>
          <w:rFonts w:ascii="Arial"/>
          <w:color w:val="000000"/>
          <w:sz w:val="24"/>
        </w:rPr>
        <w:t>submissions of the Council</w:t>
      </w:r>
      <w:r>
        <w:rPr>
          <w:rFonts w:ascii="Arial"/>
          <w:color w:val="000000"/>
          <w:sz w:val="24"/>
        </w:rPr>
        <w:t xml:space="preserve">. </w:t>
      </w:r>
      <w:r>
        <w:rPr>
          <w:rFonts w:ascii="Arial"/>
          <w:color w:val="000000"/>
          <w:sz w:val="24"/>
        </w:rPr>
        <w:t>It is clear Mr McNeill was put on notice by the Council as to the costs order sought and that the Council has spent time and resources in the proceedings not being withdrawn</w:t>
      </w:r>
      <w:r>
        <w:rPr>
          <w:rFonts w:ascii="Arial"/>
          <w:color w:val="000000"/>
          <w:sz w:val="24"/>
        </w:rPr>
        <w:t>, dealing with the proposed issue of a summons and otherwise.</w:t>
      </w:r>
      <w:r>
        <w:rPr>
          <w:rFonts w:ascii="Arial"/>
          <w:color w:val="000000"/>
          <w:sz w:val="24"/>
        </w:rPr>
        <w:t xml:space="preserve"> </w:t>
      </w:r>
      <w:r>
        <w:rPr>
          <w:rFonts w:ascii="Arial"/>
          <w:color w:val="000000"/>
          <w:sz w:val="24"/>
        </w:rPr>
        <w:t xml:space="preserve">In this case, Mr McNeill is self-represented. </w:t>
      </w:r>
      <w:r>
        <w:rPr>
          <w:rFonts w:ascii="Arial"/>
          <w:color w:val="000000"/>
          <w:sz w:val="24"/>
        </w:rPr>
        <w:t>The Tribunal deals with many matters involving self-represented applicants</w:t>
      </w:r>
      <w:r>
        <w:rPr>
          <w:rFonts w:ascii="Arial"/>
          <w:color w:val="000000"/>
          <w:sz w:val="24"/>
        </w:rPr>
        <w:t>.</w:t>
      </w:r>
      <w:r>
        <w:rPr>
          <w:rFonts w:ascii="Arial"/>
          <w:color w:val="000000"/>
          <w:sz w:val="24"/>
        </w:rPr>
        <w:t xml:space="preserve"> </w:t>
      </w:r>
      <w:r>
        <w:rPr>
          <w:rFonts w:ascii="Arial"/>
          <w:color w:val="000000"/>
          <w:sz w:val="24"/>
        </w:rPr>
        <w:t xml:space="preserve">The proceedings were not </w:t>
      </w:r>
      <w:r>
        <w:rPr>
          <w:rFonts w:ascii="Arial"/>
          <w:color w:val="000000"/>
          <w:sz w:val="24"/>
        </w:rPr>
        <w:t>overly complex</w:t>
      </w:r>
      <w:r>
        <w:rPr>
          <w:rFonts w:ascii="Arial"/>
          <w:color w:val="000000"/>
          <w:sz w:val="24"/>
        </w:rPr>
        <w:t xml:space="preserve">, although I </w:t>
      </w:r>
      <w:r>
        <w:rPr>
          <w:rFonts w:ascii="Arial"/>
          <w:color w:val="000000"/>
          <w:sz w:val="24"/>
        </w:rPr>
        <w:t xml:space="preserve">have addressed above the </w:t>
      </w:r>
      <w:r>
        <w:rPr>
          <w:rFonts w:ascii="Arial"/>
          <w:color w:val="000000"/>
          <w:sz w:val="24"/>
        </w:rPr>
        <w:t xml:space="preserve">various </w:t>
      </w:r>
      <w:r>
        <w:rPr>
          <w:rFonts w:ascii="Arial"/>
          <w:color w:val="000000"/>
          <w:sz w:val="24"/>
        </w:rPr>
        <w:t xml:space="preserve">claims and other matters raised by the Applicant which were misconceived, and directed to matters other than determining </w:t>
      </w:r>
      <w:r>
        <w:rPr>
          <w:rFonts w:ascii="Arial"/>
          <w:color w:val="000000"/>
          <w:sz w:val="24"/>
        </w:rPr>
        <w:t xml:space="preserve">the more simple and relevant question as to whether </w:t>
      </w:r>
      <w:r>
        <w:rPr>
          <w:rFonts w:ascii="Arial"/>
          <w:color w:val="000000"/>
          <w:sz w:val="24"/>
        </w:rPr>
        <w:t xml:space="preserve">his access application had been properly determined. </w:t>
      </w:r>
      <w:r>
        <w:rPr>
          <w:rFonts w:ascii="Arial"/>
          <w:color w:val="000000"/>
          <w:sz w:val="24"/>
        </w:rPr>
        <w:t xml:space="preserve"> </w:t>
      </w:r>
      <w:r>
        <w:rPr>
          <w:rFonts w:ascii="Arial"/>
          <w:color w:val="000000"/>
          <w:sz w:val="24"/>
        </w:rPr>
        <w:t xml:space="preserve"> </w:t>
      </w:r>
    </w:p>
    <w:p>
      <w:pPr>
        <w:pStyle w:val="CaselawNumbered10"/>
        <w:numPr>
          <w:ilvl w:val="0"/>
          <w:numId w:val="83"/>
        </w:numPr>
        <w:spacing w:before="150" w:after="0"/>
        <w:ind w:left="600" w:hanging="600"/>
      </w:pPr>
      <w:r>
        <w:rPr>
          <w:rFonts w:ascii="Arial"/>
          <w:color w:val="000000"/>
          <w:sz w:val="24"/>
        </w:rPr>
        <w:t>I find that</w:t>
      </w:r>
      <w:r>
        <w:rPr>
          <w:rFonts w:ascii="Arial"/>
          <w:color w:val="000000"/>
          <w:sz w:val="24"/>
        </w:rPr>
        <w:t xml:space="preserve"> </w:t>
      </w:r>
      <w:r>
        <w:rPr>
          <w:rFonts w:ascii="Arial"/>
          <w:color w:val="000000"/>
          <w:sz w:val="24"/>
        </w:rPr>
        <w:t xml:space="preserve">the </w:t>
      </w:r>
      <w:r>
        <w:rPr>
          <w:rFonts w:ascii="Arial"/>
          <w:color w:val="000000"/>
          <w:sz w:val="24"/>
        </w:rPr>
        <w:t xml:space="preserve">circumstances </w:t>
      </w:r>
      <w:r>
        <w:rPr>
          <w:rFonts w:ascii="Arial"/>
          <w:color w:val="000000"/>
          <w:sz w:val="24"/>
        </w:rPr>
        <w:t xml:space="preserve">of this matter do not give rise to </w:t>
      </w:r>
      <w:r>
        <w:rPr>
          <w:rFonts w:ascii="Arial"/>
          <w:color w:val="000000"/>
          <w:sz w:val="24"/>
        </w:rPr>
        <w:t>“</w:t>
      </w:r>
      <w:r>
        <w:rPr>
          <w:rFonts w:ascii="Arial"/>
          <w:color w:val="000000"/>
          <w:sz w:val="24"/>
        </w:rPr>
        <w:t>special circumstances</w:t>
      </w:r>
      <w:r>
        <w:rPr>
          <w:rFonts w:ascii="Arial"/>
          <w:color w:val="000000"/>
          <w:sz w:val="24"/>
        </w:rPr>
        <w:t>”</w:t>
      </w:r>
      <w:r>
        <w:rPr>
          <w:rFonts w:ascii="Arial"/>
          <w:color w:val="000000"/>
          <w:sz w:val="24"/>
        </w:rPr>
        <w:t xml:space="preserve"> </w:t>
      </w:r>
      <w:r>
        <w:rPr>
          <w:rFonts w:ascii="Arial"/>
          <w:color w:val="000000"/>
          <w:sz w:val="24"/>
        </w:rPr>
        <w:t xml:space="preserve">such as to </w:t>
      </w:r>
      <w:r>
        <w:rPr>
          <w:rFonts w:ascii="Arial"/>
          <w:color w:val="000000"/>
          <w:sz w:val="24"/>
        </w:rPr>
        <w:t xml:space="preserve">depart from the general rule and to </w:t>
      </w:r>
      <w:r>
        <w:rPr>
          <w:rFonts w:ascii="Arial"/>
          <w:color w:val="000000"/>
          <w:sz w:val="24"/>
        </w:rPr>
        <w:t>warrant an awar</w:t>
      </w:r>
      <w:r>
        <w:rPr>
          <w:rFonts w:ascii="Arial"/>
          <w:color w:val="000000"/>
          <w:sz w:val="24"/>
        </w:rPr>
        <w:t>d</w:t>
      </w:r>
      <w:r>
        <w:rPr>
          <w:rFonts w:ascii="Arial"/>
          <w:color w:val="000000"/>
          <w:sz w:val="24"/>
        </w:rPr>
        <w:t xml:space="preserve"> </w:t>
      </w:r>
      <w:r>
        <w:rPr>
          <w:rFonts w:ascii="Arial"/>
          <w:color w:val="000000"/>
          <w:sz w:val="24"/>
        </w:rPr>
        <w:t>of costs under s 60(2) of the CAT Act</w:t>
      </w:r>
      <w:r>
        <w:rPr>
          <w:rFonts w:ascii="Arial"/>
          <w:color w:val="000000"/>
          <w:sz w:val="24"/>
        </w:rPr>
        <w:t xml:space="preserve">. </w:t>
      </w:r>
      <w:r>
        <w:rPr>
          <w:rFonts w:ascii="Arial"/>
          <w:color w:val="000000"/>
          <w:sz w:val="24"/>
        </w:rPr>
        <w:t xml:space="preserve"> </w:t>
      </w:r>
      <w:r>
        <w:rPr>
          <w:rFonts w:ascii="Arial"/>
          <w:color w:val="000000"/>
          <w:sz w:val="24"/>
        </w:rPr>
        <w:t xml:space="preserve"> </w:t>
      </w:r>
      <w:r>
        <w:rPr>
          <w:rFonts w:ascii="Arial"/>
          <w:color w:val="000000"/>
          <w:sz w:val="24"/>
        </w:rPr>
        <w:t>I therefore decline to make the orders sought.</w:t>
      </w:r>
    </w:p>
    <w:p>
      <w:pPr>
        <w:pStyle w:val="CaselawNumbered10"/>
        <w:numPr>
          <w:ilvl w:val="0"/>
          <w:numId w:val="83"/>
        </w:numPr>
        <w:spacing w:before="150" w:after="0"/>
        <w:ind w:left="600" w:hanging="600"/>
      </w:pPr>
      <w:r>
        <w:rPr>
          <w:rFonts w:ascii="Arial"/>
          <w:color w:val="000000"/>
          <w:sz w:val="24"/>
        </w:rPr>
        <w:t xml:space="preserve">My </w:t>
      </w:r>
      <w:r>
        <w:rPr>
          <w:rFonts w:ascii="Arial"/>
          <w:color w:val="000000"/>
          <w:sz w:val="24"/>
        </w:rPr>
        <w:t xml:space="preserve">finding in no way </w:t>
      </w:r>
      <w:r>
        <w:rPr>
          <w:rFonts w:ascii="Arial"/>
          <w:color w:val="000000"/>
          <w:sz w:val="24"/>
        </w:rPr>
        <w:t xml:space="preserve">is </w:t>
      </w:r>
      <w:r>
        <w:rPr>
          <w:rFonts w:ascii="Arial"/>
          <w:color w:val="000000"/>
          <w:sz w:val="24"/>
        </w:rPr>
        <w:t xml:space="preserve">intended to limit any future consideration by the Tribunal in respect of applications </w:t>
      </w:r>
      <w:r>
        <w:rPr>
          <w:rFonts w:ascii="Arial"/>
          <w:color w:val="000000"/>
          <w:sz w:val="24"/>
        </w:rPr>
        <w:t xml:space="preserve">by the Council for </w:t>
      </w:r>
      <w:r>
        <w:rPr>
          <w:rFonts w:ascii="Arial"/>
          <w:color w:val="000000"/>
          <w:sz w:val="24"/>
        </w:rPr>
        <w:t>cost orders in subsequent proceedings between the parties</w:t>
      </w:r>
      <w:r>
        <w:rPr>
          <w:rFonts w:ascii="Arial"/>
          <w:color w:val="000000"/>
          <w:sz w:val="24"/>
        </w:rPr>
        <w:t xml:space="preserve">. </w:t>
      </w:r>
      <w:r>
        <w:rPr>
          <w:rFonts w:ascii="Arial"/>
          <w:color w:val="000000"/>
          <w:sz w:val="24"/>
        </w:rPr>
        <w:t xml:space="preserve"> </w:t>
      </w:r>
      <w:r>
        <w:rPr>
          <w:rFonts w:ascii="Arial"/>
          <w:color w:val="000000"/>
          <w:sz w:val="24"/>
        </w:rPr>
        <w:t xml:space="preserve"> </w:t>
      </w:r>
    </w:p>
    <w:p>
      <w:pPr>
        <w:pStyle w:val="CaselawHeading2"/>
        <w:keepNext/>
        <w:spacing w:before="150" w:after="150" w:line="264"/>
        <w:ind w:left="0"/>
        <w:jc w:val="left"/>
      </w:pPr>
      <w:r>
        <w:rPr>
          <w:rFonts w:ascii="Arial"/>
        </w:rPr>
        <w:t>Orders</w:t>
      </w:r>
    </w:p>
    <w:p>
      <w:pPr>
        <w:pStyle w:val="CaselawNumbered10"/>
        <w:numPr>
          <w:ilvl w:val="0"/>
          <w:numId w:val="84"/>
        </w:numPr>
        <w:spacing w:before="150" w:after="0"/>
        <w:ind w:left="600" w:hanging="600"/>
      </w:pPr>
      <w:r>
        <w:rPr>
          <w:rFonts w:ascii="Arial"/>
          <w:color w:val="000000"/>
          <w:sz w:val="24"/>
        </w:rPr>
        <w:t>The correct and preferable decision is to affirm the Council</w:t>
      </w:r>
      <w:r>
        <w:rPr>
          <w:rFonts w:ascii="Arial"/>
          <w:color w:val="000000"/>
          <w:sz w:val="24"/>
        </w:rPr>
        <w:t>’</w:t>
      </w:r>
      <w:r>
        <w:rPr>
          <w:rFonts w:ascii="Arial"/>
          <w:color w:val="000000"/>
          <w:sz w:val="24"/>
        </w:rPr>
        <w:t>s decision in respect of the matters the subject of the review.</w:t>
      </w:r>
    </w:p>
    <w:p>
      <w:pPr>
        <w:pStyle w:val="CaselawNumbered10"/>
        <w:numPr>
          <w:ilvl w:val="0"/>
          <w:numId w:val="84"/>
        </w:numPr>
        <w:spacing w:before="150" w:after="0"/>
        <w:ind w:left="600" w:hanging="600"/>
      </w:pPr>
      <w:r>
        <w:rPr>
          <w:rFonts w:ascii="Arial"/>
          <w:color w:val="000000"/>
          <w:sz w:val="24"/>
        </w:rPr>
        <w:t>I make the following orders:</w:t>
      </w:r>
    </w:p>
    <w:p>
      <w:pPr>
        <w:pStyle w:val="CaselawNumbered1"/>
        <w:numPr>
          <w:ilvl w:val="0"/>
          <w:numId w:val="85"/>
        </w:numPr>
        <w:spacing w:before="150" w:after="0"/>
        <w:ind w:left="1350" w:hanging="750"/>
      </w:pPr>
      <w:r>
        <w:rPr>
          <w:rFonts w:ascii="Arial"/>
          <w:color w:val="000000"/>
          <w:sz w:val="24"/>
        </w:rPr>
        <w:t>The decision under review is affirmed.</w:t>
      </w:r>
    </w:p>
    <w:p>
      <w:pPr>
        <w:pStyle w:val="CaselawNormal"/>
        <w:spacing w:before="150" w:after="150"/>
        <w:ind w:left="600"/>
        <w:jc w:val="left"/>
      </w:pPr>
      <w:r>
        <w:rPr>
          <w:rFonts w:ascii="Arial"/>
          <w:color w:val="000000"/>
          <w:sz w:val="24"/>
        </w:rPr>
        <w:t>**********</w:t>
      </w:r>
    </w:p>
    <w:p w:rsidRPr="006709AA" w:rsidR="006E0C28" w:rsidP="00934F67" w:rsidRDefault="00A2002E">
      <w:pPr>
        <w:shd w:val="clear" w:color="auto" w:fill="FFFFFF"/>
        <w:spacing w:after="0" w:line="240" w:lineRule="auto"/>
        <w:ind w:left="119"/>
        <w:rPr>
          <w:rFonts w:cs="Arial"/>
          <w:color w:val="000000"/>
          <w:lang w:eastAsia="en-US"/>
        </w:rPr>
      </w:pPr>
      <w:r w:rsidRPr="006709AA">
        <w:rPr>
          <w:rFonts w:cs="Arial"/>
          <w:color w:val="333333"/>
          <w:shd w:val="clear" w:color="auto" w:fill="FFFFFF"/>
        </w:rPr>
        <w:t>I hereby certify that this is a true and accurate record of the reasons for decision of the Civil and Administrative Tribunal of New South Wales.</w:t>
      </w:r>
      <w:r w:rsidRPr="006709AA">
        <w:rPr>
          <w:rFonts w:cs="Arial"/>
          <w:color w:val="333333"/>
        </w:rPr>
        <w:br/>
      </w:r>
      <w:r w:rsidRPr="006709AA">
        <w:rPr>
          <w:rFonts w:cs="Arial"/>
          <w:color w:val="333333"/>
          <w:shd w:val="clear" w:color="auto" w:fill="FFFFFF"/>
        </w:rPr>
        <w:t>Registrar</w:t>
      </w:r>
    </w:p>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3"/>
    </w:lvlOverride>
  </w:num>
  <w:num w:numId="24">
    <w:abstractNumId w:val="16"/>
    <w:lvlOverride w:ilvl="0">
      <w:startOverride w:val="5"/>
    </w:lvlOverride>
  </w:num>
  <w:num w:numId="25">
    <w:abstractNumId w:val="10"/>
    <w:lvlOverride w:ilvl="0">
      <w:startOverride w:val="1"/>
    </w:lvlOverride>
  </w:num>
  <w:num w:numId="26">
    <w:abstractNumId w:val="16"/>
    <w:lvlOverride w:ilvl="0">
      <w:startOverride w:val="8"/>
    </w:lvlOverride>
  </w:num>
  <w:num w:numId="27">
    <w:abstractNumId w:val="10"/>
    <w:lvlOverride w:ilvl="0">
      <w:startOverride w:val="1"/>
    </w:lvlOverride>
  </w:num>
  <w:num w:numId="28">
    <w:abstractNumId w:val="16"/>
    <w:lvlOverride w:ilvl="0">
      <w:startOverride w:val="10"/>
    </w:lvlOverride>
  </w:num>
  <w:num w:numId="29">
    <w:abstractNumId w:val="16"/>
    <w:lvlOverride w:ilvl="0">
      <w:startOverride w:val="11"/>
    </w:lvlOverride>
  </w:num>
  <w:num w:numId="30">
    <w:abstractNumId w:val="10"/>
    <w:lvlOverride w:ilvl="0">
      <w:startOverride w:val="1"/>
    </w:lvlOverride>
  </w:num>
  <w:num w:numId="31">
    <w:abstractNumId w:val="16"/>
    <w:lvlOverride w:ilvl="0">
      <w:startOverride w:val="13"/>
    </w:lvlOverride>
  </w:num>
  <w:num w:numId="32">
    <w:abstractNumId w:val="16"/>
    <w:lvlOverride w:ilvl="0">
      <w:startOverride w:val="16"/>
    </w:lvlOverride>
  </w:num>
  <w:num w:numId="33">
    <w:abstractNumId w:val="16"/>
    <w:lvlOverride w:ilvl="0">
      <w:startOverride w:val="17"/>
    </w:lvlOverride>
  </w:num>
  <w:num w:numId="34">
    <w:abstractNumId w:val="16"/>
    <w:lvlOverride w:ilvl="0">
      <w:startOverride w:val="18"/>
    </w:lvlOverride>
  </w:num>
  <w:num w:numId="35">
    <w:abstractNumId w:val="10"/>
    <w:lvlOverride w:ilvl="0">
      <w:startOverride w:val="1"/>
    </w:lvlOverride>
  </w:num>
  <w:num w:numId="36">
    <w:abstractNumId w:val="16"/>
    <w:lvlOverride w:ilvl="0">
      <w:startOverride w:val="20"/>
    </w:lvlOverride>
  </w:num>
  <w:num w:numId="37">
    <w:abstractNumId w:val="16"/>
    <w:lvlOverride w:ilvl="0">
      <w:startOverride w:val="21"/>
    </w:lvlOverride>
  </w:num>
  <w:num w:numId="38">
    <w:abstractNumId w:val="10"/>
    <w:lvlOverride w:ilvl="0">
      <w:startOverride w:val="1"/>
    </w:lvlOverride>
  </w:num>
  <w:num w:numId="39">
    <w:abstractNumId w:val="16"/>
    <w:lvlOverride w:ilvl="0">
      <w:startOverride w:val="22"/>
    </w:lvlOverride>
  </w:num>
  <w:num w:numId="40">
    <w:abstractNumId w:val="10"/>
    <w:lvlOverride w:ilvl="0">
      <w:startOverride w:val="1"/>
    </w:lvlOverride>
  </w:num>
  <w:num w:numId="41">
    <w:abstractNumId w:val="10"/>
    <w:lvlOverride w:ilvl="0">
      <w:startOverride w:val="3"/>
    </w:lvlOverride>
  </w:num>
  <w:num w:numId="42">
    <w:abstractNumId w:val="10"/>
    <w:lvlOverride w:ilvl="0">
      <w:startOverride w:val="4"/>
    </w:lvlOverride>
  </w:num>
  <w:num w:numId="43">
    <w:abstractNumId w:val="16"/>
    <w:lvlOverride w:ilvl="0">
      <w:startOverride w:val="23"/>
    </w:lvlOverride>
  </w:num>
  <w:num w:numId="44">
    <w:abstractNumId w:val="16"/>
    <w:lvlOverride w:ilvl="0">
      <w:startOverride w:val="25"/>
    </w:lvlOverride>
  </w:num>
  <w:num w:numId="45">
    <w:abstractNumId w:val="16"/>
    <w:lvlOverride w:ilvl="0">
      <w:startOverride w:val="26"/>
    </w:lvlOverride>
  </w:num>
  <w:num w:numId="46">
    <w:abstractNumId w:val="16"/>
    <w:lvlOverride w:ilvl="0">
      <w:startOverride w:val="27"/>
    </w:lvlOverride>
  </w:num>
  <w:num w:numId="47">
    <w:abstractNumId w:val="16"/>
    <w:lvlOverride w:ilvl="0">
      <w:startOverride w:val="29"/>
    </w:lvlOverride>
  </w:num>
  <w:num w:numId="48">
    <w:abstractNumId w:val="16"/>
    <w:lvlOverride w:ilvl="0">
      <w:startOverride w:val="30"/>
    </w:lvlOverride>
  </w:num>
  <w:num w:numId="49">
    <w:abstractNumId w:val="10"/>
    <w:lvlOverride w:ilvl="0">
      <w:startOverride w:val="1"/>
    </w:lvlOverride>
  </w:num>
  <w:num w:numId="50">
    <w:abstractNumId w:val="16"/>
    <w:lvlOverride w:ilvl="0">
      <w:startOverride w:val="32"/>
    </w:lvlOverride>
  </w:num>
  <w:num w:numId="51">
    <w:abstractNumId w:val="16"/>
    <w:lvlOverride w:ilvl="0">
      <w:startOverride w:val="33"/>
    </w:lvlOverride>
  </w:num>
  <w:num w:numId="52">
    <w:abstractNumId w:val="16"/>
    <w:lvlOverride w:ilvl="0">
      <w:startOverride w:val="34"/>
    </w:lvlOverride>
  </w:num>
  <w:num w:numId="53">
    <w:abstractNumId w:val="16"/>
    <w:lvlOverride w:ilvl="0">
      <w:startOverride w:val="35"/>
    </w:lvlOverride>
  </w:num>
  <w:num w:numId="54">
    <w:abstractNumId w:val="16"/>
    <w:lvlOverride w:ilvl="0">
      <w:startOverride w:val="36"/>
    </w:lvlOverride>
  </w:num>
  <w:num w:numId="55">
    <w:abstractNumId w:val="16"/>
    <w:lvlOverride w:ilvl="0">
      <w:startOverride w:val="37"/>
    </w:lvlOverride>
  </w:num>
  <w:num w:numId="56">
    <w:abstractNumId w:val="16"/>
    <w:lvlOverride w:ilvl="0">
      <w:startOverride w:val="39"/>
    </w:lvlOverride>
  </w:num>
  <w:num w:numId="57">
    <w:abstractNumId w:val="10"/>
    <w:lvlOverride w:ilvl="0">
      <w:startOverride w:val="1"/>
    </w:lvlOverride>
  </w:num>
  <w:num w:numId="58">
    <w:abstractNumId w:val="10"/>
    <w:lvlOverride w:ilvl="0">
      <w:startOverride w:val="2"/>
    </w:lvlOverride>
  </w:num>
  <w:num w:numId="59">
    <w:abstractNumId w:val="10"/>
    <w:lvlOverride w:ilvl="0">
      <w:startOverride w:val="3"/>
    </w:lvlOverride>
  </w:num>
  <w:num w:numId="60">
    <w:abstractNumId w:val="16"/>
    <w:lvlOverride w:ilvl="0">
      <w:startOverride w:val="40"/>
    </w:lvlOverride>
  </w:num>
  <w:num w:numId="61">
    <w:abstractNumId w:val="10"/>
    <w:lvlOverride w:ilvl="0">
      <w:startOverride w:val="1"/>
    </w:lvlOverride>
  </w:num>
  <w:num w:numId="62">
    <w:abstractNumId w:val="16"/>
    <w:lvlOverride w:ilvl="0">
      <w:startOverride w:val="41"/>
    </w:lvlOverride>
  </w:num>
  <w:num w:numId="63">
    <w:abstractNumId w:val="10"/>
    <w:lvlOverride w:ilvl="0">
      <w:startOverride w:val="1"/>
    </w:lvlOverride>
  </w:num>
  <w:num w:numId="64">
    <w:abstractNumId w:val="16"/>
    <w:lvlOverride w:ilvl="0">
      <w:startOverride w:val="42"/>
    </w:lvlOverride>
  </w:num>
  <w:num w:numId="65">
    <w:abstractNumId w:val="16"/>
    <w:lvlOverride w:ilvl="0">
      <w:startOverride w:val="43"/>
    </w:lvlOverride>
  </w:num>
  <w:num w:numId="66">
    <w:abstractNumId w:val="10"/>
    <w:lvlOverride w:ilvl="0">
      <w:startOverride w:val="1"/>
    </w:lvlOverride>
  </w:num>
  <w:num w:numId="67">
    <w:abstractNumId w:val="16"/>
    <w:lvlOverride w:ilvl="0">
      <w:startOverride w:val="45"/>
    </w:lvlOverride>
  </w:num>
  <w:num w:numId="68">
    <w:abstractNumId w:val="16"/>
    <w:lvlOverride w:ilvl="0">
      <w:startOverride w:val="49"/>
    </w:lvlOverride>
  </w:num>
  <w:num w:numId="69">
    <w:abstractNumId w:val="16"/>
    <w:lvlOverride w:ilvl="0">
      <w:startOverride w:val="50"/>
    </w:lvlOverride>
  </w:num>
  <w:num w:numId="70">
    <w:abstractNumId w:val="16"/>
    <w:lvlOverride w:ilvl="0">
      <w:startOverride w:val="54"/>
    </w:lvlOverride>
  </w:num>
  <w:num w:numId="71">
    <w:abstractNumId w:val="16"/>
    <w:lvlOverride w:ilvl="0">
      <w:startOverride w:val="55"/>
    </w:lvlOverride>
  </w:num>
  <w:num w:numId="72">
    <w:abstractNumId w:val="16"/>
    <w:lvlOverride w:ilvl="0">
      <w:startOverride w:val="57"/>
    </w:lvlOverride>
  </w:num>
  <w:num w:numId="73">
    <w:abstractNumId w:val="10"/>
    <w:lvlOverride w:ilvl="0">
      <w:startOverride w:val="1"/>
    </w:lvlOverride>
  </w:num>
  <w:num w:numId="74">
    <w:abstractNumId w:val="16"/>
    <w:lvlOverride w:ilvl="0">
      <w:startOverride w:val="63"/>
    </w:lvlOverride>
  </w:num>
  <w:num w:numId="75">
    <w:abstractNumId w:val="10"/>
    <w:lvlOverride w:ilvl="0">
      <w:startOverride w:val="1"/>
    </w:lvlOverride>
  </w:num>
  <w:num w:numId="76">
    <w:abstractNumId w:val="16"/>
    <w:lvlOverride w:ilvl="0">
      <w:startOverride w:val="67"/>
    </w:lvlOverride>
  </w:num>
  <w:num w:numId="77">
    <w:abstractNumId w:val="16"/>
    <w:lvlOverride w:ilvl="0">
      <w:startOverride w:val="68"/>
    </w:lvlOverride>
  </w:num>
  <w:num w:numId="78">
    <w:abstractNumId w:val="16"/>
    <w:lvlOverride w:ilvl="0">
      <w:startOverride w:val="73"/>
    </w:lvlOverride>
  </w:num>
  <w:num w:numId="79">
    <w:abstractNumId w:val="16"/>
    <w:lvlOverride w:ilvl="0">
      <w:startOverride w:val="77"/>
    </w:lvlOverride>
  </w:num>
  <w:num w:numId="80">
    <w:abstractNumId w:val="10"/>
    <w:lvlOverride w:ilvl="0">
      <w:startOverride w:val="1"/>
    </w:lvlOverride>
  </w:num>
  <w:num w:numId="81">
    <w:abstractNumId w:val="16"/>
    <w:lvlOverride w:ilvl="0">
      <w:startOverride w:val="79"/>
    </w:lvlOverride>
  </w:num>
  <w:num w:numId="82">
    <w:abstractNumId w:val="16"/>
    <w:lvlOverride w:ilvl="0">
      <w:startOverride w:val="81"/>
    </w:lvlOverride>
  </w:num>
  <w:num w:numId="83">
    <w:abstractNumId w:val="16"/>
    <w:lvlOverride w:ilvl="0">
      <w:startOverride w:val="84"/>
    </w:lvlOverride>
  </w:num>
  <w:num w:numId="84">
    <w:abstractNumId w:val="16"/>
    <w:lvlOverride w:ilvl="0">
      <w:startOverride w:val="87"/>
    </w:lvlOverride>
  </w:num>
  <w:num w:numId="85">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Ref184626985" Type="http://schemas.openxmlformats.org/officeDocument/2006/relationships/hyperlink" Id="rId13"/><Relationship TargetMode="External" Target="#_Ref184626985" Type="http://schemas.openxmlformats.org/officeDocument/2006/relationships/hyperlink" Id="rId14"/><Relationship TargetMode="External" Target="#_Ref184644751" Type="http://schemas.openxmlformats.org/officeDocument/2006/relationships/hyperlink" Id="rId15"/><Relationship TargetMode="External" Target="#_Ref184644751" Type="http://schemas.openxmlformats.org/officeDocument/2006/relationships/hyperlink" Id="rId16"/><Relationship TargetMode="External" Target="#_Ref184644782" Type="http://schemas.openxmlformats.org/officeDocument/2006/relationships/hyperlink" Id="rId17"/><Relationship TargetMode="External" Target="#_Ref184644782" Type="http://schemas.openxmlformats.org/officeDocument/2006/relationships/hyperlink" Id="rId18"/></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