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r="http://schemas.openxmlformats.org/officeDocument/2006/relationships" xmlns:w14="http://schemas.microsoft.com/office/word/2010/wordml" xmlns:w15="http://schemas.microsoft.com/office/word/2012/wordml" xmlns:mc="http://schemas.openxmlformats.org/markup-compatibility/2006"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43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Land and Environment Court</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UPG 72 Pty Ltd v Blacktown City Council (No 2)</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[2025] NSWLEC 77</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24 July 2025</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25 July 2025</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25 July 2025</w:t>
                </w:r>
              </w:sdtContent>
            </w:sdt>
          </w:p>
        </w:tc>
      </w:tr>
      <w:tr w:rsidR="00251EE4" w:rsidTr="00AC2B81">
        <w:trPr>
          <w:trHeight w:val="365"/>
        </w:trPr>
        <w:tc>
          <w:tcPr>
            <w:tcW w:w="1669" w:type="pct"/>
          </w:tcPr>
          <w:p w:rsidRPr="00EF4519" w:rsidR="00251EE4" w:rsidP="00E827DB" w:rsidRDefault="000A6DFA">
            <w:r>
              <w:t>Jurisdiction</w:t>
            </w:r>
            <w:r w:rsidRPr="00EF4519" w:rsidR="00251EE4">
              <w:t>:</w:t>
            </w:r>
            <w:r w:rsidRPr="00EF4519" w:rsidR="00B914EB">
              <w:t xml:space="preserve"> </w:t>
            </w:r>
          </w:p>
        </w:tc>
        <w:sdt>
          <w:sdtPr>
            <w:alias w:val="Jurisdiction"/>
            <w:tag w:val="jurisdiction"/>
            <w:id w:val="207232766"/>
            <w:placeholder>
              <w:docPart w:val="5D455C8DB3370C429E683BD45AAD2263"/>
            </w:placeholder>
            <w:showingPlcHdr/>
            <w:text/>
          </w:sdtPr>
          <w:sdtEndPr/>
          <w:sdtContent>
            <w:tc>
              <w:tcPr>
                <w:tcW w:w="3331" w:type="pct"/>
              </w:tcPr>
              <w:p w:rsidR="00251EE4" w:rsidP="001B7A55" w:rsidRDefault="001B7A55">
                <w:r>
                  <w:t xml:space="preserve">Class 3</w:t>
                </w:r>
              </w:p>
            </w:tc>
          </w:sdtContent>
        </w:sdt>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Pepper J</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Notice of motion dismissed. Respondent to pay the applicant’s costs of the proceedings and costs of the motion.</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COSTS: whether the respondent should pay the applicant’s costs in compulsory acquisition proceedings – where the applicant was awarded more compensation than that contended for by the respondent but less than the Valuer-General’s offer and less than it sought in the proceedings – applicable legal costs principles compulsory acquisition proceedings – respondent to pay the applicant’s costs of the proceedings and of the motion.</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Civil Procedure Act 2005, s 98</w:t>
                </w:r>
                <w:r>
                  <w:br/>
                </w:r>
                <w:r>
                  <w:t xml:space="preserve">Land Acquisition (Just Terms Compensation) Act 1991, s 66</w:t>
                </w:r>
                <w:r>
                  <w:br/>
                </w:r>
                <w:r>
                  <w:t xml:space="preserve">Local Government Act 1993, ss 24 and 186(1)</w:t>
                </w:r>
                <w:r>
                  <w:br/>
                </w:r>
                <w:r>
                  <w:t xml:space="preserve">Land and Environment Court Rules 2007, r 3.7</w:t>
                </w:r>
                <w:r>
                  <w:br/>
                </w:r>
                <w:r>
                  <w:t xml:space="preserve">Uniform Civil Procedure Rules 2005, r 42.1</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Azizi v Council of the City of Ryde; Alnox Pty Ltd v Council of the City of Ryde (No 3) [2022] NSWLEC 37</w:t>
                </w:r>
                <w:r>
                  <w:br/>
                </w:r>
                <w:r>
                  <w:t xml:space="preserve">Brock v Roads and Maritime Service (formerly Roads and Traffic Authority of NSW) [2012] NSWCA 404; (2012) 191 LGERA 267</w:t>
                </w:r>
                <w:r>
                  <w:br/>
                </w:r>
                <w:r>
                  <w:t xml:space="preserve">Dillon v Gosford City Council [2011] NSWCA 328; (2011) 184 LGERA 179</w:t>
                </w:r>
                <w:r>
                  <w:br/>
                </w:r>
                <w:r>
                  <w:t xml:space="preserve">Goldmate Property Luddenham No 1 Pty Ltd v Transport for New South Wales [2024] NSWCA 292; (2024) 262 LGERA 24</w:t>
                </w:r>
                <w:r>
                  <w:br/>
                </w:r>
                <w:r>
                  <w:t xml:space="preserve">Overton Investments Pty Ltd v Minister Administering the Environmental Planning and Assessment Act 1979 [2001] NSWCA 137; (2001) 113 LGERA 439</w:t>
                </w:r>
                <w:r>
                  <w:br/>
                </w:r>
                <w:r>
                  <w:t xml:space="preserve">Qasabian Family Investments Pty Ltd v Roads and Maritime Services (No 2); Fishing Station Pty Ltd v Roads and Maritime Services (No 2) [2017] NSWLEC 179</w:t>
                </w:r>
                <w:r>
                  <w:br/>
                </w:r>
                <w:r>
                  <w:t xml:space="preserve">Tempe Recreation Reserve Trust v Sydney Water Corporation [2014] NSWCA 437; (2014) 88 NSWLR 449</w:t>
                </w:r>
                <w:r>
                  <w:br/>
                </w:r>
                <w:r>
                  <w:t xml:space="preserve">UPG 72 Pty Ltd v Blacktown City Council [2025] NSWLEC 29</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Costs</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UPG 72 Pty Ltd (Applicant)</w:t>
                </w:r>
                <w:r>
                  <w:br/>
                </w:r>
                <w:r>
                  <w:t xml:space="preserve">Blacktown City Council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Counsel:</w:t>
                </w:r>
                <w:r>
                  <w:br/>
                </w:r>
                <w:r>
                  <w:t xml:space="preserve">T To with L Nurpuri (Applicant)</w:t>
                </w:r>
                <w:r>
                  <w:br/>
                </w:r>
                <w:r>
                  <w:t xml:space="preserve">M Astill (Respondent)</w:t>
                </w:r>
                <w:r>
                  <w:br/>
                </w:r>
                <w:r>
                  <w:t xml:space="preserve"/>
                </w:r>
                <w:r>
                  <w:br/>
                </w:r>
                <w:r>
                  <w:t xml:space="preserve">Solicitors:</w:t>
                </w:r>
                <w:r>
                  <w:br/>
                </w:r>
                <w:r>
                  <w:t xml:space="preserve">Macpherson Kelley (Applicant)</w:t>
                </w:r>
                <w:r>
                  <w:br/>
                </w:r>
                <w:r>
                  <w:t xml:space="preserve">Maddocks Lawyers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2022/310394</w:t>
                </w:r>
              </w:sdtContent>
            </w:sdt>
          </w:p>
        </w:tc>
      </w:tr>
      <w:tr w:rsidR="00277342" w:rsidTr="00AC2B81">
        <w:trPr>
          <w:trHeight w:val="361"/>
        </w:trPr>
        <w:tc>
          <w:tcPr>
            <w:tcW w:w="1669" w:type="pct"/>
          </w:tcPr>
          <w:p w:rsidRPr="00EF4519" w:rsidR="00277342" w:rsidP="00E827DB" w:rsidRDefault="00277342">
            <w:r>
              <w:t>Publication Restriction:</w:t>
            </w:r>
            <w:r w:rsidRPr="00EF4519" w:rsidR="00B914EB">
              <w:t xml:space="preserve"> </w:t>
            </w:r>
          </w:p>
        </w:tc>
        <w:tc>
          <w:tcPr>
            <w:tcW w:w="3331" w:type="pct"/>
          </w:tcPr>
          <w:p w:rsidR="00277342" w:rsidP="001B7A55" w:rsidRDefault="00882F5B">
            <w:sdt>
              <w:sdtPr>
                <w:alias w:val="Publication Restriction"/>
                <w:tag w:val="publicationRestriction"/>
                <w:id w:val="-1536037816"/>
                <w:placeholder>
                  <w:docPart w:val="A7B47E2D68429748B46F94DAB4579B86"/>
                </w:placeholder>
                <w:showingPlcHdr/>
                <w:text w:multiLine="true"/>
              </w:sdtPr>
              <w:sdtEndPr/>
              <w:sdtContent>
                <w:r>
                  <w:t xml:space="preserve">Nil</w:t>
                </w:r>
              </w:sdtContent>
            </w:sdt>
          </w:p>
        </w:tc>
      </w:tr>
    </w:tbl>
    <w:p>
      <w:pPr>
        <w:pStyle w:val="CaselawHeading1"/>
        <w:keepNext/>
        <w:spacing w:before="150" w:after="150" w:line="264"/>
        <w:ind w:left="0"/>
      </w:pPr>
      <w:r>
        <w:rPr>
          <w:rFonts w:ascii="Arial"/>
        </w:rPr>
        <w:t>JUDGMENT</w:t>
      </w:r>
    </w:p>
    <w:p>
      <w:pPr>
        <w:pStyle w:val="CaselawHeading2"/>
        <w:keepNext/>
        <w:spacing w:before="150" w:after="150" w:line="264"/>
        <w:ind w:left="0"/>
        <w:jc w:val="left"/>
      </w:pPr>
      <w:r>
        <w:rPr>
          <w:rFonts w:ascii="Arial"/>
        </w:rPr>
        <w:t xml:space="preserve">Blacktown City Council Seeks a Costs Order </w:t>
      </w:r>
      <w:r>
        <w:rPr>
          <w:rFonts w:ascii="Arial"/>
        </w:rPr>
        <w:t>That Each Party Pay its Costs of the Compulsory Acquisition Proceedings</w:t>
      </w:r>
    </w:p>
    <w:p>
      <w:pPr>
        <w:pStyle w:val="CaselawNumbered10"/>
        <w:numPr>
          <w:ilvl w:val="0"/>
          <w:numId w:val="22"/>
        </w:numPr>
        <w:spacing w:before="150" w:after="0"/>
        <w:ind w:left="600" w:hanging="600"/>
      </w:pPr>
      <w:r>
        <w:rPr>
          <w:rFonts w:ascii="Arial"/>
          <w:color w:val="000000"/>
          <w:sz w:val="24"/>
        </w:rPr>
        <w:t xml:space="preserve">This application concerns the </w:t>
      </w:r>
      <w:r>
        <w:rPr>
          <w:rFonts w:ascii="Arial"/>
          <w:color w:val="000000"/>
          <w:sz w:val="24"/>
        </w:rPr>
        <w:t xml:space="preserve">availability of an alternative costs order </w:t>
      </w:r>
      <w:r>
        <w:rPr>
          <w:rFonts w:ascii="Arial"/>
          <w:color w:val="000000"/>
          <w:sz w:val="24"/>
        </w:rPr>
        <w:t xml:space="preserve">if favour of </w:t>
      </w:r>
      <w:r>
        <w:rPr>
          <w:rFonts w:ascii="Arial"/>
          <w:color w:val="000000"/>
          <w:sz w:val="24"/>
        </w:rPr>
        <w:t>the respondent, Blacktown City Council (</w:t>
      </w:r>
      <w:r>
        <w:rPr>
          <w:rFonts w:ascii="Arial"/>
          <w:color w:val="000000"/>
          <w:sz w:val="24"/>
        </w:rPr>
        <w:t>“</w:t>
      </w:r>
      <w:r>
        <w:rPr>
          <w:rFonts w:ascii="Arial"/>
          <w:color w:val="000000"/>
          <w:sz w:val="24"/>
        </w:rPr>
        <w:t>Council</w:t>
      </w:r>
      <w:r>
        <w:rPr>
          <w:rFonts w:ascii="Arial"/>
          <w:color w:val="000000"/>
          <w:sz w:val="24"/>
        </w:rPr>
        <w:t>”</w:t>
      </w:r>
      <w:r>
        <w:rPr>
          <w:rFonts w:ascii="Arial"/>
          <w:color w:val="000000"/>
          <w:sz w:val="24"/>
        </w:rPr>
        <w:t>), in Class 3 compulsory acquisition proceedings</w:t>
      </w:r>
      <w:r>
        <w:rPr>
          <w:rFonts w:ascii="Arial"/>
          <w:color w:val="000000"/>
          <w:sz w:val="24"/>
        </w:rPr>
        <w:t xml:space="preserve">. </w:t>
      </w:r>
    </w:p>
    <w:p>
      <w:pPr>
        <w:pStyle w:val="CaselawNumbered10"/>
        <w:numPr>
          <w:ilvl w:val="0"/>
          <w:numId w:val="22"/>
        </w:numPr>
        <w:spacing w:before="150" w:after="0"/>
        <w:ind w:left="600" w:hanging="600"/>
      </w:pPr>
      <w:r>
        <w:rPr>
          <w:rFonts w:ascii="Arial"/>
          <w:color w:val="000000"/>
          <w:sz w:val="24"/>
        </w:rPr>
        <w:t xml:space="preserve">On </w:t>
      </w:r>
      <w:r>
        <w:rPr>
          <w:rFonts w:ascii="Arial"/>
          <w:color w:val="000000"/>
          <w:sz w:val="24"/>
        </w:rPr>
        <w:t>14 September</w:t>
      </w:r>
      <w:r>
        <w:rPr>
          <w:rFonts w:ascii="Arial"/>
          <w:color w:val="000000"/>
          <w:sz w:val="24"/>
        </w:rPr>
        <w:t xml:space="preserve"> </w:t>
      </w:r>
      <w:r>
        <w:rPr>
          <w:rFonts w:ascii="Arial"/>
          <w:color w:val="000000"/>
          <w:sz w:val="24"/>
        </w:rPr>
        <w:t>2022 the Council of</w:t>
      </w:r>
      <w:r>
        <w:rPr>
          <w:rFonts w:ascii="Arial"/>
          <w:color w:val="000000"/>
          <w:sz w:val="24"/>
        </w:rPr>
        <w:t>fered UPG 72 Pty Ltd (</w:t>
      </w:r>
      <w:r>
        <w:rPr>
          <w:rFonts w:ascii="Arial"/>
          <w:color w:val="000000"/>
          <w:sz w:val="24"/>
        </w:rPr>
        <w:t>“</w:t>
      </w:r>
      <w:r>
        <w:rPr>
          <w:rFonts w:ascii="Arial"/>
          <w:color w:val="000000"/>
          <w:sz w:val="24"/>
        </w:rPr>
        <w:t>UPG</w:t>
      </w:r>
      <w:r>
        <w:rPr>
          <w:rFonts w:ascii="Arial"/>
          <w:color w:val="000000"/>
          <w:sz w:val="24"/>
        </w:rPr>
        <w:t>”</w:t>
      </w:r>
      <w:r>
        <w:rPr>
          <w:rFonts w:ascii="Arial"/>
          <w:color w:val="000000"/>
          <w:sz w:val="24"/>
        </w:rPr>
        <w:t xml:space="preserve">) compensation in the sum of $2,494,984.44 for the acquisition of </w:t>
      </w:r>
      <w:r>
        <w:rPr>
          <w:rFonts w:ascii="Arial"/>
          <w:color w:val="000000"/>
          <w:sz w:val="24"/>
        </w:rPr>
        <w:t>UPG</w:t>
      </w:r>
      <w:r>
        <w:rPr>
          <w:rFonts w:ascii="Arial"/>
          <w:color w:val="000000"/>
          <w:sz w:val="24"/>
        </w:rPr>
        <w:t>’</w:t>
      </w:r>
      <w:r>
        <w:rPr>
          <w:rFonts w:ascii="Arial"/>
          <w:color w:val="000000"/>
          <w:sz w:val="24"/>
        </w:rPr>
        <w:t>s land</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the acquisition</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Lot 31 in DP 1246761</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the acquired land</w:t>
      </w:r>
      <w:r>
        <w:rPr>
          <w:rFonts w:ascii="Arial"/>
          <w:color w:val="000000"/>
          <w:sz w:val="24"/>
        </w:rPr>
        <w:t>”</w:t>
      </w:r>
      <w:r>
        <w:rPr>
          <w:rFonts w:ascii="Arial"/>
          <w:color w:val="000000"/>
          <w:sz w:val="24"/>
        </w:rPr>
        <w:t xml:space="preserve">), </w:t>
      </w:r>
      <w:r>
        <w:rPr>
          <w:rFonts w:ascii="Arial"/>
          <w:color w:val="000000"/>
          <w:sz w:val="24"/>
        </w:rPr>
        <w:t>as determined by the</w:t>
      </w:r>
      <w:r>
        <w:rPr>
          <w:rFonts w:ascii="Arial"/>
          <w:color w:val="000000"/>
          <w:sz w:val="24"/>
        </w:rPr>
        <w:t xml:space="preserve"> </w:t>
      </w:r>
      <w:r>
        <w:rPr>
          <w:rFonts w:ascii="Arial"/>
          <w:color w:val="000000"/>
          <w:sz w:val="24"/>
        </w:rPr>
        <w:t>Valuer-General</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statutory offer</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22"/>
        </w:numPr>
        <w:spacing w:before="150" w:after="0"/>
        <w:ind w:left="600" w:hanging="600"/>
      </w:pPr>
      <w:r>
        <w:rPr>
          <w:rFonts w:ascii="Arial"/>
          <w:color w:val="000000"/>
          <w:sz w:val="24"/>
        </w:rPr>
        <w:t>UPG objected to that offer</w:t>
      </w:r>
      <w:r>
        <w:rPr>
          <w:rFonts w:ascii="Arial"/>
          <w:color w:val="000000"/>
          <w:sz w:val="24"/>
        </w:rPr>
        <w:t xml:space="preserve"> </w:t>
      </w:r>
      <w:r>
        <w:rPr>
          <w:rFonts w:ascii="Arial"/>
          <w:color w:val="000000"/>
          <w:sz w:val="24"/>
        </w:rPr>
        <w:t xml:space="preserve">pursuant to </w:t>
      </w:r>
      <w:r>
        <w:rPr>
          <w:rFonts w:ascii="Arial"/>
          <w:color w:val="000000"/>
          <w:sz w:val="24"/>
        </w:rPr>
        <w:t xml:space="preserve">s 66 of the </w:t>
      </w:r>
      <w:r>
        <w:rPr>
          <w:rFonts w:ascii="Arial"/>
          <w:i/>
          <w:color w:val="000000"/>
          <w:sz w:val="24"/>
        </w:rPr>
        <w:t>Land Acquisition (Just Terms Compensation) Act 1991</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Just Terms Act</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 xml:space="preserve">commenced a Class 3 </w:t>
      </w:r>
      <w:r>
        <w:rPr>
          <w:rFonts w:ascii="Arial"/>
          <w:color w:val="000000"/>
          <w:sz w:val="24"/>
        </w:rPr>
        <w:t>proceedings</w:t>
      </w:r>
      <w:r>
        <w:rPr>
          <w:rFonts w:ascii="Arial"/>
          <w:color w:val="000000"/>
          <w:sz w:val="24"/>
        </w:rPr>
        <w:t xml:space="preserve"> </w:t>
      </w:r>
      <w:r>
        <w:rPr>
          <w:rFonts w:ascii="Arial"/>
          <w:color w:val="000000"/>
          <w:sz w:val="24"/>
        </w:rPr>
        <w:t>against that determination on 18 October 2022</w:t>
      </w:r>
      <w:r>
        <w:rPr>
          <w:rFonts w:ascii="Arial"/>
          <w:color w:val="000000"/>
          <w:sz w:val="24"/>
        </w:rPr>
        <w:t xml:space="preserve">. </w:t>
      </w:r>
      <w:r>
        <w:rPr>
          <w:rFonts w:ascii="Arial"/>
          <w:color w:val="000000"/>
          <w:sz w:val="24"/>
        </w:rPr>
        <w:t>UPG claimed compensation in the sum of $7,035,521.20</w:t>
      </w:r>
      <w:r>
        <w:rPr>
          <w:rFonts w:ascii="Arial"/>
          <w:color w:val="000000"/>
          <w:sz w:val="24"/>
        </w:rPr>
        <w:t>,</w:t>
      </w:r>
      <w:r>
        <w:rPr>
          <w:rFonts w:ascii="Arial"/>
          <w:color w:val="000000"/>
          <w:sz w:val="24"/>
        </w:rPr>
        <w:t xml:space="preserve"> </w:t>
      </w:r>
      <w:r>
        <w:rPr>
          <w:rFonts w:ascii="Arial"/>
          <w:color w:val="000000"/>
          <w:sz w:val="24"/>
        </w:rPr>
        <w:t>while the Council contended for nil compensation.</w:t>
      </w:r>
    </w:p>
    <w:p>
      <w:pPr>
        <w:pStyle w:val="CaselawNumbered10"/>
        <w:numPr>
          <w:ilvl w:val="0"/>
          <w:numId w:val="22"/>
        </w:numPr>
        <w:spacing w:before="150" w:after="0"/>
        <w:ind w:left="600" w:hanging="600"/>
      </w:pPr>
      <w:r>
        <w:rPr>
          <w:rFonts w:ascii="Arial"/>
          <w:color w:val="000000"/>
          <w:sz w:val="24"/>
        </w:rPr>
        <w:t xml:space="preserve">The hearing </w:t>
      </w:r>
      <w:r>
        <w:rPr>
          <w:rFonts w:ascii="Arial"/>
          <w:color w:val="000000"/>
          <w:sz w:val="24"/>
        </w:rPr>
        <w:t>took place</w:t>
      </w:r>
      <w:r>
        <w:rPr>
          <w:rFonts w:ascii="Arial"/>
          <w:color w:val="000000"/>
          <w:sz w:val="24"/>
        </w:rPr>
        <w:t xml:space="preserve"> </w:t>
      </w:r>
      <w:r>
        <w:rPr>
          <w:rFonts w:ascii="Arial"/>
          <w:color w:val="000000"/>
          <w:sz w:val="24"/>
        </w:rPr>
        <w:t xml:space="preserve">on 13 </w:t>
      </w:r>
      <w:r>
        <w:rPr>
          <w:rFonts w:ascii="Arial"/>
          <w:color w:val="000000"/>
          <w:sz w:val="24"/>
        </w:rPr>
        <w:t>to</w:t>
      </w:r>
      <w:r>
        <w:rPr>
          <w:rFonts w:ascii="Arial"/>
          <w:color w:val="000000"/>
          <w:sz w:val="24"/>
        </w:rPr>
        <w:t xml:space="preserve"> </w:t>
      </w:r>
      <w:r>
        <w:rPr>
          <w:rFonts w:ascii="Arial"/>
          <w:color w:val="000000"/>
          <w:sz w:val="24"/>
        </w:rPr>
        <w:t>16, 20 and 22 May, 20 December 2024</w:t>
      </w:r>
      <w:r>
        <w:rPr>
          <w:rFonts w:ascii="Arial"/>
          <w:color w:val="000000"/>
          <w:sz w:val="24"/>
        </w:rPr>
        <w:t xml:space="preserve"> </w:t>
      </w:r>
      <w:r>
        <w:rPr>
          <w:rFonts w:ascii="Arial"/>
          <w:color w:val="000000"/>
          <w:sz w:val="24"/>
        </w:rPr>
        <w:t xml:space="preserve">and </w:t>
      </w:r>
      <w:r>
        <w:rPr>
          <w:rFonts w:ascii="Arial"/>
          <w:color w:val="000000"/>
          <w:sz w:val="24"/>
        </w:rPr>
        <w:t>28</w:t>
      </w:r>
      <w:r>
        <w:rPr>
          <w:rFonts w:ascii="Arial"/>
          <w:color w:val="000000"/>
          <w:sz w:val="24"/>
        </w:rPr>
        <w:t> </w:t>
      </w:r>
      <w:r>
        <w:rPr>
          <w:rFonts w:ascii="Arial"/>
          <w:color w:val="000000"/>
          <w:sz w:val="24"/>
        </w:rPr>
        <w:t xml:space="preserve">January 2025. </w:t>
      </w:r>
      <w:r>
        <w:rPr>
          <w:rFonts w:ascii="Arial"/>
          <w:color w:val="000000"/>
          <w:sz w:val="24"/>
        </w:rPr>
        <w:t xml:space="preserve">The finalisation of the decision was delayed </w:t>
      </w:r>
      <w:r>
        <w:rPr>
          <w:rFonts w:ascii="Arial"/>
          <w:color w:val="000000"/>
          <w:sz w:val="24"/>
        </w:rPr>
        <w:t>pending</w:t>
      </w:r>
      <w:r>
        <w:rPr>
          <w:rFonts w:ascii="Arial"/>
          <w:color w:val="000000"/>
          <w:sz w:val="24"/>
        </w:rPr>
        <w:t xml:space="preserve"> </w:t>
      </w:r>
      <w:r>
        <w:rPr>
          <w:rFonts w:ascii="Arial"/>
          <w:color w:val="000000"/>
          <w:sz w:val="24"/>
        </w:rPr>
        <w:t xml:space="preserve">the determination of the appeal in </w:t>
      </w:r>
      <w:r>
        <w:rPr>
          <w:rFonts w:ascii="Arial"/>
          <w:i/>
          <w:color w:val="000000"/>
          <w:sz w:val="24"/>
        </w:rPr>
        <w:t>Goldmate</w:t>
      </w:r>
      <w:r>
        <w:rPr>
          <w:rFonts w:ascii="Arial"/>
          <w:i/>
          <w:color w:val="000000"/>
          <w:sz w:val="24"/>
        </w:rPr>
        <w:t xml:space="preserve"> Property Luddenham No 1 Pty Ltd v Transport for New South Wales</w:t>
      </w:r>
      <w:r>
        <w:rPr>
          <w:rFonts w:ascii="Arial"/>
          <w:color w:val="000000"/>
          <w:sz w:val="24"/>
        </w:rPr>
        <w:t xml:space="preserve"> </w:t>
      </w:r>
      <w:r>
        <w:rPr>
          <w:rFonts w:ascii="Arial"/>
          <w:color w:val="000000"/>
          <w:sz w:val="24"/>
        </w:rPr>
        <w:t>[2024] NSWCA 292; (2024) 262 LGERA 24</w:t>
      </w:r>
      <w:r>
        <w:rPr>
          <w:rFonts w:ascii="Arial"/>
          <w:color w:val="000000"/>
          <w:sz w:val="24"/>
        </w:rPr>
        <w:t xml:space="preserve">. </w:t>
      </w:r>
    </w:p>
    <w:p>
      <w:pPr>
        <w:pStyle w:val="CaselawHeading2"/>
        <w:keepNext/>
        <w:spacing w:before="150" w:after="150" w:line="264"/>
        <w:ind w:left="0"/>
        <w:jc w:val="left"/>
      </w:pPr>
      <w:r>
        <w:rPr>
          <w:rFonts w:ascii="Arial"/>
        </w:rPr>
        <w:t>UPG’s Land is Compulsorily Acquired</w:t>
      </w:r>
      <w:r>
        <w:rPr>
          <w:rFonts w:ascii="Arial"/>
        </w:rPr>
        <w:t xml:space="preserve"> by the Council</w:t>
      </w:r>
    </w:p>
    <w:p>
      <w:pPr>
        <w:pStyle w:val="CaselawNumbered10"/>
        <w:numPr>
          <w:ilvl w:val="0"/>
          <w:numId w:val="23"/>
        </w:numPr>
        <w:spacing w:before="150" w:after="0"/>
        <w:ind w:left="600" w:hanging="600"/>
      </w:pPr>
      <w:r>
        <w:rPr>
          <w:rFonts w:ascii="Arial"/>
          <w:color w:val="000000"/>
          <w:sz w:val="24"/>
        </w:rPr>
        <w:t xml:space="preserve">On 10 December 2021, </w:t>
      </w:r>
      <w:r>
        <w:rPr>
          <w:rFonts w:ascii="Arial"/>
          <w:color w:val="000000"/>
          <w:sz w:val="24"/>
        </w:rPr>
        <w:t xml:space="preserve">the Council </w:t>
      </w:r>
      <w:r>
        <w:rPr>
          <w:rFonts w:ascii="Arial"/>
          <w:color w:val="000000"/>
          <w:sz w:val="24"/>
        </w:rPr>
        <w:t xml:space="preserve">compulsorily acquired </w:t>
      </w:r>
      <w:r>
        <w:rPr>
          <w:rFonts w:ascii="Arial"/>
          <w:color w:val="000000"/>
          <w:sz w:val="24"/>
        </w:rPr>
        <w:t xml:space="preserve">the </w:t>
      </w:r>
      <w:r>
        <w:rPr>
          <w:rFonts w:ascii="Arial"/>
          <w:color w:val="000000"/>
          <w:sz w:val="24"/>
        </w:rPr>
        <w:t>land for the stated purpose of constructing trunk drainage (</w:t>
      </w:r>
      <w:r>
        <w:rPr>
          <w:rFonts w:ascii="Arial"/>
          <w:color w:val="000000"/>
          <w:sz w:val="24"/>
        </w:rPr>
        <w:t>“</w:t>
      </w:r>
      <w:r>
        <w:rPr>
          <w:rFonts w:ascii="Arial"/>
          <w:color w:val="000000"/>
          <w:sz w:val="24"/>
        </w:rPr>
        <w:t>drainage</w:t>
      </w:r>
      <w:r>
        <w:rPr>
          <w:rFonts w:ascii="Arial"/>
          <w:color w:val="000000"/>
          <w:sz w:val="24"/>
        </w:rPr>
        <w:t>”</w:t>
      </w:r>
      <w:r>
        <w:rPr>
          <w:rFonts w:ascii="Arial"/>
          <w:color w:val="000000"/>
          <w:sz w:val="24"/>
        </w:rPr>
        <w:t>) and creating habitat for the Green and Golden Bell Frog</w:t>
      </w:r>
      <w:r>
        <w:rPr>
          <w:rFonts w:ascii="Arial"/>
          <w:color w:val="000000"/>
          <w:sz w:val="24"/>
        </w:rPr>
        <w:t> (</w:t>
      </w:r>
      <w:r>
        <w:rPr>
          <w:rFonts w:ascii="Arial"/>
          <w:color w:val="000000"/>
          <w:sz w:val="24"/>
        </w:rPr>
        <w:t>“</w:t>
      </w:r>
      <w:r>
        <w:rPr>
          <w:rFonts w:ascii="Arial"/>
          <w:color w:val="000000"/>
          <w:sz w:val="24"/>
        </w:rPr>
        <w:t>GGBF habitat</w:t>
      </w:r>
      <w:r>
        <w:rPr>
          <w:rFonts w:ascii="Arial"/>
          <w:color w:val="000000"/>
          <w:sz w:val="24"/>
        </w:rPr>
        <w:t>”</w:t>
      </w:r>
      <w:r>
        <w:rPr>
          <w:rFonts w:ascii="Arial"/>
          <w:color w:val="000000"/>
          <w:sz w:val="24"/>
        </w:rPr>
        <w:t xml:space="preserve">). </w:t>
      </w:r>
    </w:p>
    <w:p>
      <w:pPr>
        <w:pStyle w:val="CaselawNumbered10"/>
        <w:numPr>
          <w:ilvl w:val="0"/>
          <w:numId w:val="23"/>
        </w:numPr>
        <w:spacing w:before="150" w:after="0"/>
        <w:ind w:left="600" w:hanging="600"/>
      </w:pPr>
      <w:r>
        <w:rPr>
          <w:rFonts w:ascii="Arial"/>
          <w:color w:val="000000"/>
          <w:sz w:val="24"/>
        </w:rPr>
        <w:t>UPG contended that but for the public purpose of constructing drainage and GGBF habitat, the acquired land would have been zoned R2 Low Density Residential (</w:t>
      </w:r>
      <w:r>
        <w:rPr>
          <w:rFonts w:ascii="Arial"/>
          <w:color w:val="000000"/>
          <w:sz w:val="24"/>
        </w:rPr>
        <w:t>“</w:t>
      </w:r>
      <w:r>
        <w:rPr>
          <w:rFonts w:ascii="Arial"/>
          <w:color w:val="000000"/>
          <w:sz w:val="24"/>
        </w:rPr>
        <w:t>R2</w:t>
      </w:r>
      <w:r>
        <w:rPr>
          <w:rFonts w:ascii="Arial"/>
          <w:color w:val="000000"/>
          <w:sz w:val="24"/>
        </w:rPr>
        <w:t>”</w:t>
      </w:r>
      <w:r>
        <w:rPr>
          <w:rFonts w:ascii="Arial"/>
          <w:color w:val="000000"/>
          <w:sz w:val="24"/>
        </w:rPr>
        <w:t>) pursuant to the land releases that comprised the broader Riverstone Precinct urbanisation project.</w:t>
      </w:r>
      <w:r>
        <w:rPr>
          <w:rFonts w:ascii="Arial"/>
          <w:color w:val="000000"/>
          <w:sz w:val="24"/>
        </w:rPr>
        <w:t xml:space="preserve"> </w:t>
      </w:r>
      <w:r>
        <w:rPr>
          <w:rFonts w:ascii="Arial"/>
          <w:color w:val="000000"/>
          <w:sz w:val="24"/>
        </w:rPr>
        <w:t xml:space="preserve">It therefore sought compensation </w:t>
      </w:r>
      <w:r>
        <w:rPr>
          <w:rFonts w:ascii="Arial"/>
          <w:color w:val="000000"/>
          <w:sz w:val="24"/>
        </w:rPr>
        <w:t>based upon a market value calculated by reference to R2 zoning that</w:t>
      </w:r>
      <w:r>
        <w:rPr>
          <w:rFonts w:ascii="Arial"/>
          <w:color w:val="000000"/>
          <w:sz w:val="24"/>
        </w:rPr>
        <w:t xml:space="preserve"> totalled approximately $7 million and $35,521 for disturbance losses. </w:t>
      </w:r>
    </w:p>
    <w:p>
      <w:pPr>
        <w:pStyle w:val="CaselawNumbered10"/>
        <w:numPr>
          <w:ilvl w:val="0"/>
          <w:numId w:val="23"/>
        </w:numPr>
        <w:spacing w:before="150" w:after="0"/>
        <w:ind w:left="600" w:hanging="600"/>
      </w:pPr>
      <w:r>
        <w:rPr>
          <w:rFonts w:ascii="Arial"/>
          <w:color w:val="000000"/>
          <w:sz w:val="24"/>
        </w:rPr>
        <w:t>By contrast, the Council argued that the public purpose for the acquisition was that of the NSW Government</w:t>
      </w:r>
      <w:r>
        <w:rPr>
          <w:rFonts w:ascii="Arial"/>
          <w:color w:val="000000"/>
          <w:sz w:val="24"/>
        </w:rPr>
        <w:t>’</w:t>
      </w:r>
      <w:r>
        <w:rPr>
          <w:rFonts w:ascii="Arial"/>
          <w:color w:val="000000"/>
          <w:sz w:val="24"/>
        </w:rPr>
        <w:t>s</w:t>
      </w:r>
      <w:r>
        <w:rPr>
          <w:rFonts w:ascii="Arial"/>
          <w:color w:val="000000"/>
          <w:sz w:val="24"/>
        </w:rPr>
        <w:t>, namely, land release by way of the rezoning of precincts for urban purposes,</w:t>
      </w:r>
      <w:r>
        <w:rPr>
          <w:rFonts w:ascii="Arial"/>
          <w:color w:val="000000"/>
          <w:sz w:val="24"/>
        </w:rPr>
        <w:t xml:space="preserve"> </w:t>
      </w:r>
      <w:r>
        <w:rPr>
          <w:rFonts w:ascii="Arial"/>
          <w:color w:val="000000"/>
          <w:sz w:val="24"/>
        </w:rPr>
        <w:t xml:space="preserve">and that in delivering drainage, the Council was the vehicle by which the NSW Government achieved part of </w:t>
      </w:r>
      <w:r>
        <w:rPr>
          <w:rFonts w:ascii="Arial"/>
          <w:color w:val="000000"/>
          <w:sz w:val="24"/>
        </w:rPr>
        <w:t xml:space="preserve">this </w:t>
      </w:r>
      <w:r>
        <w:rPr>
          <w:rFonts w:ascii="Arial"/>
          <w:color w:val="000000"/>
          <w:sz w:val="24"/>
        </w:rPr>
        <w:t>purpose</w:t>
      </w:r>
      <w:r>
        <w:rPr>
          <w:rFonts w:ascii="Arial"/>
          <w:color w:val="000000"/>
          <w:sz w:val="24"/>
        </w:rPr>
        <w:t>.</w:t>
      </w:r>
      <w:r>
        <w:rPr>
          <w:rFonts w:ascii="Arial"/>
          <w:color w:val="000000"/>
          <w:sz w:val="24"/>
        </w:rPr>
        <w:t xml:space="preserve"> </w:t>
      </w:r>
      <w:r>
        <w:rPr>
          <w:rFonts w:ascii="Arial"/>
          <w:color w:val="000000"/>
          <w:sz w:val="24"/>
        </w:rPr>
        <w:t xml:space="preserve">It argued that but for this purpose, the acquired land would have been zoned according to its pre-existing Rural zoning or, in the alternative, </w:t>
      </w:r>
      <w:r>
        <w:rPr>
          <w:rFonts w:ascii="Arial"/>
          <w:color w:val="000000"/>
          <w:sz w:val="24"/>
        </w:rPr>
        <w:t xml:space="preserve">an </w:t>
      </w:r>
      <w:r>
        <w:rPr>
          <w:rFonts w:ascii="Arial"/>
          <w:color w:val="000000"/>
          <w:sz w:val="24"/>
        </w:rPr>
        <w:t>E2 Environmental Conservation (</w:t>
      </w:r>
      <w:r>
        <w:rPr>
          <w:rFonts w:ascii="Arial"/>
          <w:color w:val="000000"/>
          <w:sz w:val="24"/>
        </w:rPr>
        <w:t>“</w:t>
      </w:r>
      <w:r>
        <w:rPr>
          <w:rFonts w:ascii="Arial"/>
          <w:color w:val="000000"/>
          <w:sz w:val="24"/>
        </w:rPr>
        <w:t>E2</w:t>
      </w:r>
      <w:r>
        <w:rPr>
          <w:rFonts w:ascii="Arial"/>
          <w:color w:val="000000"/>
          <w:sz w:val="24"/>
        </w:rPr>
        <w:t>”</w:t>
      </w:r>
      <w:r>
        <w:rPr>
          <w:rFonts w:ascii="Arial"/>
          <w:color w:val="000000"/>
          <w:sz w:val="24"/>
        </w:rPr>
        <w:t>) zoning.</w:t>
      </w:r>
      <w:r>
        <w:rPr>
          <w:rFonts w:ascii="Arial"/>
          <w:color w:val="000000"/>
          <w:sz w:val="24"/>
        </w:rPr>
        <w:t xml:space="preserve"> </w:t>
      </w:r>
      <w:r>
        <w:rPr>
          <w:rFonts w:ascii="Arial"/>
          <w:color w:val="000000"/>
          <w:sz w:val="24"/>
        </w:rPr>
        <w:t xml:space="preserve">The Council offered nil compensation </w:t>
      </w:r>
      <w:r>
        <w:rPr>
          <w:rFonts w:ascii="Arial"/>
          <w:color w:val="000000"/>
          <w:sz w:val="24"/>
        </w:rPr>
        <w:t>because</w:t>
      </w:r>
      <w:r>
        <w:rPr>
          <w:rFonts w:ascii="Arial"/>
          <w:color w:val="000000"/>
          <w:sz w:val="24"/>
        </w:rPr>
        <w:t xml:space="preserve"> </w:t>
      </w:r>
      <w:r>
        <w:rPr>
          <w:rFonts w:ascii="Arial"/>
          <w:color w:val="000000"/>
          <w:sz w:val="24"/>
        </w:rPr>
        <w:t>it contended that UPG owned land adjoining the acquired land (</w:t>
      </w:r>
      <w:r>
        <w:rPr>
          <w:rFonts w:ascii="Arial"/>
          <w:color w:val="000000"/>
          <w:sz w:val="24"/>
        </w:rPr>
        <w:t>“</w:t>
      </w:r>
      <w:r>
        <w:rPr>
          <w:rFonts w:ascii="Arial"/>
          <w:color w:val="000000"/>
          <w:sz w:val="24"/>
        </w:rPr>
        <w:t>Lot 30</w:t>
      </w:r>
      <w:r>
        <w:rPr>
          <w:rFonts w:ascii="Arial"/>
          <w:color w:val="000000"/>
          <w:sz w:val="24"/>
        </w:rPr>
        <w:t>”</w:t>
      </w:r>
      <w:r>
        <w:rPr>
          <w:rFonts w:ascii="Arial"/>
          <w:color w:val="000000"/>
          <w:sz w:val="24"/>
        </w:rPr>
        <w:t xml:space="preserve">) whose value increased and thus exceeded that of the acquired land when it became available for development due to the construction of </w:t>
      </w:r>
      <w:r>
        <w:rPr>
          <w:rFonts w:ascii="Arial"/>
          <w:color w:val="000000"/>
          <w:sz w:val="24"/>
        </w:rPr>
        <w:t>p</w:t>
      </w:r>
      <w:r>
        <w:rPr>
          <w:rFonts w:ascii="Arial"/>
          <w:color w:val="000000"/>
          <w:sz w:val="24"/>
        </w:rPr>
        <w:t>recinct wide drainage.</w:t>
      </w:r>
    </w:p>
    <w:p>
      <w:pPr>
        <w:pStyle w:val="CaselawNumbered10"/>
        <w:numPr>
          <w:ilvl w:val="0"/>
          <w:numId w:val="23"/>
        </w:numPr>
        <w:spacing w:before="150" w:after="0"/>
        <w:ind w:left="600" w:hanging="600"/>
      </w:pPr>
      <w:r>
        <w:rPr>
          <w:rFonts w:ascii="Arial"/>
          <w:color w:val="000000"/>
          <w:sz w:val="24"/>
        </w:rPr>
        <w:t>The</w:t>
      </w:r>
      <w:r>
        <w:rPr>
          <w:rFonts w:ascii="Arial"/>
          <w:color w:val="000000"/>
          <w:sz w:val="24"/>
        </w:rPr>
        <w:t xml:space="preserve"> </w:t>
      </w:r>
      <w:r>
        <w:rPr>
          <w:rFonts w:ascii="Arial"/>
          <w:color w:val="000000"/>
          <w:sz w:val="24"/>
        </w:rPr>
        <w:t xml:space="preserve">principal </w:t>
      </w:r>
      <w:r>
        <w:rPr>
          <w:rFonts w:ascii="Arial"/>
          <w:color w:val="000000"/>
          <w:sz w:val="24"/>
        </w:rPr>
        <w:t xml:space="preserve">issues for determination </w:t>
      </w:r>
      <w:r>
        <w:rPr>
          <w:rFonts w:ascii="Arial"/>
          <w:color w:val="000000"/>
          <w:sz w:val="24"/>
        </w:rPr>
        <w:t xml:space="preserve">at </w:t>
      </w:r>
      <w:r>
        <w:rPr>
          <w:rFonts w:ascii="Arial"/>
          <w:color w:val="000000"/>
          <w:sz w:val="24"/>
        </w:rPr>
        <w:t xml:space="preserve">the </w:t>
      </w:r>
      <w:r>
        <w:rPr>
          <w:rFonts w:ascii="Arial"/>
          <w:color w:val="000000"/>
          <w:sz w:val="24"/>
        </w:rPr>
        <w:t>hearing</w:t>
      </w:r>
      <w:r>
        <w:rPr>
          <w:rFonts w:ascii="Arial"/>
          <w:color w:val="000000"/>
          <w:sz w:val="24"/>
        </w:rPr>
        <w:t xml:space="preserve"> </w:t>
      </w:r>
      <w:r>
        <w:rPr>
          <w:rFonts w:ascii="Arial"/>
          <w:color w:val="000000"/>
          <w:sz w:val="24"/>
        </w:rPr>
        <w:t>were</w:t>
      </w:r>
      <w:r>
        <w:rPr>
          <w:rFonts w:ascii="Arial"/>
          <w:color w:val="000000"/>
          <w:sz w:val="24"/>
        </w:rPr>
        <w:t xml:space="preserve"> </w:t>
      </w:r>
      <w:r>
        <w:rPr>
          <w:rFonts w:ascii="Arial"/>
          <w:color w:val="000000"/>
          <w:sz w:val="24"/>
        </w:rPr>
        <w:t>four-fold</w:t>
      </w:r>
      <w:r>
        <w:rPr>
          <w:rFonts w:ascii="Arial"/>
          <w:color w:val="000000"/>
          <w:sz w:val="24"/>
        </w:rPr>
        <w:t>:</w:t>
      </w:r>
    </w:p>
    <w:p>
      <w:pPr>
        <w:pStyle w:val="CaselawNumbereda"/>
        <w:numPr>
          <w:ilvl w:val="0"/>
          <w:numId w:val="24"/>
        </w:numPr>
        <w:spacing w:before="150" w:after="0"/>
        <w:ind w:left="2100" w:hanging="750"/>
      </w:pPr>
      <w:r>
        <w:rPr>
          <w:rFonts w:ascii="Arial"/>
          <w:color w:val="000000"/>
          <w:sz w:val="24"/>
        </w:rPr>
        <w:t>w</w:t>
      </w:r>
      <w:r>
        <w:rPr>
          <w:rFonts w:ascii="Arial"/>
          <w:color w:val="000000"/>
          <w:sz w:val="24"/>
        </w:rPr>
        <w:t xml:space="preserve">hat was the public purpose for which </w:t>
      </w:r>
      <w:r>
        <w:rPr>
          <w:rFonts w:ascii="Arial"/>
          <w:color w:val="000000"/>
          <w:sz w:val="24"/>
        </w:rPr>
        <w:t>the land</w:t>
      </w:r>
      <w:r>
        <w:rPr>
          <w:rFonts w:ascii="Arial"/>
          <w:color w:val="000000"/>
          <w:sz w:val="24"/>
        </w:rPr>
        <w:t xml:space="preserve"> </w:t>
      </w:r>
      <w:r>
        <w:rPr>
          <w:rFonts w:ascii="Arial"/>
          <w:color w:val="000000"/>
          <w:sz w:val="24"/>
        </w:rPr>
        <w:t>was acquired;</w:t>
      </w:r>
    </w:p>
    <w:p>
      <w:pPr>
        <w:pStyle w:val="CaselawNumbereda"/>
        <w:numPr>
          <w:ilvl w:val="0"/>
          <w:numId w:val="24"/>
        </w:numPr>
        <w:spacing w:before="150" w:after="0"/>
        <w:ind w:left="2100" w:hanging="750"/>
      </w:pPr>
      <w:r>
        <w:rPr>
          <w:rFonts w:ascii="Arial"/>
          <w:color w:val="000000"/>
          <w:sz w:val="24"/>
        </w:rPr>
        <w:t>w</w:t>
      </w:r>
      <w:r>
        <w:rPr>
          <w:rFonts w:ascii="Arial"/>
          <w:color w:val="000000"/>
          <w:sz w:val="24"/>
        </w:rPr>
        <w:t xml:space="preserve">hat was </w:t>
      </w:r>
      <w:r>
        <w:rPr>
          <w:rFonts w:ascii="Arial"/>
          <w:color w:val="000000"/>
          <w:sz w:val="24"/>
        </w:rPr>
        <w:t>the</w:t>
      </w:r>
      <w:r>
        <w:rPr>
          <w:rFonts w:ascii="Arial"/>
          <w:color w:val="000000"/>
          <w:sz w:val="24"/>
        </w:rPr>
        <w:t xml:space="preserve"> </w:t>
      </w:r>
      <w:r>
        <w:rPr>
          <w:rFonts w:ascii="Arial"/>
          <w:color w:val="000000"/>
          <w:sz w:val="24"/>
        </w:rPr>
        <w:t>underlying zoning</w:t>
      </w:r>
      <w:r>
        <w:rPr>
          <w:rFonts w:ascii="Arial"/>
          <w:color w:val="000000"/>
          <w:sz w:val="24"/>
        </w:rPr>
        <w:t xml:space="preserve"> </w:t>
      </w:r>
      <w:r>
        <w:rPr>
          <w:rFonts w:ascii="Arial"/>
          <w:color w:val="000000"/>
          <w:sz w:val="24"/>
        </w:rPr>
        <w:t xml:space="preserve">of </w:t>
      </w:r>
      <w:r>
        <w:rPr>
          <w:rFonts w:ascii="Arial"/>
          <w:color w:val="000000"/>
          <w:sz w:val="24"/>
        </w:rPr>
        <w:t>the acquired land</w:t>
      </w:r>
      <w:r>
        <w:rPr>
          <w:rFonts w:ascii="Arial"/>
          <w:color w:val="000000"/>
          <w:sz w:val="24"/>
        </w:rPr>
        <w:t xml:space="preserve"> </w:t>
      </w:r>
      <w:r>
        <w:rPr>
          <w:rFonts w:ascii="Arial"/>
          <w:color w:val="000000"/>
          <w:sz w:val="24"/>
        </w:rPr>
        <w:t xml:space="preserve">absent the public purpose; </w:t>
      </w:r>
    </w:p>
    <w:p>
      <w:pPr>
        <w:pStyle w:val="CaselawNumbereda"/>
        <w:numPr>
          <w:ilvl w:val="0"/>
          <w:numId w:val="24"/>
        </w:numPr>
        <w:spacing w:before="150" w:after="0"/>
        <w:ind w:left="2100" w:hanging="750"/>
      </w:pPr>
      <w:r>
        <w:rPr>
          <w:rFonts w:ascii="Arial"/>
          <w:color w:val="000000"/>
          <w:sz w:val="24"/>
        </w:rPr>
        <w:t>i</w:t>
      </w:r>
      <w:r>
        <w:rPr>
          <w:rFonts w:ascii="Arial"/>
          <w:color w:val="000000"/>
          <w:sz w:val="24"/>
        </w:rPr>
        <w:t>f</w:t>
      </w:r>
      <w:r>
        <w:rPr>
          <w:rFonts w:ascii="Arial"/>
          <w:color w:val="000000"/>
          <w:sz w:val="24"/>
        </w:rPr>
        <w:t xml:space="preserve"> </w:t>
      </w:r>
      <w:r>
        <w:rPr>
          <w:rFonts w:ascii="Arial"/>
          <w:color w:val="000000"/>
          <w:sz w:val="24"/>
        </w:rPr>
        <w:t>the acquired</w:t>
      </w:r>
      <w:r>
        <w:rPr>
          <w:rFonts w:ascii="Arial"/>
          <w:color w:val="000000"/>
          <w:sz w:val="24"/>
        </w:rPr>
        <w:t xml:space="preserve"> </w:t>
      </w:r>
      <w:r>
        <w:rPr>
          <w:rFonts w:ascii="Arial"/>
          <w:color w:val="000000"/>
          <w:sz w:val="24"/>
        </w:rPr>
        <w:t>land</w:t>
      </w:r>
      <w:r>
        <w:rPr>
          <w:rFonts w:ascii="Arial"/>
          <w:color w:val="000000"/>
          <w:sz w:val="24"/>
        </w:rPr>
        <w:t xml:space="preserve"> </w:t>
      </w:r>
      <w:r>
        <w:rPr>
          <w:rFonts w:ascii="Arial"/>
          <w:color w:val="000000"/>
          <w:sz w:val="24"/>
        </w:rPr>
        <w:t>was zoned R2, what drainage solution was required; and</w:t>
      </w:r>
    </w:p>
    <w:p>
      <w:pPr>
        <w:pStyle w:val="CaselawNumbereda"/>
        <w:numPr>
          <w:ilvl w:val="0"/>
          <w:numId w:val="24"/>
        </w:numPr>
        <w:spacing w:before="150" w:after="0"/>
        <w:ind w:left="2100" w:hanging="750"/>
      </w:pPr>
      <w:r>
        <w:rPr>
          <w:rFonts w:ascii="Arial"/>
          <w:color w:val="000000"/>
          <w:sz w:val="24"/>
        </w:rPr>
        <w:t>w</w:t>
      </w:r>
      <w:r>
        <w:rPr>
          <w:rFonts w:ascii="Arial"/>
          <w:color w:val="000000"/>
          <w:sz w:val="24"/>
        </w:rPr>
        <w:t xml:space="preserve">hether </w:t>
      </w:r>
      <w:r>
        <w:rPr>
          <w:rFonts w:ascii="Arial"/>
          <w:color w:val="000000"/>
          <w:sz w:val="24"/>
        </w:rPr>
        <w:t xml:space="preserve">any </w:t>
      </w:r>
      <w:r>
        <w:rPr>
          <w:rFonts w:ascii="Arial"/>
          <w:color w:val="000000"/>
          <w:sz w:val="24"/>
        </w:rPr>
        <w:t>betterment</w:t>
      </w:r>
      <w:r>
        <w:rPr>
          <w:rFonts w:ascii="Arial"/>
          <w:color w:val="000000"/>
          <w:sz w:val="24"/>
        </w:rPr>
        <w:t xml:space="preserve"> </w:t>
      </w:r>
      <w:r>
        <w:rPr>
          <w:rFonts w:ascii="Arial"/>
          <w:color w:val="000000"/>
          <w:sz w:val="24"/>
        </w:rPr>
        <w:t xml:space="preserve">arose </w:t>
      </w:r>
      <w:r>
        <w:rPr>
          <w:rFonts w:ascii="Arial"/>
          <w:color w:val="000000"/>
          <w:sz w:val="24"/>
        </w:rPr>
        <w:t xml:space="preserve">under s 55(f) </w:t>
      </w:r>
      <w:r>
        <w:rPr>
          <w:rFonts w:ascii="Arial"/>
          <w:color w:val="000000"/>
          <w:sz w:val="24"/>
        </w:rPr>
        <w:t xml:space="preserve">of the Just Terms Act </w:t>
      </w:r>
      <w:r>
        <w:rPr>
          <w:rFonts w:ascii="Arial"/>
          <w:color w:val="000000"/>
          <w:sz w:val="24"/>
        </w:rPr>
        <w:t xml:space="preserve">relevant to the determination of the </w:t>
      </w:r>
      <w:r>
        <w:rPr>
          <w:rFonts w:ascii="Arial"/>
          <w:color w:val="000000"/>
          <w:sz w:val="24"/>
        </w:rPr>
        <w:t>market value</w:t>
      </w:r>
      <w:r>
        <w:rPr>
          <w:rFonts w:ascii="Arial"/>
          <w:color w:val="000000"/>
          <w:sz w:val="24"/>
        </w:rPr>
        <w:t xml:space="preserve"> </w:t>
      </w:r>
      <w:r>
        <w:rPr>
          <w:rFonts w:ascii="Arial"/>
          <w:color w:val="000000"/>
          <w:sz w:val="24"/>
        </w:rPr>
        <w:t>of the acquired land</w:t>
      </w:r>
      <w:r>
        <w:rPr>
          <w:rFonts w:ascii="Arial"/>
          <w:color w:val="000000"/>
          <w:sz w:val="24"/>
        </w:rPr>
        <w:t xml:space="preserve">. </w:t>
      </w:r>
    </w:p>
    <w:p>
      <w:pPr>
        <w:pStyle w:val="CaselawHeading2"/>
        <w:keepNext/>
        <w:spacing w:before="150" w:after="150" w:line="264"/>
        <w:ind w:left="0"/>
        <w:jc w:val="left"/>
      </w:pPr>
      <w:r>
        <w:rPr>
          <w:rFonts w:ascii="Arial"/>
        </w:rPr>
        <w:t>The Reasons of the Court</w:t>
      </w:r>
    </w:p>
    <w:p>
      <w:pPr>
        <w:pStyle w:val="CaselawNumbered10"/>
        <w:numPr>
          <w:ilvl w:val="0"/>
          <w:numId w:val="25"/>
        </w:numPr>
        <w:spacing w:before="150" w:after="0"/>
        <w:ind w:left="600" w:hanging="600"/>
      </w:pPr>
      <w:r>
        <w:rPr>
          <w:rFonts w:ascii="Arial"/>
          <w:color w:val="000000"/>
          <w:sz w:val="24"/>
        </w:rPr>
        <w:t xml:space="preserve">On 1 April 2025 the Court delivered its reasons in the determination of the compensation payable by the Council to UPG </w:t>
      </w:r>
      <w:r>
        <w:rPr>
          <w:rFonts w:ascii="Arial"/>
          <w:color w:val="000000"/>
          <w:sz w:val="24"/>
        </w:rPr>
        <w:t>under</w:t>
      </w:r>
      <w:r>
        <w:rPr>
          <w:rFonts w:ascii="Arial"/>
          <w:color w:val="000000"/>
          <w:sz w:val="24"/>
        </w:rPr>
        <w:t xml:space="preserve"> </w:t>
      </w:r>
      <w:r>
        <w:rPr>
          <w:rFonts w:ascii="Arial"/>
          <w:color w:val="000000"/>
          <w:sz w:val="24"/>
        </w:rPr>
        <w:t>the Just Terms Act</w:t>
      </w:r>
      <w:r>
        <w:rPr>
          <w:rFonts w:ascii="Arial"/>
          <w:color w:val="000000"/>
          <w:sz w:val="24"/>
        </w:rPr>
        <w:t xml:space="preserve"> </w:t>
      </w:r>
      <w:r>
        <w:rPr>
          <w:rFonts w:ascii="Arial"/>
          <w:color w:val="000000"/>
          <w:sz w:val="24"/>
        </w:rPr>
        <w:t>(</w:t>
      </w:r>
      <w:r>
        <w:rPr>
          <w:rFonts w:ascii="Arial"/>
          <w:i/>
          <w:color w:val="000000"/>
          <w:sz w:val="24"/>
        </w:rPr>
        <w:t xml:space="preserve">UPG 72 Pty Ltd v Blacktown City Council </w:t>
      </w:r>
      <w:r>
        <w:rPr>
          <w:rFonts w:ascii="Arial"/>
          <w:color w:val="000000"/>
          <w:sz w:val="24"/>
        </w:rPr>
        <w:t>[2025] NSWLEC 29</w:t>
      </w:r>
      <w:r>
        <w:rPr>
          <w:rFonts w:ascii="Arial"/>
          <w:color w:val="000000"/>
          <w:sz w:val="24"/>
        </w:rPr>
        <w:t>)</w:t>
      </w:r>
      <w:r>
        <w:rPr>
          <w:rFonts w:ascii="Arial"/>
          <w:color w:val="000000"/>
          <w:sz w:val="24"/>
        </w:rPr>
        <w:t xml:space="preserve">. </w:t>
      </w:r>
      <w:r>
        <w:rPr>
          <w:rFonts w:ascii="Arial"/>
          <w:color w:val="000000"/>
          <w:sz w:val="24"/>
        </w:rPr>
        <w:t>Th</w:t>
      </w:r>
      <w:r>
        <w:rPr>
          <w:rFonts w:ascii="Arial"/>
          <w:color w:val="000000"/>
          <w:sz w:val="24"/>
        </w:rPr>
        <w:t>e Court</w:t>
      </w:r>
      <w:r>
        <w:rPr>
          <w:rFonts w:ascii="Arial"/>
          <w:color w:val="000000"/>
          <w:sz w:val="24"/>
        </w:rPr>
        <w:t>’</w:t>
      </w:r>
      <w:r>
        <w:rPr>
          <w:rFonts w:ascii="Arial"/>
          <w:color w:val="000000"/>
          <w:sz w:val="24"/>
        </w:rPr>
        <w:t>s findings may be summarised as follows:</w:t>
      </w:r>
    </w:p>
    <w:p>
      <w:pPr>
        <w:pStyle w:val="CaselawNumbereda"/>
        <w:numPr>
          <w:ilvl w:val="0"/>
          <w:numId w:val="26"/>
        </w:numPr>
        <w:spacing w:before="150" w:after="0"/>
        <w:ind w:left="2100" w:hanging="750"/>
      </w:pPr>
      <w:r>
        <w:rPr>
          <w:rFonts w:ascii="Arial"/>
          <w:color w:val="000000"/>
          <w:sz w:val="24"/>
        </w:rPr>
        <w:t xml:space="preserve">applying </w:t>
      </w:r>
      <w:r>
        <w:rPr>
          <w:rFonts w:ascii="Arial"/>
          <w:i/>
          <w:color w:val="000000"/>
          <w:sz w:val="24"/>
        </w:rPr>
        <w:t>Goldmate</w:t>
      </w:r>
      <w:r>
        <w:rPr>
          <w:rFonts w:ascii="Arial"/>
          <w:i/>
          <w:color w:val="000000"/>
          <w:sz w:val="24"/>
        </w:rPr>
        <w:t xml:space="preserve">, </w:t>
      </w:r>
      <w:r>
        <w:rPr>
          <w:rFonts w:ascii="Arial"/>
          <w:color w:val="000000"/>
          <w:sz w:val="24"/>
        </w:rPr>
        <w:t>t</w:t>
      </w:r>
      <w:r>
        <w:rPr>
          <w:rFonts w:ascii="Arial"/>
          <w:color w:val="000000"/>
          <w:sz w:val="24"/>
        </w:rPr>
        <w:t xml:space="preserve">he statutory power conferred upon the acquiring authority </w:t>
      </w:r>
      <w:r>
        <w:rPr>
          <w:rFonts w:ascii="Arial"/>
          <w:color w:val="000000"/>
          <w:sz w:val="24"/>
        </w:rPr>
        <w:t xml:space="preserve">– </w:t>
      </w:r>
      <w:r>
        <w:rPr>
          <w:rFonts w:ascii="Arial"/>
          <w:color w:val="000000"/>
          <w:sz w:val="24"/>
        </w:rPr>
        <w:t xml:space="preserve">the Council </w:t>
      </w:r>
      <w:r>
        <w:rPr>
          <w:rFonts w:ascii="Arial"/>
          <w:color w:val="000000"/>
          <w:sz w:val="24"/>
        </w:rPr>
        <w:t xml:space="preserve">– </w:t>
      </w:r>
      <w:r>
        <w:rPr>
          <w:rFonts w:ascii="Arial"/>
          <w:color w:val="000000"/>
          <w:sz w:val="24"/>
        </w:rPr>
        <w:t xml:space="preserve">did not include the power to acquire land in order to release it for urban purposes, but did include the power to acquire the land for drainage under </w:t>
      </w:r>
      <w:r>
        <w:rPr>
          <w:rFonts w:ascii="Arial"/>
          <w:color w:val="000000"/>
          <w:sz w:val="24"/>
        </w:rPr>
        <w:t>ss 24</w:t>
      </w:r>
      <w:r>
        <w:rPr>
          <w:rFonts w:ascii="Arial"/>
          <w:color w:val="000000"/>
          <w:sz w:val="24"/>
        </w:rPr>
        <w:t xml:space="preserve"> </w:t>
      </w:r>
      <w:r>
        <w:rPr>
          <w:rFonts w:ascii="Arial"/>
          <w:color w:val="000000"/>
          <w:sz w:val="24"/>
        </w:rPr>
        <w:t xml:space="preserve">and </w:t>
      </w:r>
      <w:r>
        <w:rPr>
          <w:rFonts w:ascii="Arial"/>
          <w:color w:val="000000"/>
          <w:sz w:val="24"/>
        </w:rPr>
        <w:t>186(1)</w:t>
      </w:r>
      <w:r>
        <w:rPr>
          <w:rFonts w:ascii="Arial"/>
          <w:color w:val="000000"/>
          <w:sz w:val="24"/>
        </w:rPr>
        <w:t xml:space="preserve"> </w:t>
      </w:r>
      <w:r>
        <w:rPr>
          <w:rFonts w:ascii="Arial"/>
          <w:color w:val="000000"/>
          <w:sz w:val="24"/>
        </w:rPr>
        <w:t xml:space="preserve">of the </w:t>
      </w:r>
      <w:r>
        <w:rPr>
          <w:rFonts w:ascii="Arial"/>
          <w:i/>
          <w:color w:val="000000"/>
          <w:sz w:val="24"/>
        </w:rPr>
        <w:t>Local Government Act 1993</w:t>
      </w:r>
      <w:r>
        <w:rPr>
          <w:rFonts w:ascii="Arial"/>
          <w:color w:val="000000"/>
          <w:sz w:val="24"/>
        </w:rPr>
        <w:t xml:space="preserve"> </w:t>
      </w:r>
      <w:r>
        <w:rPr>
          <w:rFonts w:ascii="Arial"/>
          <w:color w:val="000000"/>
          <w:sz w:val="24"/>
        </w:rPr>
        <w:t>(</w:t>
      </w:r>
      <w:r>
        <w:rPr>
          <w:rFonts w:ascii="Arial"/>
          <w:color w:val="000000"/>
          <w:sz w:val="24"/>
        </w:rPr>
        <w:t>at [144], [145] and [148]</w:t>
      </w:r>
      <w:r>
        <w:rPr>
          <w:rFonts w:ascii="Arial"/>
          <w:color w:val="000000"/>
          <w:sz w:val="24"/>
        </w:rPr>
        <w:t xml:space="preserve">); </w:t>
      </w:r>
      <w:r>
        <w:rPr>
          <w:rFonts w:ascii="Arial"/>
          <w:color w:val="000000"/>
          <w:sz w:val="24"/>
        </w:rPr>
        <w:t xml:space="preserve"> </w:t>
      </w:r>
    </w:p>
    <w:p>
      <w:pPr>
        <w:pStyle w:val="CaselawNumbereda"/>
        <w:numPr>
          <w:ilvl w:val="0"/>
          <w:numId w:val="26"/>
        </w:numPr>
        <w:spacing w:before="150" w:after="0"/>
        <w:ind w:left="2100" w:hanging="750"/>
      </w:pPr>
      <w:r>
        <w:rPr>
          <w:rFonts w:ascii="Arial"/>
          <w:color w:val="000000"/>
          <w:sz w:val="24"/>
        </w:rPr>
        <w:t>t</w:t>
      </w:r>
      <w:r>
        <w:rPr>
          <w:rFonts w:ascii="Arial"/>
          <w:color w:val="000000"/>
          <w:sz w:val="24"/>
        </w:rPr>
        <w:t>he Council</w:t>
      </w:r>
      <w:r>
        <w:rPr>
          <w:rFonts w:ascii="Arial"/>
          <w:color w:val="000000"/>
          <w:sz w:val="24"/>
        </w:rPr>
        <w:t>’</w:t>
      </w:r>
      <w:r>
        <w:rPr>
          <w:rFonts w:ascii="Arial"/>
          <w:color w:val="000000"/>
          <w:sz w:val="24"/>
        </w:rPr>
        <w:t xml:space="preserve">s public purpose in acquiring the land was for drainage and GGBF habitat. This purpose served a different function to the development carried out on other allotments </w:t>
      </w:r>
      <w:r>
        <w:rPr>
          <w:rFonts w:ascii="Arial"/>
          <w:color w:val="000000"/>
          <w:sz w:val="24"/>
        </w:rPr>
        <w:t>(</w:t>
      </w:r>
      <w:r>
        <w:rPr>
          <w:rFonts w:ascii="Arial"/>
          <w:color w:val="000000"/>
          <w:sz w:val="24"/>
        </w:rPr>
        <w:t>at [156] and [158]</w:t>
      </w:r>
      <w:r>
        <w:rPr>
          <w:rFonts w:ascii="Arial"/>
          <w:color w:val="000000"/>
          <w:sz w:val="24"/>
        </w:rPr>
        <w:t>)</w:t>
      </w:r>
      <w:r>
        <w:rPr>
          <w:rFonts w:ascii="Arial"/>
          <w:color w:val="000000"/>
          <w:sz w:val="24"/>
        </w:rPr>
        <w:t xml:space="preserve">; </w:t>
      </w:r>
    </w:p>
    <w:p>
      <w:pPr>
        <w:pStyle w:val="CaselawNumbereda"/>
        <w:numPr>
          <w:ilvl w:val="0"/>
          <w:numId w:val="26"/>
        </w:numPr>
        <w:spacing w:before="150" w:after="0"/>
        <w:ind w:left="2100" w:hanging="750"/>
      </w:pPr>
      <w:r>
        <w:rPr>
          <w:rFonts w:ascii="Arial"/>
          <w:color w:val="000000"/>
          <w:sz w:val="24"/>
        </w:rPr>
        <w:t>t</w:t>
      </w:r>
      <w:r>
        <w:rPr>
          <w:rFonts w:ascii="Arial"/>
          <w:color w:val="000000"/>
          <w:sz w:val="24"/>
        </w:rPr>
        <w:t>he acquired land was unlikely to have been zoned Rural given that the land release strategy specified that the Riverstone Precinct was the first to be released for urbanisation</w:t>
      </w:r>
      <w:r>
        <w:rPr>
          <w:rFonts w:ascii="Arial"/>
          <w:color w:val="000000"/>
          <w:sz w:val="24"/>
        </w:rPr>
        <w:t xml:space="preserve"> </w:t>
      </w:r>
      <w:r>
        <w:rPr>
          <w:rFonts w:ascii="Arial"/>
          <w:color w:val="000000"/>
          <w:sz w:val="24"/>
        </w:rPr>
        <w:t>(</w:t>
      </w:r>
      <w:r>
        <w:rPr>
          <w:rFonts w:ascii="Arial"/>
          <w:color w:val="000000"/>
          <w:sz w:val="24"/>
        </w:rPr>
        <w:t>at [173]</w:t>
      </w:r>
      <w:r>
        <w:rPr>
          <w:rFonts w:ascii="Arial"/>
          <w:color w:val="000000"/>
          <w:sz w:val="24"/>
        </w:rPr>
        <w:t>);</w:t>
      </w:r>
    </w:p>
    <w:p>
      <w:pPr>
        <w:pStyle w:val="CaselawNumbereda"/>
        <w:numPr>
          <w:ilvl w:val="0"/>
          <w:numId w:val="26"/>
        </w:numPr>
        <w:spacing w:before="150" w:after="0"/>
        <w:ind w:left="2100" w:hanging="750"/>
      </w:pPr>
      <w:r>
        <w:rPr>
          <w:rFonts w:ascii="Arial"/>
          <w:color w:val="000000"/>
          <w:sz w:val="24"/>
        </w:rPr>
        <w:t>t</w:t>
      </w:r>
      <w:r>
        <w:rPr>
          <w:rFonts w:ascii="Arial"/>
          <w:color w:val="000000"/>
          <w:sz w:val="24"/>
        </w:rPr>
        <w:t xml:space="preserve">he acquired land would have been predominantly zoned E2 with a portion zoned R2. The E2 zoning was consistent with the planning documents before the </w:t>
      </w:r>
      <w:r>
        <w:rPr>
          <w:rFonts w:ascii="Arial"/>
          <w:color w:val="000000"/>
          <w:sz w:val="24"/>
        </w:rPr>
        <w:t xml:space="preserve">relevant </w:t>
      </w:r>
      <w:r>
        <w:rPr>
          <w:rFonts w:ascii="Arial"/>
          <w:color w:val="000000"/>
          <w:sz w:val="24"/>
        </w:rPr>
        <w:t>Minister which made clear that the GGBF habitat required preservation, whereas the R2 zoning was consistent with the acquired land</w:t>
      </w:r>
      <w:r>
        <w:rPr>
          <w:rFonts w:ascii="Arial"/>
          <w:color w:val="000000"/>
          <w:sz w:val="24"/>
        </w:rPr>
        <w:t>’</w:t>
      </w:r>
      <w:r>
        <w:rPr>
          <w:rFonts w:ascii="Arial"/>
          <w:color w:val="000000"/>
          <w:sz w:val="24"/>
        </w:rPr>
        <w:t>s highest and best use in permitting a single dwelling entitlement</w:t>
      </w:r>
      <w:r>
        <w:rPr>
          <w:rFonts w:ascii="Arial"/>
          <w:color w:val="000000"/>
          <w:sz w:val="24"/>
        </w:rPr>
        <w:t xml:space="preserve"> </w:t>
      </w:r>
      <w:r>
        <w:rPr>
          <w:rFonts w:ascii="Arial"/>
          <w:color w:val="000000"/>
          <w:sz w:val="24"/>
        </w:rPr>
        <w:t>(</w:t>
      </w:r>
      <w:r>
        <w:rPr>
          <w:rFonts w:ascii="Arial"/>
          <w:color w:val="000000"/>
          <w:sz w:val="24"/>
        </w:rPr>
        <w:t>at [175] and [193]</w:t>
      </w:r>
      <w:r>
        <w:rPr>
          <w:rFonts w:ascii="Arial"/>
          <w:color w:val="000000"/>
          <w:sz w:val="24"/>
        </w:rPr>
        <w:t>)</w:t>
      </w:r>
      <w:r>
        <w:rPr>
          <w:rFonts w:ascii="Arial"/>
          <w:color w:val="000000"/>
          <w:sz w:val="24"/>
        </w:rPr>
        <w:t>;</w:t>
      </w:r>
    </w:p>
    <w:p>
      <w:pPr>
        <w:pStyle w:val="CaselawNumbereda"/>
        <w:numPr>
          <w:ilvl w:val="0"/>
          <w:numId w:val="26"/>
        </w:numPr>
        <w:spacing w:before="150" w:after="0"/>
        <w:ind w:left="2100" w:hanging="750"/>
      </w:pPr>
      <w:r>
        <w:rPr>
          <w:rFonts w:ascii="Arial"/>
          <w:color w:val="000000"/>
          <w:sz w:val="24"/>
        </w:rPr>
        <w:t>in</w:t>
      </w:r>
      <w:r>
        <w:rPr>
          <w:rFonts w:ascii="Arial"/>
          <w:color w:val="000000"/>
          <w:sz w:val="24"/>
        </w:rPr>
        <w:t xml:space="preserve"> </w:t>
      </w:r>
      <w:r>
        <w:rPr>
          <w:rFonts w:ascii="Arial"/>
          <w:color w:val="000000"/>
          <w:sz w:val="24"/>
        </w:rPr>
        <w:t>the alternative, if the conclusion above was incorrect and the land was zoned R2, a vegetated riparian corridor drainage solution would have been preferrable to the drainage scheme that UPG proposed given that the latter did not comply with the Council</w:t>
      </w:r>
      <w:r>
        <w:rPr>
          <w:rFonts w:ascii="Arial"/>
          <w:color w:val="000000"/>
          <w:sz w:val="24"/>
        </w:rPr>
        <w:t>’</w:t>
      </w:r>
      <w:r>
        <w:rPr>
          <w:rFonts w:ascii="Arial"/>
          <w:color w:val="000000"/>
          <w:sz w:val="24"/>
        </w:rPr>
        <w:t>s Development Control Plan and design principles</w:t>
      </w:r>
      <w:r>
        <w:rPr>
          <w:rFonts w:ascii="Arial"/>
          <w:color w:val="000000"/>
          <w:sz w:val="24"/>
        </w:rPr>
        <w:t xml:space="preserve"> </w:t>
      </w:r>
      <w:r>
        <w:rPr>
          <w:rFonts w:ascii="Arial"/>
          <w:color w:val="000000"/>
          <w:sz w:val="24"/>
        </w:rPr>
        <w:t>(</w:t>
      </w:r>
      <w:r>
        <w:rPr>
          <w:rFonts w:ascii="Arial"/>
          <w:color w:val="000000"/>
          <w:sz w:val="24"/>
        </w:rPr>
        <w:t>at [199] and [200]</w:t>
      </w:r>
      <w:r>
        <w:rPr>
          <w:rFonts w:ascii="Arial"/>
          <w:color w:val="000000"/>
          <w:sz w:val="24"/>
        </w:rPr>
        <w:t>)</w:t>
      </w:r>
      <w:r>
        <w:rPr>
          <w:rFonts w:ascii="Arial"/>
          <w:color w:val="000000"/>
          <w:sz w:val="24"/>
        </w:rPr>
        <w:t xml:space="preserve">; </w:t>
      </w:r>
      <w:r>
        <w:rPr>
          <w:rFonts w:ascii="Arial"/>
          <w:color w:val="000000"/>
          <w:sz w:val="24"/>
        </w:rPr>
        <w:t>and</w:t>
      </w:r>
    </w:p>
    <w:p>
      <w:pPr>
        <w:pStyle w:val="CaselawNumbereda"/>
        <w:numPr>
          <w:ilvl w:val="0"/>
          <w:numId w:val="26"/>
        </w:numPr>
        <w:spacing w:before="150" w:after="0"/>
        <w:ind w:left="2100" w:hanging="750"/>
      </w:pPr>
      <w:r>
        <w:rPr>
          <w:rFonts w:ascii="Arial"/>
          <w:color w:val="000000"/>
          <w:sz w:val="24"/>
        </w:rPr>
        <w:t>n</w:t>
      </w:r>
      <w:r>
        <w:rPr>
          <w:rFonts w:ascii="Arial"/>
          <w:color w:val="000000"/>
          <w:sz w:val="24"/>
        </w:rPr>
        <w:t xml:space="preserve">o betterment arose on the facts. The value of Lot 30 did not increase by reason of the public purpose found by the Court given that land in the Riverstone Precinct would have been released </w:t>
      </w:r>
      <w:r>
        <w:rPr>
          <w:rFonts w:ascii="Arial"/>
          <w:color w:val="000000"/>
          <w:sz w:val="24"/>
        </w:rPr>
        <w:t>with drainage on it and the temporary on-site detention (</w:t>
      </w:r>
      <w:r>
        <w:rPr>
          <w:rFonts w:ascii="Arial"/>
          <w:color w:val="000000"/>
          <w:sz w:val="24"/>
        </w:rPr>
        <w:t>“</w:t>
      </w:r>
      <w:r>
        <w:rPr>
          <w:rFonts w:ascii="Arial"/>
          <w:color w:val="000000"/>
          <w:sz w:val="24"/>
        </w:rPr>
        <w:t>OSD</w:t>
      </w:r>
      <w:r>
        <w:rPr>
          <w:rFonts w:ascii="Arial"/>
          <w:color w:val="000000"/>
          <w:sz w:val="24"/>
        </w:rPr>
        <w:t>”</w:t>
      </w:r>
      <w:r>
        <w:rPr>
          <w:rFonts w:ascii="Arial"/>
          <w:color w:val="000000"/>
          <w:sz w:val="24"/>
        </w:rPr>
        <w:t xml:space="preserve">) basin on Lot 30 would have remained. Even if the OSD basin </w:t>
      </w:r>
      <w:r>
        <w:rPr>
          <w:rFonts w:ascii="Arial"/>
          <w:color w:val="000000"/>
          <w:sz w:val="24"/>
        </w:rPr>
        <w:t xml:space="preserve">were to become </w:t>
      </w:r>
      <w:r>
        <w:rPr>
          <w:rFonts w:ascii="Arial"/>
          <w:color w:val="000000"/>
          <w:sz w:val="24"/>
        </w:rPr>
        <w:t xml:space="preserve">permanent, a prudent owner </w:t>
      </w:r>
      <w:r>
        <w:rPr>
          <w:rFonts w:ascii="Arial"/>
          <w:color w:val="000000"/>
          <w:sz w:val="24"/>
        </w:rPr>
        <w:t>w</w:t>
      </w:r>
      <w:r>
        <w:rPr>
          <w:rFonts w:ascii="Arial"/>
          <w:color w:val="000000"/>
          <w:sz w:val="24"/>
        </w:rPr>
        <w:t xml:space="preserve">ould relocate the basin onto the least valuable land </w:t>
      </w:r>
      <w:r>
        <w:rPr>
          <w:rFonts w:ascii="Arial"/>
          <w:color w:val="000000"/>
          <w:sz w:val="24"/>
        </w:rPr>
        <w:t xml:space="preserve">– </w:t>
      </w:r>
      <w:r>
        <w:rPr>
          <w:rFonts w:ascii="Arial"/>
          <w:color w:val="000000"/>
          <w:sz w:val="24"/>
        </w:rPr>
        <w:t xml:space="preserve">the acquired land </w:t>
      </w:r>
      <w:r>
        <w:rPr>
          <w:rFonts w:ascii="Arial"/>
          <w:color w:val="000000"/>
          <w:sz w:val="24"/>
        </w:rPr>
        <w:t xml:space="preserve">– </w:t>
      </w:r>
      <w:r>
        <w:rPr>
          <w:rFonts w:ascii="Arial"/>
          <w:color w:val="000000"/>
          <w:sz w:val="24"/>
        </w:rPr>
        <w:t>to develop Lot 30</w:t>
      </w:r>
      <w:r>
        <w:rPr>
          <w:rFonts w:ascii="Arial"/>
          <w:color w:val="000000"/>
          <w:sz w:val="24"/>
        </w:rPr>
        <w:t xml:space="preserve"> </w:t>
      </w:r>
      <w:r>
        <w:rPr>
          <w:rFonts w:ascii="Arial"/>
          <w:color w:val="000000"/>
          <w:sz w:val="24"/>
        </w:rPr>
        <w:t>(</w:t>
      </w:r>
      <w:r>
        <w:rPr>
          <w:rFonts w:ascii="Arial"/>
          <w:color w:val="000000"/>
          <w:sz w:val="24"/>
        </w:rPr>
        <w:t>at [216] and [217]</w:t>
      </w:r>
      <w:r>
        <w:rPr>
          <w:rFonts w:ascii="Arial"/>
          <w:color w:val="000000"/>
          <w:sz w:val="24"/>
        </w:rPr>
        <w:t>)</w:t>
      </w:r>
      <w:r>
        <w:rPr>
          <w:rFonts w:ascii="Arial"/>
          <w:color w:val="000000"/>
          <w:sz w:val="24"/>
        </w:rPr>
        <w:t>.</w:t>
      </w:r>
    </w:p>
    <w:p>
      <w:pPr>
        <w:pStyle w:val="CaselawNumbered10"/>
        <w:numPr>
          <w:ilvl w:val="0"/>
          <w:numId w:val="27"/>
        </w:numPr>
        <w:spacing w:before="150" w:after="0"/>
        <w:ind w:left="600" w:hanging="600"/>
      </w:pPr>
      <w:r>
        <w:rPr>
          <w:rFonts w:ascii="Arial"/>
          <w:color w:val="000000"/>
          <w:sz w:val="24"/>
        </w:rPr>
        <w:t xml:space="preserve">With respect to costs, the Court </w:t>
      </w:r>
      <w:r>
        <w:rPr>
          <w:rFonts w:ascii="Arial"/>
          <w:color w:val="000000"/>
          <w:sz w:val="24"/>
        </w:rPr>
        <w:t xml:space="preserve">reasoned as follows </w:t>
      </w:r>
      <w:r>
        <w:rPr>
          <w:rFonts w:ascii="Arial"/>
          <w:color w:val="000000"/>
          <w:sz w:val="24"/>
        </w:rPr>
        <w:t>(at [223]):</w:t>
      </w:r>
    </w:p>
    <w:p>
      <w:pPr>
        <w:pStyle w:val="CaselawQuote"/>
        <w:spacing w:before="150" w:after="150"/>
        <w:ind w:left="1350"/>
        <w:jc w:val="left"/>
      </w:pPr>
      <w:r>
        <w:rPr>
          <w:rFonts w:ascii="Arial"/>
          <w:color w:val="000000"/>
          <w:sz w:val="22"/>
        </w:rPr>
        <w:t>223</w:t>
      </w:r>
      <w:r>
        <w:rPr>
          <w:rFonts w:ascii="Arial"/>
          <w:color w:val="000000"/>
          <w:sz w:val="22"/>
        </w:rPr>
        <w:t>   </w:t>
      </w:r>
      <w:r>
        <w:rPr>
          <w:rFonts w:ascii="Arial"/>
          <w:color w:val="000000"/>
          <w:sz w:val="22"/>
        </w:rPr>
        <w:t xml:space="preserve">Although UPG has been awarded compensation in a sum less than the amount claimed by it and less than that offered by the Valuer General, the amount is more than the compensation offered by the Council during these proceedings. Accordingly, the Council should pay UPG’s costs of the proceedings. However, because the matter was not the subject of argument, the parties ought to be given the opportunity of making further submission on the issue if they wish. </w:t>
      </w:r>
    </w:p>
    <w:p>
      <w:pPr>
        <w:pStyle w:val="CaselawNumbered10"/>
        <w:numPr>
          <w:ilvl w:val="0"/>
          <w:numId w:val="28"/>
        </w:numPr>
        <w:spacing w:before="150" w:after="0"/>
        <w:ind w:left="600" w:hanging="600"/>
      </w:pPr>
      <w:r>
        <w:rPr>
          <w:rFonts w:ascii="Arial"/>
          <w:color w:val="000000"/>
          <w:sz w:val="24"/>
        </w:rPr>
        <w:t>It subsequently ordered that</w:t>
      </w:r>
      <w:r>
        <w:rPr>
          <w:rFonts w:ascii="Arial"/>
          <w:color w:val="000000"/>
          <w:sz w:val="24"/>
        </w:rPr>
        <w:t xml:space="preserve"> </w:t>
      </w:r>
      <w:r>
        <w:rPr>
          <w:rFonts w:ascii="Arial"/>
          <w:color w:val="000000"/>
          <w:sz w:val="24"/>
        </w:rPr>
        <w:t xml:space="preserve">(at </w:t>
      </w:r>
      <w:r>
        <w:rPr>
          <w:rFonts w:ascii="Arial"/>
          <w:color w:val="000000"/>
          <w:sz w:val="24"/>
        </w:rPr>
        <w:t>[224</w:t>
      </w:r>
      <w:r>
        <w:rPr>
          <w:rFonts w:ascii="Arial"/>
          <w:color w:val="000000"/>
          <w:sz w:val="24"/>
        </w:rPr>
        <w:t>])</w:t>
      </w:r>
      <w:r>
        <w:rPr>
          <w:rFonts w:ascii="Arial"/>
          <w:color w:val="000000"/>
          <w:sz w:val="24"/>
        </w:rPr>
        <w:t xml:space="preserve">: </w:t>
      </w:r>
    </w:p>
    <w:p>
      <w:pPr>
        <w:pStyle w:val="CaselawQuote"/>
        <w:spacing w:before="150" w:after="150"/>
        <w:ind w:left="1350"/>
        <w:jc w:val="left"/>
      </w:pPr>
      <w:r>
        <w:rPr>
          <w:rFonts w:ascii="Arial"/>
          <w:color w:val="000000"/>
          <w:sz w:val="22"/>
        </w:rPr>
        <w:t>(1)</w:t>
      </w:r>
      <w:r>
        <w:rPr>
          <w:rFonts w:ascii="Arial"/>
          <w:color w:val="000000"/>
          <w:sz w:val="22"/>
        </w:rPr>
        <w:t>   </w:t>
      </w:r>
      <w:r>
        <w:rPr>
          <w:rFonts w:ascii="Arial"/>
          <w:color w:val="000000"/>
          <w:sz w:val="22"/>
        </w:rPr>
        <w:t xml:space="preserve">compensation under the </w:t>
      </w:r>
      <w:r>
        <w:rPr>
          <w:rFonts w:ascii="Arial"/>
          <w:i/>
          <w:color w:val="000000"/>
          <w:sz w:val="22"/>
        </w:rPr>
        <w:t>Land Acquisition (Just Terms Compensation) Act 1991</w:t>
      </w:r>
      <w:r>
        <w:rPr>
          <w:rFonts w:ascii="Arial"/>
          <w:color w:val="000000"/>
          <w:sz w:val="22"/>
        </w:rPr>
        <w:t xml:space="preserve"> for the acquisition on 10 December 2021 of land comprising Lot 31 in DP 1246761 is determined in the sum of $1,235,521.20; and</w:t>
      </w:r>
    </w:p>
    <w:p>
      <w:pPr>
        <w:pStyle w:val="CaselawQuote"/>
        <w:spacing w:before="150" w:after="150"/>
        <w:ind w:left="1350"/>
        <w:jc w:val="left"/>
      </w:pPr>
      <w:r>
        <w:rPr>
          <w:rFonts w:ascii="Arial"/>
          <w:color w:val="000000"/>
          <w:sz w:val="22"/>
        </w:rPr>
        <w:t>(2)</w:t>
      </w:r>
      <w:r>
        <w:rPr>
          <w:rFonts w:ascii="Arial"/>
          <w:color w:val="000000"/>
          <w:sz w:val="22"/>
        </w:rPr>
        <w:t>   </w:t>
      </w:r>
      <w:r>
        <w:rPr>
          <w:rFonts w:ascii="Arial"/>
          <w:color w:val="000000"/>
          <w:sz w:val="22"/>
        </w:rPr>
        <w:t xml:space="preserve">the Council is to pay UPG’s costs of the proceedings unless, with 14 days, either party approaches the Court to seek an alternative costs order. </w:t>
      </w:r>
    </w:p>
    <w:p>
      <w:pPr>
        <w:pStyle w:val="CaselawNumbered10"/>
        <w:numPr>
          <w:ilvl w:val="0"/>
          <w:numId w:val="29"/>
        </w:numPr>
        <w:spacing w:before="150" w:after="0"/>
        <w:ind w:left="600" w:hanging="600"/>
      </w:pPr>
      <w:r>
        <w:rPr>
          <w:rFonts w:ascii="Arial"/>
          <w:color w:val="000000"/>
          <w:sz w:val="24"/>
        </w:rPr>
        <w:t>By notice of motion filed o</w:t>
      </w:r>
      <w:r>
        <w:rPr>
          <w:rFonts w:ascii="Arial"/>
          <w:color w:val="000000"/>
          <w:sz w:val="24"/>
        </w:rPr>
        <w:t>n 15 April 2025</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 xml:space="preserve">Council </w:t>
      </w:r>
      <w:r>
        <w:rPr>
          <w:rFonts w:ascii="Arial"/>
          <w:color w:val="000000"/>
          <w:sz w:val="24"/>
        </w:rPr>
        <w:t>seeks the following</w:t>
      </w:r>
      <w:r>
        <w:rPr>
          <w:rFonts w:ascii="Arial"/>
          <w:color w:val="000000"/>
          <w:sz w:val="24"/>
        </w:rPr>
        <w:t xml:space="preserve"> </w:t>
      </w:r>
      <w:r>
        <w:rPr>
          <w:rFonts w:ascii="Arial"/>
          <w:color w:val="000000"/>
          <w:sz w:val="24"/>
        </w:rPr>
        <w:t>alternative costs order</w:t>
      </w:r>
      <w:r>
        <w:rPr>
          <w:rFonts w:ascii="Arial"/>
          <w:color w:val="000000"/>
          <w:sz w:val="24"/>
        </w:rPr>
        <w:t>:</w:t>
      </w:r>
    </w:p>
    <w:p>
      <w:pPr>
        <w:pStyle w:val="CaselawQuote"/>
        <w:spacing w:before="150" w:after="150"/>
        <w:ind w:left="1350"/>
        <w:jc w:val="left"/>
      </w:pPr>
      <w:r>
        <w:rPr>
          <w:rFonts w:ascii="Arial"/>
          <w:color w:val="000000"/>
          <w:sz w:val="22"/>
        </w:rPr>
        <w:t>1</w:t>
      </w:r>
      <w:r>
        <w:rPr>
          <w:rFonts w:ascii="Arial"/>
          <w:color w:val="000000"/>
          <w:sz w:val="22"/>
        </w:rPr>
        <w:t>   </w:t>
      </w:r>
      <w:r>
        <w:rPr>
          <w:rFonts w:ascii="Arial"/>
          <w:color w:val="000000"/>
          <w:sz w:val="22"/>
        </w:rPr>
        <w:t xml:space="preserve">Pursuant to Order 2 of the Orders made by Pepper J on 1 April 2025 in this matter: </w:t>
      </w:r>
    </w:p>
    <w:p>
      <w:pPr>
        <w:pStyle w:val="CaselawQuote0"/>
        <w:spacing w:before="150" w:after="150"/>
        <w:ind w:left="2100"/>
        <w:jc w:val="left"/>
      </w:pPr>
      <w:r>
        <w:rPr>
          <w:rFonts w:ascii="Arial"/>
          <w:color w:val="000000"/>
          <w:sz w:val="22"/>
        </w:rPr>
        <w:t>a.</w:t>
      </w:r>
      <w:r>
        <w:rPr>
          <w:rFonts w:ascii="Arial"/>
          <w:color w:val="000000"/>
          <w:sz w:val="22"/>
        </w:rPr>
        <w:t>   </w:t>
      </w:r>
      <w:r>
        <w:rPr>
          <w:rFonts w:ascii="Arial"/>
          <w:color w:val="000000"/>
          <w:sz w:val="22"/>
        </w:rPr>
        <w:t xml:space="preserve">The Respondent is to pay the Applicant’s costs of the proceedings incurred up to but excluding the first date of hearing (i.e. till 12 May 2024) in an amount agreed or as assessed; </w:t>
      </w:r>
    </w:p>
    <w:p>
      <w:pPr>
        <w:pStyle w:val="CaselawQuote0"/>
        <w:spacing w:before="150" w:after="150"/>
        <w:ind w:left="2100"/>
        <w:jc w:val="left"/>
      </w:pPr>
      <w:r>
        <w:rPr>
          <w:rFonts w:ascii="Arial"/>
          <w:color w:val="000000"/>
          <w:sz w:val="22"/>
        </w:rPr>
        <w:t>b.</w:t>
      </w:r>
      <w:r>
        <w:rPr>
          <w:rFonts w:ascii="Arial"/>
          <w:color w:val="000000"/>
          <w:sz w:val="22"/>
        </w:rPr>
        <w:t>   </w:t>
      </w:r>
      <w:r>
        <w:rPr>
          <w:rFonts w:ascii="Arial"/>
          <w:color w:val="000000"/>
          <w:sz w:val="22"/>
        </w:rPr>
        <w:t xml:space="preserve">Each party is to bear its own costs incurred from the first day of hearing (i.e. 13 May 2024). </w:t>
      </w:r>
    </w:p>
    <w:p>
      <w:pPr>
        <w:pStyle w:val="CaselawNumbered10"/>
        <w:numPr>
          <w:ilvl w:val="0"/>
          <w:numId w:val="30"/>
        </w:numPr>
        <w:spacing w:before="150" w:after="0"/>
        <w:ind w:left="600" w:hanging="600"/>
      </w:pPr>
      <w:r>
        <w:rPr>
          <w:rFonts w:ascii="Arial"/>
          <w:color w:val="000000"/>
          <w:sz w:val="24"/>
        </w:rPr>
        <w:t>UPG resist</w:t>
      </w:r>
      <w:r>
        <w:rPr>
          <w:rFonts w:ascii="Arial"/>
          <w:color w:val="000000"/>
          <w:sz w:val="24"/>
        </w:rPr>
        <w:t>ed</w:t>
      </w:r>
      <w:r>
        <w:rPr>
          <w:rFonts w:ascii="Arial"/>
          <w:color w:val="000000"/>
          <w:sz w:val="24"/>
        </w:rPr>
        <w:t xml:space="preserve"> </w:t>
      </w:r>
      <w:r>
        <w:rPr>
          <w:rFonts w:ascii="Arial"/>
          <w:color w:val="000000"/>
          <w:sz w:val="24"/>
        </w:rPr>
        <w:t>such an order and submit</w:t>
      </w:r>
      <w:r>
        <w:rPr>
          <w:rFonts w:ascii="Arial"/>
          <w:color w:val="000000"/>
          <w:sz w:val="24"/>
        </w:rPr>
        <w:t>ted</w:t>
      </w:r>
      <w:r>
        <w:rPr>
          <w:rFonts w:ascii="Arial"/>
          <w:color w:val="000000"/>
          <w:sz w:val="24"/>
        </w:rPr>
        <w:t xml:space="preserve"> </w:t>
      </w:r>
      <w:r>
        <w:rPr>
          <w:rFonts w:ascii="Arial"/>
          <w:color w:val="000000"/>
          <w:sz w:val="24"/>
        </w:rPr>
        <w:t xml:space="preserve">that the tentative costs order made by the Court at the conclusion of the hearing ought not be disturbed. </w:t>
      </w:r>
    </w:p>
    <w:p>
      <w:pPr>
        <w:pStyle w:val="CaselawNumbered10"/>
        <w:numPr>
          <w:ilvl w:val="0"/>
          <w:numId w:val="30"/>
        </w:numPr>
        <w:spacing w:before="150" w:after="0"/>
        <w:ind w:left="600" w:hanging="600"/>
      </w:pPr>
      <w:r>
        <w:rPr>
          <w:rFonts w:ascii="Arial"/>
          <w:color w:val="000000"/>
          <w:sz w:val="24"/>
        </w:rPr>
        <w:t xml:space="preserve">I agree with UPG. </w:t>
      </w:r>
      <w:r>
        <w:rPr>
          <w:rFonts w:ascii="Arial"/>
          <w:color w:val="000000"/>
          <w:sz w:val="24"/>
        </w:rPr>
        <w:t xml:space="preserve">For the following reasons I have </w:t>
      </w:r>
      <w:r>
        <w:rPr>
          <w:rFonts w:ascii="Arial"/>
          <w:color w:val="000000"/>
          <w:sz w:val="24"/>
        </w:rPr>
        <w:t xml:space="preserve">therefore </w:t>
      </w:r>
      <w:r>
        <w:rPr>
          <w:rFonts w:ascii="Arial"/>
          <w:color w:val="000000"/>
          <w:sz w:val="24"/>
        </w:rPr>
        <w:t xml:space="preserve">determined that the </w:t>
      </w:r>
      <w:r>
        <w:rPr>
          <w:rFonts w:ascii="Arial"/>
          <w:color w:val="000000"/>
          <w:sz w:val="24"/>
        </w:rPr>
        <w:t xml:space="preserve">Council </w:t>
      </w:r>
      <w:r>
        <w:rPr>
          <w:rFonts w:ascii="Arial"/>
          <w:color w:val="000000"/>
          <w:sz w:val="24"/>
        </w:rPr>
        <w:t>should</w:t>
      </w:r>
      <w:r>
        <w:rPr>
          <w:rFonts w:ascii="Arial"/>
          <w:color w:val="000000"/>
          <w:sz w:val="24"/>
        </w:rPr>
        <w:t xml:space="preserve"> </w:t>
      </w:r>
      <w:r>
        <w:rPr>
          <w:rFonts w:ascii="Arial"/>
          <w:color w:val="000000"/>
          <w:sz w:val="24"/>
        </w:rPr>
        <w:t>pay UPG</w:t>
      </w:r>
      <w:r>
        <w:rPr>
          <w:rFonts w:ascii="Arial"/>
          <w:color w:val="000000"/>
          <w:sz w:val="24"/>
        </w:rPr>
        <w:t>’</w:t>
      </w:r>
      <w:r>
        <w:rPr>
          <w:rFonts w:ascii="Arial"/>
          <w:color w:val="000000"/>
          <w:sz w:val="24"/>
        </w:rPr>
        <w:t>s costs of the proceedings</w:t>
      </w:r>
      <w:r>
        <w:rPr>
          <w:rFonts w:ascii="Arial"/>
          <w:color w:val="000000"/>
          <w:sz w:val="24"/>
        </w:rPr>
        <w:t>,</w:t>
      </w:r>
      <w:r>
        <w:rPr>
          <w:rFonts w:ascii="Arial"/>
          <w:color w:val="000000"/>
          <w:sz w:val="24"/>
        </w:rPr>
        <w:t xml:space="preserve"> </w:t>
      </w:r>
      <w:r>
        <w:rPr>
          <w:rFonts w:ascii="Arial"/>
          <w:color w:val="000000"/>
          <w:sz w:val="24"/>
        </w:rPr>
        <w:t xml:space="preserve">including </w:t>
      </w:r>
      <w:r>
        <w:rPr>
          <w:rFonts w:ascii="Arial"/>
          <w:color w:val="000000"/>
          <w:sz w:val="24"/>
        </w:rPr>
        <w:t>UPG</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costs of the motion. </w:t>
      </w:r>
    </w:p>
    <w:p>
      <w:pPr>
        <w:pStyle w:val="CaselawHeading2"/>
        <w:keepNext/>
        <w:spacing w:before="150" w:after="150" w:line="264"/>
        <w:ind w:left="0"/>
        <w:jc w:val="left"/>
      </w:pPr>
      <w:r>
        <w:rPr>
          <w:rFonts w:ascii="Arial"/>
        </w:rPr>
        <w:t xml:space="preserve">Legal Principles </w:t>
      </w:r>
      <w:r>
        <w:rPr>
          <w:rFonts w:ascii="Arial"/>
        </w:rPr>
        <w:t>Applicable to</w:t>
      </w:r>
      <w:r>
        <w:rPr>
          <w:rFonts w:ascii="Arial"/>
        </w:rPr>
        <w:t xml:space="preserve"> an </w:t>
      </w:r>
      <w:r>
        <w:rPr>
          <w:rFonts w:ascii="Arial"/>
        </w:rPr>
        <w:t>Award</w:t>
      </w:r>
      <w:r>
        <w:rPr>
          <w:rFonts w:ascii="Arial"/>
        </w:rPr>
        <w:t xml:space="preserve"> of Costs in Compulsory Acquisition Proceedings</w:t>
      </w:r>
    </w:p>
    <w:p>
      <w:pPr>
        <w:pStyle w:val="CaselawNumbered10"/>
        <w:numPr>
          <w:ilvl w:val="0"/>
          <w:numId w:val="31"/>
        </w:numPr>
        <w:spacing w:before="150" w:after="0"/>
        <w:ind w:left="600" w:hanging="600"/>
      </w:pPr>
      <w:r>
        <w:rPr>
          <w:rFonts w:ascii="Arial"/>
          <w:color w:val="000000"/>
          <w:sz w:val="24"/>
        </w:rPr>
        <w:t>The Court</w:t>
      </w:r>
      <w:r>
        <w:rPr>
          <w:rFonts w:ascii="Arial"/>
          <w:color w:val="000000"/>
          <w:sz w:val="24"/>
        </w:rPr>
        <w:t>’</w:t>
      </w:r>
      <w:r>
        <w:rPr>
          <w:rFonts w:ascii="Arial"/>
          <w:color w:val="000000"/>
          <w:sz w:val="24"/>
        </w:rPr>
        <w:t>s discretion to</w:t>
      </w:r>
      <w:r>
        <w:rPr>
          <w:rFonts w:ascii="Arial"/>
          <w:color w:val="000000"/>
          <w:sz w:val="24"/>
        </w:rPr>
        <w:t xml:space="preserve"> </w:t>
      </w:r>
      <w:r>
        <w:rPr>
          <w:rFonts w:ascii="Arial"/>
          <w:color w:val="000000"/>
          <w:sz w:val="24"/>
        </w:rPr>
        <w:t>award</w:t>
      </w:r>
      <w:r>
        <w:rPr>
          <w:rFonts w:ascii="Arial"/>
          <w:color w:val="000000"/>
          <w:sz w:val="24"/>
        </w:rPr>
        <w:t xml:space="preserve"> </w:t>
      </w:r>
      <w:r>
        <w:rPr>
          <w:rFonts w:ascii="Arial"/>
          <w:color w:val="000000"/>
          <w:sz w:val="24"/>
        </w:rPr>
        <w:t xml:space="preserve">costs </w:t>
      </w:r>
      <w:r>
        <w:rPr>
          <w:rFonts w:ascii="Arial"/>
          <w:color w:val="000000"/>
          <w:sz w:val="24"/>
        </w:rPr>
        <w:t>pursuant to</w:t>
      </w:r>
      <w:r>
        <w:rPr>
          <w:rFonts w:ascii="Arial"/>
          <w:color w:val="000000"/>
          <w:sz w:val="24"/>
        </w:rPr>
        <w:t xml:space="preserve"> </w:t>
      </w:r>
      <w:r>
        <w:rPr>
          <w:rFonts w:ascii="Arial"/>
          <w:color w:val="000000"/>
          <w:sz w:val="24"/>
        </w:rPr>
        <w:t xml:space="preserve">s 98 of the </w:t>
      </w:r>
      <w:r>
        <w:rPr>
          <w:rFonts w:ascii="Arial"/>
          <w:i/>
          <w:color w:val="000000"/>
          <w:sz w:val="24"/>
        </w:rPr>
        <w:t>Civil Procedure Act 2005</w:t>
      </w:r>
      <w:r>
        <w:rPr>
          <w:rFonts w:ascii="Arial"/>
          <w:color w:val="000000"/>
          <w:sz w:val="24"/>
        </w:rPr>
        <w:t xml:space="preserve"> </w:t>
      </w:r>
      <w:r>
        <w:rPr>
          <w:rFonts w:ascii="Arial"/>
          <w:color w:val="000000"/>
          <w:sz w:val="24"/>
        </w:rPr>
        <w:t>i</w:t>
      </w:r>
      <w:r>
        <w:rPr>
          <w:rFonts w:ascii="Arial"/>
          <w:color w:val="000000"/>
          <w:sz w:val="24"/>
        </w:rPr>
        <w:t xml:space="preserve">s </w:t>
      </w:r>
      <w:r>
        <w:rPr>
          <w:rFonts w:ascii="Arial"/>
          <w:color w:val="000000"/>
          <w:sz w:val="24"/>
        </w:rPr>
        <w:t>unconstrained save that it must be exercised judicially</w:t>
      </w:r>
      <w:r>
        <w:rPr>
          <w:rFonts w:ascii="Arial"/>
          <w:color w:val="000000"/>
          <w:sz w:val="24"/>
        </w:rPr>
        <w:t xml:space="preserve">. </w:t>
      </w:r>
      <w:r>
        <w:rPr>
          <w:rFonts w:ascii="Arial"/>
          <w:color w:val="000000"/>
          <w:sz w:val="24"/>
        </w:rPr>
        <w:t xml:space="preserve">Although costs usually follows the event pursuant to </w:t>
      </w:r>
      <w:r>
        <w:rPr>
          <w:rFonts w:ascii="Arial"/>
          <w:color w:val="000000"/>
          <w:sz w:val="24"/>
        </w:rPr>
        <w:t xml:space="preserve">r 42.1 of the </w:t>
      </w:r>
      <w:r>
        <w:rPr>
          <w:rFonts w:ascii="Arial"/>
          <w:i/>
          <w:color w:val="000000"/>
          <w:sz w:val="24"/>
        </w:rPr>
        <w:t>Uniform Civil Procedure Rules 2005</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 xml:space="preserve">hat rule </w:t>
      </w:r>
      <w:r>
        <w:rPr>
          <w:rFonts w:ascii="Arial"/>
          <w:color w:val="000000"/>
          <w:sz w:val="24"/>
        </w:rPr>
        <w:t xml:space="preserve">does not apply </w:t>
      </w:r>
      <w:r>
        <w:rPr>
          <w:rFonts w:ascii="Arial"/>
          <w:color w:val="000000"/>
          <w:sz w:val="24"/>
        </w:rPr>
        <w:t>in respect of Class 3 proceedings of the Court</w:t>
      </w:r>
      <w:r>
        <w:rPr>
          <w:rFonts w:ascii="Arial"/>
          <w:color w:val="000000"/>
          <w:sz w:val="24"/>
        </w:rPr>
        <w:t>’</w:t>
      </w:r>
      <w:r>
        <w:rPr>
          <w:rFonts w:ascii="Arial"/>
          <w:color w:val="000000"/>
          <w:sz w:val="24"/>
        </w:rPr>
        <w:t xml:space="preserve">s jurisdiction </w:t>
      </w:r>
      <w:r>
        <w:rPr>
          <w:rFonts w:ascii="Arial"/>
          <w:color w:val="000000"/>
          <w:sz w:val="24"/>
        </w:rPr>
        <w:t xml:space="preserve">(UCPR, Schedule 1). </w:t>
      </w:r>
      <w:r>
        <w:rPr>
          <w:rFonts w:ascii="Arial"/>
          <w:color w:val="000000"/>
          <w:sz w:val="24"/>
        </w:rPr>
        <w:t>There is therefore no presumption that costs follow the event</w:t>
      </w:r>
      <w:r>
        <w:rPr>
          <w:rFonts w:ascii="Arial"/>
          <w:color w:val="000000"/>
          <w:sz w:val="24"/>
        </w:rPr>
        <w:t xml:space="preserve"> </w:t>
      </w:r>
      <w:r>
        <w:rPr>
          <w:rFonts w:ascii="Arial"/>
          <w:color w:val="000000"/>
          <w:sz w:val="24"/>
        </w:rPr>
        <w:t xml:space="preserve">in Class 3 compulsory acquisition proceedings. </w:t>
      </w:r>
      <w:r>
        <w:rPr>
          <w:rFonts w:ascii="Arial"/>
          <w:color w:val="000000"/>
          <w:sz w:val="24"/>
        </w:rPr>
        <w:t xml:space="preserve"> </w:t>
      </w:r>
    </w:p>
    <w:p>
      <w:pPr>
        <w:pStyle w:val="CaselawNumbered10"/>
        <w:numPr>
          <w:ilvl w:val="0"/>
          <w:numId w:val="31"/>
        </w:numPr>
        <w:spacing w:before="150" w:after="0"/>
        <w:ind w:left="600" w:hanging="600"/>
      </w:pPr>
      <w:r>
        <w:rPr>
          <w:rFonts w:ascii="Arial"/>
          <w:color w:val="000000"/>
          <w:sz w:val="24"/>
        </w:rPr>
        <w:t>C</w:t>
      </w:r>
      <w:r>
        <w:rPr>
          <w:rFonts w:ascii="Arial"/>
          <w:color w:val="000000"/>
          <w:sz w:val="24"/>
        </w:rPr>
        <w:t xml:space="preserve">ompulsory acquisition proceedings </w:t>
      </w:r>
      <w:r>
        <w:rPr>
          <w:rFonts w:ascii="Arial"/>
          <w:color w:val="000000"/>
          <w:sz w:val="24"/>
        </w:rPr>
        <w:t>are</w:t>
      </w:r>
      <w:r>
        <w:rPr>
          <w:rFonts w:ascii="Arial"/>
          <w:color w:val="000000"/>
          <w:sz w:val="24"/>
        </w:rPr>
        <w:t>, moreover,</w:t>
      </w:r>
      <w:r>
        <w:rPr>
          <w:rFonts w:ascii="Arial"/>
          <w:color w:val="000000"/>
          <w:sz w:val="24"/>
        </w:rPr>
        <w:t xml:space="preserve"> </w:t>
      </w:r>
      <w:r>
        <w:rPr>
          <w:rFonts w:ascii="Arial"/>
          <w:color w:val="000000"/>
          <w:sz w:val="24"/>
        </w:rPr>
        <w:t xml:space="preserve">not </w:t>
      </w:r>
      <w:r>
        <w:rPr>
          <w:rFonts w:ascii="Arial"/>
          <w:color w:val="000000"/>
          <w:sz w:val="24"/>
        </w:rPr>
        <w:t xml:space="preserve">affected by the application of </w:t>
      </w:r>
      <w:r>
        <w:rPr>
          <w:rFonts w:ascii="Arial"/>
          <w:color w:val="000000"/>
          <w:sz w:val="24"/>
        </w:rPr>
        <w:t>r 3.7</w:t>
      </w:r>
      <w:r>
        <w:rPr>
          <w:rFonts w:ascii="Arial"/>
          <w:color w:val="000000"/>
          <w:sz w:val="24"/>
        </w:rPr>
        <w:t xml:space="preserve"> </w:t>
      </w:r>
      <w:r>
        <w:rPr>
          <w:rFonts w:ascii="Arial"/>
          <w:color w:val="000000"/>
          <w:sz w:val="24"/>
        </w:rPr>
        <w:t xml:space="preserve">of the </w:t>
      </w:r>
      <w:r>
        <w:rPr>
          <w:rFonts w:ascii="Arial"/>
          <w:i/>
          <w:color w:val="000000"/>
          <w:sz w:val="24"/>
        </w:rPr>
        <w:t>Land and Environment Court Rules 2007</w:t>
      </w:r>
      <w:r>
        <w:rPr>
          <w:rFonts w:ascii="Arial"/>
          <w:color w:val="000000"/>
          <w:sz w:val="24"/>
        </w:rPr>
        <w:t xml:space="preserve"> </w:t>
      </w:r>
      <w:r>
        <w:rPr>
          <w:rFonts w:ascii="Arial"/>
          <w:color w:val="000000"/>
          <w:sz w:val="24"/>
        </w:rPr>
        <w:t>(r 3.7(1)(c) of those Rules).</w:t>
      </w:r>
    </w:p>
    <w:p>
      <w:pPr>
        <w:pStyle w:val="CaselawNumbered10"/>
        <w:numPr>
          <w:ilvl w:val="0"/>
          <w:numId w:val="31"/>
        </w:numPr>
        <w:spacing w:before="150" w:after="0"/>
        <w:ind w:left="600" w:hanging="600"/>
      </w:pPr>
      <w:r>
        <w:rPr>
          <w:rFonts w:ascii="Arial"/>
          <w:color w:val="000000"/>
          <w:sz w:val="24"/>
        </w:rPr>
        <w:t>In the exercise of the Court</w:t>
      </w:r>
      <w:r>
        <w:rPr>
          <w:rFonts w:ascii="Arial"/>
          <w:color w:val="000000"/>
          <w:sz w:val="24"/>
        </w:rPr>
        <w:t>’</w:t>
      </w:r>
      <w:r>
        <w:rPr>
          <w:rFonts w:ascii="Arial"/>
          <w:color w:val="000000"/>
          <w:sz w:val="24"/>
        </w:rPr>
        <w:t>s discretion, a</w:t>
      </w:r>
      <w:r>
        <w:rPr>
          <w:rFonts w:ascii="Arial"/>
          <w:color w:val="000000"/>
          <w:sz w:val="24"/>
        </w:rPr>
        <w:t>n applicant to compulsory acquisition proceedings</w:t>
      </w:r>
      <w:r>
        <w:rPr>
          <w:rFonts w:ascii="Arial"/>
          <w:color w:val="000000"/>
          <w:sz w:val="24"/>
        </w:rPr>
        <w:t xml:space="preserve"> </w:t>
      </w:r>
      <w:r>
        <w:rPr>
          <w:rFonts w:ascii="Arial"/>
          <w:color w:val="000000"/>
          <w:sz w:val="24"/>
        </w:rPr>
        <w:t>is usually entitled to recover the costs of the proceedings</w:t>
      </w:r>
      <w:r>
        <w:rPr>
          <w:rFonts w:ascii="Arial"/>
          <w:color w:val="000000"/>
          <w:sz w:val="24"/>
        </w:rPr>
        <w:t xml:space="preserve"> </w:t>
      </w:r>
      <w:r>
        <w:rPr>
          <w:rFonts w:ascii="Arial"/>
          <w:color w:val="000000"/>
          <w:sz w:val="24"/>
        </w:rPr>
        <w:t>if th</w:t>
      </w:r>
      <w:r>
        <w:rPr>
          <w:rFonts w:ascii="Arial"/>
          <w:color w:val="000000"/>
          <w:sz w:val="24"/>
        </w:rPr>
        <w:t>at applicant</w:t>
      </w:r>
      <w:r>
        <w:rPr>
          <w:rFonts w:ascii="Arial"/>
          <w:color w:val="000000"/>
          <w:sz w:val="24"/>
        </w:rPr>
        <w:t xml:space="preserve"> </w:t>
      </w:r>
      <w:r>
        <w:rPr>
          <w:rFonts w:ascii="Arial"/>
          <w:color w:val="000000"/>
          <w:sz w:val="24"/>
        </w:rPr>
        <w:t>acted reasonably in pursuing the proceedings and ha</w:t>
      </w:r>
      <w:r>
        <w:rPr>
          <w:rFonts w:ascii="Arial"/>
          <w:color w:val="000000"/>
          <w:sz w:val="24"/>
        </w:rPr>
        <w:t>s</w:t>
      </w:r>
      <w:r>
        <w:rPr>
          <w:rFonts w:ascii="Arial"/>
          <w:color w:val="000000"/>
          <w:sz w:val="24"/>
        </w:rPr>
        <w:t xml:space="preserve"> </w:t>
      </w:r>
      <w:r>
        <w:rPr>
          <w:rFonts w:ascii="Arial"/>
          <w:color w:val="000000"/>
          <w:sz w:val="24"/>
        </w:rPr>
        <w:t xml:space="preserve">not </w:t>
      </w:r>
      <w:r>
        <w:rPr>
          <w:rFonts w:ascii="Arial"/>
          <w:color w:val="000000"/>
          <w:sz w:val="24"/>
        </w:rPr>
        <w:t>conducted them</w:t>
      </w:r>
      <w:r>
        <w:rPr>
          <w:rFonts w:ascii="Arial"/>
          <w:color w:val="000000"/>
          <w:sz w:val="24"/>
        </w:rPr>
        <w:t>selves</w:t>
      </w:r>
      <w:r>
        <w:rPr>
          <w:rFonts w:ascii="Arial"/>
          <w:color w:val="000000"/>
          <w:sz w:val="24"/>
        </w:rPr>
        <w:t xml:space="preserve"> </w:t>
      </w:r>
      <w:r>
        <w:rPr>
          <w:rFonts w:ascii="Arial"/>
          <w:color w:val="000000"/>
          <w:sz w:val="24"/>
        </w:rPr>
        <w:t>in a manner which gives rise to unnecessary delay or expense</w:t>
      </w:r>
      <w:r>
        <w:rPr>
          <w:rFonts w:ascii="Arial"/>
          <w:color w:val="000000"/>
          <w:sz w:val="24"/>
        </w:rPr>
        <w:t xml:space="preserve"> </w:t>
      </w:r>
      <w:r>
        <w:rPr>
          <w:rFonts w:ascii="Arial"/>
          <w:color w:val="000000"/>
          <w:sz w:val="24"/>
        </w:rPr>
        <w:t>(</w:t>
      </w:r>
      <w:r>
        <w:rPr>
          <w:rFonts w:ascii="Arial"/>
          <w:i/>
          <w:color w:val="000000"/>
          <w:sz w:val="24"/>
        </w:rPr>
        <w:t>Dillon v Gosford City Council</w:t>
      </w:r>
      <w:r>
        <w:rPr>
          <w:rFonts w:ascii="Arial"/>
          <w:color w:val="000000"/>
          <w:sz w:val="24"/>
        </w:rPr>
        <w:t xml:space="preserve"> </w:t>
      </w:r>
      <w:r>
        <w:rPr>
          <w:rFonts w:ascii="Arial"/>
          <w:color w:val="000000"/>
          <w:sz w:val="24"/>
        </w:rPr>
        <w:t xml:space="preserve">[2011] NSWCA 328; (2011) 184 LGERA 179 </w:t>
      </w:r>
      <w:r>
        <w:rPr>
          <w:rFonts w:ascii="Arial"/>
          <w:color w:val="000000"/>
          <w:sz w:val="24"/>
        </w:rPr>
        <w:t xml:space="preserve">at [70] per </w:t>
      </w:r>
      <w:r>
        <w:rPr>
          <w:rFonts w:ascii="Arial"/>
          <w:color w:val="000000"/>
          <w:sz w:val="24"/>
        </w:rPr>
        <w:t>Basten</w:t>
      </w:r>
      <w:r>
        <w:rPr>
          <w:rFonts w:ascii="Arial"/>
          <w:color w:val="000000"/>
          <w:sz w:val="24"/>
        </w:rPr>
        <w:t xml:space="preserve"> </w:t>
      </w:r>
      <w:r>
        <w:rPr>
          <w:rFonts w:ascii="Arial"/>
          <w:color w:val="000000"/>
          <w:sz w:val="24"/>
        </w:rPr>
        <w:t xml:space="preserve">JA). </w:t>
      </w:r>
      <w:r>
        <w:rPr>
          <w:rFonts w:ascii="Arial"/>
          <w:color w:val="000000"/>
          <w:sz w:val="24"/>
        </w:rPr>
        <w:t>This is because a</w:t>
      </w:r>
      <w:r>
        <w:rPr>
          <w:rFonts w:ascii="Arial"/>
          <w:color w:val="000000"/>
          <w:sz w:val="24"/>
        </w:rPr>
        <w:t>n o</w:t>
      </w:r>
      <w:r>
        <w:rPr>
          <w:rFonts w:ascii="Arial"/>
          <w:color w:val="000000"/>
          <w:sz w:val="24"/>
        </w:rPr>
        <w:t xml:space="preserve">wner </w:t>
      </w:r>
      <w:r>
        <w:rPr>
          <w:rFonts w:ascii="Arial"/>
          <w:color w:val="000000"/>
          <w:sz w:val="24"/>
        </w:rPr>
        <w:t>who ha</w:t>
      </w:r>
      <w:r>
        <w:rPr>
          <w:rFonts w:ascii="Arial"/>
          <w:color w:val="000000"/>
          <w:sz w:val="24"/>
        </w:rPr>
        <w:t>s</w:t>
      </w:r>
      <w:r>
        <w:rPr>
          <w:rFonts w:ascii="Arial"/>
          <w:color w:val="000000"/>
          <w:sz w:val="24"/>
        </w:rPr>
        <w:t xml:space="preserve"> </w:t>
      </w:r>
      <w:r>
        <w:rPr>
          <w:rFonts w:ascii="Arial"/>
          <w:color w:val="000000"/>
          <w:sz w:val="24"/>
        </w:rPr>
        <w:t>been compulsorily dispossessed of their land should be</w:t>
      </w:r>
      <w:r>
        <w:rPr>
          <w:rFonts w:ascii="Arial"/>
          <w:color w:val="000000"/>
          <w:sz w:val="24"/>
        </w:rPr>
        <w:t xml:space="preserve"> </w:t>
      </w:r>
      <w:r>
        <w:rPr>
          <w:rFonts w:ascii="Arial"/>
          <w:color w:val="000000"/>
          <w:sz w:val="24"/>
        </w:rPr>
        <w:t>entitled to take reasonable steps to seek the Court</w:t>
      </w:r>
      <w:r>
        <w:rPr>
          <w:rFonts w:ascii="Arial"/>
          <w:color w:val="000000"/>
          <w:sz w:val="24"/>
        </w:rPr>
        <w:t>’</w:t>
      </w:r>
      <w:r>
        <w:rPr>
          <w:rFonts w:ascii="Arial"/>
          <w:color w:val="000000"/>
          <w:sz w:val="24"/>
        </w:rPr>
        <w:t>s judgment in respect of the adequacy of the compensation offered (</w:t>
      </w:r>
      <w:r>
        <w:rPr>
          <w:rFonts w:ascii="Arial"/>
          <w:i/>
          <w:color w:val="000000"/>
          <w:sz w:val="24"/>
        </w:rPr>
        <w:t xml:space="preserve">Dillon </w:t>
      </w:r>
      <w:r>
        <w:rPr>
          <w:rFonts w:ascii="Arial"/>
          <w:color w:val="000000"/>
          <w:sz w:val="24"/>
        </w:rPr>
        <w:t xml:space="preserve">at [71] per </w:t>
      </w:r>
      <w:r>
        <w:rPr>
          <w:rFonts w:ascii="Arial"/>
          <w:color w:val="000000"/>
          <w:sz w:val="24"/>
        </w:rPr>
        <w:t>Basten</w:t>
      </w:r>
      <w:r>
        <w:rPr>
          <w:rFonts w:ascii="Arial"/>
          <w:color w:val="000000"/>
          <w:sz w:val="24"/>
        </w:rPr>
        <w:t xml:space="preserve"> </w:t>
      </w:r>
      <w:r>
        <w:rPr>
          <w:rFonts w:ascii="Arial"/>
          <w:color w:val="000000"/>
          <w:sz w:val="24"/>
        </w:rPr>
        <w:t xml:space="preserve">JA). </w:t>
      </w:r>
    </w:p>
    <w:p>
      <w:pPr>
        <w:pStyle w:val="CaselawNumbered10"/>
        <w:numPr>
          <w:ilvl w:val="0"/>
          <w:numId w:val="31"/>
        </w:numPr>
        <w:spacing w:before="150" w:after="0"/>
        <w:ind w:left="600" w:hanging="600"/>
      </w:pPr>
      <w:r>
        <w:rPr>
          <w:rFonts w:ascii="Arial"/>
          <w:color w:val="000000"/>
          <w:sz w:val="24"/>
        </w:rPr>
        <w:t>Relevantly for the purpose of this application,</w:t>
      </w:r>
      <w:r>
        <w:rPr>
          <w:rFonts w:ascii="Arial"/>
          <w:color w:val="000000"/>
          <w:sz w:val="24"/>
        </w:rPr>
        <w:t xml:space="preserve"> </w:t>
      </w:r>
      <w:r>
        <w:rPr>
          <w:rFonts w:ascii="Arial"/>
          <w:color w:val="000000"/>
          <w:sz w:val="24"/>
        </w:rPr>
        <w:t>Basten</w:t>
      </w:r>
      <w:r>
        <w:rPr>
          <w:rFonts w:ascii="Arial"/>
          <w:color w:val="000000"/>
          <w:sz w:val="24"/>
        </w:rPr>
        <w:t xml:space="preserve"> </w:t>
      </w:r>
      <w:r>
        <w:rPr>
          <w:rFonts w:ascii="Arial"/>
          <w:color w:val="000000"/>
          <w:sz w:val="24"/>
        </w:rPr>
        <w:t>JA</w:t>
      </w:r>
      <w:r>
        <w:rPr>
          <w:rFonts w:ascii="Arial"/>
          <w:color w:val="000000"/>
          <w:sz w:val="24"/>
        </w:rPr>
        <w:t xml:space="preserve"> </w:t>
      </w:r>
      <w:r>
        <w:rPr>
          <w:rFonts w:ascii="Arial"/>
          <w:color w:val="000000"/>
          <w:sz w:val="24"/>
        </w:rPr>
        <w:t xml:space="preserve">opined </w:t>
      </w:r>
      <w:r>
        <w:rPr>
          <w:rFonts w:ascii="Arial"/>
          <w:color w:val="000000"/>
          <w:sz w:val="24"/>
        </w:rPr>
        <w:t xml:space="preserve">in </w:t>
      </w:r>
      <w:r>
        <w:rPr>
          <w:rFonts w:ascii="Arial"/>
          <w:i/>
          <w:color w:val="000000"/>
          <w:sz w:val="24"/>
        </w:rPr>
        <w:t xml:space="preserve">Dillon </w:t>
      </w:r>
      <w:r>
        <w:rPr>
          <w:rFonts w:ascii="Arial"/>
          <w:color w:val="000000"/>
          <w:sz w:val="24"/>
        </w:rPr>
        <w:t>(at [7</w:t>
      </w:r>
      <w:r>
        <w:rPr>
          <w:rFonts w:ascii="Arial"/>
          <w:color w:val="000000"/>
          <w:sz w:val="24"/>
        </w:rPr>
        <w:t>2</w:t>
      </w:r>
      <w:r>
        <w:rPr>
          <w:rFonts w:ascii="Arial"/>
          <w:color w:val="000000"/>
          <w:sz w:val="24"/>
        </w:rPr>
        <w:t>]):</w:t>
      </w:r>
    </w:p>
    <w:p>
      <w:pPr>
        <w:pStyle w:val="CaselawQuote"/>
        <w:spacing w:before="150" w:after="150"/>
        <w:ind w:left="1350"/>
        <w:jc w:val="left"/>
      </w:pPr>
      <w:r>
        <w:rPr>
          <w:rFonts w:ascii="Arial"/>
          <w:color w:val="000000"/>
          <w:sz w:val="22"/>
        </w:rPr>
        <w:t>72</w:t>
      </w:r>
      <w:r>
        <w:rPr>
          <w:rFonts w:ascii="Arial"/>
          <w:color w:val="000000"/>
          <w:sz w:val="22"/>
        </w:rPr>
        <w:t>   </w:t>
      </w:r>
      <w:r>
        <w:rPr>
          <w:rFonts w:ascii="Arial"/>
          <w:color w:val="000000"/>
          <w:sz w:val="22"/>
        </w:rPr>
        <w:t xml:space="preserve">Whether steps taken in maintaining proceedings are reasonable will depend upon the circumstances of the particular case. </w:t>
      </w:r>
      <w:r>
        <w:rPr>
          <w:rFonts w:ascii="Arial"/>
          <w:color w:val="000000"/>
          <w:sz w:val="22"/>
        </w:rPr>
        <w:t>These may include a comparison between the positions adopted by the parties at the commencement of proceedings and the final outcome.</w:t>
      </w:r>
      <w:r>
        <w:rPr>
          <w:rFonts w:ascii="Arial"/>
          <w:color w:val="000000"/>
          <w:sz w:val="22"/>
        </w:rPr>
        <w:t xml:space="preserve"> </w:t>
      </w:r>
      <w:r>
        <w:rPr>
          <w:rFonts w:ascii="Arial"/>
          <w:color w:val="000000"/>
          <w:sz w:val="22"/>
        </w:rPr>
        <w:t>T</w:t>
      </w:r>
      <w:r>
        <w:rPr>
          <w:rFonts w:ascii="Arial"/>
          <w:color w:val="000000"/>
          <w:sz w:val="22"/>
        </w:rPr>
        <w:t xml:space="preserve">o the extent that a claimant obtains less than the valuation provided by the Valuer-General, the claimant has been unsuccessful in the litigation. That will be a factor to be taken into account, but the weight given to that factor may depend upon the extent of the failure. The Court may also take into account the time and expense incurred in relation to specific items. Beyond such general statements, it is unhelpful to go, lest the very generality of the discretion be thought to be fettered in some way. In short, the purpose of an award of costs must be taken into account, namely to compensate the party for expenditure incurred in the course of litigation; the nature of the litigation and the reasonableness of the conduct of the litigation are central considerations. </w:t>
      </w:r>
    </w:p>
    <w:p>
      <w:pPr>
        <w:pStyle w:val="CaselawNumbered10"/>
        <w:numPr>
          <w:ilvl w:val="0"/>
          <w:numId w:val="32"/>
        </w:numPr>
        <w:spacing w:before="150" w:after="0"/>
        <w:ind w:left="600" w:hanging="600"/>
      </w:pPr>
      <w:r>
        <w:rPr>
          <w:rFonts w:ascii="Arial"/>
          <w:color w:val="000000"/>
          <w:sz w:val="24"/>
        </w:rPr>
        <w:t>In other words, where an applicant obtains less than the Valuer-General</w:t>
      </w:r>
      <w:r>
        <w:rPr>
          <w:rFonts w:ascii="Arial"/>
          <w:color w:val="000000"/>
          <w:sz w:val="24"/>
        </w:rPr>
        <w:t>’</w:t>
      </w:r>
      <w:r>
        <w:rPr>
          <w:rFonts w:ascii="Arial"/>
          <w:color w:val="000000"/>
          <w:sz w:val="24"/>
        </w:rPr>
        <w:t xml:space="preserve">s determination this is a factor to take into account in assessing the reasonableness of maintaining the proceedings and the weight to be accorded to the factor will depend on the shortfall. </w:t>
      </w:r>
    </w:p>
    <w:p>
      <w:pPr>
        <w:pStyle w:val="CaselawNumbered10"/>
        <w:numPr>
          <w:ilvl w:val="0"/>
          <w:numId w:val="32"/>
        </w:numPr>
        <w:spacing w:before="150" w:after="0"/>
        <w:ind w:left="600" w:hanging="600"/>
      </w:pPr>
      <w:r>
        <w:rPr>
          <w:rFonts w:ascii="Arial"/>
          <w:color w:val="000000"/>
          <w:sz w:val="24"/>
        </w:rPr>
        <w:t xml:space="preserve">In </w:t>
      </w:r>
      <w:r>
        <w:rPr>
          <w:rFonts w:ascii="Arial"/>
          <w:i/>
          <w:color w:val="000000"/>
          <w:sz w:val="24"/>
        </w:rPr>
        <w:t>Dillon</w:t>
      </w:r>
      <w:r>
        <w:rPr>
          <w:rFonts w:ascii="Arial"/>
          <w:color w:val="000000"/>
          <w:sz w:val="24"/>
        </w:rPr>
        <w:t xml:space="preserve">, </w:t>
      </w:r>
      <w:r>
        <w:rPr>
          <w:rFonts w:ascii="Arial"/>
          <w:color w:val="000000"/>
          <w:sz w:val="24"/>
        </w:rPr>
        <w:t>the</w:t>
      </w:r>
      <w:r>
        <w:rPr>
          <w:rFonts w:ascii="Arial"/>
          <w:color w:val="000000"/>
          <w:sz w:val="24"/>
        </w:rPr>
        <w:t xml:space="preserve"> dispossessed </w:t>
      </w:r>
      <w:r>
        <w:rPr>
          <w:rFonts w:ascii="Arial"/>
          <w:color w:val="000000"/>
          <w:sz w:val="24"/>
        </w:rPr>
        <w:t>land</w:t>
      </w:r>
      <w:r>
        <w:rPr>
          <w:rFonts w:ascii="Arial"/>
          <w:color w:val="000000"/>
          <w:sz w:val="24"/>
        </w:rPr>
        <w:t>owner</w:t>
      </w:r>
      <w:r>
        <w:rPr>
          <w:rFonts w:ascii="Arial"/>
          <w:color w:val="000000"/>
          <w:sz w:val="24"/>
        </w:rPr>
        <w:t>s</w:t>
      </w:r>
      <w:r>
        <w:rPr>
          <w:rFonts w:ascii="Arial"/>
          <w:color w:val="000000"/>
          <w:sz w:val="24"/>
        </w:rPr>
        <w:t xml:space="preserve"> obtained less than the statutory offer but</w:t>
      </w:r>
      <w:r>
        <w:rPr>
          <w:rFonts w:ascii="Arial"/>
          <w:color w:val="000000"/>
          <w:sz w:val="24"/>
        </w:rPr>
        <w:t xml:space="preserve"> </w:t>
      </w:r>
      <w:r>
        <w:rPr>
          <w:rFonts w:ascii="Arial"/>
          <w:color w:val="000000"/>
          <w:sz w:val="24"/>
        </w:rPr>
        <w:t>exceeded the amount contended for by the respondent.</w:t>
      </w:r>
      <w:r>
        <w:rPr>
          <w:rFonts w:ascii="Arial"/>
          <w:color w:val="000000"/>
          <w:sz w:val="24"/>
        </w:rPr>
        <w:t xml:space="preserve"> </w:t>
      </w:r>
      <w:r>
        <w:rPr>
          <w:rFonts w:ascii="Arial"/>
          <w:color w:val="000000"/>
          <w:sz w:val="24"/>
        </w:rPr>
        <w:t>Relevantly, at</w:t>
      </w:r>
      <w:r>
        <w:rPr>
          <w:rFonts w:ascii="Arial"/>
          <w:color w:val="000000"/>
          <w:sz w:val="24"/>
        </w:rPr>
        <w:t xml:space="preserve"> first instance the</w:t>
      </w:r>
      <w:r>
        <w:rPr>
          <w:rFonts w:ascii="Arial"/>
          <w:color w:val="000000"/>
          <w:sz w:val="24"/>
        </w:rPr>
        <w:t xml:space="preserve"> </w:t>
      </w:r>
      <w:r>
        <w:rPr>
          <w:rFonts w:ascii="Arial"/>
          <w:color w:val="000000"/>
          <w:sz w:val="24"/>
        </w:rPr>
        <w:t>Court</w:t>
      </w:r>
      <w:r>
        <w:rPr>
          <w:rFonts w:ascii="Arial"/>
          <w:color w:val="000000"/>
          <w:sz w:val="24"/>
        </w:rPr>
        <w:t xml:space="preserve"> </w:t>
      </w:r>
      <w:r>
        <w:rPr>
          <w:rFonts w:ascii="Arial"/>
          <w:color w:val="000000"/>
          <w:sz w:val="24"/>
        </w:rPr>
        <w:t>ordered t</w:t>
      </w:r>
      <w:r>
        <w:rPr>
          <w:rFonts w:ascii="Arial"/>
          <w:color w:val="000000"/>
          <w:sz w:val="24"/>
        </w:rPr>
        <w:t xml:space="preserve">he </w:t>
      </w:r>
      <w:r>
        <w:rPr>
          <w:rFonts w:ascii="Arial"/>
          <w:color w:val="000000"/>
          <w:sz w:val="24"/>
        </w:rPr>
        <w:t xml:space="preserve">respondent to </w:t>
      </w:r>
      <w:r>
        <w:rPr>
          <w:rFonts w:ascii="Arial"/>
          <w:color w:val="000000"/>
          <w:sz w:val="24"/>
        </w:rPr>
        <w:t>pay 75% of the appl</w:t>
      </w:r>
      <w:r>
        <w:rPr>
          <w:rFonts w:ascii="Arial"/>
          <w:color w:val="000000"/>
          <w:sz w:val="24"/>
        </w:rPr>
        <w:t>ic</w:t>
      </w:r>
      <w:r>
        <w:rPr>
          <w:rFonts w:ascii="Arial"/>
          <w:color w:val="000000"/>
          <w:sz w:val="24"/>
        </w:rPr>
        <w:t>ants' costs of the first stage of the proceedings</w:t>
      </w:r>
      <w:r>
        <w:rPr>
          <w:rFonts w:ascii="Arial"/>
          <w:color w:val="000000"/>
          <w:sz w:val="24"/>
        </w:rPr>
        <w:t xml:space="preserve">. </w:t>
      </w:r>
      <w:r>
        <w:rPr>
          <w:rFonts w:ascii="Arial"/>
          <w:color w:val="000000"/>
          <w:sz w:val="24"/>
        </w:rPr>
        <w:t xml:space="preserve">The Court of Appeal upheld the applicants’ entitlement to </w:t>
      </w:r>
      <w:r>
        <w:rPr>
          <w:rFonts w:ascii="Arial"/>
          <w:color w:val="000000"/>
          <w:sz w:val="24"/>
        </w:rPr>
        <w:t>75% of its costs</w:t>
      </w:r>
      <w:r>
        <w:rPr>
          <w:rFonts w:ascii="Arial"/>
          <w:color w:val="000000"/>
          <w:sz w:val="24"/>
        </w:rPr>
        <w:t xml:space="preserve"> </w:t>
      </w:r>
      <w:r>
        <w:rPr>
          <w:rFonts w:ascii="Arial"/>
          <w:color w:val="000000"/>
          <w:sz w:val="24"/>
        </w:rPr>
        <w:t>on appeal</w:t>
      </w:r>
      <w:r>
        <w:rPr>
          <w:rFonts w:ascii="Arial"/>
          <w:color w:val="000000"/>
          <w:sz w:val="24"/>
        </w:rPr>
        <w:t xml:space="preserve">. </w:t>
      </w:r>
    </w:p>
    <w:p>
      <w:pPr>
        <w:pStyle w:val="CaselawNumbered10"/>
        <w:numPr>
          <w:ilvl w:val="0"/>
          <w:numId w:val="32"/>
        </w:numPr>
        <w:spacing w:before="150" w:after="0"/>
        <w:ind w:left="600" w:hanging="600"/>
      </w:pPr>
      <w:r>
        <w:rPr>
          <w:rFonts w:ascii="Arial"/>
          <w:i/>
          <w:color w:val="000000"/>
          <w:sz w:val="24"/>
        </w:rPr>
        <w:t xml:space="preserve">Dillon </w:t>
      </w:r>
      <w:r>
        <w:rPr>
          <w:rFonts w:ascii="Arial"/>
          <w:color w:val="000000"/>
          <w:sz w:val="24"/>
        </w:rPr>
        <w:t>was</w:t>
      </w:r>
      <w:r>
        <w:rPr>
          <w:rFonts w:ascii="Arial"/>
          <w:color w:val="000000"/>
          <w:sz w:val="24"/>
        </w:rPr>
        <w:t xml:space="preserve"> </w:t>
      </w:r>
      <w:r>
        <w:rPr>
          <w:rFonts w:ascii="Arial"/>
          <w:color w:val="000000"/>
          <w:sz w:val="24"/>
        </w:rPr>
        <w:t>subsequently</w:t>
      </w:r>
      <w:r>
        <w:rPr>
          <w:rFonts w:ascii="Arial"/>
          <w:color w:val="000000"/>
          <w:sz w:val="24"/>
        </w:rPr>
        <w:t xml:space="preserve"> </w:t>
      </w:r>
      <w:r>
        <w:rPr>
          <w:rFonts w:ascii="Arial"/>
          <w:color w:val="000000"/>
          <w:sz w:val="24"/>
        </w:rPr>
        <w:t xml:space="preserve">applied in </w:t>
      </w:r>
      <w:r>
        <w:rPr>
          <w:rFonts w:ascii="Arial"/>
          <w:i/>
          <w:color w:val="000000"/>
          <w:sz w:val="24"/>
        </w:rPr>
        <w:t xml:space="preserve">Brock v Roads and Maritime Service (formerly Roads and Traffic Authority of NSW) </w:t>
      </w:r>
      <w:r>
        <w:rPr>
          <w:rFonts w:ascii="Arial"/>
          <w:color w:val="000000"/>
          <w:sz w:val="24"/>
        </w:rPr>
        <w:t>[2012] NSWCA 404; (2012) 191 LGERA 267</w:t>
      </w:r>
      <w:r>
        <w:rPr>
          <w:rFonts w:ascii="Arial"/>
          <w:color w:val="000000"/>
          <w:sz w:val="24"/>
        </w:rPr>
        <w:t>,</w:t>
      </w:r>
      <w:r>
        <w:rPr>
          <w:rFonts w:ascii="Arial"/>
          <w:color w:val="000000"/>
          <w:sz w:val="24"/>
        </w:rPr>
        <w:t xml:space="preserve"> </w:t>
      </w:r>
      <w:r>
        <w:rPr>
          <w:rFonts w:ascii="Arial"/>
          <w:color w:val="000000"/>
          <w:sz w:val="24"/>
        </w:rPr>
        <w:t>where Tobias AJA noted (at [92]-[9</w:t>
      </w:r>
      <w:r>
        <w:rPr>
          <w:rFonts w:ascii="Arial"/>
          <w:color w:val="000000"/>
          <w:sz w:val="24"/>
        </w:rPr>
        <w:t>8</w:t>
      </w:r>
      <w:r>
        <w:rPr>
          <w:rFonts w:ascii="Arial"/>
          <w:color w:val="000000"/>
          <w:sz w:val="24"/>
        </w:rPr>
        <w:t>]):</w:t>
      </w:r>
    </w:p>
    <w:p>
      <w:pPr>
        <w:pStyle w:val="CaselawQuote"/>
        <w:spacing w:before="150" w:after="150"/>
        <w:ind w:left="1350"/>
        <w:jc w:val="left"/>
      </w:pPr>
      <w:r>
        <w:rPr>
          <w:rFonts w:ascii="Arial"/>
          <w:color w:val="000000"/>
          <w:sz w:val="22"/>
        </w:rPr>
        <w:t>92</w:t>
      </w:r>
      <w:r>
        <w:rPr>
          <w:rFonts w:ascii="Arial"/>
          <w:color w:val="000000"/>
          <w:sz w:val="22"/>
        </w:rPr>
        <w:t>   </w:t>
      </w:r>
      <w:r>
        <w:rPr>
          <w:rFonts w:ascii="Arial"/>
          <w:color w:val="000000"/>
          <w:sz w:val="22"/>
        </w:rPr>
        <w:t xml:space="preserve">…Only two factors were referred to by the primary judge which could be said to be in some way adverse to </w:t>
      </w:r>
      <w:r>
        <w:rPr>
          <w:rFonts w:ascii="Arial"/>
          <w:color w:val="000000"/>
          <w:sz w:val="22"/>
        </w:rPr>
        <w:t>[the appellant]. The first was his Honour’s statement at [113] of the costs judgment that she would have been better off had she accepted the statutory offer or either of the offers of compromise made close to the date of trial. As she did not accept those offers, his Honour considered that she was unsuccessful in her li</w:t>
      </w:r>
      <w:r>
        <w:rPr>
          <w:rFonts w:ascii="Arial"/>
          <w:color w:val="000000"/>
          <w:sz w:val="22"/>
        </w:rPr>
        <w:t xml:space="preserve">tigation. With the benefit of hindsight this was so. </w:t>
      </w:r>
    </w:p>
    <w:p>
      <w:pPr>
        <w:pStyle w:val="CaselawQuote"/>
        <w:spacing w:before="150" w:after="150"/>
        <w:ind w:left="1350"/>
        <w:jc w:val="left"/>
      </w:pPr>
      <w:r>
        <w:rPr>
          <w:rFonts w:ascii="Arial"/>
          <w:color w:val="000000"/>
          <w:sz w:val="22"/>
        </w:rPr>
        <w:t>93</w:t>
      </w:r>
      <w:r>
        <w:rPr>
          <w:rFonts w:ascii="Arial"/>
          <w:color w:val="000000"/>
          <w:sz w:val="22"/>
        </w:rPr>
        <w:t>   </w:t>
      </w:r>
      <w:r>
        <w:rPr>
          <w:rFonts w:ascii="Arial"/>
          <w:color w:val="000000"/>
          <w:sz w:val="22"/>
        </w:rPr>
        <w:t xml:space="preserve">The second was his Honour’s observation at [123] that the appellant may have had unrealistic hopes or expectations for her litigation. However, she was entitled to rely on the advice of Mr Jones and her legal representatives and there was no suggestion that she was acting unreasonably in doing so. </w:t>
      </w:r>
    </w:p>
    <w:p>
      <w:pPr>
        <w:pStyle w:val="CaselawQuote"/>
        <w:spacing w:before="150" w:after="150"/>
        <w:ind w:left="1350"/>
        <w:jc w:val="left"/>
      </w:pPr>
      <w:r>
        <w:rPr>
          <w:rFonts w:ascii="Arial"/>
          <w:color w:val="000000"/>
          <w:sz w:val="22"/>
        </w:rPr>
        <w:t>94</w:t>
      </w:r>
      <w:r>
        <w:rPr>
          <w:rFonts w:ascii="Arial"/>
          <w:color w:val="000000"/>
          <w:sz w:val="22"/>
        </w:rPr>
        <w:t>   </w:t>
      </w:r>
      <w:r>
        <w:rPr>
          <w:rFonts w:ascii="Arial"/>
          <w:color w:val="000000"/>
          <w:sz w:val="22"/>
        </w:rPr>
        <w:t xml:space="preserve">Neither of </w:t>
      </w:r>
      <w:r>
        <w:rPr>
          <w:rFonts w:ascii="Arial"/>
          <w:color w:val="000000"/>
          <w:sz w:val="22"/>
        </w:rPr>
        <w:t>the</w:t>
      </w:r>
      <w:r>
        <w:rPr>
          <w:rFonts w:ascii="Arial"/>
          <w:color w:val="000000"/>
          <w:sz w:val="22"/>
        </w:rPr>
        <w:t xml:space="preserve">se factors could, as a matter of principle, carry determinative weight in the application of the discretion with respect to costs in what has been referred to in the authorities as “out of the ordinary litigation”. Further, neither factor is capable of displacing the principle that a claimant for compensation with respect to the compulsory acquisition of his or her land should usually be entitled to </w:t>
      </w:r>
      <w:r>
        <w:rPr>
          <w:rFonts w:ascii="Arial"/>
          <w:color w:val="000000"/>
          <w:sz w:val="22"/>
        </w:rPr>
        <w:t>recover the costs of the proceedings where he or she has acted reasonably in pursuing the proceedings and has not conducted them in a manner which gives rise to unnecessary delay or expense. In the present case, his Honour specifically found (at [123]) that he could find no basis for a finding that the appellant (or for that matter the respondent) behaved unreasonably in the conduct of the litigation. Additionally, as the appellant submitted, his Honour did not find that it was unreasonable for the appellant to have held hopes or expectations with respect to the outcome of her litigation which ultimately turned out to be unrealistic.</w:t>
      </w:r>
    </w:p>
    <w:p>
      <w:pPr>
        <w:pStyle w:val="CaselawQuote"/>
        <w:spacing w:before="150" w:after="150"/>
        <w:ind w:left="1350"/>
        <w:jc w:val="left"/>
      </w:pPr>
      <w:r>
        <w:rPr>
          <w:rFonts w:ascii="Arial"/>
          <w:color w:val="000000"/>
          <w:sz w:val="22"/>
        </w:rPr>
        <w:t>95</w:t>
      </w:r>
      <w:r>
        <w:rPr>
          <w:rFonts w:ascii="Arial"/>
          <w:color w:val="000000"/>
          <w:sz w:val="22"/>
        </w:rPr>
        <w:t>   </w:t>
      </w:r>
      <w:r>
        <w:rPr>
          <w:rFonts w:ascii="Arial"/>
          <w:color w:val="000000"/>
          <w:sz w:val="22"/>
        </w:rPr>
        <w:t xml:space="preserve">As was noted by </w:t>
      </w:r>
      <w:r>
        <w:rPr>
          <w:rFonts w:ascii="Arial"/>
          <w:color w:val="000000"/>
          <w:sz w:val="22"/>
        </w:rPr>
        <w:t>Basten</w:t>
      </w:r>
      <w:r>
        <w:rPr>
          <w:rFonts w:ascii="Arial"/>
          <w:color w:val="000000"/>
          <w:sz w:val="22"/>
        </w:rPr>
        <w:t xml:space="preserve"> JA in </w:t>
      </w:r>
      <w:r>
        <w:rPr>
          <w:rFonts w:ascii="Arial"/>
          <w:i/>
          <w:color w:val="000000"/>
          <w:sz w:val="22"/>
        </w:rPr>
        <w:t>Dillon</w:t>
      </w:r>
      <w:r>
        <w:rPr>
          <w:rFonts w:ascii="Arial"/>
          <w:color w:val="000000"/>
          <w:sz w:val="22"/>
        </w:rPr>
        <w:t xml:space="preserve"> at [71], an owner of land who has been compulsorily dispossessed is entitled to take reasonable steps to seek the judgment of the court in respect of the adequacy of any compensation offered. The appellant took such steps and there was no suggestion that in so doing she acted unreasonably. Although in one sense she was unsuccessful in the litigation in that she obtained less than the statutory offer and accepting that that is a factor to take into account, on the other hand at trial she obtained an award of compensation which, with respect to market value, exceeded the amount contended for by the respondent by $117,087. In other words, at trial the respondent contended that apart from disturbance the amount which should be awarded to the appellant for the market value of the land as well as injurious affection and severance was $320,000. His Honour found that the proper amount was $437,087. To that extent she had a victory at trial.</w:t>
      </w:r>
    </w:p>
    <w:p>
      <w:pPr>
        <w:pStyle w:val="CaselawQuote"/>
        <w:spacing w:before="150" w:after="150"/>
        <w:ind w:left="1350"/>
        <w:jc w:val="left"/>
      </w:pPr>
      <w:r>
        <w:rPr>
          <w:rFonts w:ascii="Arial"/>
          <w:color w:val="000000"/>
          <w:sz w:val="22"/>
        </w:rPr>
        <w:t>96</w:t>
      </w:r>
      <w:r>
        <w:rPr>
          <w:rFonts w:ascii="Arial"/>
          <w:color w:val="000000"/>
          <w:sz w:val="22"/>
        </w:rPr>
        <w:t>   </w:t>
      </w:r>
      <w:r>
        <w:rPr>
          <w:rFonts w:ascii="Arial"/>
          <w:color w:val="000000"/>
          <w:sz w:val="22"/>
        </w:rPr>
        <w:t xml:space="preserve">As </w:t>
      </w:r>
      <w:r>
        <w:rPr>
          <w:rFonts w:ascii="Arial"/>
          <w:color w:val="000000"/>
          <w:sz w:val="22"/>
        </w:rPr>
        <w:t>Basten</w:t>
      </w:r>
      <w:r>
        <w:rPr>
          <w:rFonts w:ascii="Arial"/>
          <w:color w:val="000000"/>
          <w:sz w:val="22"/>
        </w:rPr>
        <w:t xml:space="preserve"> JA concluded at [72] in </w:t>
      </w:r>
      <w:r>
        <w:rPr>
          <w:rFonts w:ascii="Arial"/>
          <w:i/>
          <w:color w:val="000000"/>
          <w:sz w:val="22"/>
        </w:rPr>
        <w:t>Dillon</w:t>
      </w:r>
      <w:r>
        <w:rPr>
          <w:rFonts w:ascii="Arial"/>
          <w:color w:val="000000"/>
          <w:sz w:val="22"/>
        </w:rPr>
        <w:t>, the purpose of an award of costs, being to compensate the party for expenditure incurred in the course of litigation, must be taken into account although the nature of the litigation and the reasonableness of the conduct of the litigation by the claimant are central considerations.</w:t>
      </w:r>
    </w:p>
    <w:p>
      <w:pPr>
        <w:pStyle w:val="CaselawQuote"/>
        <w:spacing w:before="150" w:after="150"/>
        <w:ind w:left="1350"/>
        <w:jc w:val="left"/>
      </w:pPr>
      <w:r>
        <w:rPr>
          <w:rFonts w:ascii="Arial"/>
          <w:color w:val="000000"/>
          <w:sz w:val="22"/>
        </w:rPr>
        <w:t>97</w:t>
      </w:r>
      <w:r>
        <w:rPr>
          <w:rFonts w:ascii="Arial"/>
          <w:color w:val="000000"/>
          <w:sz w:val="22"/>
        </w:rPr>
        <w:t>   </w:t>
      </w:r>
      <w:r>
        <w:rPr>
          <w:rFonts w:ascii="Arial"/>
          <w:color w:val="000000"/>
          <w:sz w:val="22"/>
        </w:rPr>
        <w:t xml:space="preserve">The nature of the litigation is, as Wilcox J observed in </w:t>
      </w:r>
      <w:r>
        <w:rPr>
          <w:rFonts w:ascii="Arial"/>
          <w:i/>
          <w:color w:val="000000"/>
          <w:sz w:val="22"/>
        </w:rPr>
        <w:t>Banno</w:t>
      </w:r>
      <w:r>
        <w:rPr>
          <w:rFonts w:ascii="Arial"/>
          <w:color w:val="000000"/>
          <w:sz w:val="22"/>
        </w:rPr>
        <w:t>, that it is not “ordinary litigation”. Furthermore, as I have already noted, there was no finding by the primary judge that the appellant had acted in any way unreasonably in conducting the litigation. Finally, there was no finding by the primary judge that the appellant had pursued a vexatious, dishonest or grossly exaggerated claim.</w:t>
      </w:r>
    </w:p>
    <w:p>
      <w:pPr>
        <w:pStyle w:val="CaselawQuote"/>
        <w:spacing w:before="150" w:after="150"/>
        <w:ind w:left="1350"/>
        <w:jc w:val="left"/>
      </w:pPr>
      <w:r>
        <w:rPr>
          <w:rFonts w:ascii="Arial"/>
          <w:color w:val="000000"/>
          <w:sz w:val="22"/>
        </w:rPr>
        <w:t>98</w:t>
      </w:r>
      <w:r>
        <w:rPr>
          <w:rFonts w:ascii="Arial"/>
          <w:color w:val="000000"/>
          <w:sz w:val="22"/>
        </w:rPr>
        <w:t>   </w:t>
      </w:r>
      <w:r>
        <w:rPr>
          <w:rFonts w:ascii="Arial"/>
          <w:color w:val="000000"/>
          <w:sz w:val="22"/>
        </w:rPr>
        <w:t>It follows from the foregoing that, given the findings to which I have referred, it is apparent that his Honour's order that the appellant should bear her own costs of the proceedings was inconsistent with the application of the correct principles. That inconsistency involved an implicit erroneous decision as to correct principle and thus gave rise to a question of law.</w:t>
      </w:r>
    </w:p>
    <w:p>
      <w:pPr>
        <w:pStyle w:val="CaselawNumbered10"/>
        <w:numPr>
          <w:ilvl w:val="0"/>
          <w:numId w:val="33"/>
        </w:numPr>
        <w:spacing w:before="150" w:after="0"/>
        <w:ind w:left="600" w:hanging="600"/>
      </w:pPr>
      <w:r>
        <w:rPr>
          <w:rFonts w:ascii="Arial"/>
          <w:color w:val="000000"/>
          <w:sz w:val="24"/>
        </w:rPr>
        <w:t xml:space="preserve">This reasoning is consistent with the earlier </w:t>
      </w:r>
      <w:r>
        <w:rPr>
          <w:rFonts w:ascii="Arial"/>
          <w:color w:val="000000"/>
          <w:sz w:val="24"/>
        </w:rPr>
        <w:t>decision</w:t>
      </w:r>
      <w:r>
        <w:rPr>
          <w:rFonts w:ascii="Arial"/>
          <w:color w:val="000000"/>
          <w:sz w:val="24"/>
        </w:rPr>
        <w:t xml:space="preserve"> </w:t>
      </w:r>
      <w:r>
        <w:rPr>
          <w:rFonts w:ascii="Arial"/>
          <w:color w:val="000000"/>
          <w:sz w:val="24"/>
        </w:rPr>
        <w:t xml:space="preserve">of Stein JA in </w:t>
      </w:r>
      <w:r>
        <w:rPr>
          <w:rFonts w:ascii="Arial"/>
          <w:i/>
          <w:color w:val="000000"/>
          <w:sz w:val="24"/>
        </w:rPr>
        <w:t>Overton Investments Pty Ltd v Minister Administering the Environment</w:t>
      </w:r>
      <w:r>
        <w:rPr>
          <w:rFonts w:ascii="Arial"/>
          <w:i/>
          <w:color w:val="000000"/>
          <w:sz w:val="24"/>
        </w:rPr>
        <w:t>al</w:t>
      </w:r>
      <w:r>
        <w:rPr>
          <w:rFonts w:ascii="Arial"/>
          <w:i/>
          <w:color w:val="000000"/>
          <w:sz w:val="24"/>
        </w:rPr>
        <w:t xml:space="preserve"> Planning and Assessment Act 1979</w:t>
      </w:r>
      <w:r>
        <w:rPr>
          <w:rFonts w:ascii="Arial"/>
          <w:color w:val="000000"/>
          <w:sz w:val="24"/>
        </w:rPr>
        <w:t xml:space="preserve"> </w:t>
      </w:r>
      <w:r>
        <w:rPr>
          <w:rFonts w:ascii="Arial"/>
          <w:color w:val="000000"/>
          <w:sz w:val="24"/>
        </w:rPr>
        <w:t>[2001] NSWCA 137; (2001) 113 LGERA 439</w:t>
      </w:r>
      <w:r>
        <w:rPr>
          <w:rFonts w:ascii="Arial"/>
          <w:color w:val="000000"/>
          <w:sz w:val="24"/>
        </w:rPr>
        <w:t xml:space="preserve"> </w:t>
      </w:r>
      <w:r>
        <w:rPr>
          <w:rFonts w:ascii="Arial"/>
          <w:color w:val="000000"/>
          <w:sz w:val="24"/>
        </w:rPr>
        <w:t>(at [70]-[73]):</w:t>
      </w:r>
    </w:p>
    <w:p>
      <w:pPr>
        <w:pStyle w:val="CaselawQuote"/>
        <w:spacing w:before="150" w:after="150"/>
        <w:ind w:left="1350"/>
        <w:jc w:val="left"/>
      </w:pPr>
      <w:r>
        <w:rPr>
          <w:rFonts w:ascii="Arial"/>
          <w:color w:val="000000"/>
          <w:sz w:val="22"/>
        </w:rPr>
        <w:t>70</w:t>
      </w:r>
      <w:r>
        <w:rPr>
          <w:rFonts w:ascii="Arial"/>
          <w:color w:val="000000"/>
          <w:sz w:val="22"/>
        </w:rPr>
        <w:t>   </w:t>
      </w:r>
      <w:r>
        <w:rPr>
          <w:rFonts w:ascii="Arial"/>
          <w:color w:val="000000"/>
          <w:sz w:val="22"/>
        </w:rPr>
        <w:t>The amount of compensation to be determined by the court is at large and the Valuer-General's determination may or may not play a part in the hearing. Like this trial, most compensation hearings take a considerable time to hear by reason of the valuation evidence regarding hypothetical developments, comparable sales and the like. This case was no exception.</w:t>
      </w:r>
    </w:p>
    <w:p>
      <w:pPr>
        <w:pStyle w:val="CaselawQuote"/>
        <w:spacing w:before="150" w:after="150"/>
        <w:ind w:left="1350"/>
        <w:jc w:val="left"/>
      </w:pPr>
      <w:r>
        <w:rPr>
          <w:rFonts w:ascii="Arial"/>
          <w:color w:val="000000"/>
          <w:sz w:val="22"/>
        </w:rPr>
        <w:t>71</w:t>
      </w:r>
      <w:r>
        <w:rPr>
          <w:rFonts w:ascii="Arial"/>
          <w:color w:val="000000"/>
          <w:sz w:val="22"/>
        </w:rPr>
        <w:t>   </w:t>
      </w:r>
      <w:r>
        <w:rPr>
          <w:rFonts w:ascii="Arial"/>
          <w:color w:val="000000"/>
          <w:sz w:val="22"/>
        </w:rPr>
        <w:t>This Court heard argument as to the relevance to the issue of costs of the amount of the Valuer-General's determination and its relationship to the ultimate award by the Court. I do not understand either party to suggest that it is an irrelevant factor to be taken into account on costs. In my view, it can be a relevant factor but one which rarely will be a determining one. Nevertheless, I do not see that his Honour placed any undue weight on the factor.</w:t>
      </w:r>
    </w:p>
    <w:p>
      <w:pPr>
        <w:pStyle w:val="CaselawQuote"/>
        <w:spacing w:before="150" w:after="150"/>
        <w:ind w:left="1350"/>
        <w:jc w:val="left"/>
      </w:pPr>
      <w:r>
        <w:rPr>
          <w:rFonts w:ascii="Arial"/>
          <w:color w:val="000000"/>
          <w:sz w:val="22"/>
        </w:rPr>
        <w:t>72</w:t>
      </w:r>
      <w:r>
        <w:rPr>
          <w:rFonts w:ascii="Arial"/>
          <w:color w:val="000000"/>
          <w:sz w:val="22"/>
        </w:rPr>
        <w:t>   </w:t>
      </w:r>
      <w:r>
        <w:rPr>
          <w:rFonts w:ascii="Arial"/>
          <w:color w:val="000000"/>
          <w:sz w:val="22"/>
        </w:rPr>
        <w:t>Nor do I see that it is a simple matter of ascertaining who won or lost the litigation. Compensation determinations are not like awards of damages for personal injury. Obtaining an award of compensation of $100 does not necessarily mean that a landowner “wins” the litigation. A judge is entitled to look realistically at the litigation, the issues, the way it was conducted and the result, in order to assess who really succeeded and to what extent.</w:t>
      </w:r>
    </w:p>
    <w:p>
      <w:pPr>
        <w:pStyle w:val="CaselawQuote"/>
        <w:spacing w:before="150" w:after="150"/>
        <w:ind w:left="1350"/>
        <w:jc w:val="left"/>
      </w:pPr>
      <w:r>
        <w:rPr>
          <w:rFonts w:ascii="Arial"/>
          <w:color w:val="000000"/>
          <w:sz w:val="22"/>
        </w:rPr>
        <w:t>73</w:t>
      </w:r>
      <w:r>
        <w:rPr>
          <w:rFonts w:ascii="Arial"/>
          <w:color w:val="000000"/>
          <w:sz w:val="22"/>
        </w:rPr>
        <w:t>   </w:t>
      </w:r>
      <w:r>
        <w:rPr>
          <w:rFonts w:ascii="Arial"/>
          <w:color w:val="000000"/>
          <w:sz w:val="22"/>
        </w:rPr>
        <w:t>In my opinion, the exercise of the discretion by his Honour, although involving the error identified above, was otherwise a sound exercise of discretion. The result of the order that each party pay its and his own costs was a fair one and properly</w:t>
      </w:r>
      <w:r>
        <w:rPr>
          <w:rFonts w:ascii="Arial"/>
          <w:color w:val="000000"/>
          <w:sz w:val="22"/>
        </w:rPr>
        <w:t xml:space="preserve"> reflective of the litigation. I do not think that this Court should intervene. In any event, if the Court were to re-exercise the costs discretion, I would come to the same conclusion as his Honour.</w:t>
      </w:r>
    </w:p>
    <w:p>
      <w:pPr>
        <w:pStyle w:val="CaselawNumbered10"/>
        <w:numPr>
          <w:ilvl w:val="0"/>
          <w:numId w:val="34"/>
        </w:numPr>
        <w:spacing w:before="150" w:after="0"/>
        <w:ind w:left="600" w:hanging="600"/>
      </w:pPr>
      <w:r>
        <w:rPr>
          <w:rFonts w:ascii="Arial"/>
          <w:color w:val="000000"/>
          <w:sz w:val="24"/>
        </w:rPr>
        <w:t>While obtaining an award of compensation lower than the Valuer-General</w:t>
      </w:r>
      <w:r>
        <w:rPr>
          <w:rFonts w:ascii="Arial"/>
          <w:color w:val="000000"/>
          <w:sz w:val="24"/>
        </w:rPr>
        <w:t>’</w:t>
      </w:r>
      <w:r>
        <w:rPr>
          <w:rFonts w:ascii="Arial"/>
          <w:color w:val="000000"/>
          <w:sz w:val="24"/>
        </w:rPr>
        <w:t xml:space="preserve">s offer is a relevant but </w:t>
      </w:r>
      <w:r>
        <w:rPr>
          <w:rFonts w:ascii="Arial"/>
          <w:color w:val="000000"/>
          <w:sz w:val="24"/>
        </w:rPr>
        <w:t>“</w:t>
      </w:r>
      <w:r>
        <w:rPr>
          <w:rFonts w:ascii="Arial"/>
          <w:color w:val="000000"/>
          <w:sz w:val="24"/>
        </w:rPr>
        <w:t>rarely</w:t>
      </w:r>
      <w:r>
        <w:rPr>
          <w:rFonts w:ascii="Arial"/>
          <w:color w:val="000000"/>
          <w:sz w:val="24"/>
        </w:rPr>
        <w:t xml:space="preserve">” </w:t>
      </w:r>
      <w:r>
        <w:rPr>
          <w:rFonts w:ascii="Arial"/>
          <w:color w:val="000000"/>
          <w:sz w:val="24"/>
        </w:rPr>
        <w:t>determinative</w:t>
      </w:r>
      <w:r>
        <w:rPr>
          <w:rFonts w:ascii="Arial"/>
          <w:color w:val="000000"/>
          <w:sz w:val="24"/>
        </w:rPr>
        <w:t xml:space="preserve"> </w:t>
      </w:r>
      <w:r>
        <w:rPr>
          <w:rFonts w:ascii="Arial"/>
          <w:color w:val="000000"/>
          <w:sz w:val="24"/>
        </w:rPr>
        <w:t>factor, the Court must nevertheless be mindful of the caution</w:t>
      </w:r>
      <w:r>
        <w:rPr>
          <w:rFonts w:ascii="Arial"/>
          <w:color w:val="000000"/>
          <w:sz w:val="24"/>
        </w:rPr>
        <w:t xml:space="preserve"> </w:t>
      </w:r>
      <w:r>
        <w:rPr>
          <w:rFonts w:ascii="Arial"/>
          <w:color w:val="000000"/>
          <w:sz w:val="24"/>
        </w:rPr>
        <w:t xml:space="preserve">expressed by </w:t>
      </w:r>
      <w:r>
        <w:rPr>
          <w:rFonts w:ascii="Arial"/>
          <w:color w:val="000000"/>
          <w:sz w:val="24"/>
        </w:rPr>
        <w:t xml:space="preserve">his Honour in </w:t>
      </w:r>
      <w:r>
        <w:rPr>
          <w:rFonts w:ascii="Arial"/>
          <w:i/>
          <w:color w:val="000000"/>
          <w:sz w:val="24"/>
        </w:rPr>
        <w:t>Overton</w:t>
      </w:r>
      <w:r>
        <w:rPr>
          <w:rFonts w:ascii="Arial"/>
          <w:color w:val="000000"/>
          <w:sz w:val="24"/>
        </w:rPr>
        <w:t xml:space="preserve"> </w:t>
      </w:r>
      <w:r>
        <w:rPr>
          <w:rFonts w:ascii="Arial"/>
          <w:color w:val="000000"/>
          <w:sz w:val="24"/>
        </w:rPr>
        <w:t>(at [74]):</w:t>
      </w:r>
    </w:p>
    <w:p>
      <w:pPr>
        <w:pStyle w:val="CaselawQuote"/>
        <w:spacing w:before="150" w:after="150"/>
        <w:ind w:left="1350"/>
        <w:jc w:val="left"/>
      </w:pPr>
      <w:r>
        <w:rPr>
          <w:rFonts w:ascii="Arial"/>
          <w:color w:val="000000"/>
          <w:sz w:val="22"/>
        </w:rPr>
        <w:t>74</w:t>
      </w:r>
      <w:r>
        <w:rPr>
          <w:rFonts w:ascii="Arial"/>
          <w:color w:val="000000"/>
          <w:sz w:val="22"/>
        </w:rPr>
        <w:t>   </w:t>
      </w:r>
      <w:r>
        <w:rPr>
          <w:rFonts w:ascii="Arial"/>
          <w:color w:val="000000"/>
          <w:sz w:val="22"/>
        </w:rPr>
        <w:t>On a final note, it was said that if a landowner was not entitled to his costs of a trial where an award of compensation is obtained, then he could be at the mercy of the Government in prolonging the litigation. I do not accept that this is so and indeed, the opposite could be claimed. That is, if a landowner is always to get its costs so long as it obtains an award of compensation, however small, the resuming authority may be at the mercy of the landowner in prolonging a trial.</w:t>
      </w:r>
    </w:p>
    <w:p>
      <w:pPr>
        <w:pStyle w:val="CaselawNumbered10"/>
        <w:numPr>
          <w:ilvl w:val="0"/>
          <w:numId w:val="35"/>
        </w:numPr>
        <w:spacing w:before="150" w:after="0"/>
        <w:ind w:left="600" w:hanging="600"/>
      </w:pPr>
      <w:r>
        <w:rPr>
          <w:rFonts w:ascii="Arial"/>
          <w:color w:val="000000"/>
          <w:sz w:val="24"/>
        </w:rPr>
        <w:t xml:space="preserve">Thus there can be no expectation that </w:t>
      </w:r>
      <w:r>
        <w:rPr>
          <w:rFonts w:ascii="Arial"/>
          <w:color w:val="000000"/>
          <w:sz w:val="24"/>
        </w:rPr>
        <w:t xml:space="preserve">dispossessed </w:t>
      </w:r>
      <w:r>
        <w:rPr>
          <w:rFonts w:ascii="Arial"/>
          <w:color w:val="000000"/>
          <w:sz w:val="24"/>
        </w:rPr>
        <w:t xml:space="preserve">owners will always recover costs, irrespective of the merits of their case. </w:t>
      </w:r>
    </w:p>
    <w:p>
      <w:pPr>
        <w:pStyle w:val="CaselawNumbered10"/>
        <w:numPr>
          <w:ilvl w:val="0"/>
          <w:numId w:val="35"/>
        </w:numPr>
        <w:spacing w:before="150" w:after="0"/>
        <w:ind w:left="600" w:hanging="600"/>
      </w:pPr>
      <w:r>
        <w:rPr>
          <w:rFonts w:ascii="Arial"/>
          <w:color w:val="000000"/>
          <w:sz w:val="24"/>
        </w:rPr>
        <w:t>Accordingly,</w:t>
      </w:r>
      <w:r>
        <w:rPr>
          <w:rFonts w:ascii="Arial"/>
          <w:color w:val="000000"/>
          <w:sz w:val="24"/>
        </w:rPr>
        <w:t xml:space="preserve"> </w:t>
      </w:r>
      <w:r>
        <w:rPr>
          <w:rFonts w:ascii="Arial"/>
          <w:color w:val="000000"/>
          <w:sz w:val="24"/>
        </w:rPr>
        <w:t>in</w:t>
      </w:r>
      <w:r>
        <w:rPr>
          <w:rFonts w:ascii="Arial"/>
          <w:color w:val="000000"/>
          <w:sz w:val="24"/>
        </w:rPr>
        <w:t xml:space="preserve"> </w:t>
      </w:r>
      <w:r>
        <w:rPr>
          <w:rFonts w:ascii="Arial"/>
          <w:color w:val="000000"/>
          <w:sz w:val="24"/>
        </w:rPr>
        <w:t>exercising the discretion</w:t>
      </w:r>
      <w:r>
        <w:rPr>
          <w:rFonts w:ascii="Arial"/>
          <w:color w:val="000000"/>
          <w:sz w:val="24"/>
        </w:rPr>
        <w:t xml:space="preserve"> </w:t>
      </w:r>
      <w:r>
        <w:rPr>
          <w:rFonts w:ascii="Arial"/>
          <w:color w:val="000000"/>
          <w:sz w:val="24"/>
        </w:rPr>
        <w:t>to award costs</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 xml:space="preserve">he Court is not limited to </w:t>
      </w:r>
      <w:r>
        <w:rPr>
          <w:rFonts w:ascii="Arial"/>
          <w:color w:val="000000"/>
          <w:sz w:val="24"/>
        </w:rPr>
        <w:t xml:space="preserve">a </w:t>
      </w:r>
      <w:r>
        <w:rPr>
          <w:rFonts w:ascii="Arial"/>
          <w:color w:val="000000"/>
          <w:sz w:val="24"/>
        </w:rPr>
        <w:t>consider</w:t>
      </w:r>
      <w:r>
        <w:rPr>
          <w:rFonts w:ascii="Arial"/>
          <w:color w:val="000000"/>
          <w:sz w:val="24"/>
        </w:rPr>
        <w:t>ation of</w:t>
      </w:r>
      <w:r>
        <w:rPr>
          <w:rFonts w:ascii="Arial"/>
          <w:color w:val="000000"/>
          <w:sz w:val="24"/>
        </w:rPr>
        <w:t xml:space="preserve"> </w:t>
      </w:r>
      <w:r>
        <w:rPr>
          <w:rFonts w:ascii="Arial"/>
          <w:color w:val="000000"/>
          <w:sz w:val="24"/>
        </w:rPr>
        <w:t xml:space="preserve">whether the </w:t>
      </w:r>
      <w:r>
        <w:rPr>
          <w:rFonts w:ascii="Arial"/>
          <w:color w:val="000000"/>
          <w:sz w:val="24"/>
        </w:rPr>
        <w:t xml:space="preserve">applicant </w:t>
      </w:r>
      <w:r>
        <w:rPr>
          <w:rFonts w:ascii="Arial"/>
          <w:color w:val="000000"/>
          <w:sz w:val="24"/>
        </w:rPr>
        <w:t>obtained more than the amount of compensation determined by the Valuer-General</w:t>
      </w:r>
      <w:r>
        <w:rPr>
          <w:rFonts w:ascii="Arial"/>
          <w:color w:val="000000"/>
          <w:sz w:val="24"/>
        </w:rPr>
        <w:t>,</w:t>
      </w:r>
      <w:r>
        <w:rPr>
          <w:rFonts w:ascii="Arial"/>
          <w:color w:val="000000"/>
          <w:sz w:val="24"/>
        </w:rPr>
        <w:t xml:space="preserve"> </w:t>
      </w:r>
      <w:r>
        <w:rPr>
          <w:rFonts w:ascii="Arial"/>
          <w:color w:val="000000"/>
          <w:sz w:val="24"/>
        </w:rPr>
        <w:t>it</w:t>
      </w:r>
      <w:r>
        <w:rPr>
          <w:rFonts w:ascii="Arial"/>
          <w:color w:val="000000"/>
          <w:sz w:val="24"/>
        </w:rPr>
        <w:t xml:space="preserve"> </w:t>
      </w:r>
      <w:r>
        <w:rPr>
          <w:rFonts w:ascii="Arial"/>
          <w:color w:val="000000"/>
          <w:sz w:val="24"/>
        </w:rPr>
        <w:t xml:space="preserve">can </w:t>
      </w:r>
      <w:r>
        <w:rPr>
          <w:rFonts w:ascii="Arial"/>
          <w:color w:val="000000"/>
          <w:sz w:val="24"/>
        </w:rPr>
        <w:t xml:space="preserve">also </w:t>
      </w:r>
      <w:r>
        <w:rPr>
          <w:rFonts w:ascii="Arial"/>
          <w:color w:val="000000"/>
          <w:sz w:val="24"/>
        </w:rPr>
        <w:t>take into account</w:t>
      </w:r>
      <w:r>
        <w:rPr>
          <w:rFonts w:ascii="Arial"/>
          <w:color w:val="000000"/>
          <w:sz w:val="24"/>
        </w:rPr>
        <w:t xml:space="preserve"> </w:t>
      </w:r>
      <w:r>
        <w:rPr>
          <w:rFonts w:ascii="Arial"/>
          <w:color w:val="000000"/>
          <w:sz w:val="24"/>
        </w:rPr>
        <w:t xml:space="preserve">the time and expense </w:t>
      </w:r>
      <w:r>
        <w:rPr>
          <w:rFonts w:ascii="Arial"/>
          <w:color w:val="000000"/>
          <w:sz w:val="24"/>
        </w:rPr>
        <w:t>incurred by</w:t>
      </w:r>
      <w:r>
        <w:rPr>
          <w:rFonts w:ascii="Arial"/>
          <w:color w:val="000000"/>
          <w:sz w:val="24"/>
        </w:rPr>
        <w:t xml:space="preserve"> </w:t>
      </w:r>
      <w:r>
        <w:rPr>
          <w:rFonts w:ascii="Arial"/>
          <w:color w:val="000000"/>
          <w:sz w:val="24"/>
        </w:rPr>
        <w:t xml:space="preserve">parties </w:t>
      </w:r>
      <w:r>
        <w:rPr>
          <w:rFonts w:ascii="Arial"/>
          <w:color w:val="000000"/>
          <w:sz w:val="24"/>
        </w:rPr>
        <w:t>during</w:t>
      </w:r>
      <w:r>
        <w:rPr>
          <w:rFonts w:ascii="Arial"/>
          <w:color w:val="000000"/>
          <w:sz w:val="24"/>
        </w:rPr>
        <w:t xml:space="preserve"> </w:t>
      </w:r>
      <w:r>
        <w:rPr>
          <w:rFonts w:ascii="Arial"/>
          <w:color w:val="000000"/>
          <w:sz w:val="24"/>
        </w:rPr>
        <w:t>the proceedings.</w:t>
      </w:r>
      <w:r>
        <w:rPr>
          <w:rFonts w:ascii="Arial"/>
          <w:color w:val="000000"/>
          <w:sz w:val="24"/>
        </w:rPr>
        <w:t xml:space="preserve"> </w:t>
      </w:r>
      <w:r>
        <w:rPr>
          <w:rFonts w:ascii="Arial"/>
          <w:color w:val="000000"/>
          <w:sz w:val="24"/>
        </w:rPr>
        <w:t xml:space="preserve">It can, in my view, also </w:t>
      </w:r>
      <w:r>
        <w:rPr>
          <w:rFonts w:ascii="Arial"/>
          <w:color w:val="000000"/>
          <w:sz w:val="24"/>
        </w:rPr>
        <w:t>have regard to</w:t>
      </w:r>
      <w:r>
        <w:rPr>
          <w:rFonts w:ascii="Arial"/>
          <w:color w:val="000000"/>
          <w:sz w:val="24"/>
        </w:rPr>
        <w:t xml:space="preserve"> </w:t>
      </w:r>
      <w:r>
        <w:rPr>
          <w:rFonts w:ascii="Arial"/>
          <w:color w:val="000000"/>
          <w:sz w:val="24"/>
        </w:rPr>
        <w:t xml:space="preserve">whether the applicant obtained more than the amount offered by the respondent in defending the proceedings. </w:t>
      </w:r>
    </w:p>
    <w:p>
      <w:pPr>
        <w:pStyle w:val="CaselawNumbered10"/>
        <w:numPr>
          <w:ilvl w:val="0"/>
          <w:numId w:val="35"/>
        </w:numPr>
        <w:spacing w:before="150" w:after="0"/>
        <w:ind w:left="600" w:hanging="600"/>
      </w:pPr>
      <w:r>
        <w:rPr>
          <w:rFonts w:ascii="Arial"/>
          <w:color w:val="000000"/>
          <w:sz w:val="24"/>
        </w:rPr>
        <w:t xml:space="preserve">This was the conclusion reached by Moore J in </w:t>
      </w:r>
      <w:r>
        <w:rPr>
          <w:rFonts w:ascii="Arial"/>
          <w:i/>
          <w:color w:val="000000"/>
          <w:sz w:val="24"/>
        </w:rPr>
        <w:t xml:space="preserve">Azizi v </w:t>
      </w:r>
      <w:r>
        <w:rPr>
          <w:rFonts w:ascii="Arial"/>
          <w:i/>
          <w:color w:val="000000"/>
          <w:sz w:val="24"/>
        </w:rPr>
        <w:t xml:space="preserve">Council of the City of Ryde; </w:t>
      </w:r>
      <w:r>
        <w:rPr>
          <w:rFonts w:ascii="Arial"/>
          <w:i/>
          <w:color w:val="000000"/>
          <w:sz w:val="24"/>
        </w:rPr>
        <w:t>Alnox</w:t>
      </w:r>
      <w:r>
        <w:rPr>
          <w:rFonts w:ascii="Arial"/>
          <w:i/>
          <w:color w:val="000000"/>
          <w:sz w:val="24"/>
        </w:rPr>
        <w:t xml:space="preserve"> Pty Ltd v Council of the City of Ryde (No 3)</w:t>
      </w:r>
      <w:r>
        <w:rPr>
          <w:rFonts w:ascii="Arial"/>
          <w:color w:val="000000"/>
          <w:sz w:val="24"/>
        </w:rPr>
        <w:t xml:space="preserve"> </w:t>
      </w:r>
      <w:r>
        <w:rPr>
          <w:rFonts w:ascii="Arial"/>
          <w:color w:val="000000"/>
          <w:sz w:val="24"/>
        </w:rPr>
        <w:t xml:space="preserve">[2022] NSWLEC 37 </w:t>
      </w:r>
      <w:r>
        <w:rPr>
          <w:rFonts w:ascii="Arial"/>
          <w:color w:val="000000"/>
          <w:sz w:val="24"/>
        </w:rPr>
        <w:t>(at [23]):</w:t>
      </w:r>
    </w:p>
    <w:p>
      <w:pPr>
        <w:pStyle w:val="CaselawQuote"/>
        <w:spacing w:before="150" w:after="150"/>
        <w:ind w:left="1350"/>
        <w:jc w:val="left"/>
      </w:pPr>
      <w:r>
        <w:rPr>
          <w:rFonts w:ascii="Arial"/>
          <w:color w:val="000000"/>
          <w:sz w:val="22"/>
        </w:rPr>
        <w:t>23</w:t>
      </w:r>
      <w:r>
        <w:rPr>
          <w:rFonts w:ascii="Arial"/>
          <w:color w:val="000000"/>
          <w:sz w:val="22"/>
        </w:rPr>
        <w:t>   </w:t>
      </w:r>
      <w:r>
        <w:rPr>
          <w:rFonts w:ascii="Arial"/>
          <w:color w:val="000000"/>
          <w:sz w:val="22"/>
        </w:rPr>
        <w:t xml:space="preserve">The </w:t>
      </w:r>
      <w:r>
        <w:rPr>
          <w:rFonts w:ascii="Arial"/>
          <w:color w:val="000000"/>
          <w:sz w:val="22"/>
        </w:rPr>
        <w:t>appropriate comparison is not between what the Azizi interests achieved and what had been the Valuer General's determination which they contested. The proper comparison is between what the Azizi's interests achieved (being, admittedly, only modestly better than the Valuer General's second determination), but how much more they achieved when compared to what the Council contended should be the outcome of the proceedings. In this regard, the position adopted by the Council (and pursued by its advocate in the hearing) was that the amount of compensation determined by the Valuer General should be significantly reduced to the market value shown at paragraphs [13] and [16] earlier, as setting out the Council's position at the commencement of the hearing before me.</w:t>
      </w:r>
    </w:p>
    <w:p>
      <w:pPr>
        <w:pStyle w:val="CaselawNumbered10"/>
        <w:numPr>
          <w:ilvl w:val="0"/>
          <w:numId w:val="36"/>
        </w:numPr>
        <w:spacing w:before="150" w:after="0"/>
        <w:ind w:left="600" w:hanging="600"/>
      </w:pPr>
      <w:r>
        <w:rPr>
          <w:rFonts w:ascii="Arial"/>
          <w:color w:val="000000"/>
          <w:sz w:val="24"/>
        </w:rPr>
        <w:t xml:space="preserve">The Council submitted that these remarks were inconsistent with those of </w:t>
      </w:r>
      <w:r>
        <w:rPr>
          <w:rFonts w:ascii="Arial"/>
          <w:color w:val="000000"/>
          <w:sz w:val="24"/>
        </w:rPr>
        <w:t>Basten</w:t>
      </w:r>
      <w:r>
        <w:rPr>
          <w:rFonts w:ascii="Arial"/>
          <w:color w:val="000000"/>
          <w:sz w:val="24"/>
        </w:rPr>
        <w:t xml:space="preserve"> </w:t>
      </w:r>
      <w:r>
        <w:rPr>
          <w:rFonts w:ascii="Arial"/>
          <w:color w:val="000000"/>
          <w:sz w:val="24"/>
        </w:rPr>
        <w:t>JA</w:t>
      </w:r>
      <w:r>
        <w:rPr>
          <w:rFonts w:ascii="Arial"/>
          <w:color w:val="000000"/>
          <w:sz w:val="24"/>
        </w:rPr>
        <w:t xml:space="preserve">, </w:t>
      </w:r>
      <w:r>
        <w:rPr>
          <w:rFonts w:ascii="Arial"/>
          <w:color w:val="000000"/>
          <w:sz w:val="24"/>
        </w:rPr>
        <w:t xml:space="preserve">therefore </w:t>
      </w:r>
      <w:r>
        <w:rPr>
          <w:rFonts w:ascii="Arial"/>
          <w:color w:val="000000"/>
          <w:sz w:val="24"/>
        </w:rPr>
        <w:t>were wrong and</w:t>
      </w:r>
      <w:r>
        <w:rPr>
          <w:rFonts w:ascii="Arial"/>
          <w:color w:val="000000"/>
          <w:sz w:val="24"/>
        </w:rPr>
        <w:t xml:space="preserve"> </w:t>
      </w:r>
      <w:r>
        <w:rPr>
          <w:rFonts w:ascii="Arial"/>
          <w:color w:val="000000"/>
          <w:sz w:val="24"/>
        </w:rPr>
        <w:t>ought not be followed. In my opinion, the decisions sit comfortably together</w:t>
      </w:r>
      <w:r>
        <w:rPr>
          <w:rFonts w:ascii="Arial"/>
          <w:color w:val="000000"/>
          <w:sz w:val="24"/>
        </w:rPr>
        <w:t xml:space="preserve">. Whether the applicant obtained more than that contended for by the acquiring authority </w:t>
      </w:r>
      <w:r>
        <w:rPr>
          <w:rFonts w:ascii="Arial"/>
          <w:color w:val="000000"/>
          <w:sz w:val="24"/>
        </w:rPr>
        <w:t>is</w:t>
      </w:r>
      <w:r>
        <w:rPr>
          <w:rFonts w:ascii="Arial"/>
          <w:color w:val="000000"/>
          <w:sz w:val="24"/>
        </w:rPr>
        <w:t xml:space="preserve"> </w:t>
      </w:r>
      <w:r>
        <w:rPr>
          <w:rFonts w:ascii="Arial"/>
          <w:color w:val="000000"/>
          <w:sz w:val="24"/>
        </w:rPr>
        <w:t xml:space="preserve">a factor </w:t>
      </w:r>
      <w:r>
        <w:rPr>
          <w:rFonts w:ascii="Arial"/>
          <w:color w:val="000000"/>
          <w:sz w:val="24"/>
        </w:rPr>
        <w:t>that</w:t>
      </w:r>
      <w:r>
        <w:rPr>
          <w:rFonts w:ascii="Arial"/>
          <w:color w:val="000000"/>
          <w:sz w:val="24"/>
        </w:rPr>
        <w:t xml:space="preserve"> </w:t>
      </w:r>
      <w:r>
        <w:rPr>
          <w:rFonts w:ascii="Arial"/>
          <w:color w:val="000000"/>
          <w:sz w:val="24"/>
        </w:rPr>
        <w:t xml:space="preserve">the Court </w:t>
      </w:r>
      <w:r>
        <w:rPr>
          <w:rFonts w:ascii="Arial"/>
          <w:color w:val="000000"/>
          <w:sz w:val="24"/>
        </w:rPr>
        <w:t xml:space="preserve">ought </w:t>
      </w:r>
      <w:r>
        <w:rPr>
          <w:rFonts w:ascii="Arial"/>
          <w:color w:val="000000"/>
          <w:sz w:val="24"/>
        </w:rPr>
        <w:t xml:space="preserve">to consider in the exercise of its discretion to award costs. </w:t>
      </w:r>
    </w:p>
    <w:p>
      <w:pPr>
        <w:pStyle w:val="CaselawHeading2"/>
        <w:keepNext/>
        <w:spacing w:before="150" w:after="150" w:line="264"/>
        <w:ind w:left="0"/>
        <w:jc w:val="left"/>
      </w:pPr>
      <w:r>
        <w:rPr>
          <w:rFonts w:ascii="Arial"/>
        </w:rPr>
        <w:t>Parties’ Submissions</w:t>
      </w:r>
    </w:p>
    <w:p>
      <w:pPr>
        <w:pStyle w:val="CaselawNumbered10"/>
        <w:numPr>
          <w:ilvl w:val="0"/>
          <w:numId w:val="37"/>
        </w:numPr>
        <w:spacing w:before="150" w:after="0"/>
        <w:ind w:left="600" w:hanging="600"/>
      </w:pPr>
      <w:r>
        <w:rPr>
          <w:rFonts w:ascii="Arial"/>
          <w:color w:val="000000"/>
          <w:sz w:val="24"/>
        </w:rPr>
        <w:t>While the Council was not critical of UPG</w:t>
      </w:r>
      <w:r>
        <w:rPr>
          <w:rFonts w:ascii="Arial"/>
          <w:color w:val="000000"/>
          <w:sz w:val="24"/>
        </w:rPr>
        <w:t>’</w:t>
      </w:r>
      <w:r>
        <w:rPr>
          <w:rFonts w:ascii="Arial"/>
          <w:color w:val="000000"/>
          <w:sz w:val="24"/>
        </w:rPr>
        <w:t>s initial decision to test the Valuer-General</w:t>
      </w:r>
      <w:r>
        <w:rPr>
          <w:rFonts w:ascii="Arial"/>
          <w:color w:val="000000"/>
          <w:sz w:val="24"/>
        </w:rPr>
        <w:t>’</w:t>
      </w:r>
      <w:r>
        <w:rPr>
          <w:rFonts w:ascii="Arial"/>
          <w:color w:val="000000"/>
          <w:sz w:val="24"/>
        </w:rPr>
        <w:t xml:space="preserve">s determination, it </w:t>
      </w:r>
      <w:r>
        <w:rPr>
          <w:rFonts w:ascii="Arial"/>
          <w:color w:val="000000"/>
          <w:sz w:val="24"/>
        </w:rPr>
        <w:t>submitte</w:t>
      </w:r>
      <w:r>
        <w:rPr>
          <w:rFonts w:ascii="Arial"/>
          <w:color w:val="000000"/>
          <w:sz w:val="24"/>
        </w:rPr>
        <w:t>d</w:t>
      </w:r>
      <w:r>
        <w:rPr>
          <w:rFonts w:ascii="Arial"/>
          <w:color w:val="000000"/>
          <w:sz w:val="24"/>
        </w:rPr>
        <w:t xml:space="preserve"> </w:t>
      </w:r>
      <w:r>
        <w:rPr>
          <w:rFonts w:ascii="Arial"/>
          <w:color w:val="000000"/>
          <w:sz w:val="24"/>
        </w:rPr>
        <w:t xml:space="preserve">that </w:t>
      </w:r>
      <w:r>
        <w:rPr>
          <w:rFonts w:ascii="Arial"/>
          <w:color w:val="000000"/>
          <w:sz w:val="24"/>
        </w:rPr>
        <w:t xml:space="preserve">UPG unreasonably continued the proceedings </w:t>
      </w:r>
      <w:r>
        <w:rPr>
          <w:rFonts w:ascii="Arial"/>
          <w:color w:val="000000"/>
          <w:sz w:val="24"/>
        </w:rPr>
        <w:t xml:space="preserve">from the </w:t>
      </w:r>
      <w:r>
        <w:rPr>
          <w:rFonts w:ascii="Arial"/>
          <w:color w:val="000000"/>
          <w:sz w:val="24"/>
        </w:rPr>
        <w:t xml:space="preserve">date </w:t>
      </w:r>
      <w:r>
        <w:rPr>
          <w:rFonts w:ascii="Arial"/>
          <w:color w:val="000000"/>
          <w:sz w:val="24"/>
        </w:rPr>
        <w:t xml:space="preserve">of the commencement of the hearing, first, because </w:t>
      </w:r>
      <w:r>
        <w:rPr>
          <w:rFonts w:ascii="Arial"/>
          <w:color w:val="000000"/>
          <w:sz w:val="24"/>
        </w:rPr>
        <w:t>UPG</w:t>
      </w:r>
      <w:r>
        <w:rPr>
          <w:rFonts w:ascii="Arial"/>
          <w:color w:val="000000"/>
          <w:sz w:val="24"/>
        </w:rPr>
        <w:t>’</w:t>
      </w:r>
      <w:r>
        <w:rPr>
          <w:rFonts w:ascii="Arial"/>
          <w:color w:val="000000"/>
          <w:sz w:val="24"/>
        </w:rPr>
        <w:t>s claim substantial</w:t>
      </w:r>
      <w:r>
        <w:rPr>
          <w:rFonts w:ascii="Arial"/>
          <w:color w:val="000000"/>
          <w:sz w:val="24"/>
        </w:rPr>
        <w:t>ly</w:t>
      </w:r>
      <w:r>
        <w:rPr>
          <w:rFonts w:ascii="Arial"/>
          <w:color w:val="000000"/>
          <w:sz w:val="24"/>
        </w:rPr>
        <w:t xml:space="preserve"> </w:t>
      </w:r>
      <w:r>
        <w:rPr>
          <w:rFonts w:ascii="Arial"/>
          <w:color w:val="000000"/>
          <w:sz w:val="24"/>
        </w:rPr>
        <w:t>fail</w:t>
      </w:r>
      <w:r>
        <w:rPr>
          <w:rFonts w:ascii="Arial"/>
          <w:color w:val="000000"/>
          <w:sz w:val="24"/>
        </w:rPr>
        <w:t>ed</w:t>
      </w:r>
      <w:r>
        <w:rPr>
          <w:rFonts w:ascii="Arial"/>
          <w:color w:val="000000"/>
          <w:sz w:val="24"/>
        </w:rPr>
        <w:t xml:space="preserve">. </w:t>
      </w:r>
      <w:r>
        <w:rPr>
          <w:rFonts w:ascii="Arial"/>
          <w:color w:val="000000"/>
          <w:sz w:val="24"/>
        </w:rPr>
        <w:t xml:space="preserve">The </w:t>
      </w:r>
      <w:r>
        <w:rPr>
          <w:rFonts w:ascii="Arial"/>
          <w:color w:val="000000"/>
          <w:sz w:val="24"/>
        </w:rPr>
        <w:t xml:space="preserve">amount of compensation </w:t>
      </w:r>
      <w:r>
        <w:rPr>
          <w:rFonts w:ascii="Arial"/>
          <w:color w:val="000000"/>
          <w:sz w:val="24"/>
        </w:rPr>
        <w:t xml:space="preserve">ordered by the Court </w:t>
      </w:r>
      <w:r>
        <w:rPr>
          <w:rFonts w:ascii="Arial"/>
          <w:color w:val="000000"/>
          <w:sz w:val="24"/>
        </w:rPr>
        <w:t xml:space="preserve">was less than 50% of the statutory offer and less than 20% of </w:t>
      </w:r>
      <w:r>
        <w:rPr>
          <w:rFonts w:ascii="Arial"/>
          <w:color w:val="000000"/>
          <w:sz w:val="24"/>
        </w:rPr>
        <w:t>th</w:t>
      </w:r>
      <w:r>
        <w:rPr>
          <w:rFonts w:ascii="Arial"/>
          <w:color w:val="000000"/>
          <w:sz w:val="24"/>
        </w:rPr>
        <w:t xml:space="preserve">e quantum of </w:t>
      </w:r>
      <w:r>
        <w:rPr>
          <w:rFonts w:ascii="Arial"/>
          <w:color w:val="000000"/>
          <w:sz w:val="24"/>
        </w:rPr>
        <w:t xml:space="preserve">compensation that UPG was seeking. </w:t>
      </w:r>
      <w:r>
        <w:rPr>
          <w:rFonts w:ascii="Arial"/>
          <w:color w:val="000000"/>
          <w:sz w:val="24"/>
        </w:rPr>
        <w:t xml:space="preserve">On any view, therefore, UPG was substantially unsuccessful in the litigation. </w:t>
      </w:r>
    </w:p>
    <w:p>
      <w:pPr>
        <w:pStyle w:val="CaselawNumbered10"/>
        <w:numPr>
          <w:ilvl w:val="0"/>
          <w:numId w:val="37"/>
        </w:numPr>
        <w:spacing w:before="150" w:after="0"/>
        <w:ind w:left="600" w:hanging="600"/>
      </w:pPr>
      <w:r>
        <w:rPr>
          <w:rFonts w:ascii="Arial"/>
          <w:color w:val="000000"/>
          <w:sz w:val="24"/>
        </w:rPr>
        <w:t xml:space="preserve">Second, </w:t>
      </w:r>
      <w:r>
        <w:rPr>
          <w:rFonts w:ascii="Arial"/>
          <w:color w:val="000000"/>
          <w:sz w:val="24"/>
        </w:rPr>
        <w:t xml:space="preserve">UPG </w:t>
      </w:r>
      <w:r>
        <w:rPr>
          <w:rFonts w:ascii="Arial"/>
          <w:color w:val="000000"/>
          <w:sz w:val="24"/>
        </w:rPr>
        <w:t xml:space="preserve">must have been aware of </w:t>
      </w:r>
      <w:r>
        <w:rPr>
          <w:rFonts w:ascii="Arial"/>
          <w:color w:val="000000"/>
          <w:sz w:val="24"/>
        </w:rPr>
        <w:t xml:space="preserve">the </w:t>
      </w:r>
      <w:r>
        <w:rPr>
          <w:rFonts w:ascii="Arial"/>
          <w:color w:val="000000"/>
          <w:sz w:val="24"/>
        </w:rPr>
        <w:t>critical flaws in its case prior to the start of the hearing</w:t>
      </w:r>
      <w:r>
        <w:rPr>
          <w:rFonts w:ascii="Arial"/>
          <w:color w:val="000000"/>
          <w:sz w:val="24"/>
        </w:rPr>
        <w:t xml:space="preserve"> </w:t>
      </w:r>
      <w:r>
        <w:rPr>
          <w:rFonts w:ascii="Arial"/>
          <w:color w:val="000000"/>
          <w:sz w:val="24"/>
        </w:rPr>
        <w:t>upon receipt of the joint expert evidence</w:t>
      </w:r>
      <w:r>
        <w:rPr>
          <w:rFonts w:ascii="Arial"/>
          <w:color w:val="000000"/>
          <w:sz w:val="24"/>
        </w:rPr>
        <w:t xml:space="preserve">. By this stage, the </w:t>
      </w:r>
      <w:r>
        <w:rPr>
          <w:rFonts w:ascii="Arial"/>
          <w:color w:val="000000"/>
          <w:sz w:val="24"/>
        </w:rPr>
        <w:t>decisive issues had been comprehensively ventilated in joint expert reports on ecology, town planning and hydrology</w:t>
      </w:r>
      <w:r>
        <w:rPr>
          <w:rFonts w:ascii="Arial"/>
          <w:color w:val="000000"/>
          <w:sz w:val="24"/>
        </w:rPr>
        <w:t>, namely</w:t>
      </w:r>
      <w:r>
        <w:rPr>
          <w:rFonts w:ascii="Arial"/>
          <w:color w:val="000000"/>
          <w:sz w:val="24"/>
        </w:rPr>
        <w:t>:</w:t>
      </w:r>
    </w:p>
    <w:p>
      <w:pPr>
        <w:pStyle w:val="CaselawNumbereda"/>
        <w:numPr>
          <w:ilvl w:val="0"/>
          <w:numId w:val="38"/>
        </w:numPr>
        <w:spacing w:before="150" w:after="0"/>
        <w:ind w:left="2100" w:hanging="750"/>
      </w:pPr>
      <w:r>
        <w:rPr>
          <w:rFonts w:ascii="Arial"/>
          <w:color w:val="000000"/>
          <w:sz w:val="24"/>
        </w:rPr>
        <w:t xml:space="preserve">a joint </w:t>
      </w:r>
      <w:r>
        <w:rPr>
          <w:rFonts w:ascii="Arial"/>
          <w:color w:val="000000"/>
          <w:sz w:val="24"/>
        </w:rPr>
        <w:t>ecology</w:t>
      </w:r>
      <w:r>
        <w:rPr>
          <w:rFonts w:ascii="Arial"/>
          <w:color w:val="000000"/>
          <w:sz w:val="24"/>
        </w:rPr>
        <w:t xml:space="preserve"> </w:t>
      </w:r>
      <w:r>
        <w:rPr>
          <w:rFonts w:ascii="Arial"/>
          <w:color w:val="000000"/>
          <w:sz w:val="24"/>
        </w:rPr>
        <w:t>report</w:t>
      </w:r>
      <w:r>
        <w:rPr>
          <w:rFonts w:ascii="Arial"/>
          <w:color w:val="000000"/>
          <w:sz w:val="24"/>
        </w:rPr>
        <w:t xml:space="preserve"> </w:t>
      </w:r>
      <w:r>
        <w:rPr>
          <w:rFonts w:ascii="Arial"/>
          <w:color w:val="000000"/>
          <w:sz w:val="24"/>
        </w:rPr>
        <w:t xml:space="preserve">prepared by Nathan Garvey and Michael </w:t>
      </w:r>
      <w:r>
        <w:rPr>
          <w:rFonts w:ascii="Arial"/>
          <w:color w:val="000000"/>
          <w:sz w:val="24"/>
        </w:rPr>
        <w:t>Sheather</w:t>
      </w:r>
      <w:r>
        <w:rPr>
          <w:rFonts w:ascii="Arial"/>
          <w:color w:val="000000"/>
          <w:sz w:val="24"/>
        </w:rPr>
        <w:t>-Reid</w:t>
      </w:r>
      <w:r>
        <w:rPr>
          <w:rFonts w:ascii="Arial"/>
          <w:color w:val="000000"/>
          <w:sz w:val="24"/>
        </w:rPr>
        <w:t>,</w:t>
      </w:r>
      <w:r>
        <w:rPr>
          <w:rFonts w:ascii="Arial"/>
          <w:color w:val="000000"/>
          <w:sz w:val="24"/>
        </w:rPr>
        <w:t xml:space="preserve"> </w:t>
      </w:r>
      <w:r>
        <w:rPr>
          <w:rFonts w:ascii="Arial"/>
          <w:color w:val="000000"/>
          <w:sz w:val="24"/>
        </w:rPr>
        <w:t>dated 4 October 2023;</w:t>
      </w:r>
    </w:p>
    <w:p>
      <w:pPr>
        <w:pStyle w:val="CaselawNumbereda"/>
        <w:numPr>
          <w:ilvl w:val="0"/>
          <w:numId w:val="38"/>
        </w:numPr>
        <w:spacing w:before="150" w:after="0"/>
        <w:ind w:left="2100" w:hanging="750"/>
      </w:pPr>
      <w:r>
        <w:rPr>
          <w:rFonts w:ascii="Arial"/>
          <w:color w:val="000000"/>
          <w:sz w:val="24"/>
        </w:rPr>
        <w:t xml:space="preserve">a joint </w:t>
      </w:r>
      <w:r>
        <w:rPr>
          <w:rFonts w:ascii="Arial"/>
          <w:color w:val="000000"/>
          <w:sz w:val="24"/>
        </w:rPr>
        <w:t xml:space="preserve">town planning </w:t>
      </w:r>
      <w:r>
        <w:rPr>
          <w:rFonts w:ascii="Arial"/>
          <w:color w:val="000000"/>
          <w:sz w:val="24"/>
        </w:rPr>
        <w:t xml:space="preserve">report </w:t>
      </w:r>
      <w:r>
        <w:rPr>
          <w:rFonts w:ascii="Arial"/>
          <w:color w:val="000000"/>
          <w:sz w:val="24"/>
        </w:rPr>
        <w:t>prepared by Paul Grech and Anthony Rowan</w:t>
      </w:r>
      <w:r>
        <w:rPr>
          <w:rFonts w:ascii="Arial"/>
          <w:color w:val="000000"/>
          <w:sz w:val="24"/>
        </w:rPr>
        <w:t>,</w:t>
      </w:r>
      <w:r>
        <w:rPr>
          <w:rFonts w:ascii="Arial"/>
          <w:color w:val="000000"/>
          <w:sz w:val="24"/>
        </w:rPr>
        <w:t xml:space="preserve"> </w:t>
      </w:r>
      <w:r>
        <w:rPr>
          <w:rFonts w:ascii="Arial"/>
          <w:color w:val="000000"/>
          <w:sz w:val="24"/>
        </w:rPr>
        <w:t>dated 20 February 2024; and</w:t>
      </w:r>
    </w:p>
    <w:p>
      <w:pPr>
        <w:pStyle w:val="CaselawNumbereda"/>
        <w:numPr>
          <w:ilvl w:val="0"/>
          <w:numId w:val="38"/>
        </w:numPr>
        <w:spacing w:before="150" w:after="0"/>
        <w:ind w:left="2100" w:hanging="750"/>
      </w:pPr>
      <w:r>
        <w:rPr>
          <w:rFonts w:ascii="Arial"/>
          <w:color w:val="000000"/>
          <w:sz w:val="24"/>
        </w:rPr>
        <w:t xml:space="preserve">a joint </w:t>
      </w:r>
      <w:r>
        <w:rPr>
          <w:rFonts w:ascii="Arial"/>
          <w:color w:val="000000"/>
          <w:sz w:val="24"/>
        </w:rPr>
        <w:t xml:space="preserve">hydrology </w:t>
      </w:r>
      <w:r>
        <w:rPr>
          <w:rFonts w:ascii="Arial"/>
          <w:color w:val="000000"/>
          <w:sz w:val="24"/>
        </w:rPr>
        <w:t xml:space="preserve">report </w:t>
      </w:r>
      <w:r>
        <w:rPr>
          <w:rFonts w:ascii="Arial"/>
          <w:color w:val="000000"/>
          <w:sz w:val="24"/>
        </w:rPr>
        <w:t>prepared by Dr Daniel Martens and Martin Giles</w:t>
      </w:r>
      <w:r>
        <w:rPr>
          <w:rFonts w:ascii="Arial"/>
          <w:color w:val="000000"/>
          <w:sz w:val="24"/>
        </w:rPr>
        <w:t>,</w:t>
      </w:r>
      <w:r>
        <w:rPr>
          <w:rFonts w:ascii="Arial"/>
          <w:color w:val="000000"/>
          <w:sz w:val="24"/>
        </w:rPr>
        <w:t xml:space="preserve"> </w:t>
      </w:r>
      <w:r>
        <w:rPr>
          <w:rFonts w:ascii="Arial"/>
          <w:color w:val="000000"/>
          <w:sz w:val="24"/>
        </w:rPr>
        <w:t xml:space="preserve">dated 26 September 2023. </w:t>
      </w:r>
    </w:p>
    <w:p>
      <w:pPr>
        <w:pStyle w:val="CaselawNumbered10"/>
        <w:numPr>
          <w:ilvl w:val="0"/>
          <w:numId w:val="39"/>
        </w:numPr>
        <w:spacing w:before="150" w:after="0"/>
        <w:ind w:left="600" w:hanging="600"/>
      </w:pPr>
      <w:r>
        <w:rPr>
          <w:rFonts w:ascii="Arial"/>
          <w:color w:val="000000"/>
          <w:sz w:val="24"/>
        </w:rPr>
        <w:t xml:space="preserve">The Council </w:t>
      </w:r>
      <w:r>
        <w:rPr>
          <w:rFonts w:ascii="Arial"/>
          <w:color w:val="000000"/>
          <w:sz w:val="24"/>
        </w:rPr>
        <w:t>argu</w:t>
      </w:r>
      <w:r>
        <w:rPr>
          <w:rFonts w:ascii="Arial"/>
          <w:color w:val="000000"/>
          <w:sz w:val="24"/>
        </w:rPr>
        <w:t xml:space="preserve">ed that </w:t>
      </w:r>
      <w:r>
        <w:rPr>
          <w:rFonts w:ascii="Arial"/>
          <w:color w:val="000000"/>
          <w:sz w:val="24"/>
        </w:rPr>
        <w:t>these</w:t>
      </w:r>
      <w:r>
        <w:rPr>
          <w:rFonts w:ascii="Arial"/>
          <w:color w:val="000000"/>
          <w:sz w:val="24"/>
        </w:rPr>
        <w:t xml:space="preserve"> </w:t>
      </w:r>
      <w:r>
        <w:rPr>
          <w:rFonts w:ascii="Arial"/>
          <w:color w:val="000000"/>
          <w:sz w:val="24"/>
        </w:rPr>
        <w:t>reports</w:t>
      </w:r>
      <w:r>
        <w:rPr>
          <w:rFonts w:ascii="Arial"/>
          <w:color w:val="000000"/>
          <w:sz w:val="24"/>
        </w:rPr>
        <w:t xml:space="preserve"> </w:t>
      </w:r>
      <w:r>
        <w:rPr>
          <w:rFonts w:ascii="Arial"/>
          <w:color w:val="000000"/>
          <w:sz w:val="24"/>
        </w:rPr>
        <w:t xml:space="preserve">exposed key weaknesses </w:t>
      </w:r>
      <w:r>
        <w:rPr>
          <w:rFonts w:ascii="Arial"/>
          <w:color w:val="000000"/>
          <w:sz w:val="24"/>
        </w:rPr>
        <w:t>in</w:t>
      </w:r>
      <w:r>
        <w:rPr>
          <w:rFonts w:ascii="Arial"/>
          <w:color w:val="000000"/>
          <w:sz w:val="24"/>
        </w:rPr>
        <w:t xml:space="preserve"> </w:t>
      </w:r>
      <w:r>
        <w:rPr>
          <w:rFonts w:ascii="Arial"/>
          <w:color w:val="000000"/>
          <w:sz w:val="24"/>
        </w:rPr>
        <w:t>UPG</w:t>
      </w:r>
      <w:r>
        <w:rPr>
          <w:rFonts w:ascii="Arial"/>
          <w:color w:val="000000"/>
          <w:sz w:val="24"/>
        </w:rPr>
        <w:t>’</w:t>
      </w:r>
      <w:r>
        <w:rPr>
          <w:rFonts w:ascii="Arial"/>
          <w:color w:val="000000"/>
          <w:sz w:val="24"/>
        </w:rPr>
        <w:t xml:space="preserve">s case. For example, they </w:t>
      </w:r>
      <w:r>
        <w:rPr>
          <w:rFonts w:ascii="Arial"/>
          <w:color w:val="000000"/>
          <w:sz w:val="24"/>
        </w:rPr>
        <w:t xml:space="preserve">established the presence of GGBF </w:t>
      </w:r>
      <w:r>
        <w:rPr>
          <w:rFonts w:ascii="Arial"/>
          <w:color w:val="000000"/>
          <w:sz w:val="24"/>
        </w:rPr>
        <w:t xml:space="preserve">habitat </w:t>
      </w:r>
      <w:r>
        <w:rPr>
          <w:rFonts w:ascii="Arial"/>
          <w:color w:val="000000"/>
          <w:sz w:val="24"/>
        </w:rPr>
        <w:t xml:space="preserve">on </w:t>
      </w:r>
      <w:r>
        <w:rPr>
          <w:rFonts w:ascii="Arial"/>
          <w:color w:val="000000"/>
          <w:sz w:val="24"/>
        </w:rPr>
        <w:t>the acquired land</w:t>
      </w:r>
      <w:r>
        <w:rPr>
          <w:rFonts w:ascii="Arial"/>
          <w:color w:val="000000"/>
          <w:sz w:val="24"/>
        </w:rPr>
        <w:t xml:space="preserve"> </w:t>
      </w:r>
      <w:r>
        <w:rPr>
          <w:rFonts w:ascii="Arial"/>
          <w:color w:val="000000"/>
          <w:sz w:val="24"/>
        </w:rPr>
        <w:t xml:space="preserve">which </w:t>
      </w:r>
      <w:r>
        <w:rPr>
          <w:rFonts w:ascii="Arial"/>
          <w:color w:val="000000"/>
          <w:sz w:val="24"/>
        </w:rPr>
        <w:t xml:space="preserve">militated against </w:t>
      </w:r>
      <w:r>
        <w:rPr>
          <w:rFonts w:ascii="Arial"/>
          <w:color w:val="000000"/>
          <w:sz w:val="24"/>
        </w:rPr>
        <w:t xml:space="preserve">the R2 </w:t>
      </w:r>
      <w:r>
        <w:rPr>
          <w:rFonts w:ascii="Arial"/>
          <w:color w:val="000000"/>
          <w:sz w:val="24"/>
        </w:rPr>
        <w:t xml:space="preserve">zoning </w:t>
      </w:r>
      <w:r>
        <w:rPr>
          <w:rFonts w:ascii="Arial"/>
          <w:color w:val="000000"/>
          <w:sz w:val="24"/>
        </w:rPr>
        <w:t>that</w:t>
      </w:r>
      <w:r>
        <w:rPr>
          <w:rFonts w:ascii="Arial"/>
          <w:color w:val="000000"/>
          <w:sz w:val="24"/>
        </w:rPr>
        <w:t xml:space="preserve"> </w:t>
      </w:r>
      <w:r>
        <w:rPr>
          <w:rFonts w:ascii="Arial"/>
          <w:color w:val="000000"/>
          <w:sz w:val="24"/>
        </w:rPr>
        <w:t>UPG</w:t>
      </w:r>
      <w:r>
        <w:rPr>
          <w:rFonts w:ascii="Arial"/>
          <w:color w:val="000000"/>
          <w:sz w:val="24"/>
        </w:rPr>
        <w:t xml:space="preserve"> </w:t>
      </w:r>
      <w:r>
        <w:rPr>
          <w:rFonts w:ascii="Arial"/>
          <w:color w:val="000000"/>
          <w:sz w:val="24"/>
        </w:rPr>
        <w:t>was</w:t>
      </w:r>
      <w:r>
        <w:rPr>
          <w:rFonts w:ascii="Arial"/>
          <w:color w:val="000000"/>
          <w:sz w:val="24"/>
        </w:rPr>
        <w:t xml:space="preserve"> </w:t>
      </w:r>
      <w:r>
        <w:rPr>
          <w:rFonts w:ascii="Arial"/>
          <w:color w:val="000000"/>
          <w:sz w:val="24"/>
        </w:rPr>
        <w:t>contend</w:t>
      </w:r>
      <w:r>
        <w:rPr>
          <w:rFonts w:ascii="Arial"/>
          <w:color w:val="000000"/>
          <w:sz w:val="24"/>
        </w:rPr>
        <w:t>ing</w:t>
      </w:r>
      <w:r>
        <w:rPr>
          <w:rFonts w:ascii="Arial"/>
          <w:color w:val="000000"/>
          <w:sz w:val="24"/>
        </w:rPr>
        <w:t xml:space="preserve"> </w:t>
      </w:r>
      <w:r>
        <w:rPr>
          <w:rFonts w:ascii="Arial"/>
          <w:color w:val="000000"/>
          <w:sz w:val="24"/>
        </w:rPr>
        <w:t>for. The</w:t>
      </w:r>
      <w:r>
        <w:rPr>
          <w:rFonts w:ascii="Arial"/>
          <w:color w:val="000000"/>
          <w:sz w:val="24"/>
        </w:rPr>
        <w:t xml:space="preserve"> </w:t>
      </w:r>
      <w:r>
        <w:rPr>
          <w:rFonts w:ascii="Arial"/>
          <w:color w:val="000000"/>
          <w:sz w:val="24"/>
        </w:rPr>
        <w:t xml:space="preserve">expert </w:t>
      </w:r>
      <w:r>
        <w:rPr>
          <w:rFonts w:ascii="Arial"/>
          <w:color w:val="000000"/>
          <w:sz w:val="24"/>
        </w:rPr>
        <w:t>hydrology</w:t>
      </w:r>
      <w:r>
        <w:rPr>
          <w:rFonts w:ascii="Arial"/>
          <w:color w:val="000000"/>
          <w:sz w:val="24"/>
        </w:rPr>
        <w:t xml:space="preserve"> </w:t>
      </w:r>
      <w:r>
        <w:rPr>
          <w:rFonts w:ascii="Arial"/>
          <w:color w:val="000000"/>
          <w:sz w:val="24"/>
        </w:rPr>
        <w:t xml:space="preserve">reports also highlighted the difficulties of removing or piping the watercourse traversing </w:t>
      </w:r>
      <w:r>
        <w:rPr>
          <w:rFonts w:ascii="Arial"/>
          <w:color w:val="000000"/>
          <w:sz w:val="24"/>
        </w:rPr>
        <w:t>the acquired land</w:t>
      </w:r>
      <w:r>
        <w:rPr>
          <w:rFonts w:ascii="Arial"/>
          <w:color w:val="000000"/>
          <w:sz w:val="24"/>
        </w:rPr>
        <w:t>,</w:t>
      </w:r>
      <w:r>
        <w:rPr>
          <w:rFonts w:ascii="Arial"/>
          <w:color w:val="000000"/>
          <w:sz w:val="24"/>
        </w:rPr>
        <w:t xml:space="preserve"> </w:t>
      </w:r>
      <w:r>
        <w:rPr>
          <w:rFonts w:ascii="Arial"/>
          <w:color w:val="000000"/>
          <w:sz w:val="24"/>
        </w:rPr>
        <w:t xml:space="preserve">which was a prerequisite for achieving </w:t>
      </w:r>
      <w:r>
        <w:rPr>
          <w:rFonts w:ascii="Arial"/>
          <w:color w:val="000000"/>
          <w:sz w:val="24"/>
        </w:rPr>
        <w:t>the</w:t>
      </w:r>
      <w:r>
        <w:rPr>
          <w:rFonts w:ascii="Arial"/>
          <w:color w:val="000000"/>
          <w:sz w:val="24"/>
        </w:rPr>
        <w:t xml:space="preserve"> </w:t>
      </w:r>
      <w:r>
        <w:rPr>
          <w:rFonts w:ascii="Arial"/>
          <w:color w:val="000000"/>
          <w:sz w:val="24"/>
        </w:rPr>
        <w:t>18 lot subdivision</w:t>
      </w:r>
      <w:r>
        <w:rPr>
          <w:rFonts w:ascii="Arial"/>
          <w:color w:val="000000"/>
          <w:sz w:val="24"/>
        </w:rPr>
        <w:t xml:space="preserve"> </w:t>
      </w:r>
      <w:r>
        <w:rPr>
          <w:rFonts w:ascii="Arial"/>
          <w:color w:val="000000"/>
          <w:sz w:val="24"/>
        </w:rPr>
        <w:t xml:space="preserve">that </w:t>
      </w:r>
      <w:r>
        <w:rPr>
          <w:rFonts w:ascii="Arial"/>
          <w:color w:val="000000"/>
          <w:sz w:val="24"/>
        </w:rPr>
        <w:t xml:space="preserve">formed the basis of </w:t>
      </w:r>
      <w:r>
        <w:rPr>
          <w:rFonts w:ascii="Arial"/>
          <w:color w:val="000000"/>
          <w:sz w:val="24"/>
        </w:rPr>
        <w:t>UPG</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claim</w:t>
      </w:r>
      <w:r>
        <w:rPr>
          <w:rFonts w:ascii="Arial"/>
          <w:color w:val="000000"/>
          <w:sz w:val="24"/>
        </w:rPr>
        <w:t xml:space="preserve">. The Court </w:t>
      </w:r>
      <w:r>
        <w:rPr>
          <w:rFonts w:ascii="Arial"/>
          <w:color w:val="000000"/>
          <w:sz w:val="24"/>
        </w:rPr>
        <w:t>found against UPG</w:t>
      </w:r>
      <w:r>
        <w:rPr>
          <w:rFonts w:ascii="Arial"/>
          <w:color w:val="000000"/>
          <w:sz w:val="24"/>
        </w:rPr>
        <w:t xml:space="preserve"> </w:t>
      </w:r>
      <w:r>
        <w:rPr>
          <w:rFonts w:ascii="Arial"/>
          <w:color w:val="000000"/>
          <w:sz w:val="24"/>
        </w:rPr>
        <w:t xml:space="preserve">on both issues. </w:t>
      </w:r>
    </w:p>
    <w:p>
      <w:pPr>
        <w:pStyle w:val="CaselawNumbered10"/>
        <w:numPr>
          <w:ilvl w:val="0"/>
          <w:numId w:val="39"/>
        </w:numPr>
        <w:spacing w:before="150" w:after="0"/>
        <w:ind w:left="600" w:hanging="600"/>
      </w:pPr>
      <w:r>
        <w:rPr>
          <w:rFonts w:ascii="Arial"/>
          <w:color w:val="000000"/>
          <w:sz w:val="24"/>
        </w:rPr>
        <w:t xml:space="preserve">The Council </w:t>
      </w:r>
      <w:r>
        <w:rPr>
          <w:rFonts w:ascii="Arial"/>
          <w:color w:val="000000"/>
          <w:sz w:val="24"/>
        </w:rPr>
        <w:t xml:space="preserve">therefore </w:t>
      </w:r>
      <w:r>
        <w:rPr>
          <w:rFonts w:ascii="Arial"/>
          <w:color w:val="000000"/>
          <w:sz w:val="24"/>
        </w:rPr>
        <w:t>submitte</w:t>
      </w:r>
      <w:r>
        <w:rPr>
          <w:rFonts w:ascii="Arial"/>
          <w:color w:val="000000"/>
          <w:sz w:val="24"/>
        </w:rPr>
        <w:t>d</w:t>
      </w:r>
      <w:r>
        <w:rPr>
          <w:rFonts w:ascii="Arial"/>
          <w:color w:val="000000"/>
          <w:sz w:val="24"/>
        </w:rPr>
        <w:t xml:space="preserve"> </w:t>
      </w:r>
      <w:r>
        <w:rPr>
          <w:rFonts w:ascii="Arial"/>
          <w:color w:val="000000"/>
          <w:sz w:val="24"/>
        </w:rPr>
        <w:t xml:space="preserve">that a reasonable litigant would have re-assessed its position on the evidence available to </w:t>
      </w:r>
      <w:r>
        <w:rPr>
          <w:rFonts w:ascii="Arial"/>
          <w:color w:val="000000"/>
          <w:sz w:val="24"/>
        </w:rPr>
        <w:t xml:space="preserve">it </w:t>
      </w:r>
      <w:r>
        <w:rPr>
          <w:rFonts w:ascii="Arial"/>
          <w:color w:val="000000"/>
          <w:sz w:val="24"/>
        </w:rPr>
        <w:t>at th</w:t>
      </w:r>
      <w:r>
        <w:rPr>
          <w:rFonts w:ascii="Arial"/>
          <w:color w:val="000000"/>
          <w:sz w:val="24"/>
        </w:rPr>
        <w:t>is</w:t>
      </w:r>
      <w:r>
        <w:rPr>
          <w:rFonts w:ascii="Arial"/>
          <w:color w:val="000000"/>
          <w:sz w:val="24"/>
        </w:rPr>
        <w:t xml:space="preserve"> </w:t>
      </w:r>
      <w:r>
        <w:rPr>
          <w:rFonts w:ascii="Arial"/>
          <w:color w:val="000000"/>
          <w:sz w:val="24"/>
        </w:rPr>
        <w:t>stage of the litigation</w:t>
      </w:r>
      <w:r>
        <w:rPr>
          <w:rFonts w:ascii="Arial"/>
          <w:color w:val="000000"/>
          <w:sz w:val="24"/>
        </w:rPr>
        <w:t xml:space="preserve"> </w:t>
      </w:r>
      <w:r>
        <w:rPr>
          <w:rFonts w:ascii="Arial"/>
          <w:color w:val="000000"/>
          <w:sz w:val="24"/>
        </w:rPr>
        <w:t xml:space="preserve">and </w:t>
      </w:r>
      <w:r>
        <w:rPr>
          <w:rFonts w:ascii="Arial"/>
          <w:color w:val="000000"/>
          <w:sz w:val="24"/>
        </w:rPr>
        <w:t>accept</w:t>
      </w:r>
      <w:r>
        <w:rPr>
          <w:rFonts w:ascii="Arial"/>
          <w:color w:val="000000"/>
          <w:sz w:val="24"/>
        </w:rPr>
        <w:t xml:space="preserve">ed the </w:t>
      </w:r>
      <w:r>
        <w:rPr>
          <w:rFonts w:ascii="Arial"/>
          <w:color w:val="000000"/>
          <w:sz w:val="24"/>
        </w:rPr>
        <w:t>Valuer-General</w:t>
      </w:r>
      <w:r>
        <w:rPr>
          <w:rFonts w:ascii="Arial"/>
          <w:color w:val="000000"/>
          <w:sz w:val="24"/>
        </w:rPr>
        <w:t>’</w:t>
      </w:r>
      <w:r>
        <w:rPr>
          <w:rFonts w:ascii="Arial"/>
          <w:color w:val="000000"/>
          <w:sz w:val="24"/>
        </w:rPr>
        <w:t xml:space="preserve">s </w:t>
      </w:r>
      <w:r>
        <w:rPr>
          <w:rFonts w:ascii="Arial"/>
          <w:color w:val="000000"/>
          <w:sz w:val="24"/>
        </w:rPr>
        <w:t>statutory offer.</w:t>
      </w:r>
      <w:r>
        <w:rPr>
          <w:rFonts w:ascii="Arial"/>
          <w:color w:val="000000"/>
          <w:sz w:val="24"/>
        </w:rPr>
        <w:t xml:space="preserve"> </w:t>
      </w:r>
      <w:r>
        <w:rPr>
          <w:rFonts w:ascii="Arial"/>
          <w:color w:val="000000"/>
          <w:sz w:val="24"/>
        </w:rPr>
        <w:t>UPG</w:t>
      </w:r>
      <w:r>
        <w:rPr>
          <w:rFonts w:ascii="Arial"/>
          <w:color w:val="000000"/>
          <w:sz w:val="24"/>
        </w:rPr>
        <w:t>’</w:t>
      </w:r>
      <w:r>
        <w:rPr>
          <w:rFonts w:ascii="Arial"/>
          <w:color w:val="000000"/>
          <w:sz w:val="24"/>
        </w:rPr>
        <w:t xml:space="preserve">s </w:t>
      </w:r>
      <w:r>
        <w:rPr>
          <w:rFonts w:ascii="Arial"/>
          <w:color w:val="000000"/>
          <w:sz w:val="24"/>
        </w:rPr>
        <w:t xml:space="preserve">unreasonable </w:t>
      </w:r>
      <w:r>
        <w:rPr>
          <w:rFonts w:ascii="Arial"/>
          <w:color w:val="000000"/>
          <w:sz w:val="24"/>
        </w:rPr>
        <w:t xml:space="preserve">conduct </w:t>
      </w:r>
      <w:r>
        <w:rPr>
          <w:rFonts w:ascii="Arial"/>
          <w:color w:val="000000"/>
          <w:sz w:val="24"/>
        </w:rPr>
        <w:t>in this regard</w:t>
      </w:r>
      <w:r>
        <w:rPr>
          <w:rFonts w:ascii="Arial"/>
          <w:color w:val="000000"/>
          <w:sz w:val="24"/>
        </w:rPr>
        <w:t xml:space="preserve"> </w:t>
      </w:r>
      <w:r>
        <w:rPr>
          <w:rFonts w:ascii="Arial"/>
          <w:color w:val="000000"/>
          <w:sz w:val="24"/>
        </w:rPr>
        <w:t>resulted in a loss that</w:t>
      </w:r>
      <w:r>
        <w:rPr>
          <w:rFonts w:ascii="Arial"/>
          <w:color w:val="000000"/>
          <w:sz w:val="24"/>
        </w:rPr>
        <w:t xml:space="preserve"> </w:t>
      </w:r>
      <w:r>
        <w:rPr>
          <w:rFonts w:ascii="Arial"/>
          <w:color w:val="000000"/>
          <w:sz w:val="24"/>
        </w:rPr>
        <w:t>caused both parties to incur the</w:t>
      </w:r>
      <w:r>
        <w:rPr>
          <w:rFonts w:ascii="Arial"/>
          <w:color w:val="000000"/>
          <w:sz w:val="24"/>
        </w:rPr>
        <w:t xml:space="preserve"> </w:t>
      </w:r>
      <w:r>
        <w:rPr>
          <w:rFonts w:ascii="Arial"/>
          <w:color w:val="000000"/>
          <w:sz w:val="24"/>
        </w:rPr>
        <w:t>costs of the</w:t>
      </w:r>
      <w:r>
        <w:rPr>
          <w:rFonts w:ascii="Arial"/>
          <w:color w:val="000000"/>
          <w:sz w:val="24"/>
        </w:rPr>
        <w:t xml:space="preserve"> </w:t>
      </w:r>
      <w:r>
        <w:rPr>
          <w:rFonts w:ascii="Arial"/>
          <w:color w:val="000000"/>
          <w:sz w:val="24"/>
        </w:rPr>
        <w:t>hearing.</w:t>
      </w:r>
      <w:r>
        <w:rPr>
          <w:rFonts w:ascii="Arial"/>
          <w:color w:val="000000"/>
          <w:sz w:val="24"/>
        </w:rPr>
        <w:t xml:space="preserve"> </w:t>
      </w:r>
      <w:r>
        <w:rPr>
          <w:rFonts w:ascii="Arial"/>
          <w:color w:val="000000"/>
          <w:sz w:val="24"/>
        </w:rPr>
        <w:t xml:space="preserve">Requiring the Council to bear these costs in all the circumstances would be unjust. </w:t>
      </w:r>
    </w:p>
    <w:p>
      <w:pPr>
        <w:pStyle w:val="CaselawNumbered10"/>
        <w:numPr>
          <w:ilvl w:val="0"/>
          <w:numId w:val="39"/>
        </w:numPr>
        <w:spacing w:before="150" w:after="0"/>
        <w:ind w:left="600" w:hanging="600"/>
      </w:pPr>
      <w:r>
        <w:rPr>
          <w:rFonts w:ascii="Arial"/>
          <w:color w:val="000000"/>
          <w:sz w:val="24"/>
        </w:rPr>
        <w:t>Applying these principles, the split costs order suggested by the Council reflected, it asserted, the reasonableness of UPG</w:t>
      </w:r>
      <w:r>
        <w:rPr>
          <w:rFonts w:ascii="Arial"/>
          <w:color w:val="000000"/>
          <w:sz w:val="24"/>
        </w:rPr>
        <w:t>’</w:t>
      </w:r>
      <w:r>
        <w:rPr>
          <w:rFonts w:ascii="Arial"/>
          <w:color w:val="000000"/>
          <w:sz w:val="24"/>
        </w:rPr>
        <w:t xml:space="preserve">s conduct during both phases of the proceedings. The Council provided a schedule of authorities where the Court had made a split costs order, including </w:t>
      </w:r>
      <w:r>
        <w:rPr>
          <w:rFonts w:ascii="Arial"/>
          <w:i/>
          <w:color w:val="000000"/>
          <w:sz w:val="24"/>
        </w:rPr>
        <w:t>Tempe Recreation Reserve Trust v Sydney Water Corporation</w:t>
      </w:r>
      <w:r>
        <w:rPr>
          <w:rFonts w:ascii="Arial"/>
          <w:color w:val="000000"/>
          <w:sz w:val="24"/>
        </w:rPr>
        <w:t xml:space="preserve"> </w:t>
      </w:r>
      <w:r>
        <w:rPr>
          <w:rFonts w:ascii="Arial"/>
          <w:color w:val="000000"/>
          <w:sz w:val="24"/>
        </w:rPr>
        <w:t xml:space="preserve">[2014] </w:t>
      </w:r>
      <w:r>
        <w:rPr>
          <w:rFonts w:ascii="Arial"/>
          <w:color w:val="000000"/>
          <w:sz w:val="24"/>
        </w:rPr>
        <w:t>NSWCA 437</w:t>
      </w:r>
      <w:r>
        <w:rPr>
          <w:rFonts w:ascii="Arial"/>
          <w:color w:val="000000"/>
          <w:sz w:val="24"/>
        </w:rPr>
        <w:t xml:space="preserve">; (2014) 88 NSWLR 449 and </w:t>
      </w:r>
      <w:r>
        <w:rPr>
          <w:rFonts w:ascii="Arial"/>
          <w:i/>
          <w:color w:val="000000"/>
          <w:sz w:val="24"/>
        </w:rPr>
        <w:t>Qasabian</w:t>
      </w:r>
      <w:r>
        <w:rPr>
          <w:rFonts w:ascii="Arial"/>
          <w:i/>
          <w:color w:val="000000"/>
          <w:sz w:val="24"/>
        </w:rPr>
        <w:t xml:space="preserve"> Family Investments Pty Ltd v Road</w:t>
      </w:r>
      <w:r>
        <w:rPr>
          <w:rFonts w:ascii="Arial"/>
          <w:i/>
          <w:color w:val="000000"/>
          <w:sz w:val="24"/>
        </w:rPr>
        <w:t>s</w:t>
      </w:r>
      <w:r>
        <w:rPr>
          <w:rFonts w:ascii="Arial"/>
          <w:i/>
          <w:color w:val="000000"/>
          <w:sz w:val="24"/>
        </w:rPr>
        <w:t xml:space="preserve"> and Maritime Services (No 2); Fishing Station Pty Ltd v Road</w:t>
      </w:r>
      <w:r>
        <w:rPr>
          <w:rFonts w:ascii="Arial"/>
          <w:i/>
          <w:color w:val="000000"/>
          <w:sz w:val="24"/>
        </w:rPr>
        <w:t>s</w:t>
      </w:r>
      <w:r>
        <w:rPr>
          <w:rFonts w:ascii="Arial"/>
          <w:i/>
          <w:color w:val="000000"/>
          <w:sz w:val="24"/>
        </w:rPr>
        <w:t xml:space="preserve"> and Maritime Services</w:t>
      </w:r>
      <w:r>
        <w:rPr>
          <w:rFonts w:ascii="Arial"/>
          <w:i/>
          <w:color w:val="000000"/>
          <w:sz w:val="24"/>
        </w:rPr>
        <w:t xml:space="preserve"> (No 2)</w:t>
      </w:r>
      <w:r>
        <w:rPr>
          <w:rFonts w:ascii="Arial"/>
          <w:color w:val="000000"/>
          <w:sz w:val="24"/>
        </w:rPr>
        <w:t xml:space="preserve"> </w:t>
      </w:r>
      <w:r>
        <w:rPr>
          <w:rFonts w:ascii="Arial"/>
          <w:color w:val="000000"/>
          <w:sz w:val="24"/>
        </w:rPr>
        <w:t xml:space="preserve">[2017] NSWLEC </w:t>
      </w:r>
      <w:r>
        <w:rPr>
          <w:rFonts w:ascii="Arial"/>
          <w:color w:val="000000"/>
          <w:sz w:val="24"/>
        </w:rPr>
        <w:t>179</w:t>
      </w:r>
      <w:r>
        <w:rPr>
          <w:rFonts w:ascii="Arial"/>
          <w:color w:val="000000"/>
          <w:sz w:val="24"/>
        </w:rPr>
        <w:t xml:space="preserve"> </w:t>
      </w:r>
      <w:r>
        <w:rPr>
          <w:rFonts w:ascii="Arial"/>
          <w:color w:val="000000"/>
          <w:sz w:val="24"/>
        </w:rPr>
        <w:t>(</w:t>
      </w:r>
      <w:r>
        <w:rPr>
          <w:rFonts w:ascii="Arial"/>
          <w:color w:val="000000"/>
          <w:sz w:val="24"/>
        </w:rPr>
        <w:t xml:space="preserve">which </w:t>
      </w:r>
      <w:r>
        <w:rPr>
          <w:rFonts w:ascii="Arial"/>
          <w:color w:val="000000"/>
          <w:sz w:val="24"/>
        </w:rPr>
        <w:t xml:space="preserve">were </w:t>
      </w:r>
      <w:r>
        <w:rPr>
          <w:rFonts w:ascii="Arial"/>
          <w:color w:val="000000"/>
          <w:sz w:val="24"/>
        </w:rPr>
        <w:t xml:space="preserve">handed down after </w:t>
      </w:r>
      <w:r>
        <w:rPr>
          <w:rFonts w:ascii="Arial"/>
          <w:i/>
          <w:color w:val="000000"/>
          <w:sz w:val="24"/>
        </w:rPr>
        <w:t>Dillon</w:t>
      </w:r>
      <w:r>
        <w:rPr>
          <w:rFonts w:ascii="Arial"/>
          <w:color w:val="000000"/>
          <w:sz w:val="24"/>
        </w:rPr>
        <w:t>)</w:t>
      </w:r>
      <w:r>
        <w:rPr>
          <w:rFonts w:ascii="Arial"/>
          <w:color w:val="000000"/>
          <w:sz w:val="24"/>
        </w:rPr>
        <w:t>. In the latter cases, the respondent was ordered to pay costs up to a certain point, with each party to pay their own costs thereafter.</w:t>
      </w:r>
    </w:p>
    <w:p>
      <w:pPr>
        <w:pStyle w:val="CaselawNumbered10"/>
        <w:numPr>
          <w:ilvl w:val="0"/>
          <w:numId w:val="39"/>
        </w:numPr>
        <w:spacing w:before="150" w:after="0"/>
        <w:ind w:left="600" w:hanging="600"/>
      </w:pPr>
      <w:r>
        <w:rPr>
          <w:rFonts w:ascii="Arial"/>
          <w:color w:val="000000"/>
          <w:sz w:val="24"/>
        </w:rPr>
        <w:t xml:space="preserve">In response, </w:t>
      </w:r>
      <w:r>
        <w:rPr>
          <w:rFonts w:ascii="Arial"/>
          <w:color w:val="000000"/>
          <w:sz w:val="24"/>
        </w:rPr>
        <w:t>UPG contended</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the outcome of the litigation</w:t>
      </w:r>
      <w:r>
        <w:rPr>
          <w:rFonts w:ascii="Arial"/>
          <w:color w:val="000000"/>
          <w:sz w:val="24"/>
        </w:rPr>
        <w:t xml:space="preserve"> </w:t>
      </w:r>
      <w:r>
        <w:rPr>
          <w:rFonts w:ascii="Arial"/>
          <w:color w:val="000000"/>
          <w:sz w:val="24"/>
        </w:rPr>
        <w:t xml:space="preserve">did not </w:t>
      </w:r>
      <w:r>
        <w:rPr>
          <w:rFonts w:ascii="Arial"/>
          <w:color w:val="000000"/>
          <w:sz w:val="24"/>
        </w:rPr>
        <w:t xml:space="preserve">entitle the Council to an alternative cost order. </w:t>
      </w:r>
      <w:r>
        <w:rPr>
          <w:rFonts w:ascii="Arial"/>
          <w:color w:val="000000"/>
          <w:sz w:val="24"/>
        </w:rPr>
        <w:t>First, t</w:t>
      </w:r>
      <w:r>
        <w:rPr>
          <w:rFonts w:ascii="Arial"/>
          <w:color w:val="000000"/>
          <w:sz w:val="24"/>
        </w:rPr>
        <w:t>o do so would be inconsistent with the principles</w:t>
      </w:r>
      <w:r>
        <w:rPr>
          <w:rFonts w:ascii="Arial"/>
          <w:color w:val="000000"/>
          <w:sz w:val="24"/>
        </w:rPr>
        <w:t xml:space="preserve"> </w:t>
      </w:r>
      <w:r>
        <w:rPr>
          <w:rFonts w:ascii="Arial"/>
          <w:color w:val="000000"/>
          <w:sz w:val="24"/>
        </w:rPr>
        <w:t>articulated</w:t>
      </w:r>
      <w:r>
        <w:rPr>
          <w:rFonts w:ascii="Arial"/>
          <w:color w:val="000000"/>
          <w:sz w:val="24"/>
        </w:rPr>
        <w:t xml:space="preserve"> </w:t>
      </w:r>
      <w:r>
        <w:rPr>
          <w:rFonts w:ascii="Arial"/>
          <w:color w:val="000000"/>
          <w:sz w:val="24"/>
        </w:rPr>
        <w:t xml:space="preserve">in </w:t>
      </w:r>
      <w:r>
        <w:rPr>
          <w:rFonts w:ascii="Arial"/>
          <w:i/>
          <w:color w:val="000000"/>
          <w:sz w:val="24"/>
        </w:rPr>
        <w:t>Brock</w:t>
      </w:r>
      <w:r>
        <w:rPr>
          <w:rFonts w:ascii="Arial"/>
          <w:color w:val="000000"/>
          <w:sz w:val="24"/>
        </w:rPr>
        <w:t xml:space="preserve"> </w:t>
      </w:r>
      <w:r>
        <w:rPr>
          <w:rFonts w:ascii="Arial"/>
          <w:color w:val="000000"/>
          <w:sz w:val="24"/>
        </w:rPr>
        <w:t xml:space="preserve">and </w:t>
      </w:r>
      <w:r>
        <w:rPr>
          <w:rFonts w:ascii="Arial"/>
          <w:i/>
          <w:color w:val="000000"/>
          <w:sz w:val="24"/>
        </w:rPr>
        <w:t>Dillon</w:t>
      </w:r>
      <w:r>
        <w:rPr>
          <w:rFonts w:ascii="Arial"/>
          <w:color w:val="000000"/>
          <w:sz w:val="24"/>
        </w:rPr>
        <w:t>.</w:t>
      </w:r>
    </w:p>
    <w:p>
      <w:pPr>
        <w:pStyle w:val="CaselawNumbered10"/>
        <w:numPr>
          <w:ilvl w:val="0"/>
          <w:numId w:val="39"/>
        </w:numPr>
        <w:spacing w:before="150" w:after="0"/>
        <w:ind w:left="600" w:hanging="600"/>
      </w:pPr>
      <w:r>
        <w:rPr>
          <w:rFonts w:ascii="Arial"/>
          <w:color w:val="000000"/>
          <w:sz w:val="24"/>
        </w:rPr>
        <w:t>Second, t</w:t>
      </w:r>
      <w:r>
        <w:rPr>
          <w:rFonts w:ascii="Arial"/>
          <w:color w:val="000000"/>
          <w:sz w:val="24"/>
        </w:rPr>
        <w:t>he reliance that the Council placed on the outcome to establish unreasonable conduct was insufficient.</w:t>
      </w:r>
      <w:r>
        <w:rPr>
          <w:rFonts w:ascii="Arial"/>
          <w:color w:val="000000"/>
          <w:sz w:val="24"/>
        </w:rPr>
        <w:t xml:space="preserve"> </w:t>
      </w:r>
      <w:r>
        <w:rPr>
          <w:rFonts w:ascii="Arial"/>
          <w:color w:val="000000"/>
          <w:sz w:val="24"/>
        </w:rPr>
        <w:t>T</w:t>
      </w:r>
      <w:r>
        <w:rPr>
          <w:rFonts w:ascii="Arial"/>
          <w:color w:val="000000"/>
          <w:sz w:val="24"/>
        </w:rPr>
        <w:t xml:space="preserve">he matters which the Court found against </w:t>
      </w:r>
      <w:r>
        <w:rPr>
          <w:rFonts w:ascii="Arial"/>
          <w:color w:val="000000"/>
          <w:sz w:val="24"/>
        </w:rPr>
        <w:t xml:space="preserve">UPG </w:t>
      </w:r>
      <w:r>
        <w:rPr>
          <w:rFonts w:ascii="Arial"/>
          <w:color w:val="000000"/>
          <w:sz w:val="24"/>
        </w:rPr>
        <w:t>with respect to zoning and drainage were n</w:t>
      </w:r>
      <w:r>
        <w:rPr>
          <w:rFonts w:ascii="Arial"/>
          <w:color w:val="000000"/>
          <w:sz w:val="24"/>
        </w:rPr>
        <w:t>either</w:t>
      </w:r>
      <w:r>
        <w:rPr>
          <w:rFonts w:ascii="Arial"/>
          <w:color w:val="000000"/>
          <w:sz w:val="24"/>
        </w:rPr>
        <w:t xml:space="preserve"> </w:t>
      </w:r>
      <w:r>
        <w:rPr>
          <w:rFonts w:ascii="Arial"/>
          <w:color w:val="000000"/>
          <w:sz w:val="24"/>
        </w:rPr>
        <w:t>vexatious</w:t>
      </w:r>
      <w:r>
        <w:rPr>
          <w:rFonts w:ascii="Arial"/>
          <w:color w:val="000000"/>
          <w:sz w:val="24"/>
        </w:rPr>
        <w:t xml:space="preserve"> </w:t>
      </w:r>
      <w:r>
        <w:rPr>
          <w:rFonts w:ascii="Arial"/>
          <w:color w:val="000000"/>
          <w:sz w:val="24"/>
        </w:rPr>
        <w:t xml:space="preserve">or </w:t>
      </w:r>
      <w:r>
        <w:rPr>
          <w:rFonts w:ascii="Arial"/>
          <w:color w:val="000000"/>
          <w:sz w:val="24"/>
        </w:rPr>
        <w:t>dishonest</w:t>
      </w:r>
      <w:r>
        <w:rPr>
          <w:rFonts w:ascii="Arial"/>
          <w:color w:val="000000"/>
          <w:sz w:val="24"/>
        </w:rPr>
        <w:t>, nor did they</w:t>
      </w:r>
      <w:r>
        <w:rPr>
          <w:rFonts w:ascii="Arial"/>
          <w:color w:val="000000"/>
          <w:sz w:val="24"/>
        </w:rPr>
        <w:t xml:space="preserve"> </w:t>
      </w:r>
      <w:r>
        <w:rPr>
          <w:rFonts w:ascii="Arial"/>
          <w:color w:val="000000"/>
          <w:sz w:val="24"/>
        </w:rPr>
        <w:t xml:space="preserve">place an unnecessary burden on the parties or the Court </w:t>
      </w:r>
      <w:r>
        <w:rPr>
          <w:rFonts w:ascii="Arial"/>
          <w:color w:val="000000"/>
          <w:sz w:val="24"/>
        </w:rPr>
        <w:t xml:space="preserve">insofar as they were </w:t>
      </w:r>
      <w:r>
        <w:rPr>
          <w:rFonts w:ascii="Arial"/>
          <w:color w:val="000000"/>
          <w:sz w:val="24"/>
        </w:rPr>
        <w:t xml:space="preserve">directly </w:t>
      </w:r>
      <w:r>
        <w:rPr>
          <w:rFonts w:ascii="Arial"/>
          <w:color w:val="000000"/>
          <w:sz w:val="24"/>
        </w:rPr>
        <w:t>relevant to the real</w:t>
      </w:r>
      <w:r>
        <w:rPr>
          <w:rFonts w:ascii="Arial"/>
          <w:color w:val="000000"/>
          <w:sz w:val="24"/>
        </w:rPr>
        <w:t xml:space="preserve"> </w:t>
      </w:r>
      <w:r>
        <w:rPr>
          <w:rFonts w:ascii="Arial"/>
          <w:color w:val="000000"/>
          <w:sz w:val="24"/>
        </w:rPr>
        <w:t xml:space="preserve">issues in dispute. </w:t>
      </w:r>
    </w:p>
    <w:p>
      <w:pPr>
        <w:pStyle w:val="CaselawNumbered10"/>
        <w:numPr>
          <w:ilvl w:val="0"/>
          <w:numId w:val="39"/>
        </w:numPr>
        <w:spacing w:before="150" w:after="0"/>
        <w:ind w:left="600" w:hanging="600"/>
      </w:pPr>
      <w:r>
        <w:rPr>
          <w:rFonts w:ascii="Arial"/>
          <w:color w:val="000000"/>
          <w:sz w:val="24"/>
        </w:rPr>
        <w:t xml:space="preserve">And third, </w:t>
      </w:r>
      <w:r>
        <w:rPr>
          <w:rFonts w:ascii="Arial"/>
          <w:color w:val="000000"/>
          <w:sz w:val="24"/>
        </w:rPr>
        <w:t xml:space="preserve">the Council </w:t>
      </w:r>
      <w:r>
        <w:rPr>
          <w:rFonts w:ascii="Arial"/>
          <w:color w:val="000000"/>
          <w:sz w:val="24"/>
        </w:rPr>
        <w:t>had</w:t>
      </w:r>
      <w:r>
        <w:rPr>
          <w:rFonts w:ascii="Arial"/>
          <w:color w:val="000000"/>
          <w:sz w:val="24"/>
        </w:rPr>
        <w:t xml:space="preserve"> </w:t>
      </w:r>
      <w:r>
        <w:rPr>
          <w:rFonts w:ascii="Arial"/>
          <w:color w:val="000000"/>
          <w:sz w:val="24"/>
        </w:rPr>
        <w:t>ignore</w:t>
      </w:r>
      <w:r>
        <w:rPr>
          <w:rFonts w:ascii="Arial"/>
          <w:color w:val="000000"/>
          <w:sz w:val="24"/>
        </w:rPr>
        <w:t>d</w:t>
      </w:r>
      <w:r>
        <w:rPr>
          <w:rFonts w:ascii="Arial"/>
          <w:color w:val="000000"/>
          <w:sz w:val="24"/>
        </w:rPr>
        <w:t xml:space="preserve"> </w:t>
      </w:r>
      <w:r>
        <w:rPr>
          <w:rFonts w:ascii="Arial"/>
          <w:color w:val="000000"/>
          <w:sz w:val="24"/>
        </w:rPr>
        <w:t>issues upon which UPG succeeded</w:t>
      </w:r>
      <w:r>
        <w:rPr>
          <w:rFonts w:ascii="Arial"/>
          <w:color w:val="000000"/>
          <w:sz w:val="24"/>
        </w:rPr>
        <w:t>,</w:t>
      </w:r>
      <w:r>
        <w:rPr>
          <w:rFonts w:ascii="Arial"/>
          <w:color w:val="000000"/>
          <w:sz w:val="24"/>
        </w:rPr>
        <w:t xml:space="preserve"> </w:t>
      </w:r>
      <w:r>
        <w:rPr>
          <w:rFonts w:ascii="Arial"/>
          <w:color w:val="000000"/>
          <w:sz w:val="24"/>
        </w:rPr>
        <w:t>most significantly, that of the public purpose and, critically,</w:t>
      </w:r>
      <w:r>
        <w:rPr>
          <w:rFonts w:ascii="Arial"/>
          <w:color w:val="000000"/>
          <w:sz w:val="24"/>
        </w:rPr>
        <w:t xml:space="preserve"> </w:t>
      </w:r>
      <w:r>
        <w:rPr>
          <w:rFonts w:ascii="Arial"/>
          <w:color w:val="000000"/>
          <w:sz w:val="24"/>
        </w:rPr>
        <w:t xml:space="preserve">that no compensation was payable by reason of </w:t>
      </w:r>
      <w:r>
        <w:rPr>
          <w:rFonts w:ascii="Arial"/>
          <w:color w:val="000000"/>
          <w:sz w:val="24"/>
        </w:rPr>
        <w:t xml:space="preserve">alleged </w:t>
      </w:r>
      <w:r>
        <w:rPr>
          <w:rFonts w:ascii="Arial"/>
          <w:color w:val="000000"/>
          <w:sz w:val="24"/>
        </w:rPr>
        <w:t xml:space="preserve">betterment. It </w:t>
      </w:r>
      <w:r>
        <w:rPr>
          <w:rFonts w:ascii="Arial"/>
          <w:color w:val="000000"/>
          <w:sz w:val="24"/>
        </w:rPr>
        <w:t xml:space="preserve">maintained this position </w:t>
      </w:r>
      <w:r>
        <w:rPr>
          <w:rFonts w:ascii="Arial"/>
          <w:color w:val="000000"/>
          <w:sz w:val="24"/>
        </w:rPr>
        <w:t>throughout</w:t>
      </w:r>
      <w:r>
        <w:rPr>
          <w:rFonts w:ascii="Arial"/>
          <w:color w:val="000000"/>
          <w:sz w:val="24"/>
        </w:rPr>
        <w:t xml:space="preserve"> </w:t>
      </w:r>
      <w:r>
        <w:rPr>
          <w:rFonts w:ascii="Arial"/>
          <w:color w:val="000000"/>
          <w:sz w:val="24"/>
        </w:rPr>
        <w:t xml:space="preserve">the proceedings. </w:t>
      </w:r>
      <w:r>
        <w:rPr>
          <w:rFonts w:ascii="Arial"/>
          <w:color w:val="000000"/>
          <w:sz w:val="24"/>
        </w:rPr>
        <w:t>Not only did the Court accept UPG</w:t>
      </w:r>
      <w:r>
        <w:rPr>
          <w:rFonts w:ascii="Arial"/>
          <w:color w:val="000000"/>
          <w:sz w:val="24"/>
        </w:rPr>
        <w:t>’</w:t>
      </w:r>
      <w:r>
        <w:rPr>
          <w:rFonts w:ascii="Arial"/>
          <w:color w:val="000000"/>
          <w:sz w:val="24"/>
        </w:rPr>
        <w:t xml:space="preserve">s identification of the public purpose, </w:t>
      </w:r>
      <w:r>
        <w:rPr>
          <w:rFonts w:ascii="Arial"/>
          <w:color w:val="000000"/>
          <w:sz w:val="24"/>
        </w:rPr>
        <w:t>t</w:t>
      </w:r>
      <w:r>
        <w:rPr>
          <w:rFonts w:ascii="Arial"/>
          <w:color w:val="000000"/>
          <w:sz w:val="24"/>
        </w:rPr>
        <w:t>he Court held that no betterment arose on the facts and that UPG w</w:t>
      </w:r>
      <w:r>
        <w:rPr>
          <w:rFonts w:ascii="Arial"/>
          <w:color w:val="000000"/>
          <w:sz w:val="24"/>
        </w:rPr>
        <w:t>as</w:t>
      </w:r>
      <w:r>
        <w:rPr>
          <w:rFonts w:ascii="Arial"/>
          <w:color w:val="000000"/>
          <w:sz w:val="24"/>
        </w:rPr>
        <w:t xml:space="preserve"> </w:t>
      </w:r>
      <w:r>
        <w:rPr>
          <w:rFonts w:ascii="Arial"/>
          <w:color w:val="000000"/>
          <w:sz w:val="24"/>
        </w:rPr>
        <w:t>entitled to compensation</w:t>
      </w:r>
      <w:r>
        <w:rPr>
          <w:rFonts w:ascii="Arial"/>
          <w:color w:val="000000"/>
          <w:sz w:val="24"/>
        </w:rPr>
        <w:t xml:space="preserve"> </w:t>
      </w:r>
      <w:r>
        <w:rPr>
          <w:rFonts w:ascii="Arial"/>
          <w:color w:val="000000"/>
          <w:sz w:val="24"/>
        </w:rPr>
        <w:t>for the acquisition</w:t>
      </w:r>
      <w:r>
        <w:rPr>
          <w:rFonts w:ascii="Arial"/>
          <w:color w:val="000000"/>
          <w:sz w:val="24"/>
        </w:rPr>
        <w:t xml:space="preserve">. </w:t>
      </w:r>
      <w:r>
        <w:rPr>
          <w:rFonts w:ascii="Arial"/>
          <w:color w:val="000000"/>
          <w:sz w:val="24"/>
        </w:rPr>
        <w:t xml:space="preserve">UPG contended that the outcome of the litigation was </w:t>
      </w:r>
      <w:r>
        <w:rPr>
          <w:rFonts w:ascii="Arial"/>
          <w:color w:val="000000"/>
          <w:sz w:val="24"/>
        </w:rPr>
        <w:t>thus</w:t>
      </w:r>
      <w:r>
        <w:rPr>
          <w:rFonts w:ascii="Arial"/>
          <w:color w:val="000000"/>
          <w:sz w:val="24"/>
        </w:rPr>
        <w:t xml:space="preserve"> </w:t>
      </w:r>
      <w:r>
        <w:rPr>
          <w:rFonts w:ascii="Arial"/>
          <w:color w:val="000000"/>
          <w:sz w:val="24"/>
        </w:rPr>
        <w:t xml:space="preserve">more favourable to it than </w:t>
      </w:r>
      <w:r>
        <w:rPr>
          <w:rFonts w:ascii="Arial"/>
          <w:color w:val="000000"/>
          <w:sz w:val="24"/>
        </w:rPr>
        <w:t>that which</w:t>
      </w:r>
      <w:r>
        <w:rPr>
          <w:rFonts w:ascii="Arial"/>
          <w:color w:val="000000"/>
          <w:sz w:val="24"/>
        </w:rPr>
        <w:t xml:space="preserve"> </w:t>
      </w:r>
      <w:r>
        <w:rPr>
          <w:rFonts w:ascii="Arial"/>
          <w:color w:val="000000"/>
          <w:sz w:val="24"/>
        </w:rPr>
        <w:t xml:space="preserve">the Council </w:t>
      </w:r>
      <w:r>
        <w:rPr>
          <w:rFonts w:ascii="Arial"/>
          <w:color w:val="000000"/>
          <w:sz w:val="24"/>
        </w:rPr>
        <w:t>has posited</w:t>
      </w:r>
      <w:r>
        <w:rPr>
          <w:rFonts w:ascii="Arial"/>
          <w:color w:val="000000"/>
          <w:sz w:val="24"/>
        </w:rPr>
        <w:t xml:space="preserve">. </w:t>
      </w:r>
    </w:p>
    <w:p>
      <w:pPr>
        <w:pStyle w:val="CaselawHeading2"/>
        <w:keepNext/>
        <w:spacing w:before="150" w:after="150" w:line="264"/>
        <w:ind w:left="0"/>
        <w:jc w:val="left"/>
      </w:pPr>
      <w:r>
        <w:rPr>
          <w:rFonts w:ascii="Arial"/>
        </w:rPr>
        <w:t xml:space="preserve">The Council Must Pay UPG’s Costs of the Proceedings </w:t>
      </w:r>
    </w:p>
    <w:p>
      <w:pPr>
        <w:pStyle w:val="CaselawNumbered10"/>
        <w:numPr>
          <w:ilvl w:val="0"/>
          <w:numId w:val="40"/>
        </w:numPr>
        <w:spacing w:before="150" w:after="0"/>
        <w:ind w:left="600" w:hanging="600"/>
      </w:pPr>
      <w:r>
        <w:rPr>
          <w:rFonts w:ascii="Arial"/>
          <w:color w:val="000000"/>
          <w:sz w:val="24"/>
        </w:rPr>
        <w:t>A</w:t>
      </w:r>
      <w:r>
        <w:rPr>
          <w:rFonts w:ascii="Arial"/>
          <w:color w:val="000000"/>
          <w:sz w:val="24"/>
        </w:rPr>
        <w:t>s the authorities make plain, a</w:t>
      </w:r>
      <w:r>
        <w:rPr>
          <w:rFonts w:ascii="Arial"/>
          <w:color w:val="000000"/>
          <w:sz w:val="24"/>
        </w:rPr>
        <w:t>n</w:t>
      </w:r>
      <w:r>
        <w:rPr>
          <w:rFonts w:ascii="Arial"/>
          <w:color w:val="000000"/>
          <w:sz w:val="24"/>
        </w:rPr>
        <w:t xml:space="preserve"> </w:t>
      </w:r>
      <w:r>
        <w:rPr>
          <w:rFonts w:ascii="Arial"/>
          <w:color w:val="000000"/>
          <w:sz w:val="24"/>
        </w:rPr>
        <w:t>owner of land who has been compulsorily dispossessed</w:t>
      </w:r>
      <w:r>
        <w:rPr>
          <w:rFonts w:ascii="Arial"/>
          <w:color w:val="000000"/>
          <w:sz w:val="24"/>
        </w:rPr>
        <w:t xml:space="preserve"> </w:t>
      </w:r>
      <w:r>
        <w:rPr>
          <w:rFonts w:ascii="Arial"/>
          <w:color w:val="000000"/>
          <w:sz w:val="24"/>
        </w:rPr>
        <w:t>by an authority of the State</w:t>
      </w:r>
      <w:r>
        <w:rPr>
          <w:rFonts w:ascii="Arial"/>
          <w:color w:val="000000"/>
          <w:sz w:val="24"/>
        </w:rPr>
        <w:t xml:space="preserve"> </w:t>
      </w:r>
      <w:r>
        <w:rPr>
          <w:rFonts w:ascii="Arial"/>
          <w:color w:val="000000"/>
          <w:sz w:val="24"/>
        </w:rPr>
        <w:t>is entitled to take reasonable steps to seek the judgment of th</w:t>
      </w:r>
      <w:r>
        <w:rPr>
          <w:rFonts w:ascii="Arial"/>
          <w:color w:val="000000"/>
          <w:sz w:val="24"/>
        </w:rPr>
        <w:t>is</w:t>
      </w:r>
      <w:r>
        <w:rPr>
          <w:rFonts w:ascii="Arial"/>
          <w:color w:val="000000"/>
          <w:sz w:val="24"/>
        </w:rPr>
        <w:t xml:space="preserve"> </w:t>
      </w:r>
      <w:r>
        <w:rPr>
          <w:rFonts w:ascii="Arial"/>
          <w:color w:val="000000"/>
          <w:sz w:val="24"/>
        </w:rPr>
        <w:t>C</w:t>
      </w:r>
      <w:r>
        <w:rPr>
          <w:rFonts w:ascii="Arial"/>
          <w:color w:val="000000"/>
          <w:sz w:val="24"/>
        </w:rPr>
        <w:t>ourt in respect of the adequacy of compensation offered.</w:t>
      </w:r>
      <w:r>
        <w:rPr>
          <w:rFonts w:ascii="Arial"/>
          <w:color w:val="000000"/>
          <w:sz w:val="24"/>
        </w:rPr>
        <w:t> </w:t>
      </w:r>
      <w:r>
        <w:rPr>
          <w:rFonts w:ascii="Arial"/>
          <w:color w:val="000000"/>
          <w:sz w:val="24"/>
        </w:rPr>
        <w:t xml:space="preserve">The Just Terms Act provides that </w:t>
      </w:r>
      <w:r>
        <w:rPr>
          <w:rFonts w:ascii="Arial"/>
          <w:color w:val="000000"/>
          <w:sz w:val="24"/>
        </w:rPr>
        <w:t xml:space="preserve">the Valuer-General </w:t>
      </w:r>
      <w:r>
        <w:rPr>
          <w:rFonts w:ascii="Arial"/>
          <w:color w:val="000000"/>
          <w:sz w:val="24"/>
        </w:rPr>
        <w:t xml:space="preserve">must </w:t>
      </w:r>
      <w:r>
        <w:rPr>
          <w:rFonts w:ascii="Arial"/>
          <w:color w:val="000000"/>
          <w:sz w:val="24"/>
        </w:rPr>
        <w:t xml:space="preserve">first </w:t>
      </w:r>
      <w:r>
        <w:rPr>
          <w:rFonts w:ascii="Arial"/>
          <w:color w:val="000000"/>
          <w:sz w:val="24"/>
        </w:rPr>
        <w:t>determine</w:t>
      </w:r>
      <w:r>
        <w:rPr>
          <w:rFonts w:ascii="Arial"/>
          <w:color w:val="000000"/>
          <w:sz w:val="24"/>
        </w:rPr>
        <w:t xml:space="preserve"> </w:t>
      </w:r>
      <w:r>
        <w:rPr>
          <w:rFonts w:ascii="Arial"/>
          <w:color w:val="000000"/>
          <w:sz w:val="24"/>
        </w:rPr>
        <w:t>the compensation available</w:t>
      </w:r>
      <w:r>
        <w:rPr>
          <w:rFonts w:ascii="Arial"/>
          <w:color w:val="000000"/>
          <w:sz w:val="24"/>
        </w:rPr>
        <w:t xml:space="preserve"> </w:t>
      </w:r>
      <w:r>
        <w:rPr>
          <w:rFonts w:ascii="Arial"/>
          <w:color w:val="000000"/>
          <w:sz w:val="24"/>
        </w:rPr>
        <w:t xml:space="preserve">according to the procedures of that Act. </w:t>
      </w:r>
      <w:r>
        <w:rPr>
          <w:rFonts w:ascii="Arial"/>
          <w:color w:val="000000"/>
          <w:sz w:val="24"/>
        </w:rPr>
        <w:t>The Act</w:t>
      </w:r>
      <w:r>
        <w:rPr>
          <w:rFonts w:ascii="Arial"/>
          <w:color w:val="000000"/>
          <w:sz w:val="24"/>
        </w:rPr>
        <w:t xml:space="preserve"> </w:t>
      </w:r>
      <w:r>
        <w:rPr>
          <w:rFonts w:ascii="Arial"/>
          <w:color w:val="000000"/>
          <w:sz w:val="24"/>
        </w:rPr>
        <w:t>then</w:t>
      </w:r>
      <w:r>
        <w:rPr>
          <w:rFonts w:ascii="Arial"/>
          <w:color w:val="000000"/>
          <w:sz w:val="24"/>
        </w:rPr>
        <w:t xml:space="preserve"> </w:t>
      </w:r>
      <w:r>
        <w:rPr>
          <w:rFonts w:ascii="Arial"/>
          <w:color w:val="000000"/>
          <w:sz w:val="24"/>
        </w:rPr>
        <w:t xml:space="preserve">permits </w:t>
      </w:r>
      <w:r>
        <w:rPr>
          <w:rFonts w:ascii="Arial"/>
          <w:color w:val="000000"/>
          <w:sz w:val="24"/>
        </w:rPr>
        <w:t>the</w:t>
      </w:r>
      <w:r>
        <w:rPr>
          <w:rFonts w:ascii="Arial"/>
          <w:color w:val="000000"/>
          <w:sz w:val="24"/>
        </w:rPr>
        <w:t xml:space="preserve"> </w:t>
      </w:r>
      <w:r>
        <w:rPr>
          <w:rFonts w:ascii="Arial"/>
          <w:color w:val="000000"/>
          <w:sz w:val="24"/>
        </w:rPr>
        <w:t>dispossessed</w:t>
      </w:r>
      <w:r>
        <w:rPr>
          <w:rFonts w:ascii="Arial"/>
          <w:color w:val="000000"/>
          <w:sz w:val="24"/>
        </w:rPr>
        <w:t xml:space="preserve"> </w:t>
      </w:r>
      <w:r>
        <w:rPr>
          <w:rFonts w:ascii="Arial"/>
          <w:color w:val="000000"/>
          <w:sz w:val="24"/>
        </w:rPr>
        <w:t>landowner to object to that determination by instituting proceedings in th</w:t>
      </w:r>
      <w:r>
        <w:rPr>
          <w:rFonts w:ascii="Arial"/>
          <w:color w:val="000000"/>
          <w:sz w:val="24"/>
        </w:rPr>
        <w:t>e</w:t>
      </w:r>
      <w:r>
        <w:rPr>
          <w:rFonts w:ascii="Arial"/>
          <w:color w:val="000000"/>
          <w:sz w:val="24"/>
        </w:rPr>
        <w:t xml:space="preserve"> </w:t>
      </w:r>
      <w:r>
        <w:rPr>
          <w:rFonts w:ascii="Arial"/>
          <w:color w:val="000000"/>
          <w:sz w:val="24"/>
        </w:rPr>
        <w:t>Court.</w:t>
      </w:r>
      <w:r>
        <w:rPr>
          <w:rFonts w:ascii="Arial"/>
          <w:color w:val="000000"/>
          <w:sz w:val="24"/>
        </w:rPr>
        <w:t xml:space="preserve"> </w:t>
      </w:r>
      <w:r>
        <w:rPr>
          <w:rFonts w:ascii="Arial"/>
          <w:color w:val="000000"/>
          <w:sz w:val="24"/>
        </w:rPr>
        <w:t>Th</w:t>
      </w:r>
      <w:r>
        <w:rPr>
          <w:rFonts w:ascii="Arial"/>
          <w:color w:val="000000"/>
          <w:sz w:val="24"/>
        </w:rPr>
        <w:t>e</w:t>
      </w:r>
      <w:r>
        <w:rPr>
          <w:rFonts w:ascii="Arial"/>
          <w:color w:val="000000"/>
          <w:sz w:val="24"/>
        </w:rPr>
        <w:t xml:space="preserve"> </w:t>
      </w:r>
      <w:r>
        <w:rPr>
          <w:rFonts w:ascii="Arial"/>
          <w:color w:val="000000"/>
          <w:sz w:val="24"/>
        </w:rPr>
        <w:t xml:space="preserve">Court </w:t>
      </w:r>
      <w:r>
        <w:rPr>
          <w:rFonts w:ascii="Arial"/>
          <w:color w:val="000000"/>
          <w:sz w:val="24"/>
        </w:rPr>
        <w:t>must subsequently</w:t>
      </w:r>
      <w:r>
        <w:rPr>
          <w:rFonts w:ascii="Arial"/>
          <w:color w:val="000000"/>
          <w:sz w:val="24"/>
        </w:rPr>
        <w:t xml:space="preserve"> </w:t>
      </w:r>
      <w:r>
        <w:rPr>
          <w:rFonts w:ascii="Arial"/>
          <w:color w:val="000000"/>
          <w:sz w:val="24"/>
        </w:rPr>
        <w:t>hear and dispose of the person</w:t>
      </w:r>
      <w:r>
        <w:rPr>
          <w:rFonts w:ascii="Arial"/>
          <w:color w:val="000000"/>
          <w:sz w:val="24"/>
        </w:rPr>
        <w:t>’</w:t>
      </w:r>
      <w:r>
        <w:rPr>
          <w:rFonts w:ascii="Arial"/>
          <w:color w:val="000000"/>
          <w:sz w:val="24"/>
        </w:rPr>
        <w:t>s claim for compensation by fixing an amount that justly compensate</w:t>
      </w:r>
      <w:r>
        <w:rPr>
          <w:rFonts w:ascii="Arial"/>
          <w:color w:val="000000"/>
          <w:sz w:val="24"/>
        </w:rPr>
        <w:t>s</w:t>
      </w:r>
      <w:r>
        <w:rPr>
          <w:rFonts w:ascii="Arial"/>
          <w:color w:val="000000"/>
          <w:sz w:val="24"/>
        </w:rPr>
        <w:t xml:space="preserve"> </w:t>
      </w:r>
      <w:r>
        <w:rPr>
          <w:rFonts w:ascii="Arial"/>
          <w:color w:val="000000"/>
          <w:sz w:val="24"/>
        </w:rPr>
        <w:t>that person</w:t>
      </w:r>
      <w:r>
        <w:rPr>
          <w:rFonts w:ascii="Arial"/>
          <w:color w:val="000000"/>
          <w:sz w:val="24"/>
        </w:rPr>
        <w:t xml:space="preserve"> </w:t>
      </w:r>
      <w:r>
        <w:rPr>
          <w:rFonts w:ascii="Arial"/>
          <w:color w:val="000000"/>
          <w:sz w:val="24"/>
        </w:rPr>
        <w:t>for the dispossession</w:t>
      </w:r>
      <w:r>
        <w:rPr>
          <w:rFonts w:ascii="Arial"/>
          <w:color w:val="000000"/>
          <w:sz w:val="24"/>
        </w:rPr>
        <w:t xml:space="preserve">. </w:t>
      </w:r>
    </w:p>
    <w:p>
      <w:pPr>
        <w:pStyle w:val="CaselawNumbered10"/>
        <w:numPr>
          <w:ilvl w:val="0"/>
          <w:numId w:val="40"/>
        </w:numPr>
        <w:spacing w:before="150" w:after="0"/>
        <w:ind w:left="600" w:hanging="600"/>
      </w:pPr>
      <w:r>
        <w:rPr>
          <w:rFonts w:ascii="Arial"/>
          <w:color w:val="000000"/>
          <w:sz w:val="24"/>
        </w:rPr>
        <w:t xml:space="preserve">UPG </w:t>
      </w:r>
      <w:r>
        <w:rPr>
          <w:rFonts w:ascii="Arial"/>
          <w:color w:val="000000"/>
          <w:sz w:val="24"/>
        </w:rPr>
        <w:t xml:space="preserve">initiated </w:t>
      </w:r>
      <w:r>
        <w:rPr>
          <w:rFonts w:ascii="Arial"/>
          <w:color w:val="000000"/>
          <w:sz w:val="24"/>
        </w:rPr>
        <w:t xml:space="preserve">the proceedings </w:t>
      </w:r>
      <w:r>
        <w:rPr>
          <w:rFonts w:ascii="Arial"/>
          <w:color w:val="000000"/>
          <w:sz w:val="24"/>
        </w:rPr>
        <w:t xml:space="preserve">objecting </w:t>
      </w:r>
      <w:r>
        <w:rPr>
          <w:rFonts w:ascii="Arial"/>
          <w:color w:val="000000"/>
          <w:sz w:val="24"/>
        </w:rPr>
        <w:t xml:space="preserve">to the statutory offer </w:t>
      </w:r>
      <w:r>
        <w:rPr>
          <w:rFonts w:ascii="Arial"/>
          <w:color w:val="000000"/>
          <w:sz w:val="24"/>
        </w:rPr>
        <w:t>pursuant to its entitlement to do so under th</w:t>
      </w:r>
      <w:r>
        <w:rPr>
          <w:rFonts w:ascii="Arial"/>
          <w:color w:val="000000"/>
          <w:sz w:val="24"/>
        </w:rPr>
        <w:t>e Just Terms Act</w:t>
      </w:r>
      <w:r>
        <w:rPr>
          <w:rFonts w:ascii="Arial"/>
          <w:color w:val="000000"/>
          <w:sz w:val="24"/>
        </w:rPr>
        <w:t>. I</w:t>
      </w:r>
      <w:r>
        <w:rPr>
          <w:rFonts w:ascii="Arial"/>
          <w:color w:val="000000"/>
          <w:sz w:val="24"/>
        </w:rPr>
        <w:t>n doing so it</w:t>
      </w:r>
      <w:r>
        <w:rPr>
          <w:rFonts w:ascii="Arial"/>
          <w:color w:val="000000"/>
          <w:sz w:val="24"/>
        </w:rPr>
        <w:t xml:space="preserve"> </w:t>
      </w:r>
      <w:r>
        <w:rPr>
          <w:rFonts w:ascii="Arial"/>
          <w:color w:val="000000"/>
          <w:sz w:val="24"/>
        </w:rPr>
        <w:t xml:space="preserve">raised </w:t>
      </w:r>
      <w:r>
        <w:rPr>
          <w:rFonts w:ascii="Arial"/>
          <w:color w:val="000000"/>
          <w:sz w:val="24"/>
        </w:rPr>
        <w:t xml:space="preserve">legitimate </w:t>
      </w:r>
      <w:r>
        <w:rPr>
          <w:rFonts w:ascii="Arial"/>
          <w:color w:val="000000"/>
          <w:sz w:val="24"/>
        </w:rPr>
        <w:t>issues</w:t>
      </w:r>
      <w:r>
        <w:rPr>
          <w:rFonts w:ascii="Arial"/>
          <w:color w:val="000000"/>
          <w:sz w:val="24"/>
        </w:rPr>
        <w:t xml:space="preserve"> </w:t>
      </w:r>
      <w:r>
        <w:rPr>
          <w:rFonts w:ascii="Arial"/>
          <w:color w:val="000000"/>
          <w:sz w:val="24"/>
        </w:rPr>
        <w:t xml:space="preserve">concerning the determination of </w:t>
      </w:r>
      <w:r>
        <w:rPr>
          <w:rFonts w:ascii="Arial"/>
          <w:color w:val="000000"/>
          <w:sz w:val="24"/>
        </w:rPr>
        <w:t>the market value of</w:t>
      </w:r>
      <w:r>
        <w:rPr>
          <w:rFonts w:ascii="Arial"/>
          <w:color w:val="000000"/>
          <w:sz w:val="24"/>
        </w:rPr>
        <w:t xml:space="preserve"> </w:t>
      </w:r>
      <w:r>
        <w:rPr>
          <w:rFonts w:ascii="Arial"/>
          <w:color w:val="000000"/>
          <w:sz w:val="24"/>
        </w:rPr>
        <w:t>the acquired land</w:t>
      </w:r>
      <w:r>
        <w:rPr>
          <w:rFonts w:ascii="Arial"/>
          <w:color w:val="000000"/>
          <w:sz w:val="24"/>
        </w:rPr>
        <w:t>, including the identification of the public purpose for which the land was acquired</w:t>
      </w:r>
      <w:r>
        <w:rPr>
          <w:rFonts w:ascii="Arial"/>
          <w:color w:val="000000"/>
          <w:sz w:val="24"/>
        </w:rPr>
        <w:t xml:space="preserve">. </w:t>
      </w:r>
      <w:r>
        <w:rPr>
          <w:rFonts w:ascii="Arial"/>
          <w:color w:val="000000"/>
          <w:sz w:val="24"/>
        </w:rPr>
        <w:t xml:space="preserve">It did so without delay </w:t>
      </w:r>
      <w:r>
        <w:rPr>
          <w:rFonts w:ascii="Arial"/>
          <w:color w:val="000000"/>
          <w:sz w:val="24"/>
        </w:rPr>
        <w:t xml:space="preserve">or </w:t>
      </w:r>
      <w:r>
        <w:rPr>
          <w:rFonts w:ascii="Arial"/>
          <w:color w:val="000000"/>
          <w:sz w:val="24"/>
        </w:rPr>
        <w:t xml:space="preserve">in a way that </w:t>
      </w:r>
      <w:r>
        <w:rPr>
          <w:rFonts w:ascii="Arial"/>
          <w:color w:val="000000"/>
          <w:sz w:val="24"/>
        </w:rPr>
        <w:t>inflate</w:t>
      </w:r>
      <w:r>
        <w:rPr>
          <w:rFonts w:ascii="Arial"/>
          <w:color w:val="000000"/>
          <w:sz w:val="24"/>
        </w:rPr>
        <w:t>d</w:t>
      </w:r>
      <w:r>
        <w:rPr>
          <w:rFonts w:ascii="Arial"/>
          <w:color w:val="000000"/>
          <w:sz w:val="24"/>
        </w:rPr>
        <w:t xml:space="preserve"> </w:t>
      </w:r>
      <w:r>
        <w:rPr>
          <w:rFonts w:ascii="Arial"/>
          <w:color w:val="000000"/>
          <w:sz w:val="24"/>
        </w:rPr>
        <w:t>the parties</w:t>
      </w:r>
      <w:r>
        <w:rPr>
          <w:rFonts w:ascii="Arial"/>
          <w:color w:val="000000"/>
          <w:sz w:val="24"/>
        </w:rPr>
        <w:t xml:space="preserve">’ </w:t>
      </w:r>
      <w:r>
        <w:rPr>
          <w:rFonts w:ascii="Arial"/>
          <w:color w:val="000000"/>
          <w:sz w:val="24"/>
        </w:rPr>
        <w:t xml:space="preserve">costs. </w:t>
      </w:r>
      <w:r>
        <w:rPr>
          <w:rFonts w:ascii="Arial"/>
          <w:color w:val="000000"/>
          <w:sz w:val="24"/>
        </w:rPr>
        <w:t xml:space="preserve">In other words, up to the commencement of the hearing it acted </w:t>
      </w:r>
      <w:r>
        <w:rPr>
          <w:rFonts w:ascii="Arial"/>
          <w:color w:val="000000"/>
          <w:sz w:val="24"/>
        </w:rPr>
        <w:t xml:space="preserve">entirely </w:t>
      </w:r>
      <w:r>
        <w:rPr>
          <w:rFonts w:ascii="Arial"/>
          <w:color w:val="000000"/>
          <w:sz w:val="24"/>
        </w:rPr>
        <w:t xml:space="preserve">reasonably. This is no doubt the </w:t>
      </w:r>
      <w:r>
        <w:rPr>
          <w:rFonts w:ascii="Arial"/>
          <w:color w:val="000000"/>
          <w:sz w:val="24"/>
        </w:rPr>
        <w:t>reason</w:t>
      </w:r>
      <w:r>
        <w:rPr>
          <w:rFonts w:ascii="Arial"/>
          <w:color w:val="000000"/>
          <w:sz w:val="24"/>
        </w:rPr>
        <w:t xml:space="preserve"> </w:t>
      </w:r>
      <w:r>
        <w:rPr>
          <w:rFonts w:ascii="Arial"/>
          <w:color w:val="000000"/>
          <w:sz w:val="24"/>
        </w:rPr>
        <w:t>for the first limb of the split costs order proposed by the Council</w:t>
      </w:r>
      <w:r>
        <w:rPr>
          <w:rFonts w:ascii="Arial"/>
          <w:color w:val="000000"/>
          <w:sz w:val="24"/>
        </w:rPr>
        <w:t>.</w:t>
      </w:r>
      <w:r>
        <w:rPr>
          <w:rFonts w:ascii="Arial"/>
          <w:color w:val="000000"/>
          <w:sz w:val="24"/>
        </w:rPr>
        <w:t xml:space="preserve"> </w:t>
      </w:r>
      <w:r>
        <w:rPr>
          <w:rFonts w:ascii="Arial"/>
          <w:color w:val="000000"/>
          <w:sz w:val="24"/>
        </w:rPr>
        <w:t xml:space="preserve">I agree that </w:t>
      </w:r>
      <w:r>
        <w:rPr>
          <w:rFonts w:ascii="Arial"/>
          <w:color w:val="000000"/>
          <w:sz w:val="24"/>
        </w:rPr>
        <w:t xml:space="preserve">such an </w:t>
      </w:r>
      <w:r>
        <w:rPr>
          <w:rFonts w:ascii="Arial"/>
          <w:color w:val="000000"/>
          <w:sz w:val="24"/>
        </w:rPr>
        <w:t xml:space="preserve">order is appropriate. </w:t>
      </w:r>
    </w:p>
    <w:p>
      <w:pPr>
        <w:pStyle w:val="CaselawNumbered10"/>
        <w:numPr>
          <w:ilvl w:val="0"/>
          <w:numId w:val="40"/>
        </w:numPr>
        <w:spacing w:before="150" w:after="0"/>
        <w:ind w:left="600" w:hanging="600"/>
      </w:pPr>
      <w:r>
        <w:rPr>
          <w:rFonts w:ascii="Arial"/>
          <w:color w:val="000000"/>
          <w:sz w:val="24"/>
        </w:rPr>
        <w:t>Rather, the</w:t>
      </w:r>
      <w:r>
        <w:rPr>
          <w:rFonts w:ascii="Arial"/>
          <w:color w:val="000000"/>
          <w:sz w:val="24"/>
        </w:rPr>
        <w:t xml:space="preserve"> </w:t>
      </w:r>
      <w:r>
        <w:rPr>
          <w:rFonts w:ascii="Arial"/>
          <w:color w:val="000000"/>
          <w:sz w:val="24"/>
        </w:rPr>
        <w:t>question is whether UPG</w:t>
      </w:r>
      <w:r>
        <w:rPr>
          <w:rFonts w:ascii="Arial"/>
          <w:color w:val="000000"/>
          <w:sz w:val="24"/>
        </w:rPr>
        <w:t>’</w:t>
      </w:r>
      <w:r>
        <w:rPr>
          <w:rFonts w:ascii="Arial"/>
          <w:color w:val="000000"/>
          <w:sz w:val="24"/>
        </w:rPr>
        <w:t xml:space="preserve">s continuation of the proceedings once the </w:t>
      </w:r>
      <w:r>
        <w:rPr>
          <w:rFonts w:ascii="Arial"/>
          <w:color w:val="000000"/>
          <w:sz w:val="24"/>
        </w:rPr>
        <w:t xml:space="preserve">joint expert reports were served </w:t>
      </w:r>
      <w:r>
        <w:rPr>
          <w:rFonts w:ascii="Arial"/>
          <w:color w:val="000000"/>
          <w:sz w:val="24"/>
        </w:rPr>
        <w:t xml:space="preserve">and digested </w:t>
      </w:r>
      <w:r>
        <w:rPr>
          <w:rFonts w:ascii="Arial"/>
          <w:color w:val="000000"/>
          <w:sz w:val="24"/>
        </w:rPr>
        <w:t xml:space="preserve">was reasonable. </w:t>
      </w:r>
      <w:r>
        <w:rPr>
          <w:rFonts w:ascii="Arial"/>
          <w:color w:val="000000"/>
          <w:sz w:val="24"/>
        </w:rPr>
        <w:t>To reiterate, the Council submits that upon receipt of these reports the weaknesses in UPG</w:t>
      </w:r>
      <w:r>
        <w:rPr>
          <w:rFonts w:ascii="Arial"/>
          <w:color w:val="000000"/>
          <w:sz w:val="24"/>
        </w:rPr>
        <w:t>’</w:t>
      </w:r>
      <w:r>
        <w:rPr>
          <w:rFonts w:ascii="Arial"/>
          <w:color w:val="000000"/>
          <w:sz w:val="24"/>
        </w:rPr>
        <w:t>s case became manifest and it ought to have accepted the Valuer-General</w:t>
      </w:r>
      <w:r>
        <w:rPr>
          <w:rFonts w:ascii="Arial"/>
          <w:color w:val="000000"/>
          <w:sz w:val="24"/>
        </w:rPr>
        <w:t>’</w:t>
      </w:r>
      <w:r>
        <w:rPr>
          <w:rFonts w:ascii="Arial"/>
          <w:color w:val="000000"/>
          <w:sz w:val="24"/>
        </w:rPr>
        <w:t xml:space="preserve">s determination </w:t>
      </w:r>
      <w:r>
        <w:rPr>
          <w:rFonts w:ascii="Arial"/>
          <w:color w:val="000000"/>
          <w:sz w:val="24"/>
        </w:rPr>
        <w:t xml:space="preserve">of compensation payable </w:t>
      </w:r>
      <w:r>
        <w:rPr>
          <w:rFonts w:ascii="Arial"/>
          <w:color w:val="000000"/>
          <w:sz w:val="24"/>
        </w:rPr>
        <w:t xml:space="preserve">prior to the hearing </w:t>
      </w:r>
      <w:r>
        <w:rPr>
          <w:rFonts w:ascii="Arial"/>
          <w:color w:val="000000"/>
          <w:sz w:val="24"/>
        </w:rPr>
        <w:t>commencing</w:t>
      </w:r>
      <w:r>
        <w:rPr>
          <w:rFonts w:ascii="Arial"/>
          <w:color w:val="000000"/>
          <w:sz w:val="24"/>
        </w:rPr>
        <w:t xml:space="preserve">. </w:t>
      </w:r>
    </w:p>
    <w:p>
      <w:pPr>
        <w:pStyle w:val="CaselawNumbered10"/>
        <w:numPr>
          <w:ilvl w:val="0"/>
          <w:numId w:val="40"/>
        </w:numPr>
        <w:spacing w:before="150" w:after="0"/>
        <w:ind w:left="600" w:hanging="600"/>
      </w:pPr>
      <w:r>
        <w:rPr>
          <w:rFonts w:ascii="Arial"/>
          <w:color w:val="000000"/>
          <w:sz w:val="24"/>
        </w:rPr>
        <w:t xml:space="preserve">As is evident from the reasons given in the judgment, the issues raised by the expert evidence </w:t>
      </w:r>
      <w:r>
        <w:rPr>
          <w:rFonts w:ascii="Arial"/>
          <w:color w:val="000000"/>
          <w:sz w:val="24"/>
        </w:rPr>
        <w:t xml:space="preserve">and the opinions expressed in the joint reports </w:t>
      </w:r>
      <w:r>
        <w:rPr>
          <w:rFonts w:ascii="Arial"/>
          <w:color w:val="000000"/>
          <w:sz w:val="24"/>
        </w:rPr>
        <w:t>were contestable (</w:t>
      </w:r>
      <w:r>
        <w:rPr>
          <w:rFonts w:ascii="Arial"/>
          <w:color w:val="000000"/>
          <w:sz w:val="24"/>
        </w:rPr>
        <w:t xml:space="preserve">during the hearing of the motion </w:t>
      </w:r>
      <w:r>
        <w:rPr>
          <w:rFonts w:ascii="Arial"/>
          <w:color w:val="000000"/>
          <w:sz w:val="24"/>
        </w:rPr>
        <w:t>UPG helpfully provided the Court with an aide memoire to assist its recollection in this regard)</w:t>
      </w:r>
      <w:r>
        <w:rPr>
          <w:rFonts w:ascii="Arial"/>
          <w:color w:val="000000"/>
          <w:sz w:val="24"/>
        </w:rPr>
        <w:t>. While the experts commendably reached agreement</w:t>
      </w:r>
      <w:r>
        <w:rPr>
          <w:rFonts w:ascii="Arial"/>
          <w:color w:val="000000"/>
          <w:sz w:val="24"/>
        </w:rPr>
        <w:t xml:space="preserve"> </w:t>
      </w:r>
      <w:r>
        <w:rPr>
          <w:rFonts w:ascii="Arial"/>
          <w:color w:val="000000"/>
          <w:sz w:val="24"/>
        </w:rPr>
        <w:t xml:space="preserve">on </w:t>
      </w:r>
      <w:r>
        <w:rPr>
          <w:rFonts w:ascii="Arial"/>
          <w:color w:val="000000"/>
          <w:sz w:val="24"/>
        </w:rPr>
        <w:t>many</w:t>
      </w:r>
      <w:r>
        <w:rPr>
          <w:rFonts w:ascii="Arial"/>
          <w:color w:val="000000"/>
          <w:sz w:val="24"/>
        </w:rPr>
        <w:t xml:space="preserve"> </w:t>
      </w:r>
      <w:r>
        <w:rPr>
          <w:rFonts w:ascii="Arial"/>
          <w:color w:val="000000"/>
          <w:sz w:val="24"/>
        </w:rPr>
        <w:t>matters</w:t>
      </w:r>
      <w:r>
        <w:rPr>
          <w:rFonts w:ascii="Arial"/>
          <w:color w:val="000000"/>
          <w:sz w:val="24"/>
        </w:rPr>
        <w:t>, the key issues identified above remained in dispute and required resolution</w:t>
      </w:r>
      <w:r>
        <w:rPr>
          <w:rFonts w:ascii="Arial"/>
          <w:color w:val="000000"/>
          <w:sz w:val="24"/>
        </w:rPr>
        <w:t xml:space="preserve">. </w:t>
      </w:r>
      <w:r>
        <w:rPr>
          <w:rFonts w:ascii="Arial"/>
          <w:color w:val="000000"/>
          <w:sz w:val="24"/>
        </w:rPr>
        <w:t>It is not the case that upon receipt of UPG</w:t>
      </w:r>
      <w:r>
        <w:rPr>
          <w:rFonts w:ascii="Arial"/>
          <w:color w:val="000000"/>
          <w:sz w:val="24"/>
        </w:rPr>
        <w:t>’</w:t>
      </w:r>
      <w:r>
        <w:rPr>
          <w:rFonts w:ascii="Arial"/>
          <w:color w:val="000000"/>
          <w:sz w:val="24"/>
        </w:rPr>
        <w:t>s expert evidence</w:t>
      </w:r>
      <w:r>
        <w:rPr>
          <w:rFonts w:ascii="Arial"/>
          <w:color w:val="000000"/>
          <w:sz w:val="24"/>
        </w:rPr>
        <w:t>,</w:t>
      </w:r>
      <w:r>
        <w:rPr>
          <w:rFonts w:ascii="Arial"/>
          <w:color w:val="000000"/>
          <w:sz w:val="24"/>
        </w:rPr>
        <w:t xml:space="preserve"> </w:t>
      </w:r>
      <w:r>
        <w:rPr>
          <w:rFonts w:ascii="Arial"/>
          <w:color w:val="000000"/>
          <w:sz w:val="24"/>
        </w:rPr>
        <w:t>or the joint expert report</w:t>
      </w:r>
      <w:r>
        <w:rPr>
          <w:rFonts w:ascii="Arial"/>
          <w:color w:val="000000"/>
          <w:sz w:val="24"/>
        </w:rPr>
        <w:t>s</w:t>
      </w:r>
      <w:r>
        <w:rPr>
          <w:rFonts w:ascii="Arial"/>
          <w:color w:val="000000"/>
          <w:sz w:val="24"/>
        </w:rPr>
        <w:t xml:space="preserve"> </w:t>
      </w:r>
      <w:r>
        <w:rPr>
          <w:rFonts w:ascii="Arial"/>
          <w:color w:val="000000"/>
          <w:sz w:val="24"/>
        </w:rPr>
        <w:t>referred to above</w:t>
      </w:r>
      <w:r>
        <w:rPr>
          <w:rFonts w:ascii="Arial"/>
          <w:color w:val="000000"/>
          <w:sz w:val="24"/>
        </w:rPr>
        <w:t xml:space="preserve">, </w:t>
      </w:r>
      <w:r>
        <w:rPr>
          <w:rFonts w:ascii="Arial"/>
          <w:color w:val="000000"/>
          <w:sz w:val="24"/>
        </w:rPr>
        <w:t xml:space="preserve">that </w:t>
      </w:r>
      <w:r>
        <w:rPr>
          <w:rFonts w:ascii="Arial"/>
          <w:color w:val="000000"/>
          <w:sz w:val="24"/>
        </w:rPr>
        <w:t xml:space="preserve">these issues were able to be </w:t>
      </w:r>
      <w:r>
        <w:rPr>
          <w:rFonts w:ascii="Arial"/>
          <w:color w:val="000000"/>
          <w:sz w:val="24"/>
        </w:rPr>
        <w:t>eas</w:t>
      </w:r>
      <w:r>
        <w:rPr>
          <w:rFonts w:ascii="Arial"/>
          <w:color w:val="000000"/>
          <w:sz w:val="24"/>
        </w:rPr>
        <w:t xml:space="preserve">ily resolved absent cross-examination </w:t>
      </w:r>
      <w:r>
        <w:rPr>
          <w:rFonts w:ascii="Arial"/>
          <w:color w:val="000000"/>
          <w:sz w:val="24"/>
        </w:rPr>
        <w:t xml:space="preserve">or </w:t>
      </w:r>
      <w:r>
        <w:rPr>
          <w:rFonts w:ascii="Arial"/>
          <w:color w:val="000000"/>
          <w:sz w:val="24"/>
        </w:rPr>
        <w:t>the making of</w:t>
      </w:r>
      <w:r>
        <w:rPr>
          <w:rFonts w:ascii="Arial"/>
          <w:color w:val="000000"/>
          <w:sz w:val="24"/>
        </w:rPr>
        <w:t xml:space="preserve"> </w:t>
      </w:r>
      <w:r>
        <w:rPr>
          <w:rFonts w:ascii="Arial"/>
          <w:color w:val="000000"/>
          <w:sz w:val="24"/>
        </w:rPr>
        <w:t>submission</w:t>
      </w:r>
      <w:r>
        <w:rPr>
          <w:rFonts w:ascii="Arial"/>
          <w:color w:val="000000"/>
          <w:sz w:val="24"/>
        </w:rPr>
        <w:t>s</w:t>
      </w:r>
      <w:r>
        <w:rPr>
          <w:rFonts w:ascii="Arial"/>
          <w:color w:val="000000"/>
          <w:sz w:val="24"/>
        </w:rPr>
        <w:t xml:space="preserve"> </w:t>
      </w:r>
      <w:r>
        <w:rPr>
          <w:rFonts w:ascii="Arial"/>
          <w:color w:val="000000"/>
          <w:sz w:val="24"/>
        </w:rPr>
        <w:t xml:space="preserve">in relation to their evidence. </w:t>
      </w:r>
      <w:r>
        <w:rPr>
          <w:rFonts w:ascii="Arial"/>
          <w:color w:val="000000"/>
          <w:sz w:val="24"/>
        </w:rPr>
        <w:t xml:space="preserve">That is, this is not an instance where by reason of the evidence there </w:t>
      </w:r>
      <w:r>
        <w:rPr>
          <w:rFonts w:ascii="Arial"/>
          <w:color w:val="000000"/>
          <w:sz w:val="24"/>
        </w:rPr>
        <w:t xml:space="preserve">was </w:t>
      </w:r>
      <w:r>
        <w:rPr>
          <w:rFonts w:ascii="Arial"/>
          <w:color w:val="000000"/>
          <w:sz w:val="24"/>
        </w:rPr>
        <w:t>in effect nothing left to litigate but a party persist</w:t>
      </w:r>
      <w:r>
        <w:rPr>
          <w:rFonts w:ascii="Arial"/>
          <w:color w:val="000000"/>
          <w:sz w:val="24"/>
        </w:rPr>
        <w:t>ed</w:t>
      </w:r>
      <w:r>
        <w:rPr>
          <w:rFonts w:ascii="Arial"/>
          <w:color w:val="000000"/>
          <w:sz w:val="24"/>
        </w:rPr>
        <w:t xml:space="preserve"> </w:t>
      </w:r>
      <w:r>
        <w:rPr>
          <w:rFonts w:ascii="Arial"/>
          <w:color w:val="000000"/>
          <w:sz w:val="24"/>
        </w:rPr>
        <w:t xml:space="preserve">in doing so </w:t>
      </w:r>
      <w:r>
        <w:rPr>
          <w:rFonts w:ascii="Arial"/>
          <w:color w:val="000000"/>
          <w:sz w:val="24"/>
        </w:rPr>
        <w:t>anyway</w:t>
      </w:r>
      <w:r>
        <w:rPr>
          <w:rFonts w:ascii="Arial"/>
          <w:color w:val="000000"/>
          <w:sz w:val="24"/>
        </w:rPr>
        <w:t xml:space="preserve">. </w:t>
      </w:r>
    </w:p>
    <w:p>
      <w:pPr>
        <w:pStyle w:val="CaselawNumbered10"/>
        <w:numPr>
          <w:ilvl w:val="0"/>
          <w:numId w:val="40"/>
        </w:numPr>
        <w:spacing w:before="150" w:after="0"/>
        <w:ind w:left="600" w:hanging="600"/>
      </w:pPr>
      <w:r>
        <w:rPr>
          <w:rFonts w:ascii="Arial"/>
          <w:color w:val="000000"/>
          <w:sz w:val="24"/>
        </w:rPr>
        <w:t xml:space="preserve">The Council </w:t>
      </w:r>
      <w:r>
        <w:rPr>
          <w:rFonts w:ascii="Arial"/>
          <w:color w:val="000000"/>
          <w:sz w:val="24"/>
        </w:rPr>
        <w:t>relied upon</w:t>
      </w:r>
      <w:r>
        <w:rPr>
          <w:rFonts w:ascii="Arial"/>
          <w:color w:val="000000"/>
          <w:sz w:val="24"/>
        </w:rPr>
        <w:t xml:space="preserve"> </w:t>
      </w:r>
      <w:r>
        <w:rPr>
          <w:rFonts w:ascii="Arial"/>
          <w:color w:val="000000"/>
          <w:sz w:val="24"/>
        </w:rPr>
        <w:t xml:space="preserve">the </w:t>
      </w:r>
      <w:r>
        <w:rPr>
          <w:rFonts w:ascii="Arial"/>
          <w:color w:val="000000"/>
          <w:sz w:val="24"/>
        </w:rPr>
        <w:t xml:space="preserve">strident </w:t>
      </w:r>
      <w:r>
        <w:rPr>
          <w:rFonts w:ascii="Arial"/>
          <w:color w:val="000000"/>
          <w:sz w:val="24"/>
        </w:rPr>
        <w:t xml:space="preserve">language </w:t>
      </w:r>
      <w:r>
        <w:rPr>
          <w:rFonts w:ascii="Arial"/>
          <w:color w:val="000000"/>
          <w:sz w:val="24"/>
        </w:rPr>
        <w:t>that the</w:t>
      </w:r>
      <w:r>
        <w:rPr>
          <w:rFonts w:ascii="Arial"/>
          <w:color w:val="000000"/>
          <w:sz w:val="24"/>
        </w:rPr>
        <w:t xml:space="preserve"> </w:t>
      </w:r>
      <w:r>
        <w:rPr>
          <w:rFonts w:ascii="Arial"/>
          <w:color w:val="000000"/>
          <w:sz w:val="24"/>
        </w:rPr>
        <w:t xml:space="preserve">Court </w:t>
      </w:r>
      <w:r>
        <w:rPr>
          <w:rFonts w:ascii="Arial"/>
          <w:color w:val="000000"/>
          <w:sz w:val="24"/>
        </w:rPr>
        <w:t xml:space="preserve">had </w:t>
      </w:r>
      <w:r>
        <w:rPr>
          <w:rFonts w:ascii="Arial"/>
          <w:color w:val="000000"/>
          <w:sz w:val="24"/>
        </w:rPr>
        <w:t xml:space="preserve">employed in its judgment </w:t>
      </w:r>
      <w:r>
        <w:rPr>
          <w:rFonts w:ascii="Arial"/>
          <w:color w:val="000000"/>
          <w:sz w:val="24"/>
        </w:rPr>
        <w:t xml:space="preserve">to argue that the findings of the Court were so strong that this was indicative of the inherent </w:t>
      </w:r>
      <w:r>
        <w:rPr>
          <w:rFonts w:ascii="Arial"/>
          <w:color w:val="000000"/>
          <w:sz w:val="24"/>
        </w:rPr>
        <w:t>inadequacy</w:t>
      </w:r>
      <w:r>
        <w:rPr>
          <w:rFonts w:ascii="Arial"/>
          <w:color w:val="000000"/>
          <w:sz w:val="24"/>
        </w:rPr>
        <w:t xml:space="preserve"> </w:t>
      </w:r>
      <w:r>
        <w:rPr>
          <w:rFonts w:ascii="Arial"/>
          <w:color w:val="000000"/>
          <w:sz w:val="24"/>
        </w:rPr>
        <w:t>of UPG</w:t>
      </w:r>
      <w:r>
        <w:rPr>
          <w:rFonts w:ascii="Arial"/>
          <w:color w:val="000000"/>
          <w:sz w:val="24"/>
        </w:rPr>
        <w:t>’</w:t>
      </w:r>
      <w:r>
        <w:rPr>
          <w:rFonts w:ascii="Arial"/>
          <w:color w:val="000000"/>
          <w:sz w:val="24"/>
        </w:rPr>
        <w:t>s case.</w:t>
      </w:r>
      <w:r>
        <w:rPr>
          <w:rFonts w:ascii="Arial"/>
          <w:color w:val="000000"/>
          <w:sz w:val="24"/>
        </w:rPr>
        <w:t xml:space="preserve"> </w:t>
      </w:r>
      <w:r>
        <w:rPr>
          <w:rFonts w:ascii="Arial"/>
          <w:color w:val="000000"/>
          <w:sz w:val="24"/>
        </w:rPr>
        <w:t>In my view, this submission</w:t>
      </w:r>
      <w:r>
        <w:rPr>
          <w:rFonts w:ascii="Arial"/>
          <w:color w:val="000000"/>
          <w:sz w:val="24"/>
        </w:rPr>
        <w:t xml:space="preserve"> </w:t>
      </w:r>
      <w:r>
        <w:rPr>
          <w:rFonts w:ascii="Arial"/>
          <w:color w:val="000000"/>
          <w:sz w:val="24"/>
        </w:rPr>
        <w:t xml:space="preserve">must be rejected. The </w:t>
      </w:r>
      <w:r>
        <w:rPr>
          <w:rFonts w:ascii="Arial"/>
          <w:color w:val="000000"/>
          <w:sz w:val="24"/>
        </w:rPr>
        <w:t xml:space="preserve">opinions expressed by the Court were the product of careful deliberation after having had the benefit of hearing the oral evidence of the witnesses and the final submissions of the parties. </w:t>
      </w:r>
    </w:p>
    <w:p>
      <w:pPr>
        <w:pStyle w:val="CaselawNumbered10"/>
        <w:numPr>
          <w:ilvl w:val="0"/>
          <w:numId w:val="40"/>
        </w:numPr>
        <w:spacing w:before="150" w:after="0"/>
        <w:ind w:left="600" w:hanging="600"/>
      </w:pPr>
      <w:r>
        <w:rPr>
          <w:rFonts w:ascii="Arial"/>
          <w:color w:val="000000"/>
          <w:sz w:val="24"/>
        </w:rPr>
        <w:t>If, as the Council</w:t>
      </w:r>
      <w:r>
        <w:rPr>
          <w:rFonts w:ascii="Arial"/>
          <w:color w:val="000000"/>
          <w:sz w:val="24"/>
        </w:rPr>
        <w:t xml:space="preserve"> </w:t>
      </w:r>
      <w:r>
        <w:rPr>
          <w:rFonts w:ascii="Arial"/>
          <w:color w:val="000000"/>
          <w:sz w:val="24"/>
        </w:rPr>
        <w:t>correctly</w:t>
      </w:r>
      <w:r>
        <w:rPr>
          <w:rFonts w:ascii="Arial"/>
          <w:color w:val="000000"/>
          <w:sz w:val="24"/>
        </w:rPr>
        <w:t xml:space="preserve"> </w:t>
      </w:r>
      <w:r>
        <w:rPr>
          <w:rFonts w:ascii="Arial"/>
          <w:color w:val="000000"/>
          <w:sz w:val="24"/>
        </w:rPr>
        <w:t>accepts, UPG ha</w:t>
      </w:r>
      <w:r>
        <w:rPr>
          <w:rFonts w:ascii="Arial"/>
          <w:color w:val="000000"/>
          <w:sz w:val="24"/>
        </w:rPr>
        <w:t>s the</w:t>
      </w:r>
      <w:r>
        <w:rPr>
          <w:rFonts w:ascii="Arial"/>
          <w:color w:val="000000"/>
          <w:sz w:val="24"/>
        </w:rPr>
        <w:t xml:space="preserve"> </w:t>
      </w:r>
      <w:r>
        <w:rPr>
          <w:rFonts w:ascii="Arial"/>
          <w:color w:val="000000"/>
          <w:sz w:val="24"/>
        </w:rPr>
        <w:t xml:space="preserve">right to challenge the determination of the Valuer-General by commencing proceedings, </w:t>
      </w:r>
      <w:r>
        <w:rPr>
          <w:rFonts w:ascii="Arial"/>
          <w:color w:val="000000"/>
          <w:sz w:val="24"/>
        </w:rPr>
        <w:t>then it follows</w:t>
      </w:r>
      <w:r>
        <w:rPr>
          <w:rFonts w:ascii="Arial"/>
          <w:color w:val="000000"/>
          <w:sz w:val="24"/>
        </w:rPr>
        <w:t xml:space="preserve"> </w:t>
      </w:r>
      <w:r>
        <w:rPr>
          <w:rFonts w:ascii="Arial"/>
          <w:color w:val="000000"/>
          <w:sz w:val="24"/>
        </w:rPr>
        <w:t xml:space="preserve">that inherent in this right </w:t>
      </w:r>
      <w:r>
        <w:rPr>
          <w:rFonts w:ascii="Arial"/>
          <w:color w:val="000000"/>
          <w:sz w:val="24"/>
        </w:rPr>
        <w:t>i</w:t>
      </w:r>
      <w:r>
        <w:rPr>
          <w:rFonts w:ascii="Arial"/>
          <w:color w:val="000000"/>
          <w:sz w:val="24"/>
        </w:rPr>
        <w:t>s the ability to proceed to trial if the evidence</w:t>
      </w:r>
      <w:r>
        <w:rPr>
          <w:rFonts w:ascii="Arial"/>
          <w:color w:val="000000"/>
          <w:sz w:val="24"/>
        </w:rPr>
        <w:t xml:space="preserve"> </w:t>
      </w:r>
      <w:r>
        <w:rPr>
          <w:rFonts w:ascii="Arial"/>
          <w:color w:val="000000"/>
          <w:sz w:val="24"/>
        </w:rPr>
        <w:t>i</w:t>
      </w:r>
      <w:r>
        <w:rPr>
          <w:rFonts w:ascii="Arial"/>
          <w:color w:val="000000"/>
          <w:sz w:val="24"/>
        </w:rPr>
        <w:t>s cogent, which it was in this case.</w:t>
      </w:r>
    </w:p>
    <w:p>
      <w:pPr>
        <w:pStyle w:val="CaselawNumbered10"/>
        <w:numPr>
          <w:ilvl w:val="0"/>
          <w:numId w:val="40"/>
        </w:numPr>
        <w:spacing w:before="150" w:after="0"/>
        <w:ind w:left="600" w:hanging="600"/>
      </w:pPr>
      <w:r>
        <w:rPr>
          <w:rFonts w:ascii="Arial"/>
          <w:color w:val="000000"/>
          <w:sz w:val="24"/>
        </w:rPr>
        <w:t xml:space="preserve">I do not accept that receipt of the joint expert reports revealed </w:t>
      </w:r>
      <w:r>
        <w:rPr>
          <w:rFonts w:ascii="Arial"/>
          <w:color w:val="000000"/>
          <w:sz w:val="24"/>
        </w:rPr>
        <w:t>deficiencies</w:t>
      </w:r>
      <w:r>
        <w:rPr>
          <w:rFonts w:ascii="Arial"/>
          <w:color w:val="000000"/>
          <w:sz w:val="24"/>
        </w:rPr>
        <w:t xml:space="preserve"> </w:t>
      </w:r>
      <w:r>
        <w:rPr>
          <w:rFonts w:ascii="Arial"/>
          <w:color w:val="000000"/>
          <w:sz w:val="24"/>
        </w:rPr>
        <w:t>in UPG</w:t>
      </w:r>
      <w:r>
        <w:rPr>
          <w:rFonts w:ascii="Arial"/>
          <w:color w:val="000000"/>
          <w:sz w:val="24"/>
        </w:rPr>
        <w:t>’</w:t>
      </w:r>
      <w:r>
        <w:rPr>
          <w:rFonts w:ascii="Arial"/>
          <w:color w:val="000000"/>
          <w:sz w:val="24"/>
        </w:rPr>
        <w:t>s case</w:t>
      </w:r>
      <w:r>
        <w:rPr>
          <w:rFonts w:ascii="Arial"/>
          <w:color w:val="000000"/>
          <w:sz w:val="24"/>
        </w:rPr>
        <w:t xml:space="preserve"> </w:t>
      </w:r>
      <w:r>
        <w:rPr>
          <w:rFonts w:ascii="Arial"/>
          <w:color w:val="000000"/>
          <w:sz w:val="24"/>
        </w:rPr>
        <w:t>such</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it</w:t>
      </w:r>
      <w:r>
        <w:rPr>
          <w:rFonts w:ascii="Arial"/>
          <w:color w:val="000000"/>
          <w:sz w:val="24"/>
        </w:rPr>
        <w:t xml:space="preserve"> </w:t>
      </w:r>
      <w:r>
        <w:rPr>
          <w:rFonts w:ascii="Arial"/>
          <w:color w:val="000000"/>
          <w:sz w:val="24"/>
        </w:rPr>
        <w:t xml:space="preserve">rendered </w:t>
      </w:r>
      <w:r>
        <w:rPr>
          <w:rFonts w:ascii="Arial"/>
          <w:color w:val="000000"/>
          <w:sz w:val="24"/>
        </w:rPr>
        <w:t>the continuation of the proceedings unreasonable</w:t>
      </w:r>
      <w:r>
        <w:rPr>
          <w:rFonts w:ascii="Arial"/>
          <w:color w:val="000000"/>
          <w:sz w:val="24"/>
        </w:rPr>
        <w:t xml:space="preserve">. The fact that UPG obtained </w:t>
      </w:r>
      <w:r>
        <w:rPr>
          <w:rFonts w:ascii="Arial"/>
          <w:color w:val="000000"/>
          <w:sz w:val="24"/>
        </w:rPr>
        <w:t>gr</w:t>
      </w:r>
      <w:r>
        <w:rPr>
          <w:rFonts w:ascii="Arial"/>
          <w:color w:val="000000"/>
          <w:sz w:val="24"/>
        </w:rPr>
        <w:t>e</w:t>
      </w:r>
      <w:r>
        <w:rPr>
          <w:rFonts w:ascii="Arial"/>
          <w:color w:val="000000"/>
          <w:sz w:val="24"/>
        </w:rPr>
        <w:t>ater</w:t>
      </w:r>
      <w:r>
        <w:rPr>
          <w:rFonts w:ascii="Arial"/>
          <w:color w:val="000000"/>
          <w:sz w:val="24"/>
        </w:rPr>
        <w:t xml:space="preserve"> </w:t>
      </w:r>
      <w:r>
        <w:rPr>
          <w:rFonts w:ascii="Arial"/>
          <w:color w:val="000000"/>
          <w:sz w:val="24"/>
        </w:rPr>
        <w:t xml:space="preserve">compensation that the nil value </w:t>
      </w:r>
      <w:r>
        <w:rPr>
          <w:rFonts w:ascii="Arial"/>
          <w:color w:val="000000"/>
          <w:sz w:val="24"/>
        </w:rPr>
        <w:t xml:space="preserve">contended for </w:t>
      </w:r>
      <w:r>
        <w:rPr>
          <w:rFonts w:ascii="Arial"/>
          <w:color w:val="000000"/>
          <w:sz w:val="24"/>
        </w:rPr>
        <w:t>by the Council is demonstrative of this proposition.</w:t>
      </w:r>
      <w:r>
        <w:rPr>
          <w:rFonts w:ascii="Arial"/>
          <w:color w:val="000000"/>
          <w:sz w:val="24"/>
        </w:rPr>
        <w:t xml:space="preserve"> </w:t>
      </w:r>
      <w:r>
        <w:rPr>
          <w:rFonts w:ascii="Arial"/>
          <w:color w:val="000000"/>
          <w:sz w:val="24"/>
        </w:rPr>
        <w:t xml:space="preserve">Viewed this way, UPG has arguably enjoyed a measure of success in the litigation. </w:t>
      </w:r>
    </w:p>
    <w:p>
      <w:pPr>
        <w:pStyle w:val="CaselawNumbered10"/>
        <w:numPr>
          <w:ilvl w:val="0"/>
          <w:numId w:val="40"/>
        </w:numPr>
        <w:spacing w:before="150" w:after="0"/>
        <w:ind w:left="600" w:hanging="600"/>
      </w:pPr>
      <w:r>
        <w:rPr>
          <w:rFonts w:ascii="Arial"/>
          <w:color w:val="000000"/>
          <w:sz w:val="24"/>
        </w:rPr>
        <w:t xml:space="preserve">Against this, however, is the fact that UPG neither obtained an award of compensation commensurate </w:t>
      </w:r>
      <w:r>
        <w:rPr>
          <w:rFonts w:ascii="Arial"/>
          <w:color w:val="000000"/>
          <w:sz w:val="24"/>
        </w:rPr>
        <w:t xml:space="preserve">with or greater than the statutory offer and nor did it </w:t>
      </w:r>
      <w:r>
        <w:rPr>
          <w:rFonts w:ascii="Arial"/>
          <w:color w:val="000000"/>
          <w:sz w:val="24"/>
        </w:rPr>
        <w:t>obtain</w:t>
      </w:r>
      <w:r>
        <w:rPr>
          <w:rFonts w:ascii="Arial"/>
          <w:color w:val="000000"/>
          <w:sz w:val="24"/>
        </w:rPr>
        <w:t xml:space="preserve"> </w:t>
      </w:r>
      <w:r>
        <w:rPr>
          <w:rFonts w:ascii="Arial"/>
          <w:color w:val="000000"/>
          <w:sz w:val="24"/>
        </w:rPr>
        <w:t xml:space="preserve">the </w:t>
      </w:r>
      <w:r>
        <w:rPr>
          <w:rFonts w:ascii="Arial"/>
          <w:color w:val="000000"/>
          <w:sz w:val="24"/>
        </w:rPr>
        <w:t>quantum</w:t>
      </w:r>
      <w:r>
        <w:rPr>
          <w:rFonts w:ascii="Arial"/>
          <w:color w:val="000000"/>
          <w:sz w:val="24"/>
        </w:rPr>
        <w:t xml:space="preserve"> </w:t>
      </w:r>
      <w:r>
        <w:rPr>
          <w:rFonts w:ascii="Arial"/>
          <w:color w:val="000000"/>
          <w:sz w:val="24"/>
        </w:rPr>
        <w:t>that it sought during the hearing</w:t>
      </w:r>
      <w:r>
        <w:rPr>
          <w:rFonts w:ascii="Arial"/>
          <w:color w:val="000000"/>
          <w:sz w:val="24"/>
        </w:rPr>
        <w:t xml:space="preserve">. </w:t>
      </w:r>
      <w:r>
        <w:rPr>
          <w:rFonts w:ascii="Arial"/>
          <w:color w:val="000000"/>
          <w:sz w:val="24"/>
        </w:rPr>
        <w:t xml:space="preserve">In this sense </w:t>
      </w:r>
      <w:r>
        <w:rPr>
          <w:rFonts w:ascii="Arial"/>
          <w:color w:val="000000"/>
          <w:sz w:val="24"/>
        </w:rPr>
        <w:t>UPG</w:t>
      </w:r>
      <w:r>
        <w:rPr>
          <w:rFonts w:ascii="Arial"/>
          <w:color w:val="000000"/>
          <w:sz w:val="24"/>
        </w:rPr>
        <w:t xml:space="preserve"> </w:t>
      </w:r>
      <w:r>
        <w:rPr>
          <w:rFonts w:ascii="Arial"/>
          <w:color w:val="000000"/>
          <w:sz w:val="24"/>
        </w:rPr>
        <w:t xml:space="preserve">was </w:t>
      </w:r>
      <w:r>
        <w:rPr>
          <w:rFonts w:ascii="Arial"/>
          <w:color w:val="000000"/>
          <w:sz w:val="24"/>
        </w:rPr>
        <w:t>unsuccessful in</w:t>
      </w:r>
      <w:r>
        <w:rPr>
          <w:rFonts w:ascii="Arial"/>
          <w:color w:val="000000"/>
          <w:sz w:val="24"/>
        </w:rPr>
        <w:t xml:space="preserve"> </w:t>
      </w:r>
      <w:r>
        <w:rPr>
          <w:rFonts w:ascii="Arial"/>
          <w:color w:val="000000"/>
          <w:sz w:val="24"/>
        </w:rPr>
        <w:t>its claim</w:t>
      </w:r>
      <w:r>
        <w:rPr>
          <w:rFonts w:ascii="Arial"/>
          <w:color w:val="000000"/>
          <w:sz w:val="24"/>
        </w:rPr>
        <w:t>.</w:t>
      </w:r>
      <w:r>
        <w:rPr>
          <w:rFonts w:ascii="Arial"/>
          <w:color w:val="000000"/>
          <w:sz w:val="24"/>
        </w:rPr>
        <w:t> </w:t>
      </w:r>
    </w:p>
    <w:p>
      <w:pPr>
        <w:pStyle w:val="CaselawNumbered10"/>
        <w:numPr>
          <w:ilvl w:val="0"/>
          <w:numId w:val="40"/>
        </w:numPr>
        <w:spacing w:before="150" w:after="0"/>
        <w:ind w:left="600" w:hanging="600"/>
      </w:pPr>
      <w:r>
        <w:rPr>
          <w:rFonts w:ascii="Arial"/>
          <w:color w:val="000000"/>
          <w:sz w:val="24"/>
        </w:rPr>
        <w:t>Although I do not agree with the Council</w:t>
      </w:r>
      <w:r>
        <w:rPr>
          <w:rFonts w:ascii="Arial"/>
          <w:color w:val="000000"/>
          <w:sz w:val="24"/>
        </w:rPr>
        <w:t>’</w:t>
      </w:r>
      <w:r>
        <w:rPr>
          <w:rFonts w:ascii="Arial"/>
          <w:color w:val="000000"/>
          <w:sz w:val="24"/>
        </w:rPr>
        <w:t xml:space="preserve">s description of compulsory acquisition cases as a form of </w:t>
      </w:r>
      <w:r>
        <w:rPr>
          <w:rFonts w:ascii="Arial"/>
          <w:color w:val="000000"/>
          <w:sz w:val="24"/>
        </w:rPr>
        <w:t>“</w:t>
      </w:r>
      <w:r>
        <w:rPr>
          <w:rFonts w:ascii="Arial"/>
          <w:color w:val="000000"/>
          <w:sz w:val="24"/>
        </w:rPr>
        <w:t>commercial litigation</w:t>
      </w:r>
      <w:r>
        <w:rPr>
          <w:rFonts w:ascii="Arial"/>
          <w:color w:val="000000"/>
          <w:sz w:val="24"/>
        </w:rPr>
        <w:t xml:space="preserve">” </w:t>
      </w:r>
      <w:r>
        <w:rPr>
          <w:rFonts w:ascii="Arial"/>
          <w:color w:val="000000"/>
          <w:sz w:val="24"/>
        </w:rPr>
        <w:t xml:space="preserve">due to the </w:t>
      </w:r>
      <w:r>
        <w:rPr>
          <w:rFonts w:ascii="Arial"/>
          <w:color w:val="000000"/>
          <w:sz w:val="24"/>
        </w:rPr>
        <w:t xml:space="preserve">invariably </w:t>
      </w:r>
      <w:r>
        <w:rPr>
          <w:rFonts w:ascii="Arial"/>
          <w:color w:val="000000"/>
          <w:sz w:val="24"/>
        </w:rPr>
        <w:t xml:space="preserve">involuntary nature of the dispossession and the absence of any participation by the dispossessed owner in the calculation of the statutory offer, </w:t>
      </w:r>
      <w:r>
        <w:rPr>
          <w:rFonts w:ascii="Arial"/>
          <w:color w:val="000000"/>
          <w:sz w:val="24"/>
        </w:rPr>
        <w:t xml:space="preserve">it must nevertheless be observed that </w:t>
      </w:r>
      <w:r>
        <w:rPr>
          <w:rFonts w:ascii="Arial"/>
          <w:color w:val="000000"/>
          <w:sz w:val="24"/>
        </w:rPr>
        <w:t xml:space="preserve">no litigation is risk free and </w:t>
      </w:r>
      <w:r>
        <w:rPr>
          <w:rFonts w:ascii="Arial"/>
          <w:color w:val="000000"/>
          <w:sz w:val="24"/>
        </w:rPr>
        <w:t xml:space="preserve">it is incumbent upon both parties, </w:t>
      </w:r>
      <w:r>
        <w:rPr>
          <w:rFonts w:ascii="Arial"/>
          <w:color w:val="000000"/>
          <w:sz w:val="24"/>
        </w:rPr>
        <w:t xml:space="preserve">especially </w:t>
      </w:r>
      <w:r>
        <w:rPr>
          <w:rFonts w:ascii="Arial"/>
          <w:color w:val="000000"/>
          <w:sz w:val="24"/>
        </w:rPr>
        <w:t>a claimant</w:t>
      </w:r>
      <w:r>
        <w:rPr>
          <w:rFonts w:ascii="Arial"/>
          <w:color w:val="000000"/>
          <w:sz w:val="24"/>
        </w:rPr>
        <w:t>, to evaluate at e</w:t>
      </w:r>
      <w:r>
        <w:rPr>
          <w:rFonts w:ascii="Arial"/>
          <w:color w:val="000000"/>
          <w:sz w:val="24"/>
        </w:rPr>
        <w:t>very</w:t>
      </w:r>
      <w:r>
        <w:rPr>
          <w:rFonts w:ascii="Arial"/>
          <w:color w:val="000000"/>
          <w:sz w:val="24"/>
        </w:rPr>
        <w:t xml:space="preserve"> </w:t>
      </w:r>
      <w:r>
        <w:rPr>
          <w:rFonts w:ascii="Arial"/>
          <w:color w:val="000000"/>
          <w:sz w:val="24"/>
        </w:rPr>
        <w:t xml:space="preserve">stage of the proceedings whether or not </w:t>
      </w:r>
      <w:r>
        <w:rPr>
          <w:rFonts w:ascii="Arial"/>
          <w:color w:val="000000"/>
          <w:sz w:val="24"/>
        </w:rPr>
        <w:t>it ought t</w:t>
      </w:r>
      <w:r>
        <w:rPr>
          <w:rFonts w:ascii="Arial"/>
          <w:color w:val="000000"/>
          <w:sz w:val="24"/>
        </w:rPr>
        <w:t xml:space="preserve">o compromise </w:t>
      </w:r>
      <w:r>
        <w:rPr>
          <w:rFonts w:ascii="Arial"/>
          <w:color w:val="000000"/>
          <w:sz w:val="24"/>
        </w:rPr>
        <w:t>its</w:t>
      </w:r>
      <w:r>
        <w:rPr>
          <w:rFonts w:ascii="Arial"/>
          <w:color w:val="000000"/>
          <w:sz w:val="24"/>
        </w:rPr>
        <w:t xml:space="preserve"> </w:t>
      </w:r>
      <w:r>
        <w:rPr>
          <w:rFonts w:ascii="Arial"/>
          <w:color w:val="000000"/>
          <w:sz w:val="24"/>
        </w:rPr>
        <w:t xml:space="preserve">claim. A failure to do otherwise </w:t>
      </w:r>
      <w:r>
        <w:rPr>
          <w:rFonts w:ascii="Arial"/>
          <w:color w:val="000000"/>
          <w:sz w:val="24"/>
        </w:rPr>
        <w:t>may</w:t>
      </w:r>
      <w:r>
        <w:rPr>
          <w:rFonts w:ascii="Arial"/>
          <w:color w:val="000000"/>
          <w:sz w:val="24"/>
        </w:rPr>
        <w:t xml:space="preserve"> </w:t>
      </w:r>
      <w:r>
        <w:rPr>
          <w:rFonts w:ascii="Arial"/>
          <w:color w:val="000000"/>
          <w:sz w:val="24"/>
        </w:rPr>
        <w:t xml:space="preserve">amount to unreasonable conduct. </w:t>
      </w:r>
    </w:p>
    <w:p>
      <w:pPr>
        <w:pStyle w:val="CaselawNumbered10"/>
        <w:numPr>
          <w:ilvl w:val="0"/>
          <w:numId w:val="40"/>
        </w:numPr>
        <w:spacing w:before="150" w:after="0"/>
        <w:ind w:left="600" w:hanging="600"/>
      </w:pPr>
      <w:r>
        <w:rPr>
          <w:rFonts w:ascii="Arial"/>
          <w:color w:val="000000"/>
          <w:sz w:val="24"/>
        </w:rPr>
        <w:t xml:space="preserve">Applying the principles discussed in the authorities referred to above, </w:t>
      </w:r>
      <w:r>
        <w:rPr>
          <w:rFonts w:ascii="Arial"/>
          <w:color w:val="000000"/>
          <w:sz w:val="24"/>
        </w:rPr>
        <w:t xml:space="preserve">and mindful of the observation by Stein JA in </w:t>
      </w:r>
      <w:r>
        <w:rPr>
          <w:rFonts w:ascii="Arial"/>
          <w:i/>
          <w:color w:val="000000"/>
          <w:sz w:val="24"/>
        </w:rPr>
        <w:t>Overton</w:t>
      </w:r>
      <w:r>
        <w:rPr>
          <w:rFonts w:ascii="Arial"/>
          <w:color w:val="000000"/>
          <w:sz w:val="24"/>
        </w:rPr>
        <w:t xml:space="preserve">, </w:t>
      </w:r>
      <w:r>
        <w:rPr>
          <w:rFonts w:ascii="Arial"/>
          <w:color w:val="000000"/>
          <w:sz w:val="24"/>
        </w:rPr>
        <w:t xml:space="preserve">although finely balanced, </w:t>
      </w:r>
      <w:r>
        <w:rPr>
          <w:rFonts w:ascii="Arial"/>
          <w:color w:val="000000"/>
          <w:sz w:val="24"/>
        </w:rPr>
        <w:t>I am of the opinion that the Council should pay UPG</w:t>
      </w:r>
      <w:r>
        <w:rPr>
          <w:rFonts w:ascii="Arial"/>
          <w:color w:val="000000"/>
          <w:sz w:val="24"/>
        </w:rPr>
        <w:t>’</w:t>
      </w:r>
      <w:r>
        <w:rPr>
          <w:rFonts w:ascii="Arial"/>
          <w:color w:val="000000"/>
          <w:sz w:val="24"/>
        </w:rPr>
        <w:t>s costs of the proceedings notwithstanding its failure to obtain an award greater than the Valuer-General</w:t>
      </w:r>
      <w:r>
        <w:rPr>
          <w:rFonts w:ascii="Arial"/>
          <w:color w:val="000000"/>
          <w:sz w:val="24"/>
        </w:rPr>
        <w:t>’</w:t>
      </w:r>
      <w:r>
        <w:rPr>
          <w:rFonts w:ascii="Arial"/>
          <w:color w:val="000000"/>
          <w:sz w:val="24"/>
        </w:rPr>
        <w:t xml:space="preserve">s determination or the amount </w:t>
      </w:r>
      <w:r>
        <w:rPr>
          <w:rFonts w:ascii="Arial"/>
          <w:color w:val="000000"/>
          <w:sz w:val="24"/>
        </w:rPr>
        <w:t xml:space="preserve">of compensation </w:t>
      </w:r>
      <w:r>
        <w:rPr>
          <w:rFonts w:ascii="Arial"/>
          <w:color w:val="000000"/>
          <w:sz w:val="24"/>
        </w:rPr>
        <w:t xml:space="preserve">claimed by it in the proceedings. </w:t>
      </w:r>
      <w:r>
        <w:rPr>
          <w:rFonts w:ascii="Arial"/>
          <w:color w:val="000000"/>
          <w:sz w:val="24"/>
        </w:rPr>
        <w:t>The issues raised by UPG were more than arguable</w:t>
      </w:r>
      <w:r>
        <w:rPr>
          <w:rFonts w:ascii="Arial"/>
          <w:color w:val="000000"/>
          <w:sz w:val="24"/>
        </w:rPr>
        <w:t>;</w:t>
      </w:r>
      <w:r>
        <w:rPr>
          <w:rFonts w:ascii="Arial"/>
          <w:color w:val="000000"/>
          <w:sz w:val="24"/>
        </w:rPr>
        <w:t xml:space="preserve"> </w:t>
      </w:r>
      <w:r>
        <w:rPr>
          <w:rFonts w:ascii="Arial"/>
          <w:color w:val="000000"/>
          <w:sz w:val="24"/>
        </w:rPr>
        <w:t>the evidence was contestable</w:t>
      </w:r>
      <w:r>
        <w:rPr>
          <w:rFonts w:ascii="Arial"/>
          <w:color w:val="000000"/>
          <w:sz w:val="24"/>
        </w:rPr>
        <w:t>;</w:t>
      </w:r>
      <w:r>
        <w:rPr>
          <w:rFonts w:ascii="Arial"/>
          <w:color w:val="000000"/>
          <w:sz w:val="24"/>
        </w:rPr>
        <w:t xml:space="preserve"> </w:t>
      </w:r>
      <w:r>
        <w:rPr>
          <w:rFonts w:ascii="Arial"/>
          <w:color w:val="000000"/>
          <w:sz w:val="24"/>
        </w:rPr>
        <w:t>the proceedings were conducted efficiently, including the hearing</w:t>
      </w:r>
      <w:r>
        <w:rPr>
          <w:rFonts w:ascii="Arial"/>
          <w:color w:val="000000"/>
          <w:sz w:val="24"/>
        </w:rPr>
        <w:t>;</w:t>
      </w:r>
      <w:r>
        <w:rPr>
          <w:rFonts w:ascii="Arial"/>
          <w:color w:val="000000"/>
          <w:sz w:val="24"/>
        </w:rPr>
        <w:t xml:space="preserve"> </w:t>
      </w:r>
      <w:r>
        <w:rPr>
          <w:rFonts w:ascii="Arial"/>
          <w:color w:val="000000"/>
          <w:sz w:val="24"/>
        </w:rPr>
        <w:t>and UPG achieved a considerably better result than the nil value a</w:t>
      </w:r>
      <w:r>
        <w:rPr>
          <w:rFonts w:ascii="Arial"/>
          <w:color w:val="000000"/>
          <w:sz w:val="24"/>
        </w:rPr>
        <w:t>cc</w:t>
      </w:r>
      <w:r>
        <w:rPr>
          <w:rFonts w:ascii="Arial"/>
          <w:color w:val="000000"/>
          <w:sz w:val="24"/>
        </w:rPr>
        <w:t>orded to the claim by the Council</w:t>
      </w:r>
      <w:r>
        <w:rPr>
          <w:rFonts w:ascii="Arial"/>
          <w:color w:val="000000"/>
          <w:sz w:val="24"/>
        </w:rPr>
        <w:t>.</w:t>
      </w:r>
      <w:r>
        <w:rPr>
          <w:rFonts w:ascii="Arial"/>
          <w:color w:val="000000"/>
          <w:sz w:val="24"/>
        </w:rPr>
        <w:t xml:space="preserve"> </w:t>
      </w:r>
      <w:r>
        <w:rPr>
          <w:rFonts w:ascii="Arial"/>
          <w:color w:val="000000"/>
          <w:sz w:val="24"/>
        </w:rPr>
        <w:t>O</w:t>
      </w:r>
      <w:r>
        <w:rPr>
          <w:rFonts w:ascii="Arial"/>
          <w:color w:val="000000"/>
          <w:sz w:val="24"/>
        </w:rPr>
        <w:t>n the facts of this case</w:t>
      </w:r>
      <w:r>
        <w:rPr>
          <w:rFonts w:ascii="Arial"/>
          <w:color w:val="000000"/>
          <w:sz w:val="24"/>
        </w:rPr>
        <w:t>, therefore, I find that</w:t>
      </w:r>
      <w:r>
        <w:rPr>
          <w:rFonts w:ascii="Arial"/>
          <w:color w:val="000000"/>
          <w:sz w:val="24"/>
        </w:rPr>
        <w:t xml:space="preserve"> </w:t>
      </w:r>
      <w:r>
        <w:rPr>
          <w:rFonts w:ascii="Arial"/>
          <w:color w:val="000000"/>
          <w:sz w:val="24"/>
        </w:rPr>
        <w:t xml:space="preserve">UPG </w:t>
      </w:r>
      <w:r>
        <w:rPr>
          <w:rFonts w:ascii="Arial"/>
          <w:color w:val="000000"/>
          <w:sz w:val="24"/>
        </w:rPr>
        <w:t xml:space="preserve">acted reasonably in the conduct of the litigation, including the conduct of the hearing. </w:t>
      </w:r>
      <w:r>
        <w:rPr>
          <w:rFonts w:ascii="Arial"/>
          <w:color w:val="000000"/>
          <w:sz w:val="24"/>
        </w:rPr>
        <w:t>As a consequence, t</w:t>
      </w:r>
      <w:r>
        <w:rPr>
          <w:rFonts w:ascii="Arial"/>
          <w:color w:val="000000"/>
          <w:sz w:val="24"/>
        </w:rPr>
        <w:t xml:space="preserve">he Council ought to </w:t>
      </w:r>
      <w:r>
        <w:rPr>
          <w:rFonts w:ascii="Arial"/>
          <w:color w:val="000000"/>
          <w:sz w:val="24"/>
        </w:rPr>
        <w:t xml:space="preserve">be </w:t>
      </w:r>
      <w:r>
        <w:rPr>
          <w:rFonts w:ascii="Arial"/>
          <w:color w:val="000000"/>
          <w:sz w:val="24"/>
        </w:rPr>
        <w:t>liable for UPG</w:t>
      </w:r>
      <w:r>
        <w:rPr>
          <w:rFonts w:ascii="Arial"/>
          <w:color w:val="000000"/>
          <w:sz w:val="24"/>
        </w:rPr>
        <w:t>’</w:t>
      </w:r>
      <w:r>
        <w:rPr>
          <w:rFonts w:ascii="Arial"/>
          <w:color w:val="000000"/>
          <w:sz w:val="24"/>
        </w:rPr>
        <w:t xml:space="preserve">s costs of the proceedings. </w:t>
      </w:r>
    </w:p>
    <w:p>
      <w:pPr>
        <w:pStyle w:val="CaselawNumbered10"/>
        <w:numPr>
          <w:ilvl w:val="0"/>
          <w:numId w:val="40"/>
        </w:numPr>
        <w:spacing w:before="150" w:after="0"/>
        <w:ind w:left="600" w:hanging="600"/>
      </w:pPr>
      <w:r>
        <w:rPr>
          <w:rFonts w:ascii="Arial"/>
          <w:color w:val="000000"/>
          <w:sz w:val="24"/>
        </w:rPr>
        <w:t>Finally, and for the sake of completeness, I note that many of the costs cases referred to</w:t>
      </w:r>
      <w:r>
        <w:rPr>
          <w:rFonts w:ascii="Arial"/>
          <w:color w:val="000000"/>
          <w:sz w:val="24"/>
        </w:rPr>
        <w:t xml:space="preserve"> </w:t>
      </w:r>
      <w:r>
        <w:rPr>
          <w:rFonts w:ascii="Arial"/>
          <w:color w:val="000000"/>
          <w:sz w:val="24"/>
        </w:rPr>
        <w:t>by the Council</w:t>
      </w:r>
      <w:r>
        <w:rPr>
          <w:rFonts w:ascii="Arial"/>
          <w:color w:val="000000"/>
          <w:sz w:val="24"/>
        </w:rPr>
        <w:t xml:space="preserve"> </w:t>
      </w:r>
      <w:r>
        <w:rPr>
          <w:rFonts w:ascii="Arial"/>
          <w:color w:val="000000"/>
          <w:sz w:val="24"/>
        </w:rPr>
        <w:t xml:space="preserve">in </w:t>
      </w:r>
      <w:r>
        <w:rPr>
          <w:rFonts w:ascii="Arial"/>
          <w:color w:val="000000"/>
          <w:sz w:val="24"/>
        </w:rPr>
        <w:t xml:space="preserve">the </w:t>
      </w:r>
      <w:r>
        <w:rPr>
          <w:rFonts w:ascii="Arial"/>
          <w:color w:val="000000"/>
          <w:sz w:val="24"/>
        </w:rPr>
        <w:t xml:space="preserve">schedule </w:t>
      </w:r>
      <w:r>
        <w:rPr>
          <w:rFonts w:ascii="Arial"/>
          <w:color w:val="000000"/>
          <w:sz w:val="24"/>
        </w:rPr>
        <w:t xml:space="preserve">attached to its written submissions </w:t>
      </w:r>
      <w:r>
        <w:rPr>
          <w:rFonts w:ascii="Arial"/>
          <w:color w:val="000000"/>
          <w:sz w:val="24"/>
        </w:rPr>
        <w:t xml:space="preserve">are distinguishable. For example, in </w:t>
      </w:r>
      <w:r>
        <w:rPr>
          <w:rFonts w:ascii="Arial"/>
          <w:i/>
          <w:color w:val="000000"/>
          <w:sz w:val="24"/>
        </w:rPr>
        <w:t>Tempe</w:t>
      </w:r>
      <w:r>
        <w:rPr>
          <w:rFonts w:ascii="Arial"/>
          <w:color w:val="000000"/>
          <w:sz w:val="24"/>
        </w:rPr>
        <w:t xml:space="preserve"> </w:t>
      </w:r>
      <w:r>
        <w:rPr>
          <w:rFonts w:ascii="Arial"/>
          <w:color w:val="000000"/>
          <w:sz w:val="24"/>
        </w:rPr>
        <w:t xml:space="preserve">there was an offer of compromise and in </w:t>
      </w:r>
      <w:r>
        <w:rPr>
          <w:rFonts w:ascii="Arial"/>
          <w:i/>
          <w:color w:val="000000"/>
          <w:sz w:val="24"/>
        </w:rPr>
        <w:t>Qasabian</w:t>
      </w:r>
      <w:r>
        <w:rPr>
          <w:rFonts w:ascii="Arial"/>
          <w:color w:val="000000"/>
          <w:sz w:val="24"/>
        </w:rPr>
        <w:t xml:space="preserve"> </w:t>
      </w:r>
      <w:r>
        <w:rPr>
          <w:rFonts w:ascii="Arial"/>
          <w:color w:val="000000"/>
          <w:sz w:val="24"/>
        </w:rPr>
        <w:t xml:space="preserve">a split costs order was made in one set of proceedings because the joint expert </w:t>
      </w:r>
      <w:r>
        <w:rPr>
          <w:rFonts w:ascii="Arial"/>
          <w:color w:val="000000"/>
          <w:sz w:val="24"/>
        </w:rPr>
        <w:t xml:space="preserve">valuers </w:t>
      </w:r>
      <w:r>
        <w:rPr>
          <w:rFonts w:ascii="Arial"/>
          <w:color w:val="000000"/>
          <w:sz w:val="24"/>
        </w:rPr>
        <w:t>agreed on the amount of compensation for the value of the applicant</w:t>
      </w:r>
      <w:r>
        <w:rPr>
          <w:rFonts w:ascii="Arial"/>
          <w:color w:val="000000"/>
          <w:sz w:val="24"/>
        </w:rPr>
        <w:t>’</w:t>
      </w:r>
      <w:r>
        <w:rPr>
          <w:rFonts w:ascii="Arial"/>
          <w:color w:val="000000"/>
          <w:sz w:val="24"/>
        </w:rPr>
        <w:t>s interests in the acquired land</w:t>
      </w:r>
      <w:r>
        <w:rPr>
          <w:rFonts w:ascii="Arial"/>
          <w:color w:val="000000"/>
          <w:sz w:val="24"/>
        </w:rPr>
        <w:t>,</w:t>
      </w:r>
      <w:r>
        <w:rPr>
          <w:rFonts w:ascii="Arial"/>
          <w:color w:val="000000"/>
          <w:sz w:val="24"/>
        </w:rPr>
        <w:t xml:space="preserve"> </w:t>
      </w:r>
      <w:r>
        <w:rPr>
          <w:rFonts w:ascii="Arial"/>
          <w:color w:val="000000"/>
          <w:sz w:val="24"/>
        </w:rPr>
        <w:t xml:space="preserve">and therefore, to proceed to a hearing after receipt of the </w:t>
      </w:r>
      <w:r>
        <w:rPr>
          <w:rFonts w:ascii="Arial"/>
          <w:color w:val="000000"/>
          <w:sz w:val="24"/>
        </w:rPr>
        <w:t xml:space="preserve">joint expert </w:t>
      </w:r>
      <w:r>
        <w:rPr>
          <w:rFonts w:ascii="Arial"/>
          <w:color w:val="000000"/>
          <w:sz w:val="24"/>
        </w:rPr>
        <w:t>report was not reasonable.</w:t>
      </w:r>
      <w:r>
        <w:rPr>
          <w:rFonts w:ascii="Arial"/>
          <w:color w:val="000000"/>
          <w:sz w:val="24"/>
        </w:rPr>
        <w:t xml:space="preserve"> </w:t>
      </w:r>
      <w:r>
        <w:rPr>
          <w:rFonts w:ascii="Arial"/>
          <w:color w:val="000000"/>
          <w:sz w:val="24"/>
        </w:rPr>
        <w:t>That is not this case.</w:t>
      </w:r>
    </w:p>
    <w:p>
      <w:pPr>
        <w:pStyle w:val="CaselawHeading2"/>
        <w:keepNext/>
        <w:spacing w:before="150" w:after="150" w:line="264"/>
        <w:ind w:left="0"/>
        <w:jc w:val="left"/>
      </w:pPr>
      <w:r>
        <w:rPr>
          <w:rFonts w:ascii="Arial"/>
        </w:rPr>
        <w:t>Costs of the Motion</w:t>
      </w:r>
    </w:p>
    <w:p>
      <w:pPr>
        <w:pStyle w:val="CaselawNumbered10"/>
        <w:numPr>
          <w:ilvl w:val="0"/>
          <w:numId w:val="41"/>
        </w:numPr>
        <w:spacing w:before="150" w:after="0"/>
        <w:ind w:left="600" w:hanging="600"/>
      </w:pPr>
      <w:r>
        <w:rPr>
          <w:rFonts w:ascii="Arial"/>
          <w:color w:val="000000"/>
          <w:sz w:val="24"/>
        </w:rPr>
        <w:t>The Council having failed to obtain an alternative costs order should, consistent with the reasons give</w:t>
      </w:r>
      <w:r>
        <w:rPr>
          <w:rFonts w:ascii="Arial"/>
          <w:color w:val="000000"/>
          <w:sz w:val="24"/>
        </w:rPr>
        <w:t>n</w:t>
      </w:r>
      <w:r>
        <w:rPr>
          <w:rFonts w:ascii="Arial"/>
          <w:color w:val="000000"/>
          <w:sz w:val="24"/>
        </w:rPr>
        <w:t xml:space="preserve"> </w:t>
      </w:r>
      <w:r>
        <w:rPr>
          <w:rFonts w:ascii="Arial"/>
          <w:color w:val="000000"/>
          <w:sz w:val="24"/>
        </w:rPr>
        <w:t>above, pay UPG</w:t>
      </w:r>
      <w:r>
        <w:rPr>
          <w:rFonts w:ascii="Arial"/>
          <w:color w:val="000000"/>
          <w:sz w:val="24"/>
        </w:rPr>
        <w:t>’</w:t>
      </w:r>
      <w:r>
        <w:rPr>
          <w:rFonts w:ascii="Arial"/>
          <w:color w:val="000000"/>
          <w:sz w:val="24"/>
        </w:rPr>
        <w:t xml:space="preserve">s costs of the failed application. </w:t>
      </w:r>
    </w:p>
    <w:p>
      <w:pPr>
        <w:pStyle w:val="CaselawHeading2"/>
        <w:keepNext/>
        <w:spacing w:before="150" w:after="150" w:line="264"/>
        <w:ind w:left="0"/>
        <w:jc w:val="left"/>
      </w:pPr>
      <w:r>
        <w:rPr>
          <w:rFonts w:ascii="Arial"/>
        </w:rPr>
        <w:t xml:space="preserve">Orders </w:t>
      </w:r>
    </w:p>
    <w:p>
      <w:pPr>
        <w:pStyle w:val="CaselawNumbered10"/>
        <w:numPr>
          <w:ilvl w:val="0"/>
          <w:numId w:val="42"/>
        </w:numPr>
        <w:spacing w:before="150" w:after="0"/>
        <w:ind w:left="600" w:hanging="600"/>
      </w:pPr>
      <w:r>
        <w:rPr>
          <w:rFonts w:ascii="Arial"/>
          <w:color w:val="000000"/>
          <w:sz w:val="24"/>
        </w:rPr>
        <w:t>The orders of the Court are as follows:</w:t>
      </w:r>
    </w:p>
    <w:p>
      <w:pPr>
        <w:pStyle w:val="CaselawNumbered1"/>
        <w:numPr>
          <w:ilvl w:val="0"/>
          <w:numId w:val="43"/>
        </w:numPr>
        <w:spacing w:before="150" w:after="0"/>
        <w:ind w:left="1350" w:hanging="750"/>
      </w:pPr>
      <w:r>
        <w:rPr>
          <w:rFonts w:ascii="Arial"/>
          <w:color w:val="000000"/>
          <w:sz w:val="24"/>
        </w:rPr>
        <w:t>the Council</w:t>
      </w:r>
      <w:r>
        <w:rPr>
          <w:rFonts w:ascii="Arial"/>
          <w:color w:val="000000"/>
          <w:sz w:val="24"/>
        </w:rPr>
        <w:t>’</w:t>
      </w:r>
      <w:r>
        <w:rPr>
          <w:rFonts w:ascii="Arial"/>
          <w:color w:val="000000"/>
          <w:sz w:val="24"/>
        </w:rPr>
        <w:t>s notice of motion is dismissed;</w:t>
      </w:r>
    </w:p>
    <w:p>
      <w:pPr>
        <w:pStyle w:val="CaselawNumbered1"/>
        <w:numPr>
          <w:ilvl w:val="0"/>
          <w:numId w:val="43"/>
        </w:numPr>
        <w:spacing w:before="150" w:after="0"/>
        <w:ind w:left="1350" w:hanging="750"/>
      </w:pPr>
      <w:r>
        <w:rPr>
          <w:rFonts w:ascii="Arial"/>
          <w:color w:val="000000"/>
          <w:sz w:val="24"/>
        </w:rPr>
        <w:t>the Council is to pay UPG</w:t>
      </w:r>
      <w:r>
        <w:rPr>
          <w:rFonts w:ascii="Arial"/>
          <w:color w:val="000000"/>
          <w:sz w:val="24"/>
        </w:rPr>
        <w:t>’</w:t>
      </w:r>
      <w:r>
        <w:rPr>
          <w:rFonts w:ascii="Arial"/>
          <w:color w:val="000000"/>
          <w:sz w:val="24"/>
        </w:rPr>
        <w:t>s costs of the proceedings; and</w:t>
      </w:r>
    </w:p>
    <w:p>
      <w:pPr>
        <w:pStyle w:val="CaselawNumbered1"/>
        <w:numPr>
          <w:ilvl w:val="0"/>
          <w:numId w:val="43"/>
        </w:numPr>
        <w:spacing w:before="150" w:after="0"/>
        <w:ind w:left="1350" w:hanging="750"/>
      </w:pPr>
      <w:r>
        <w:rPr>
          <w:rFonts w:ascii="Arial"/>
          <w:color w:val="000000"/>
          <w:sz w:val="24"/>
        </w:rPr>
        <w:t>the Council is to pay UPG</w:t>
      </w:r>
      <w:r>
        <w:rPr>
          <w:rFonts w:ascii="Arial"/>
          <w:color w:val="000000"/>
          <w:sz w:val="24"/>
        </w:rPr>
        <w:t>’</w:t>
      </w:r>
      <w:r>
        <w:rPr>
          <w:rFonts w:ascii="Arial"/>
          <w:color w:val="000000"/>
          <w:sz w:val="24"/>
        </w:rPr>
        <w:t xml:space="preserve">s costs of the motion. </w:t>
      </w:r>
    </w:p>
    <w:p>
      <w:pPr>
        <w:pStyle w:val="CaselawNormal"/>
        <w:spacing w:before="150" w:after="150"/>
        <w:ind w:left="600"/>
        <w:jc w:val="left"/>
      </w:pPr>
      <w:r>
        <w:rPr>
          <w:rFonts w:ascii="Arial"/>
          <w:color w:val="000000"/>
          <w:sz w:val="24"/>
        </w:rPr>
        <w:t>**********</w:t>
      </w:r>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5B" w:rsidRDefault="00882F5B" w:rsidP="0049645A">
      <w:pPr>
        <w:spacing w:after="0" w:line="240" w:lineRule="auto"/>
      </w:pPr>
      <w:r>
        <w:separator/>
      </w:r>
    </w:p>
  </w:footnote>
  <w:footnote w:type="continuationSeparator" w:id="0">
    <w:p w:rsidR="00882F5B" w:rsidRDefault="00882F5B" w:rsidP="0049645A">
      <w:pPr>
        <w:spacing w:after="0" w:line="240" w:lineRule="auto"/>
      </w:pPr>
      <w:r>
        <w:continuationSeparator/>
      </w:r>
    </w:p>
  </w:footnote>
</w:footnotes>
</file>

<file path=word/numbering.xml><?xml version="1.0" encoding="utf-8"?>
<w:numbering xmlns:w="http://schemas.openxmlformats.org/wordprocessingml/2006/main" xmlns:r="http://schemas.openxmlformats.org/officeDocument/2006/relationships" xmlns:w14="http://schemas.microsoft.com/office/word/2010/wordml" xmlns:w15="http://schemas.microsoft.com/office/word/2012/wordml" xmlns:mc="http://schemas.openxmlformats.org/markup-compatibility/2006"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6"/>
    <w:lvlOverride w:ilvl="0">
      <w:startOverride w:val="5"/>
    </w:lvlOverride>
  </w:num>
  <w:num w:numId="24">
    <w:abstractNumId w:val="15"/>
    <w:lvlOverride w:ilvl="0">
      <w:startOverride w:val="1"/>
    </w:lvlOverride>
  </w:num>
  <w:num w:numId="25">
    <w:abstractNumId w:val="16"/>
    <w:lvlOverride w:ilvl="0">
      <w:startOverride w:val="9"/>
    </w:lvlOverride>
  </w:num>
  <w:num w:numId="26">
    <w:abstractNumId w:val="15"/>
    <w:lvlOverride w:ilvl="0">
      <w:startOverride w:val="1"/>
    </w:lvlOverride>
  </w:num>
  <w:num w:numId="27">
    <w:abstractNumId w:val="16"/>
    <w:lvlOverride w:ilvl="0">
      <w:startOverride w:val="10"/>
    </w:lvlOverride>
  </w:num>
  <w:num w:numId="28">
    <w:abstractNumId w:val="16"/>
    <w:lvlOverride w:ilvl="0">
      <w:startOverride w:val="11"/>
    </w:lvlOverride>
  </w:num>
  <w:num w:numId="29">
    <w:abstractNumId w:val="16"/>
    <w:lvlOverride w:ilvl="0">
      <w:startOverride w:val="12"/>
    </w:lvlOverride>
  </w:num>
  <w:num w:numId="30">
    <w:abstractNumId w:val="16"/>
    <w:lvlOverride w:ilvl="0">
      <w:startOverride w:val="13"/>
    </w:lvlOverride>
  </w:num>
  <w:num w:numId="31">
    <w:abstractNumId w:val="16"/>
    <w:lvlOverride w:ilvl="0">
      <w:startOverride w:val="15"/>
    </w:lvlOverride>
  </w:num>
  <w:num w:numId="32">
    <w:abstractNumId w:val="16"/>
    <w:lvlOverride w:ilvl="0">
      <w:startOverride w:val="19"/>
    </w:lvlOverride>
  </w:num>
  <w:num w:numId="33">
    <w:abstractNumId w:val="16"/>
    <w:lvlOverride w:ilvl="0">
      <w:startOverride w:val="22"/>
    </w:lvlOverride>
  </w:num>
  <w:num w:numId="34">
    <w:abstractNumId w:val="16"/>
    <w:lvlOverride w:ilvl="0">
      <w:startOverride w:val="23"/>
    </w:lvlOverride>
  </w:num>
  <w:num w:numId="35">
    <w:abstractNumId w:val="16"/>
    <w:lvlOverride w:ilvl="0">
      <w:startOverride w:val="24"/>
    </w:lvlOverride>
  </w:num>
  <w:num w:numId="36">
    <w:abstractNumId w:val="16"/>
    <w:lvlOverride w:ilvl="0">
      <w:startOverride w:val="27"/>
    </w:lvlOverride>
  </w:num>
  <w:num w:numId="37">
    <w:abstractNumId w:val="16"/>
    <w:lvlOverride w:ilvl="0">
      <w:startOverride w:val="28"/>
    </w:lvlOverride>
  </w:num>
  <w:num w:numId="38">
    <w:abstractNumId w:val="15"/>
    <w:lvlOverride w:ilvl="0">
      <w:startOverride w:val="1"/>
    </w:lvlOverride>
  </w:num>
  <w:num w:numId="39">
    <w:abstractNumId w:val="16"/>
    <w:lvlOverride w:ilvl="0">
      <w:startOverride w:val="30"/>
    </w:lvlOverride>
  </w:num>
  <w:num w:numId="40">
    <w:abstractNumId w:val="16"/>
    <w:lvlOverride w:ilvl="0">
      <w:startOverride w:val="36"/>
    </w:lvlOverride>
  </w:num>
  <w:num w:numId="41">
    <w:abstractNumId w:val="16"/>
    <w:lvlOverride w:ilvl="0">
      <w:startOverride w:val="47"/>
    </w:lvlOverride>
  </w:num>
  <w:num w:numId="42">
    <w:abstractNumId w:val="16"/>
    <w:lvlOverride w:ilvl="0">
      <w:startOverride w:val="48"/>
    </w:lvlOverride>
  </w:num>
  <w:num w:numId="43">
    <w:abstractNumId w:val="10"/>
    <w:lvlOverride w:ilvl="0">
      <w:startOverride w:val="1"/>
    </w:lvlOverride>
  </w:num>
  <w:numIdMacAtCleanup w:val="21"/>
</w:numbering>
</file>

<file path=word/settings.xml><?xml version="1.0" encoding="utf-8"?>
<w:settings xmlns:w="http://schemas.openxmlformats.org/wordprocessingml/2006/main" xmlns:r="http://schemas.openxmlformats.org/officeDocument/2006/relationships" xmlns:w14="http://schemas.microsoft.com/office/word/2010/wordml" xmlns:w15="http://schemas.microsoft.com/office/word/2012/wordml" xmlns:mc="http://schemas.openxmlformats.org/markup-compatibility/2006"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r="http://schemas.openxmlformats.org/officeDocument/2006/relationships" xmlns:w14="http://schemas.microsoft.com/office/word/2010/wordml" xmlns:w15="http://schemas.microsoft.com/office/word/2012/wordml" xmlns:mc="http://schemas.openxmlformats.org/markup-compatibility/2006"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r="http://schemas.openxmlformats.org/officeDocument/2006/relationships" xmlns:w14="http://schemas.microsoft.com/office/word/2010/wordml" xmlns:w15="http://schemas.microsoft.com/office/word/2012/wordml" xmlns:mc="http://schemas.openxmlformats.org/markup-compatibility/2006"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